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CAC8750">
      <w:pPr>
        <w:ind w:firstLine="0" w:firstLineChars="0"/>
        <w:jc w:val="center"/>
        <w:outlineLvl w:val="0"/>
        <w:rPr>
          <w:rFonts w:hint="eastAsia" w:ascii="方正小标宋_GBK" w:eastAsia="方正小标宋_GBK"/>
          <w:bCs/>
          <w:color w:val="auto"/>
          <w:sz w:val="72"/>
          <w:szCs w:val="72"/>
        </w:rPr>
      </w:pPr>
      <w:bookmarkStart w:id="0" w:name="_Toc16199"/>
      <w:bookmarkStart w:id="1" w:name="_Toc186109334"/>
      <w:bookmarkStart w:id="2" w:name="_Toc21230"/>
      <w:bookmarkStart w:id="3" w:name="_Toc207"/>
      <w:r>
        <w:rPr>
          <w:rFonts w:hint="eastAsia" w:ascii="方正小标宋_GBK" w:eastAsia="方正小标宋_GBK"/>
          <w:bCs/>
          <w:color w:val="auto"/>
          <w:sz w:val="72"/>
          <w:szCs w:val="72"/>
        </w:rPr>
        <w:t>建设项目环境影响报告表</w:t>
      </w:r>
      <w:bookmarkEnd w:id="0"/>
      <w:bookmarkEnd w:id="1"/>
      <w:bookmarkEnd w:id="2"/>
      <w:bookmarkEnd w:id="3"/>
    </w:p>
    <w:p w14:paraId="119DB200">
      <w:pPr>
        <w:spacing w:before="192" w:beforeLines="80"/>
        <w:ind w:firstLine="0" w:firstLineChars="0"/>
        <w:jc w:val="center"/>
        <w:rPr>
          <w:rFonts w:hint="eastAsia" w:ascii="楷体_GB2312" w:eastAsia="楷体_GB2312"/>
          <w:bCs/>
          <w:color w:val="auto"/>
          <w:sz w:val="48"/>
          <w:szCs w:val="48"/>
        </w:rPr>
      </w:pPr>
      <w:r>
        <w:rPr>
          <w:rFonts w:hint="eastAsia" w:ascii="楷体_GB2312" w:eastAsia="楷体_GB2312"/>
          <w:bCs/>
          <w:color w:val="auto"/>
          <w:sz w:val="48"/>
          <w:szCs w:val="48"/>
        </w:rPr>
        <w:t>（污染影响类</w:t>
      </w:r>
      <w:r>
        <w:rPr>
          <w:rFonts w:hint="eastAsia" w:ascii="楷体_GB2312" w:eastAsia="楷体_GB2312"/>
          <w:bCs/>
          <w:color w:val="auto"/>
          <w:sz w:val="48"/>
          <w:szCs w:val="48"/>
          <w:lang w:eastAsia="zh-CN"/>
        </w:rPr>
        <w:t>－</w:t>
      </w:r>
      <w:r>
        <w:rPr>
          <w:rFonts w:hint="eastAsia" w:ascii="楷体_GB2312" w:eastAsia="楷体_GB2312"/>
          <w:bCs/>
          <w:color w:val="auto"/>
          <w:sz w:val="48"/>
          <w:szCs w:val="48"/>
          <w:lang w:val="en-US" w:eastAsia="zh-CN"/>
        </w:rPr>
        <w:t>报批稿</w:t>
      </w:r>
      <w:r>
        <w:rPr>
          <w:rFonts w:hint="eastAsia" w:ascii="楷体_GB2312" w:eastAsia="楷体_GB2312"/>
          <w:bCs/>
          <w:color w:val="auto"/>
          <w:sz w:val="48"/>
          <w:szCs w:val="48"/>
        </w:rPr>
        <w:t>）</w:t>
      </w:r>
    </w:p>
    <w:p w14:paraId="2D18C76E">
      <w:pPr>
        <w:ind w:firstLine="480"/>
        <w:rPr>
          <w:rFonts w:ascii="楷体" w:hAnsi="楷体" w:eastAsia="楷体"/>
          <w:color w:val="auto"/>
        </w:rPr>
      </w:pPr>
    </w:p>
    <w:p w14:paraId="35923DE5">
      <w:pPr>
        <w:ind w:firstLine="880"/>
        <w:rPr>
          <w:rFonts w:eastAsia="仿宋"/>
          <w:color w:val="auto"/>
          <w:sz w:val="44"/>
          <w:szCs w:val="44"/>
        </w:rPr>
      </w:pPr>
    </w:p>
    <w:p w14:paraId="5AD3A661">
      <w:pPr>
        <w:ind w:firstLine="880"/>
        <w:rPr>
          <w:rFonts w:eastAsia="仿宋"/>
          <w:color w:val="auto"/>
          <w:sz w:val="44"/>
          <w:szCs w:val="44"/>
        </w:rPr>
      </w:pPr>
    </w:p>
    <w:p w14:paraId="79A3329B">
      <w:pPr>
        <w:bidi w:val="0"/>
        <w:rPr>
          <w:color w:val="auto"/>
        </w:rPr>
      </w:pPr>
    </w:p>
    <w:p w14:paraId="08B47288">
      <w:pPr>
        <w:pStyle w:val="16"/>
        <w:rPr>
          <w:color w:val="auto"/>
        </w:rPr>
      </w:pPr>
    </w:p>
    <w:p w14:paraId="28F3300D">
      <w:pPr>
        <w:ind w:firstLine="880"/>
        <w:rPr>
          <w:rFonts w:eastAsia="仿宋"/>
          <w:color w:val="auto"/>
          <w:sz w:val="44"/>
          <w:szCs w:val="44"/>
        </w:rPr>
      </w:pPr>
    </w:p>
    <w:p w14:paraId="7169D335">
      <w:pPr>
        <w:bidi w:val="0"/>
        <w:rPr>
          <w:color w:val="auto"/>
        </w:rPr>
      </w:pPr>
    </w:p>
    <w:p w14:paraId="27A50C81">
      <w:pPr>
        <w:bidi w:val="0"/>
        <w:rPr>
          <w:color w:val="auto"/>
        </w:rPr>
      </w:pPr>
    </w:p>
    <w:p w14:paraId="7FB8B829">
      <w:pPr>
        <w:bidi w:val="0"/>
        <w:rPr>
          <w:color w:val="auto"/>
        </w:rPr>
      </w:pPr>
    </w:p>
    <w:p w14:paraId="70634798">
      <w:pPr>
        <w:bidi w:val="0"/>
        <w:rPr>
          <w:color w:val="auto"/>
        </w:rPr>
      </w:pPr>
    </w:p>
    <w:p w14:paraId="20C21B07">
      <w:pPr>
        <w:bidi w:val="0"/>
        <w:rPr>
          <w:color w:val="auto"/>
        </w:rPr>
      </w:pPr>
    </w:p>
    <w:p w14:paraId="6292AC56">
      <w:pPr>
        <w:bidi w:val="0"/>
        <w:rPr>
          <w:color w:val="auto"/>
        </w:rPr>
      </w:pPr>
    </w:p>
    <w:p w14:paraId="71E98262">
      <w:pPr>
        <w:ind w:firstLine="880"/>
        <w:rPr>
          <w:rFonts w:eastAsia="仿宋"/>
          <w:color w:val="auto"/>
          <w:sz w:val="44"/>
          <w:szCs w:val="44"/>
        </w:rPr>
      </w:pPr>
    </w:p>
    <w:p w14:paraId="7B7AB6E9">
      <w:pPr>
        <w:keepNext w:val="0"/>
        <w:keepLines w:val="0"/>
        <w:pageBreakBefore w:val="0"/>
        <w:widowControl w:val="0"/>
        <w:kinsoku/>
        <w:wordWrap/>
        <w:overflowPunct/>
        <w:topLinePunct w:val="0"/>
        <w:autoSpaceDE/>
        <w:autoSpaceDN/>
        <w:bidi w:val="0"/>
        <w:adjustRightInd/>
        <w:snapToGrid/>
        <w:spacing w:line="288" w:lineRule="auto"/>
        <w:ind w:left="0" w:leftChars="0" w:firstLine="0" w:firstLineChars="0"/>
        <w:jc w:val="center"/>
        <w:textAlignment w:val="auto"/>
        <w:rPr>
          <w:rFonts w:hint="eastAsia" w:ascii="仿宋" w:hAnsi="仿宋" w:eastAsia="仿宋"/>
          <w:color w:val="auto"/>
          <w:sz w:val="36"/>
          <w:szCs w:val="36"/>
          <w:u w:val="single"/>
          <w:lang w:val="en-US" w:eastAsia="zh-CN"/>
        </w:rPr>
      </w:pPr>
      <w:r>
        <w:rPr>
          <w:rFonts w:hint="eastAsia" w:ascii="仿宋" w:hAnsi="仿宋" w:eastAsia="仿宋"/>
          <w:color w:val="auto"/>
          <w:sz w:val="36"/>
          <w:szCs w:val="36"/>
          <w:lang w:val="en-US" w:eastAsia="zh-CN"/>
        </w:rPr>
        <w:t xml:space="preserve">   </w:t>
      </w:r>
      <w:r>
        <w:rPr>
          <w:rFonts w:hint="eastAsia" w:ascii="仿宋" w:hAnsi="仿宋" w:eastAsia="仿宋"/>
          <w:color w:val="auto"/>
          <w:sz w:val="36"/>
          <w:szCs w:val="36"/>
        </w:rPr>
        <w:t>项目名称：</w:t>
      </w:r>
      <w:r>
        <w:rPr>
          <w:rFonts w:hint="eastAsia" w:ascii="仿宋" w:hAnsi="仿宋" w:eastAsia="仿宋"/>
          <w:color w:val="auto"/>
          <w:sz w:val="36"/>
          <w:szCs w:val="36"/>
          <w:u w:val="single"/>
          <w:lang w:val="en-US" w:eastAsia="zh-CN"/>
        </w:rPr>
        <w:t xml:space="preserve">江西红鲤鱼鞋业有限公司年产280万双休 </w:t>
      </w:r>
    </w:p>
    <w:p w14:paraId="062E56CF">
      <w:pPr>
        <w:keepNext w:val="0"/>
        <w:keepLines w:val="0"/>
        <w:pageBreakBefore w:val="0"/>
        <w:widowControl w:val="0"/>
        <w:kinsoku/>
        <w:wordWrap/>
        <w:overflowPunct/>
        <w:topLinePunct w:val="0"/>
        <w:autoSpaceDE/>
        <w:autoSpaceDN/>
        <w:bidi w:val="0"/>
        <w:adjustRightInd/>
        <w:snapToGrid/>
        <w:spacing w:line="288" w:lineRule="auto"/>
        <w:ind w:left="0" w:leftChars="0" w:firstLine="0" w:firstLineChars="0"/>
        <w:jc w:val="center"/>
        <w:textAlignment w:val="auto"/>
        <w:rPr>
          <w:rFonts w:hint="default" w:ascii="仿宋" w:hAnsi="仿宋" w:eastAsia="仿宋"/>
          <w:color w:val="auto"/>
          <w:sz w:val="36"/>
          <w:szCs w:val="36"/>
          <w:lang w:val="en-US"/>
        </w:rPr>
      </w:pPr>
      <w:r>
        <w:rPr>
          <w:rFonts w:hint="eastAsia" w:ascii="仿宋" w:hAnsi="仿宋" w:eastAsia="仿宋"/>
          <w:color w:val="auto"/>
          <w:sz w:val="36"/>
          <w:szCs w:val="36"/>
          <w:u w:val="single"/>
          <w:lang w:val="en-US" w:eastAsia="zh-CN"/>
        </w:rPr>
        <w:t xml:space="preserve">               闲鞋项目             </w:t>
      </w:r>
    </w:p>
    <w:p w14:paraId="071A58AC">
      <w:pPr>
        <w:spacing w:line="288" w:lineRule="auto"/>
        <w:ind w:left="2430" w:leftChars="300" w:hanging="1800" w:hangingChars="500"/>
        <w:rPr>
          <w:rFonts w:hint="eastAsia" w:ascii="仿宋" w:hAnsi="仿宋" w:eastAsia="仿宋"/>
          <w:color w:val="auto"/>
          <w:sz w:val="36"/>
          <w:szCs w:val="36"/>
          <w:u w:val="single"/>
        </w:rPr>
      </w:pPr>
      <w:r>
        <w:rPr>
          <w:rFonts w:hint="eastAsia" w:ascii="仿宋" w:hAnsi="仿宋" w:eastAsia="仿宋"/>
          <w:color w:val="auto"/>
          <w:sz w:val="36"/>
          <w:szCs w:val="36"/>
        </w:rPr>
        <w:t>建设单位（盖章）：</w:t>
      </w:r>
      <w:r>
        <w:rPr>
          <w:rFonts w:hint="eastAsia" w:ascii="仿宋" w:hAnsi="仿宋" w:eastAsia="仿宋"/>
          <w:color w:val="auto"/>
          <w:sz w:val="36"/>
          <w:szCs w:val="36"/>
          <w:u w:val="single"/>
          <w:lang w:val="en-US" w:eastAsia="zh-CN"/>
        </w:rPr>
        <w:t xml:space="preserve">  江西红鲤鱼鞋业有限公司</w:t>
      </w:r>
      <w:r>
        <w:rPr>
          <w:rFonts w:hint="eastAsia" w:ascii="仿宋" w:hAnsi="仿宋" w:eastAsia="仿宋"/>
          <w:color w:val="auto"/>
          <w:sz w:val="36"/>
          <w:szCs w:val="36"/>
          <w:u w:val="single"/>
        </w:rPr>
        <w:t xml:space="preserve">    </w:t>
      </w:r>
      <w:r>
        <w:rPr>
          <w:rFonts w:hint="eastAsia" w:ascii="仿宋" w:hAnsi="仿宋" w:eastAsia="仿宋"/>
          <w:color w:val="auto"/>
          <w:sz w:val="2"/>
          <w:szCs w:val="2"/>
          <w:u w:val="single"/>
        </w:rPr>
        <w:t>.</w:t>
      </w:r>
    </w:p>
    <w:p w14:paraId="4E80B77A">
      <w:pPr>
        <w:spacing w:line="288" w:lineRule="auto"/>
        <w:ind w:left="2430" w:leftChars="300" w:hanging="1800" w:hangingChars="500"/>
        <w:rPr>
          <w:rFonts w:hint="eastAsia" w:ascii="仿宋" w:hAnsi="仿宋" w:eastAsia="仿宋"/>
          <w:color w:val="auto"/>
          <w:sz w:val="36"/>
          <w:szCs w:val="36"/>
          <w:u w:val="single"/>
        </w:rPr>
      </w:pPr>
      <w:r>
        <w:rPr>
          <w:rFonts w:hint="eastAsia" w:ascii="仿宋" w:hAnsi="仿宋" w:eastAsia="仿宋"/>
          <w:color w:val="auto"/>
          <w:sz w:val="36"/>
          <w:szCs w:val="36"/>
        </w:rPr>
        <w:t>编制日期：</w:t>
      </w:r>
      <w:r>
        <w:rPr>
          <w:rFonts w:hint="eastAsia" w:ascii="仿宋" w:hAnsi="仿宋" w:eastAsia="仿宋"/>
          <w:color w:val="auto"/>
          <w:sz w:val="36"/>
          <w:szCs w:val="36"/>
          <w:u w:val="single"/>
        </w:rPr>
        <w:t xml:space="preserve">          </w:t>
      </w:r>
      <w:r>
        <w:rPr>
          <w:rFonts w:hint="eastAsia" w:ascii="仿宋" w:hAnsi="仿宋" w:eastAsia="仿宋"/>
          <w:color w:val="auto"/>
          <w:sz w:val="36"/>
          <w:szCs w:val="36"/>
          <w:u w:val="single"/>
          <w:lang w:val="en-US" w:eastAsia="zh-CN"/>
        </w:rPr>
        <w:t xml:space="preserve"> </w:t>
      </w:r>
      <w:r>
        <w:rPr>
          <w:rFonts w:hint="eastAsia" w:ascii="仿宋" w:hAnsi="仿宋" w:eastAsia="仿宋"/>
          <w:color w:val="auto"/>
          <w:sz w:val="36"/>
          <w:szCs w:val="36"/>
          <w:u w:val="single"/>
        </w:rPr>
        <w:t xml:space="preserve"> 202</w:t>
      </w:r>
      <w:r>
        <w:rPr>
          <w:rFonts w:hint="eastAsia" w:ascii="仿宋" w:hAnsi="仿宋" w:eastAsia="仿宋"/>
          <w:color w:val="auto"/>
          <w:sz w:val="36"/>
          <w:szCs w:val="36"/>
          <w:u w:val="single"/>
          <w:lang w:val="en-US" w:eastAsia="zh-CN"/>
        </w:rPr>
        <w:t>6</w:t>
      </w:r>
      <w:r>
        <w:rPr>
          <w:rFonts w:hint="eastAsia" w:ascii="仿宋" w:hAnsi="仿宋" w:eastAsia="仿宋"/>
          <w:color w:val="auto"/>
          <w:sz w:val="36"/>
          <w:szCs w:val="36"/>
          <w:u w:val="single"/>
        </w:rPr>
        <w:t>年</w:t>
      </w:r>
      <w:r>
        <w:rPr>
          <w:rFonts w:hint="eastAsia" w:ascii="仿宋" w:hAnsi="仿宋" w:eastAsia="仿宋"/>
          <w:color w:val="auto"/>
          <w:sz w:val="36"/>
          <w:szCs w:val="36"/>
          <w:u w:val="single"/>
          <w:lang w:val="en-US" w:eastAsia="zh-CN"/>
        </w:rPr>
        <w:t>5</w:t>
      </w:r>
      <w:r>
        <w:rPr>
          <w:rFonts w:hint="eastAsia" w:ascii="仿宋" w:hAnsi="仿宋" w:eastAsia="仿宋"/>
          <w:color w:val="auto"/>
          <w:sz w:val="36"/>
          <w:szCs w:val="36"/>
          <w:u w:val="single"/>
        </w:rPr>
        <w:t xml:space="preserve">月             </w:t>
      </w:r>
      <w:r>
        <w:rPr>
          <w:rFonts w:hint="eastAsia" w:ascii="仿宋" w:hAnsi="仿宋" w:eastAsia="仿宋"/>
          <w:color w:val="auto"/>
          <w:sz w:val="2"/>
          <w:szCs w:val="2"/>
          <w:u w:val="single"/>
        </w:rPr>
        <w:t>.</w:t>
      </w:r>
    </w:p>
    <w:p w14:paraId="5119ECE1">
      <w:pPr>
        <w:spacing w:line="288" w:lineRule="auto"/>
        <w:rPr>
          <w:rFonts w:ascii="仿宋_GB2312" w:eastAsia="仿宋_GB2312"/>
          <w:color w:val="auto"/>
          <w:sz w:val="36"/>
          <w:szCs w:val="36"/>
          <w:u w:val="single"/>
        </w:rPr>
      </w:pPr>
    </w:p>
    <w:p w14:paraId="05C3CD55">
      <w:pPr>
        <w:spacing w:line="288" w:lineRule="auto"/>
        <w:rPr>
          <w:rFonts w:ascii="仿宋_GB2312" w:eastAsia="仿宋_GB2312"/>
          <w:color w:val="auto"/>
          <w:sz w:val="36"/>
          <w:szCs w:val="36"/>
        </w:rPr>
      </w:pPr>
    </w:p>
    <w:p w14:paraId="7AF5584A">
      <w:pPr>
        <w:spacing w:line="288" w:lineRule="auto"/>
        <w:rPr>
          <w:rFonts w:hint="eastAsia" w:ascii="仿宋_GB2312" w:eastAsia="仿宋_GB2312"/>
          <w:color w:val="auto"/>
          <w:sz w:val="36"/>
          <w:szCs w:val="36"/>
        </w:rPr>
      </w:pPr>
    </w:p>
    <w:p w14:paraId="7A04EDA0">
      <w:pPr>
        <w:bidi w:val="0"/>
        <w:rPr>
          <w:rFonts w:hint="eastAsia"/>
          <w:color w:val="auto"/>
        </w:rPr>
      </w:pPr>
    </w:p>
    <w:p w14:paraId="2B3258DD">
      <w:pPr>
        <w:spacing w:line="288" w:lineRule="auto"/>
        <w:rPr>
          <w:rFonts w:hint="eastAsia" w:ascii="仿宋_GB2312" w:eastAsia="仿宋_GB2312"/>
          <w:color w:val="auto"/>
          <w:sz w:val="36"/>
          <w:szCs w:val="36"/>
        </w:rPr>
      </w:pPr>
    </w:p>
    <w:p w14:paraId="6ED1B964">
      <w:pPr>
        <w:bidi w:val="0"/>
        <w:rPr>
          <w:rFonts w:hint="eastAsia"/>
          <w:color w:val="auto"/>
        </w:rPr>
      </w:pPr>
    </w:p>
    <w:p w14:paraId="4DE45E56">
      <w:pPr>
        <w:spacing w:line="288" w:lineRule="auto"/>
        <w:jc w:val="center"/>
        <w:rPr>
          <w:rFonts w:ascii="楷体" w:hAnsi="楷体" w:eastAsia="楷体"/>
          <w:color w:val="auto"/>
          <w:sz w:val="36"/>
          <w:szCs w:val="36"/>
        </w:rPr>
      </w:pPr>
      <w:r>
        <w:rPr>
          <w:rFonts w:hint="eastAsia" w:ascii="楷体" w:hAnsi="楷体" w:eastAsia="楷体"/>
          <w:color w:val="auto"/>
          <w:sz w:val="36"/>
          <w:szCs w:val="36"/>
        </w:rPr>
        <w:t>中华人民共和国生态环境部制</w:t>
      </w:r>
    </w:p>
    <w:p w14:paraId="7FB6BEA6">
      <w:pPr>
        <w:rPr>
          <w:rFonts w:ascii="Times New Roman" w:hAnsi="Times New Roman" w:eastAsia="宋体" w:cs="Times New Roman"/>
          <w:color w:val="auto"/>
          <w:sz w:val="36"/>
          <w:szCs w:val="36"/>
          <w:highlight w:val="none"/>
        </w:rPr>
      </w:pPr>
      <w:r>
        <w:rPr>
          <w:color w:val="auto"/>
        </w:rPr>
        <w:br w:type="page"/>
      </w:r>
    </w:p>
    <w:p w14:paraId="01610933">
      <w:pPr>
        <w:pStyle w:val="35"/>
        <w:rPr>
          <w:rFonts w:hint="eastAsia"/>
          <w:color w:val="auto"/>
          <w:lang w:eastAsia="zh-CN"/>
        </w:rPr>
        <w:sectPr>
          <w:footerReference r:id="rId3" w:type="default"/>
          <w:pgSz w:w="11906" w:h="16838"/>
          <w:pgMar w:top="1701" w:right="1531" w:bottom="1701" w:left="1531" w:header="851" w:footer="1077" w:gutter="0"/>
          <w:pgBorders>
            <w:top w:val="none" w:sz="0" w:space="0"/>
            <w:left w:val="none" w:sz="0" w:space="0"/>
            <w:bottom w:val="none" w:sz="0" w:space="0"/>
            <w:right w:val="none" w:sz="0" w:space="0"/>
          </w:pgBorders>
          <w:pgNumType w:fmt="decimal" w:start="3"/>
          <w:cols w:space="720" w:num="1"/>
          <w:docGrid w:linePitch="312" w:charSpace="0"/>
        </w:sectPr>
      </w:pPr>
    </w:p>
    <w:p w14:paraId="540EA3D9">
      <w:pPr>
        <w:pStyle w:val="105"/>
        <w:spacing w:line="360" w:lineRule="auto"/>
        <w:ind w:firstLine="480"/>
        <w:jc w:val="center"/>
        <w:rPr>
          <w:rFonts w:hint="eastAsia" w:ascii="宋体" w:hAnsi="宋体" w:eastAsia="宋体" w:cs="宋体"/>
          <w:color w:val="auto"/>
          <w:lang w:val="zh-CN"/>
        </w:rPr>
      </w:pPr>
      <w:bookmarkStart w:id="4" w:name="_Toc8565"/>
      <w:r>
        <w:rPr>
          <w:rFonts w:hint="eastAsia" w:ascii="宋体" w:hAnsi="宋体" w:eastAsia="宋体" w:cs="宋体"/>
          <w:color w:val="auto"/>
          <w:lang w:val="zh-CN"/>
        </w:rPr>
        <w:t>目录</w:t>
      </w:r>
      <w:bookmarkEnd w:id="4"/>
    </w:p>
    <w:p w14:paraId="5AD4B3C8">
      <w:pPr>
        <w:pStyle w:val="20"/>
        <w:tabs>
          <w:tab w:val="right" w:leader="dot" w:pos="8844"/>
        </w:tabs>
      </w:pPr>
      <w:r>
        <w:rPr>
          <w:rFonts w:ascii="Times New Roman" w:hAnsi="Times New Roman" w:eastAsia="宋体"/>
          <w:color w:val="auto"/>
          <w:sz w:val="24"/>
          <w:szCs w:val="24"/>
        </w:rPr>
        <w:fldChar w:fldCharType="begin"/>
      </w:r>
      <w:r>
        <w:rPr>
          <w:rFonts w:ascii="Times New Roman" w:hAnsi="Times New Roman" w:eastAsia="宋体"/>
          <w:color w:val="auto"/>
          <w:sz w:val="24"/>
          <w:szCs w:val="24"/>
        </w:rPr>
        <w:instrText xml:space="preserve"> TOC \o "1-3" \h \z \u </w:instrText>
      </w:r>
      <w:r>
        <w:rPr>
          <w:rFonts w:hint="eastAsia" w:ascii="Times New Roman" w:hAnsi="Times New Roman" w:eastAsia="宋体"/>
          <w:color w:val="auto"/>
          <w:sz w:val="24"/>
          <w:szCs w:val="24"/>
        </w:rPr>
        <w:fldChar w:fldCharType="separate"/>
      </w:r>
    </w:p>
    <w:p w14:paraId="189FC47D">
      <w:pPr>
        <w:pStyle w:val="20"/>
        <w:tabs>
          <w:tab w:val="right" w:leader="dot" w:pos="8844"/>
        </w:tabs>
        <w:rPr>
          <w:rFonts w:ascii="Times New Roman" w:hAnsi="Times New Roman" w:eastAsia="宋体"/>
          <w:sz w:val="24"/>
          <w:szCs w:val="18"/>
        </w:rPr>
      </w:pPr>
      <w:r>
        <w:rPr>
          <w:rFonts w:ascii="Times New Roman" w:hAnsi="Times New Roman" w:eastAsia="宋体"/>
          <w:bCs/>
          <w:color w:val="auto"/>
          <w:sz w:val="24"/>
          <w:szCs w:val="22"/>
          <w:lang w:val="zh-CN"/>
        </w:rPr>
        <w:fldChar w:fldCharType="begin"/>
      </w:r>
      <w:r>
        <w:rPr>
          <w:rFonts w:ascii="Times New Roman" w:hAnsi="Times New Roman" w:eastAsia="宋体"/>
          <w:bCs/>
          <w:sz w:val="24"/>
          <w:szCs w:val="22"/>
          <w:lang w:val="zh-CN"/>
        </w:rPr>
        <w:instrText xml:space="preserve"> HYPERLINK \l _Toc26842 </w:instrText>
      </w:r>
      <w:r>
        <w:rPr>
          <w:rFonts w:ascii="Times New Roman" w:hAnsi="Times New Roman" w:eastAsia="宋体"/>
          <w:bCs/>
          <w:sz w:val="24"/>
          <w:szCs w:val="22"/>
          <w:lang w:val="zh-CN"/>
        </w:rPr>
        <w:fldChar w:fldCharType="separate"/>
      </w:r>
      <w:r>
        <w:rPr>
          <w:rFonts w:hint="eastAsia" w:ascii="Times New Roman" w:hAnsi="Times New Roman" w:eastAsia="宋体" w:cs="宋体"/>
          <w:bCs/>
          <w:snapToGrid w:val="0"/>
          <w:sz w:val="24"/>
          <w:szCs w:val="28"/>
          <w:highlight w:val="none"/>
        </w:rPr>
        <w:t>一、建设项目基本情况</w:t>
      </w:r>
      <w:r>
        <w:rPr>
          <w:rFonts w:ascii="Times New Roman" w:hAnsi="Times New Roman" w:eastAsia="宋体"/>
          <w:sz w:val="24"/>
          <w:szCs w:val="18"/>
        </w:rPr>
        <w:tab/>
      </w:r>
      <w:r>
        <w:rPr>
          <w:rFonts w:ascii="Times New Roman" w:hAnsi="Times New Roman" w:eastAsia="宋体"/>
          <w:sz w:val="24"/>
          <w:szCs w:val="18"/>
        </w:rPr>
        <w:fldChar w:fldCharType="begin"/>
      </w:r>
      <w:r>
        <w:rPr>
          <w:rFonts w:ascii="Times New Roman" w:hAnsi="Times New Roman" w:eastAsia="宋体"/>
          <w:sz w:val="24"/>
          <w:szCs w:val="18"/>
        </w:rPr>
        <w:instrText xml:space="preserve"> PAGEREF _Toc26842 \h </w:instrText>
      </w:r>
      <w:r>
        <w:rPr>
          <w:rFonts w:ascii="Times New Roman" w:hAnsi="Times New Roman" w:eastAsia="宋体"/>
          <w:sz w:val="24"/>
          <w:szCs w:val="18"/>
        </w:rPr>
        <w:fldChar w:fldCharType="separate"/>
      </w:r>
      <w:r>
        <w:rPr>
          <w:rFonts w:ascii="Times New Roman" w:hAnsi="Times New Roman" w:eastAsia="宋体"/>
          <w:sz w:val="24"/>
          <w:szCs w:val="18"/>
        </w:rPr>
        <w:t>1</w:t>
      </w:r>
      <w:r>
        <w:rPr>
          <w:rFonts w:ascii="Times New Roman" w:hAnsi="Times New Roman" w:eastAsia="宋体"/>
          <w:sz w:val="24"/>
          <w:szCs w:val="18"/>
        </w:rPr>
        <w:fldChar w:fldCharType="end"/>
      </w:r>
      <w:r>
        <w:rPr>
          <w:rFonts w:ascii="Times New Roman" w:hAnsi="Times New Roman" w:eastAsia="宋体"/>
          <w:bCs/>
          <w:color w:val="auto"/>
          <w:sz w:val="24"/>
          <w:szCs w:val="22"/>
          <w:lang w:val="zh-CN"/>
        </w:rPr>
        <w:fldChar w:fldCharType="end"/>
      </w:r>
    </w:p>
    <w:p w14:paraId="4FE58762">
      <w:pPr>
        <w:pStyle w:val="20"/>
        <w:tabs>
          <w:tab w:val="right" w:leader="dot" w:pos="8844"/>
        </w:tabs>
        <w:rPr>
          <w:rFonts w:ascii="Times New Roman" w:hAnsi="Times New Roman" w:eastAsia="宋体"/>
          <w:sz w:val="24"/>
          <w:szCs w:val="18"/>
        </w:rPr>
      </w:pPr>
      <w:r>
        <w:rPr>
          <w:rFonts w:ascii="Times New Roman" w:hAnsi="Times New Roman" w:eastAsia="宋体"/>
          <w:bCs/>
          <w:color w:val="auto"/>
          <w:sz w:val="24"/>
          <w:szCs w:val="22"/>
          <w:lang w:val="zh-CN"/>
        </w:rPr>
        <w:fldChar w:fldCharType="begin"/>
      </w:r>
      <w:r>
        <w:rPr>
          <w:rFonts w:ascii="Times New Roman" w:hAnsi="Times New Roman" w:eastAsia="宋体"/>
          <w:bCs/>
          <w:sz w:val="24"/>
          <w:szCs w:val="22"/>
          <w:lang w:val="zh-CN"/>
        </w:rPr>
        <w:instrText xml:space="preserve"> HYPERLINK \l _Toc12331 </w:instrText>
      </w:r>
      <w:r>
        <w:rPr>
          <w:rFonts w:ascii="Times New Roman" w:hAnsi="Times New Roman" w:eastAsia="宋体"/>
          <w:bCs/>
          <w:sz w:val="24"/>
          <w:szCs w:val="22"/>
          <w:lang w:val="zh-CN"/>
        </w:rPr>
        <w:fldChar w:fldCharType="separate"/>
      </w:r>
      <w:r>
        <w:rPr>
          <w:rFonts w:hint="eastAsia" w:ascii="Times New Roman" w:hAnsi="Times New Roman" w:eastAsia="宋体" w:cs="宋体"/>
          <w:bCs/>
          <w:snapToGrid w:val="0"/>
          <w:sz w:val="24"/>
          <w:szCs w:val="28"/>
          <w:highlight w:val="none"/>
        </w:rPr>
        <w:t>二、建设项目工程分析</w:t>
      </w:r>
      <w:r>
        <w:rPr>
          <w:rFonts w:ascii="Times New Roman" w:hAnsi="Times New Roman" w:eastAsia="宋体"/>
          <w:sz w:val="24"/>
          <w:szCs w:val="18"/>
        </w:rPr>
        <w:tab/>
      </w:r>
      <w:r>
        <w:rPr>
          <w:rFonts w:ascii="Times New Roman" w:hAnsi="Times New Roman" w:eastAsia="宋体"/>
          <w:sz w:val="24"/>
          <w:szCs w:val="18"/>
        </w:rPr>
        <w:fldChar w:fldCharType="begin"/>
      </w:r>
      <w:r>
        <w:rPr>
          <w:rFonts w:ascii="Times New Roman" w:hAnsi="Times New Roman" w:eastAsia="宋体"/>
          <w:sz w:val="24"/>
          <w:szCs w:val="18"/>
        </w:rPr>
        <w:instrText xml:space="preserve"> PAGEREF _Toc12331 \h </w:instrText>
      </w:r>
      <w:r>
        <w:rPr>
          <w:rFonts w:ascii="Times New Roman" w:hAnsi="Times New Roman" w:eastAsia="宋体"/>
          <w:sz w:val="24"/>
          <w:szCs w:val="18"/>
        </w:rPr>
        <w:fldChar w:fldCharType="separate"/>
      </w:r>
      <w:r>
        <w:rPr>
          <w:rFonts w:ascii="Times New Roman" w:hAnsi="Times New Roman" w:eastAsia="宋体"/>
          <w:sz w:val="24"/>
          <w:szCs w:val="18"/>
        </w:rPr>
        <w:t>33</w:t>
      </w:r>
      <w:r>
        <w:rPr>
          <w:rFonts w:ascii="Times New Roman" w:hAnsi="Times New Roman" w:eastAsia="宋体"/>
          <w:sz w:val="24"/>
          <w:szCs w:val="18"/>
        </w:rPr>
        <w:fldChar w:fldCharType="end"/>
      </w:r>
      <w:r>
        <w:rPr>
          <w:rFonts w:ascii="Times New Roman" w:hAnsi="Times New Roman" w:eastAsia="宋体"/>
          <w:bCs/>
          <w:color w:val="auto"/>
          <w:sz w:val="24"/>
          <w:szCs w:val="22"/>
          <w:lang w:val="zh-CN"/>
        </w:rPr>
        <w:fldChar w:fldCharType="end"/>
      </w:r>
    </w:p>
    <w:p w14:paraId="524882E9">
      <w:pPr>
        <w:pStyle w:val="20"/>
        <w:tabs>
          <w:tab w:val="right" w:leader="dot" w:pos="8844"/>
        </w:tabs>
        <w:rPr>
          <w:rFonts w:ascii="Times New Roman" w:hAnsi="Times New Roman" w:eastAsia="宋体"/>
          <w:sz w:val="24"/>
          <w:szCs w:val="18"/>
        </w:rPr>
      </w:pPr>
      <w:r>
        <w:rPr>
          <w:rFonts w:ascii="Times New Roman" w:hAnsi="Times New Roman" w:eastAsia="宋体"/>
          <w:bCs/>
          <w:color w:val="auto"/>
          <w:sz w:val="24"/>
          <w:szCs w:val="22"/>
          <w:lang w:val="zh-CN"/>
        </w:rPr>
        <w:fldChar w:fldCharType="begin"/>
      </w:r>
      <w:r>
        <w:rPr>
          <w:rFonts w:ascii="Times New Roman" w:hAnsi="Times New Roman" w:eastAsia="宋体"/>
          <w:bCs/>
          <w:sz w:val="24"/>
          <w:szCs w:val="22"/>
          <w:lang w:val="zh-CN"/>
        </w:rPr>
        <w:instrText xml:space="preserve"> HYPERLINK \l _Toc7785 </w:instrText>
      </w:r>
      <w:r>
        <w:rPr>
          <w:rFonts w:ascii="Times New Roman" w:hAnsi="Times New Roman" w:eastAsia="宋体"/>
          <w:bCs/>
          <w:sz w:val="24"/>
          <w:szCs w:val="22"/>
          <w:lang w:val="zh-CN"/>
        </w:rPr>
        <w:fldChar w:fldCharType="separate"/>
      </w:r>
      <w:r>
        <w:rPr>
          <w:rFonts w:hint="eastAsia" w:ascii="Times New Roman" w:hAnsi="Times New Roman" w:eastAsia="宋体" w:cs="宋体"/>
          <w:bCs/>
          <w:snapToGrid w:val="0"/>
          <w:sz w:val="24"/>
          <w:szCs w:val="28"/>
          <w:highlight w:val="none"/>
        </w:rPr>
        <w:t>三、区域环境质量现状、环境保护目标及评价标准</w:t>
      </w:r>
      <w:r>
        <w:rPr>
          <w:rFonts w:ascii="Times New Roman" w:hAnsi="Times New Roman" w:eastAsia="宋体"/>
          <w:sz w:val="24"/>
          <w:szCs w:val="18"/>
        </w:rPr>
        <w:tab/>
      </w:r>
      <w:r>
        <w:rPr>
          <w:rFonts w:ascii="Times New Roman" w:hAnsi="Times New Roman" w:eastAsia="宋体"/>
          <w:sz w:val="24"/>
          <w:szCs w:val="18"/>
        </w:rPr>
        <w:fldChar w:fldCharType="begin"/>
      </w:r>
      <w:r>
        <w:rPr>
          <w:rFonts w:ascii="Times New Roman" w:hAnsi="Times New Roman" w:eastAsia="宋体"/>
          <w:sz w:val="24"/>
          <w:szCs w:val="18"/>
        </w:rPr>
        <w:instrText xml:space="preserve"> PAGEREF _Toc7785 \h </w:instrText>
      </w:r>
      <w:r>
        <w:rPr>
          <w:rFonts w:ascii="Times New Roman" w:hAnsi="Times New Roman" w:eastAsia="宋体"/>
          <w:sz w:val="24"/>
          <w:szCs w:val="18"/>
        </w:rPr>
        <w:fldChar w:fldCharType="separate"/>
      </w:r>
      <w:r>
        <w:rPr>
          <w:rFonts w:ascii="Times New Roman" w:hAnsi="Times New Roman" w:eastAsia="宋体"/>
          <w:sz w:val="24"/>
          <w:szCs w:val="18"/>
        </w:rPr>
        <w:t>54</w:t>
      </w:r>
      <w:r>
        <w:rPr>
          <w:rFonts w:ascii="Times New Roman" w:hAnsi="Times New Roman" w:eastAsia="宋体"/>
          <w:sz w:val="24"/>
          <w:szCs w:val="18"/>
        </w:rPr>
        <w:fldChar w:fldCharType="end"/>
      </w:r>
      <w:r>
        <w:rPr>
          <w:rFonts w:ascii="Times New Roman" w:hAnsi="Times New Roman" w:eastAsia="宋体"/>
          <w:bCs/>
          <w:color w:val="auto"/>
          <w:sz w:val="24"/>
          <w:szCs w:val="22"/>
          <w:lang w:val="zh-CN"/>
        </w:rPr>
        <w:fldChar w:fldCharType="end"/>
      </w:r>
    </w:p>
    <w:p w14:paraId="14347C6E">
      <w:pPr>
        <w:pStyle w:val="20"/>
        <w:tabs>
          <w:tab w:val="right" w:leader="dot" w:pos="8844"/>
        </w:tabs>
        <w:rPr>
          <w:rFonts w:ascii="Times New Roman" w:hAnsi="Times New Roman" w:eastAsia="宋体"/>
          <w:sz w:val="24"/>
          <w:szCs w:val="18"/>
        </w:rPr>
      </w:pPr>
      <w:r>
        <w:rPr>
          <w:rFonts w:ascii="Times New Roman" w:hAnsi="Times New Roman" w:eastAsia="宋体"/>
          <w:bCs/>
          <w:color w:val="auto"/>
          <w:sz w:val="24"/>
          <w:szCs w:val="22"/>
          <w:lang w:val="zh-CN"/>
        </w:rPr>
        <w:fldChar w:fldCharType="begin"/>
      </w:r>
      <w:r>
        <w:rPr>
          <w:rFonts w:ascii="Times New Roman" w:hAnsi="Times New Roman" w:eastAsia="宋体"/>
          <w:bCs/>
          <w:sz w:val="24"/>
          <w:szCs w:val="22"/>
          <w:lang w:val="zh-CN"/>
        </w:rPr>
        <w:instrText xml:space="preserve"> HYPERLINK \l _Toc28940 </w:instrText>
      </w:r>
      <w:r>
        <w:rPr>
          <w:rFonts w:ascii="Times New Roman" w:hAnsi="Times New Roman" w:eastAsia="宋体"/>
          <w:bCs/>
          <w:sz w:val="24"/>
          <w:szCs w:val="22"/>
          <w:lang w:val="zh-CN"/>
        </w:rPr>
        <w:fldChar w:fldCharType="separate"/>
      </w:r>
      <w:r>
        <w:rPr>
          <w:rFonts w:hint="default" w:ascii="Times New Roman" w:hAnsi="Times New Roman" w:eastAsia="宋体" w:cs="Times New Roman"/>
          <w:snapToGrid w:val="0"/>
          <w:sz w:val="24"/>
          <w:szCs w:val="28"/>
          <w:highlight w:val="none"/>
        </w:rPr>
        <w:t>四、主要环境影响和保护措施</w:t>
      </w:r>
      <w:r>
        <w:rPr>
          <w:rFonts w:ascii="Times New Roman" w:hAnsi="Times New Roman" w:eastAsia="宋体"/>
          <w:sz w:val="24"/>
          <w:szCs w:val="18"/>
        </w:rPr>
        <w:tab/>
      </w:r>
      <w:r>
        <w:rPr>
          <w:rFonts w:ascii="Times New Roman" w:hAnsi="Times New Roman" w:eastAsia="宋体"/>
          <w:sz w:val="24"/>
          <w:szCs w:val="18"/>
        </w:rPr>
        <w:fldChar w:fldCharType="begin"/>
      </w:r>
      <w:r>
        <w:rPr>
          <w:rFonts w:ascii="Times New Roman" w:hAnsi="Times New Roman" w:eastAsia="宋体"/>
          <w:sz w:val="24"/>
          <w:szCs w:val="18"/>
        </w:rPr>
        <w:instrText xml:space="preserve"> PAGEREF _Toc28940 \h </w:instrText>
      </w:r>
      <w:r>
        <w:rPr>
          <w:rFonts w:ascii="Times New Roman" w:hAnsi="Times New Roman" w:eastAsia="宋体"/>
          <w:sz w:val="24"/>
          <w:szCs w:val="18"/>
        </w:rPr>
        <w:fldChar w:fldCharType="separate"/>
      </w:r>
      <w:r>
        <w:rPr>
          <w:rFonts w:ascii="Times New Roman" w:hAnsi="Times New Roman" w:eastAsia="宋体"/>
          <w:sz w:val="24"/>
          <w:szCs w:val="18"/>
        </w:rPr>
        <w:t>63</w:t>
      </w:r>
      <w:r>
        <w:rPr>
          <w:rFonts w:ascii="Times New Roman" w:hAnsi="Times New Roman" w:eastAsia="宋体"/>
          <w:sz w:val="24"/>
          <w:szCs w:val="18"/>
        </w:rPr>
        <w:fldChar w:fldCharType="end"/>
      </w:r>
      <w:r>
        <w:rPr>
          <w:rFonts w:ascii="Times New Roman" w:hAnsi="Times New Roman" w:eastAsia="宋体"/>
          <w:bCs/>
          <w:color w:val="auto"/>
          <w:sz w:val="24"/>
          <w:szCs w:val="22"/>
          <w:lang w:val="zh-CN"/>
        </w:rPr>
        <w:fldChar w:fldCharType="end"/>
      </w:r>
    </w:p>
    <w:p w14:paraId="14C36885">
      <w:pPr>
        <w:pStyle w:val="20"/>
        <w:tabs>
          <w:tab w:val="right" w:leader="dot" w:pos="8844"/>
        </w:tabs>
        <w:rPr>
          <w:rFonts w:ascii="Times New Roman" w:hAnsi="Times New Roman" w:eastAsia="宋体"/>
          <w:sz w:val="24"/>
          <w:szCs w:val="18"/>
        </w:rPr>
      </w:pPr>
      <w:r>
        <w:rPr>
          <w:rFonts w:ascii="Times New Roman" w:hAnsi="Times New Roman" w:eastAsia="宋体"/>
          <w:bCs/>
          <w:color w:val="auto"/>
          <w:sz w:val="24"/>
          <w:szCs w:val="22"/>
          <w:lang w:val="zh-CN"/>
        </w:rPr>
        <w:fldChar w:fldCharType="begin"/>
      </w:r>
      <w:r>
        <w:rPr>
          <w:rFonts w:ascii="Times New Roman" w:hAnsi="Times New Roman" w:eastAsia="宋体"/>
          <w:bCs/>
          <w:sz w:val="24"/>
          <w:szCs w:val="22"/>
          <w:lang w:val="zh-CN"/>
        </w:rPr>
        <w:instrText xml:space="preserve"> HYPERLINK \l _Toc9025 </w:instrText>
      </w:r>
      <w:r>
        <w:rPr>
          <w:rFonts w:ascii="Times New Roman" w:hAnsi="Times New Roman" w:eastAsia="宋体"/>
          <w:bCs/>
          <w:sz w:val="24"/>
          <w:szCs w:val="22"/>
          <w:lang w:val="zh-CN"/>
        </w:rPr>
        <w:fldChar w:fldCharType="separate"/>
      </w:r>
      <w:r>
        <w:rPr>
          <w:rFonts w:hint="eastAsia" w:ascii="Times New Roman" w:hAnsi="Times New Roman" w:eastAsia="宋体" w:cs="宋体"/>
          <w:bCs/>
          <w:snapToGrid w:val="0"/>
          <w:sz w:val="24"/>
          <w:szCs w:val="28"/>
          <w:highlight w:val="none"/>
        </w:rPr>
        <w:t>五、环境保护措施监督检查清单</w:t>
      </w:r>
      <w:r>
        <w:rPr>
          <w:rFonts w:ascii="Times New Roman" w:hAnsi="Times New Roman" w:eastAsia="宋体"/>
          <w:sz w:val="24"/>
          <w:szCs w:val="18"/>
        </w:rPr>
        <w:tab/>
      </w:r>
      <w:r>
        <w:rPr>
          <w:rFonts w:ascii="Times New Roman" w:hAnsi="Times New Roman" w:eastAsia="宋体"/>
          <w:sz w:val="24"/>
          <w:szCs w:val="18"/>
        </w:rPr>
        <w:fldChar w:fldCharType="begin"/>
      </w:r>
      <w:r>
        <w:rPr>
          <w:rFonts w:ascii="Times New Roman" w:hAnsi="Times New Roman" w:eastAsia="宋体"/>
          <w:sz w:val="24"/>
          <w:szCs w:val="18"/>
        </w:rPr>
        <w:instrText xml:space="preserve"> PAGEREF _Toc9025 \h </w:instrText>
      </w:r>
      <w:r>
        <w:rPr>
          <w:rFonts w:ascii="Times New Roman" w:hAnsi="Times New Roman" w:eastAsia="宋体"/>
          <w:sz w:val="24"/>
          <w:szCs w:val="18"/>
        </w:rPr>
        <w:fldChar w:fldCharType="separate"/>
      </w:r>
      <w:r>
        <w:rPr>
          <w:rFonts w:ascii="Times New Roman" w:hAnsi="Times New Roman" w:eastAsia="宋体"/>
          <w:sz w:val="24"/>
          <w:szCs w:val="18"/>
        </w:rPr>
        <w:t>105</w:t>
      </w:r>
      <w:r>
        <w:rPr>
          <w:rFonts w:ascii="Times New Roman" w:hAnsi="Times New Roman" w:eastAsia="宋体"/>
          <w:sz w:val="24"/>
          <w:szCs w:val="18"/>
        </w:rPr>
        <w:fldChar w:fldCharType="end"/>
      </w:r>
      <w:r>
        <w:rPr>
          <w:rFonts w:ascii="Times New Roman" w:hAnsi="Times New Roman" w:eastAsia="宋体"/>
          <w:bCs/>
          <w:color w:val="auto"/>
          <w:sz w:val="24"/>
          <w:szCs w:val="22"/>
          <w:lang w:val="zh-CN"/>
        </w:rPr>
        <w:fldChar w:fldCharType="end"/>
      </w:r>
    </w:p>
    <w:p w14:paraId="6B531BF8">
      <w:pPr>
        <w:pStyle w:val="20"/>
        <w:tabs>
          <w:tab w:val="right" w:leader="dot" w:pos="8844"/>
        </w:tabs>
        <w:rPr>
          <w:rFonts w:ascii="Times New Roman" w:hAnsi="Times New Roman" w:eastAsia="宋体"/>
          <w:sz w:val="24"/>
          <w:szCs w:val="18"/>
        </w:rPr>
      </w:pPr>
      <w:r>
        <w:rPr>
          <w:rFonts w:ascii="Times New Roman" w:hAnsi="Times New Roman" w:eastAsia="宋体"/>
          <w:bCs/>
          <w:color w:val="auto"/>
          <w:sz w:val="24"/>
          <w:szCs w:val="22"/>
          <w:lang w:val="zh-CN"/>
        </w:rPr>
        <w:fldChar w:fldCharType="begin"/>
      </w:r>
      <w:r>
        <w:rPr>
          <w:rFonts w:ascii="Times New Roman" w:hAnsi="Times New Roman" w:eastAsia="宋体"/>
          <w:bCs/>
          <w:sz w:val="24"/>
          <w:szCs w:val="22"/>
          <w:lang w:val="zh-CN"/>
        </w:rPr>
        <w:instrText xml:space="preserve"> HYPERLINK \l _Toc18355 </w:instrText>
      </w:r>
      <w:r>
        <w:rPr>
          <w:rFonts w:ascii="Times New Roman" w:hAnsi="Times New Roman" w:eastAsia="宋体"/>
          <w:bCs/>
          <w:sz w:val="24"/>
          <w:szCs w:val="22"/>
          <w:lang w:val="zh-CN"/>
        </w:rPr>
        <w:fldChar w:fldCharType="separate"/>
      </w:r>
      <w:r>
        <w:rPr>
          <w:rFonts w:hint="eastAsia" w:ascii="Times New Roman" w:hAnsi="Times New Roman" w:eastAsia="宋体" w:cs="宋体"/>
          <w:bCs/>
          <w:snapToGrid w:val="0"/>
          <w:sz w:val="24"/>
          <w:szCs w:val="28"/>
          <w:highlight w:val="none"/>
        </w:rPr>
        <w:t>六、结论</w:t>
      </w:r>
      <w:r>
        <w:rPr>
          <w:rFonts w:ascii="Times New Roman" w:hAnsi="Times New Roman" w:eastAsia="宋体"/>
          <w:sz w:val="24"/>
          <w:szCs w:val="18"/>
        </w:rPr>
        <w:tab/>
      </w:r>
      <w:r>
        <w:rPr>
          <w:rFonts w:ascii="Times New Roman" w:hAnsi="Times New Roman" w:eastAsia="宋体"/>
          <w:sz w:val="24"/>
          <w:szCs w:val="18"/>
        </w:rPr>
        <w:fldChar w:fldCharType="begin"/>
      </w:r>
      <w:r>
        <w:rPr>
          <w:rFonts w:ascii="Times New Roman" w:hAnsi="Times New Roman" w:eastAsia="宋体"/>
          <w:sz w:val="24"/>
          <w:szCs w:val="18"/>
        </w:rPr>
        <w:instrText xml:space="preserve"> PAGEREF _Toc18355 \h </w:instrText>
      </w:r>
      <w:r>
        <w:rPr>
          <w:rFonts w:ascii="Times New Roman" w:hAnsi="Times New Roman" w:eastAsia="宋体"/>
          <w:sz w:val="24"/>
          <w:szCs w:val="18"/>
        </w:rPr>
        <w:fldChar w:fldCharType="separate"/>
      </w:r>
      <w:r>
        <w:rPr>
          <w:rFonts w:ascii="Times New Roman" w:hAnsi="Times New Roman" w:eastAsia="宋体"/>
          <w:sz w:val="24"/>
          <w:szCs w:val="18"/>
        </w:rPr>
        <w:t>108</w:t>
      </w:r>
      <w:r>
        <w:rPr>
          <w:rFonts w:ascii="Times New Roman" w:hAnsi="Times New Roman" w:eastAsia="宋体"/>
          <w:sz w:val="24"/>
          <w:szCs w:val="18"/>
        </w:rPr>
        <w:fldChar w:fldCharType="end"/>
      </w:r>
      <w:r>
        <w:rPr>
          <w:rFonts w:ascii="Times New Roman" w:hAnsi="Times New Roman" w:eastAsia="宋体"/>
          <w:bCs/>
          <w:color w:val="auto"/>
          <w:sz w:val="24"/>
          <w:szCs w:val="22"/>
          <w:lang w:val="zh-CN"/>
        </w:rPr>
        <w:fldChar w:fldCharType="end"/>
      </w:r>
    </w:p>
    <w:p w14:paraId="490F155D">
      <w:pPr>
        <w:pStyle w:val="20"/>
        <w:tabs>
          <w:tab w:val="right" w:leader="dot" w:pos="8844"/>
        </w:tabs>
        <w:rPr>
          <w:rFonts w:ascii="Times New Roman" w:hAnsi="Times New Roman" w:eastAsia="宋体"/>
          <w:sz w:val="24"/>
          <w:szCs w:val="18"/>
        </w:rPr>
      </w:pPr>
      <w:r>
        <w:rPr>
          <w:rFonts w:ascii="Times New Roman" w:hAnsi="Times New Roman" w:eastAsia="宋体"/>
          <w:bCs/>
          <w:color w:val="auto"/>
          <w:sz w:val="24"/>
          <w:szCs w:val="22"/>
          <w:lang w:val="zh-CN"/>
        </w:rPr>
        <w:fldChar w:fldCharType="begin"/>
      </w:r>
      <w:r>
        <w:rPr>
          <w:rFonts w:ascii="Times New Roman" w:hAnsi="Times New Roman" w:eastAsia="宋体"/>
          <w:bCs/>
          <w:sz w:val="24"/>
          <w:szCs w:val="22"/>
          <w:lang w:val="zh-CN"/>
        </w:rPr>
        <w:instrText xml:space="preserve"> HYPERLINK \l _Toc15580 </w:instrText>
      </w:r>
      <w:r>
        <w:rPr>
          <w:rFonts w:ascii="Times New Roman" w:hAnsi="Times New Roman" w:eastAsia="宋体"/>
          <w:bCs/>
          <w:sz w:val="24"/>
          <w:szCs w:val="22"/>
          <w:lang w:val="zh-CN"/>
        </w:rPr>
        <w:fldChar w:fldCharType="separate"/>
      </w:r>
      <w:r>
        <w:rPr>
          <w:rFonts w:ascii="Times New Roman" w:hAnsi="Times New Roman" w:eastAsia="宋体"/>
          <w:bCs/>
          <w:snapToGrid w:val="0"/>
          <w:sz w:val="24"/>
          <w:szCs w:val="28"/>
          <w:highlight w:val="none"/>
        </w:rPr>
        <w:t>附表</w:t>
      </w:r>
      <w:r>
        <w:rPr>
          <w:rFonts w:ascii="Times New Roman" w:hAnsi="Times New Roman" w:eastAsia="宋体"/>
          <w:sz w:val="24"/>
          <w:szCs w:val="18"/>
        </w:rPr>
        <w:tab/>
      </w:r>
      <w:r>
        <w:rPr>
          <w:rFonts w:ascii="Times New Roman" w:hAnsi="Times New Roman" w:eastAsia="宋体"/>
          <w:sz w:val="24"/>
          <w:szCs w:val="18"/>
        </w:rPr>
        <w:fldChar w:fldCharType="begin"/>
      </w:r>
      <w:r>
        <w:rPr>
          <w:rFonts w:ascii="Times New Roman" w:hAnsi="Times New Roman" w:eastAsia="宋体"/>
          <w:sz w:val="24"/>
          <w:szCs w:val="18"/>
        </w:rPr>
        <w:instrText xml:space="preserve"> PAGEREF _Toc15580 \h </w:instrText>
      </w:r>
      <w:r>
        <w:rPr>
          <w:rFonts w:ascii="Times New Roman" w:hAnsi="Times New Roman" w:eastAsia="宋体"/>
          <w:sz w:val="24"/>
          <w:szCs w:val="18"/>
        </w:rPr>
        <w:fldChar w:fldCharType="separate"/>
      </w:r>
      <w:r>
        <w:rPr>
          <w:rFonts w:ascii="Times New Roman" w:hAnsi="Times New Roman" w:eastAsia="宋体"/>
          <w:sz w:val="24"/>
          <w:szCs w:val="18"/>
        </w:rPr>
        <w:t>109</w:t>
      </w:r>
      <w:r>
        <w:rPr>
          <w:rFonts w:ascii="Times New Roman" w:hAnsi="Times New Roman" w:eastAsia="宋体"/>
          <w:sz w:val="24"/>
          <w:szCs w:val="18"/>
        </w:rPr>
        <w:fldChar w:fldCharType="end"/>
      </w:r>
      <w:r>
        <w:rPr>
          <w:rFonts w:ascii="Times New Roman" w:hAnsi="Times New Roman" w:eastAsia="宋体"/>
          <w:bCs/>
          <w:color w:val="auto"/>
          <w:sz w:val="24"/>
          <w:szCs w:val="22"/>
          <w:lang w:val="zh-CN"/>
        </w:rPr>
        <w:fldChar w:fldCharType="end"/>
      </w:r>
    </w:p>
    <w:p w14:paraId="1E72A9A0">
      <w:pPr>
        <w:pStyle w:val="20"/>
        <w:tabs>
          <w:tab w:val="right" w:leader="dot" w:pos="8844"/>
        </w:tabs>
        <w:rPr>
          <w:rFonts w:ascii="Times New Roman" w:hAnsi="Times New Roman" w:eastAsia="宋体"/>
          <w:sz w:val="24"/>
          <w:szCs w:val="18"/>
        </w:rPr>
      </w:pPr>
      <w:r>
        <w:rPr>
          <w:rFonts w:ascii="Times New Roman" w:hAnsi="Times New Roman" w:eastAsia="宋体"/>
          <w:bCs/>
          <w:color w:val="auto"/>
          <w:sz w:val="24"/>
          <w:szCs w:val="22"/>
          <w:lang w:val="zh-CN"/>
        </w:rPr>
        <w:fldChar w:fldCharType="begin"/>
      </w:r>
      <w:r>
        <w:rPr>
          <w:rFonts w:ascii="Times New Roman" w:hAnsi="Times New Roman" w:eastAsia="宋体"/>
          <w:bCs/>
          <w:sz w:val="24"/>
          <w:szCs w:val="22"/>
          <w:lang w:val="zh-CN"/>
        </w:rPr>
        <w:instrText xml:space="preserve"> HYPERLINK \l _Toc15067 </w:instrText>
      </w:r>
      <w:r>
        <w:rPr>
          <w:rFonts w:ascii="Times New Roman" w:hAnsi="Times New Roman" w:eastAsia="宋体"/>
          <w:bCs/>
          <w:sz w:val="24"/>
          <w:szCs w:val="22"/>
          <w:lang w:val="zh-CN"/>
        </w:rPr>
        <w:fldChar w:fldCharType="separate"/>
      </w:r>
      <w:r>
        <w:rPr>
          <w:rFonts w:ascii="Times New Roman" w:hAnsi="Times New Roman" w:eastAsia="宋体"/>
          <w:bCs/>
          <w:snapToGrid w:val="0"/>
          <w:sz w:val="24"/>
          <w:szCs w:val="36"/>
          <w:highlight w:val="none"/>
        </w:rPr>
        <w:t>建设项目污染物排放量汇总表</w:t>
      </w:r>
      <w:r>
        <w:rPr>
          <w:rFonts w:ascii="Times New Roman" w:hAnsi="Times New Roman" w:eastAsia="宋体"/>
          <w:sz w:val="24"/>
          <w:szCs w:val="18"/>
        </w:rPr>
        <w:tab/>
      </w:r>
      <w:r>
        <w:rPr>
          <w:rFonts w:ascii="Times New Roman" w:hAnsi="Times New Roman" w:eastAsia="宋体"/>
          <w:sz w:val="24"/>
          <w:szCs w:val="18"/>
        </w:rPr>
        <w:fldChar w:fldCharType="begin"/>
      </w:r>
      <w:r>
        <w:rPr>
          <w:rFonts w:ascii="Times New Roman" w:hAnsi="Times New Roman" w:eastAsia="宋体"/>
          <w:sz w:val="24"/>
          <w:szCs w:val="18"/>
        </w:rPr>
        <w:instrText xml:space="preserve"> PAGEREF _Toc15067 \h </w:instrText>
      </w:r>
      <w:r>
        <w:rPr>
          <w:rFonts w:ascii="Times New Roman" w:hAnsi="Times New Roman" w:eastAsia="宋体"/>
          <w:sz w:val="24"/>
          <w:szCs w:val="18"/>
        </w:rPr>
        <w:fldChar w:fldCharType="separate"/>
      </w:r>
      <w:r>
        <w:rPr>
          <w:rFonts w:ascii="Times New Roman" w:hAnsi="Times New Roman" w:eastAsia="宋体"/>
          <w:sz w:val="24"/>
          <w:szCs w:val="18"/>
        </w:rPr>
        <w:t>109</w:t>
      </w:r>
      <w:r>
        <w:rPr>
          <w:rFonts w:ascii="Times New Roman" w:hAnsi="Times New Roman" w:eastAsia="宋体"/>
          <w:sz w:val="24"/>
          <w:szCs w:val="18"/>
        </w:rPr>
        <w:fldChar w:fldCharType="end"/>
      </w:r>
      <w:r>
        <w:rPr>
          <w:rFonts w:ascii="Times New Roman" w:hAnsi="Times New Roman" w:eastAsia="宋体"/>
          <w:bCs/>
          <w:color w:val="auto"/>
          <w:sz w:val="24"/>
          <w:szCs w:val="22"/>
          <w:lang w:val="zh-CN"/>
        </w:rPr>
        <w:fldChar w:fldCharType="end"/>
      </w:r>
    </w:p>
    <w:p w14:paraId="49B415D7">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ascii="Times New Roman" w:hAnsi="Times New Roman" w:eastAsia="宋体"/>
          <w:b/>
          <w:bCs/>
          <w:color w:val="auto"/>
          <w:sz w:val="28"/>
          <w:szCs w:val="28"/>
          <w:lang w:val="zh-CN"/>
        </w:rPr>
      </w:pPr>
      <w:r>
        <w:rPr>
          <w:rFonts w:ascii="Times New Roman" w:hAnsi="Times New Roman" w:eastAsia="宋体"/>
          <w:bCs/>
          <w:color w:val="auto"/>
          <w:szCs w:val="24"/>
          <w:lang w:val="zh-CN"/>
        </w:rPr>
        <w:fldChar w:fldCharType="end"/>
      </w:r>
    </w:p>
    <w:p w14:paraId="0296BA76">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eastAsia="宋体"/>
          <w:b/>
          <w:bCs/>
          <w:color w:val="auto"/>
          <w:sz w:val="24"/>
          <w:szCs w:val="28"/>
        </w:rPr>
      </w:pPr>
      <w:r>
        <w:rPr>
          <w:rFonts w:hint="eastAsia" w:ascii="Times New Roman" w:hAnsi="Times New Roman" w:eastAsia="宋体"/>
          <w:b/>
          <w:bCs/>
          <w:color w:val="auto"/>
          <w:sz w:val="24"/>
          <w:szCs w:val="28"/>
          <w:lang w:val="zh-CN"/>
        </w:rPr>
        <w:t>附图</w:t>
      </w:r>
      <w:r>
        <w:rPr>
          <w:rFonts w:hint="eastAsia"/>
          <w:b/>
          <w:bCs/>
          <w:color w:val="auto"/>
          <w:sz w:val="24"/>
          <w:szCs w:val="28"/>
          <w:lang w:val="zh-CN"/>
        </w:rPr>
        <w:t>：</w:t>
      </w:r>
    </w:p>
    <w:p w14:paraId="6C1E6979">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eastAsia="宋体"/>
          <w:color w:val="auto"/>
          <w:sz w:val="24"/>
          <w:szCs w:val="28"/>
          <w:lang w:eastAsia="zh-CN"/>
        </w:rPr>
      </w:pPr>
      <w:r>
        <w:rPr>
          <w:rFonts w:hint="eastAsia" w:ascii="Times New Roman" w:hAnsi="Times New Roman" w:eastAsia="宋体"/>
          <w:color w:val="auto"/>
          <w:sz w:val="24"/>
          <w:szCs w:val="28"/>
        </w:rPr>
        <w:t xml:space="preserve">附图1 </w:t>
      </w:r>
      <w:r>
        <w:rPr>
          <w:rFonts w:hint="eastAsia"/>
          <w:color w:val="auto"/>
          <w:sz w:val="24"/>
          <w:szCs w:val="28"/>
          <w:lang w:val="en-US" w:eastAsia="zh-CN"/>
        </w:rPr>
        <w:t xml:space="preserve"> </w:t>
      </w:r>
      <w:r>
        <w:rPr>
          <w:rFonts w:hint="eastAsia" w:ascii="Times New Roman" w:hAnsi="Times New Roman" w:eastAsia="宋体"/>
          <w:color w:val="auto"/>
          <w:sz w:val="24"/>
          <w:szCs w:val="28"/>
        </w:rPr>
        <w:t>项目地理位置图</w:t>
      </w:r>
      <w:r>
        <w:rPr>
          <w:rFonts w:hint="eastAsia"/>
          <w:color w:val="auto"/>
          <w:sz w:val="24"/>
          <w:szCs w:val="28"/>
          <w:lang w:eastAsia="zh-CN"/>
        </w:rPr>
        <w:t>；</w:t>
      </w:r>
    </w:p>
    <w:p w14:paraId="69F3FCD7">
      <w:pPr>
        <w:keepNext w:val="0"/>
        <w:keepLines w:val="0"/>
        <w:pageBreakBefore w:val="0"/>
        <w:widowControl w:val="0"/>
        <w:tabs>
          <w:tab w:val="left" w:pos="5469"/>
        </w:tabs>
        <w:kinsoku/>
        <w:wordWrap/>
        <w:overflowPunct/>
        <w:topLinePunct w:val="0"/>
        <w:autoSpaceDE/>
        <w:autoSpaceDN/>
        <w:bidi w:val="0"/>
        <w:adjustRightInd/>
        <w:snapToGrid/>
        <w:spacing w:line="360" w:lineRule="auto"/>
        <w:ind w:firstLine="0" w:firstLineChars="0"/>
        <w:textAlignment w:val="auto"/>
        <w:rPr>
          <w:rFonts w:hint="eastAsia"/>
          <w:color w:val="auto"/>
          <w:sz w:val="24"/>
          <w:szCs w:val="28"/>
          <w:lang w:eastAsia="zh-CN"/>
        </w:rPr>
      </w:pPr>
      <w:r>
        <w:rPr>
          <w:rFonts w:hint="eastAsia" w:ascii="Times New Roman" w:hAnsi="Times New Roman" w:eastAsia="宋体"/>
          <w:color w:val="auto"/>
          <w:sz w:val="24"/>
          <w:szCs w:val="28"/>
        </w:rPr>
        <w:t xml:space="preserve">附图2 </w:t>
      </w:r>
      <w:r>
        <w:rPr>
          <w:rFonts w:hint="eastAsia"/>
          <w:color w:val="auto"/>
          <w:sz w:val="24"/>
          <w:szCs w:val="28"/>
          <w:lang w:val="en-US" w:eastAsia="zh-CN"/>
        </w:rPr>
        <w:t xml:space="preserve"> </w:t>
      </w:r>
      <w:r>
        <w:rPr>
          <w:rFonts w:hint="eastAsia" w:ascii="Times New Roman" w:hAnsi="Times New Roman" w:eastAsia="宋体"/>
          <w:color w:val="auto"/>
          <w:sz w:val="24"/>
          <w:szCs w:val="28"/>
        </w:rPr>
        <w:t>项目总平面布置图</w:t>
      </w:r>
      <w:r>
        <w:rPr>
          <w:rFonts w:hint="eastAsia"/>
          <w:color w:val="auto"/>
          <w:sz w:val="24"/>
          <w:szCs w:val="28"/>
          <w:lang w:eastAsia="zh-CN"/>
        </w:rPr>
        <w:t>；</w:t>
      </w:r>
      <w:r>
        <w:rPr>
          <w:rFonts w:hint="eastAsia"/>
          <w:color w:val="auto"/>
          <w:sz w:val="24"/>
          <w:szCs w:val="28"/>
          <w:lang w:eastAsia="zh-CN"/>
        </w:rPr>
        <w:tab/>
      </w:r>
    </w:p>
    <w:p w14:paraId="531D5136">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eastAsia="宋体"/>
          <w:color w:val="auto"/>
          <w:sz w:val="24"/>
          <w:szCs w:val="28"/>
          <w:lang w:eastAsia="zh-CN"/>
        </w:rPr>
      </w:pPr>
      <w:r>
        <w:rPr>
          <w:rFonts w:hint="eastAsia" w:ascii="Times New Roman" w:hAnsi="Times New Roman" w:eastAsia="宋体"/>
          <w:color w:val="auto"/>
          <w:sz w:val="24"/>
          <w:szCs w:val="28"/>
        </w:rPr>
        <w:t xml:space="preserve">附图3 </w:t>
      </w:r>
      <w:r>
        <w:rPr>
          <w:rFonts w:hint="eastAsia" w:ascii="Times New Roman" w:hAnsi="Times New Roman" w:eastAsia="宋体"/>
          <w:color w:val="auto"/>
          <w:sz w:val="24"/>
          <w:szCs w:val="28"/>
          <w:lang w:val="en-US" w:eastAsia="zh-CN"/>
        </w:rPr>
        <w:t xml:space="preserve"> 本项目分区防渗</w:t>
      </w:r>
      <w:r>
        <w:rPr>
          <w:rFonts w:hint="eastAsia" w:ascii="Times New Roman" w:hAnsi="Times New Roman" w:eastAsia="宋体"/>
          <w:color w:val="auto"/>
          <w:sz w:val="24"/>
          <w:szCs w:val="28"/>
        </w:rPr>
        <w:t>图</w:t>
      </w:r>
      <w:r>
        <w:rPr>
          <w:rFonts w:hint="eastAsia" w:ascii="Times New Roman" w:hAnsi="Times New Roman" w:eastAsia="宋体"/>
          <w:color w:val="auto"/>
          <w:sz w:val="24"/>
          <w:szCs w:val="28"/>
          <w:lang w:eastAsia="zh-CN"/>
        </w:rPr>
        <w:t>；</w:t>
      </w:r>
    </w:p>
    <w:p w14:paraId="6B8C6452">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eastAsia="宋体"/>
          <w:color w:val="auto"/>
          <w:sz w:val="24"/>
          <w:szCs w:val="28"/>
          <w:lang w:eastAsia="zh-CN"/>
        </w:rPr>
      </w:pPr>
      <w:r>
        <w:rPr>
          <w:rFonts w:hint="eastAsia" w:ascii="Times New Roman" w:hAnsi="Times New Roman" w:eastAsia="宋体"/>
          <w:color w:val="auto"/>
          <w:sz w:val="24"/>
          <w:szCs w:val="28"/>
        </w:rPr>
        <w:t>附图</w:t>
      </w:r>
      <w:r>
        <w:rPr>
          <w:rFonts w:hint="eastAsia"/>
          <w:color w:val="auto"/>
          <w:sz w:val="24"/>
          <w:szCs w:val="28"/>
          <w:lang w:val="en-US" w:eastAsia="zh-CN"/>
        </w:rPr>
        <w:t>4</w:t>
      </w:r>
      <w:r>
        <w:rPr>
          <w:rFonts w:hint="eastAsia" w:ascii="Times New Roman" w:hAnsi="Times New Roman" w:eastAsia="宋体"/>
          <w:color w:val="auto"/>
          <w:sz w:val="24"/>
          <w:szCs w:val="28"/>
        </w:rPr>
        <w:t xml:space="preserve"> </w:t>
      </w:r>
      <w:r>
        <w:rPr>
          <w:rFonts w:hint="eastAsia"/>
          <w:color w:val="auto"/>
          <w:sz w:val="24"/>
          <w:szCs w:val="28"/>
          <w:lang w:val="en-US" w:eastAsia="zh-CN"/>
        </w:rPr>
        <w:t xml:space="preserve"> </w:t>
      </w:r>
      <w:r>
        <w:rPr>
          <w:rFonts w:hint="eastAsia" w:ascii="Times New Roman" w:hAnsi="Times New Roman" w:eastAsia="宋体"/>
          <w:color w:val="auto"/>
          <w:sz w:val="24"/>
          <w:szCs w:val="28"/>
        </w:rPr>
        <w:t>环境敏感目标分布图</w:t>
      </w:r>
      <w:r>
        <w:rPr>
          <w:rFonts w:hint="eastAsia"/>
          <w:color w:val="auto"/>
          <w:sz w:val="24"/>
          <w:szCs w:val="28"/>
          <w:lang w:eastAsia="zh-CN"/>
        </w:rPr>
        <w:t>；</w:t>
      </w:r>
    </w:p>
    <w:p w14:paraId="1570F773">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ascii="Times New Roman" w:hAnsi="Times New Roman" w:eastAsia="宋体"/>
          <w:color w:val="auto"/>
          <w:sz w:val="24"/>
          <w:szCs w:val="28"/>
        </w:rPr>
      </w:pPr>
      <w:r>
        <w:rPr>
          <w:rFonts w:hint="eastAsia" w:ascii="Times New Roman" w:hAnsi="Times New Roman" w:eastAsia="宋体"/>
          <w:color w:val="auto"/>
          <w:sz w:val="24"/>
          <w:szCs w:val="28"/>
        </w:rPr>
        <w:t>附图</w:t>
      </w:r>
      <w:r>
        <w:rPr>
          <w:rFonts w:hint="eastAsia"/>
          <w:color w:val="auto"/>
          <w:sz w:val="24"/>
          <w:szCs w:val="28"/>
          <w:lang w:val="en-US" w:eastAsia="zh-CN"/>
        </w:rPr>
        <w:t>5</w:t>
      </w:r>
      <w:r>
        <w:rPr>
          <w:rFonts w:hint="eastAsia" w:ascii="Times New Roman" w:hAnsi="Times New Roman" w:eastAsia="宋体"/>
          <w:color w:val="auto"/>
          <w:sz w:val="24"/>
          <w:szCs w:val="28"/>
        </w:rPr>
        <w:t xml:space="preserve"> </w:t>
      </w:r>
      <w:r>
        <w:rPr>
          <w:rFonts w:hint="eastAsia"/>
          <w:color w:val="auto"/>
          <w:sz w:val="24"/>
          <w:szCs w:val="28"/>
          <w:lang w:val="en-US" w:eastAsia="zh-CN"/>
        </w:rPr>
        <w:t xml:space="preserve"> </w:t>
      </w:r>
      <w:r>
        <w:rPr>
          <w:rFonts w:hint="eastAsia"/>
          <w:color w:val="auto"/>
          <w:sz w:val="24"/>
          <w:szCs w:val="24"/>
          <w:lang w:val="en-US" w:eastAsia="zh-CN"/>
        </w:rPr>
        <w:t>项目周边环境概况图；</w:t>
      </w:r>
    </w:p>
    <w:p w14:paraId="65CD3984">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ascii="Times New Roman" w:hAnsi="Times New Roman" w:eastAsia="宋体"/>
          <w:color w:val="auto"/>
          <w:sz w:val="24"/>
          <w:szCs w:val="28"/>
        </w:rPr>
      </w:pPr>
      <w:r>
        <w:rPr>
          <w:rFonts w:hint="eastAsia" w:ascii="Times New Roman" w:hAnsi="Times New Roman" w:eastAsia="宋体"/>
          <w:color w:val="auto"/>
          <w:sz w:val="24"/>
          <w:szCs w:val="28"/>
        </w:rPr>
        <w:t>附图</w:t>
      </w:r>
      <w:r>
        <w:rPr>
          <w:rFonts w:hint="eastAsia"/>
          <w:color w:val="auto"/>
          <w:sz w:val="24"/>
          <w:szCs w:val="28"/>
          <w:lang w:val="en-US" w:eastAsia="zh-CN"/>
        </w:rPr>
        <w:t>6</w:t>
      </w:r>
      <w:r>
        <w:rPr>
          <w:rFonts w:hint="eastAsia" w:ascii="Times New Roman" w:hAnsi="Times New Roman" w:eastAsia="宋体"/>
          <w:color w:val="auto"/>
          <w:sz w:val="24"/>
          <w:szCs w:val="28"/>
        </w:rPr>
        <w:t xml:space="preserve"> </w:t>
      </w:r>
      <w:r>
        <w:rPr>
          <w:rFonts w:hint="eastAsia"/>
          <w:color w:val="auto"/>
          <w:sz w:val="24"/>
          <w:szCs w:val="28"/>
          <w:lang w:val="en-US" w:eastAsia="zh-CN"/>
        </w:rPr>
        <w:t xml:space="preserve"> </w:t>
      </w:r>
      <w:r>
        <w:rPr>
          <w:rFonts w:hint="eastAsia" w:ascii="Times New Roman" w:hAnsi="Times New Roman" w:eastAsia="宋体"/>
          <w:color w:val="auto"/>
          <w:sz w:val="24"/>
          <w:szCs w:val="28"/>
          <w:lang w:val="en-US" w:eastAsia="zh-CN"/>
        </w:rPr>
        <w:t>江西省地表水水环境功能区划图</w:t>
      </w:r>
      <w:r>
        <w:rPr>
          <w:rFonts w:hint="eastAsia"/>
          <w:color w:val="auto"/>
          <w:sz w:val="24"/>
          <w:szCs w:val="28"/>
          <w:lang w:val="en-US" w:eastAsia="zh-CN"/>
        </w:rPr>
        <w:t>；</w:t>
      </w:r>
    </w:p>
    <w:p w14:paraId="5B10D1A0">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eastAsia="宋体"/>
          <w:color w:val="auto"/>
          <w:sz w:val="24"/>
          <w:szCs w:val="28"/>
          <w:lang w:val="en-US" w:eastAsia="zh-CN"/>
        </w:rPr>
      </w:pPr>
      <w:r>
        <w:rPr>
          <w:rFonts w:hint="eastAsia" w:ascii="Times New Roman" w:hAnsi="Times New Roman" w:eastAsia="宋体"/>
          <w:color w:val="auto"/>
          <w:sz w:val="24"/>
          <w:szCs w:val="28"/>
        </w:rPr>
        <w:t>附图</w:t>
      </w:r>
      <w:r>
        <w:rPr>
          <w:rFonts w:hint="eastAsia"/>
          <w:color w:val="auto"/>
          <w:sz w:val="24"/>
          <w:szCs w:val="28"/>
          <w:lang w:val="en-US" w:eastAsia="zh-CN"/>
        </w:rPr>
        <w:t>7</w:t>
      </w:r>
      <w:r>
        <w:rPr>
          <w:rFonts w:hint="eastAsia" w:ascii="Times New Roman" w:hAnsi="Times New Roman" w:eastAsia="宋体"/>
          <w:color w:val="auto"/>
          <w:sz w:val="24"/>
          <w:szCs w:val="28"/>
        </w:rPr>
        <w:t xml:space="preserve"> </w:t>
      </w:r>
      <w:r>
        <w:rPr>
          <w:rFonts w:hint="eastAsia"/>
          <w:color w:val="auto"/>
          <w:sz w:val="24"/>
          <w:szCs w:val="28"/>
          <w:lang w:val="en-US" w:eastAsia="zh-CN"/>
        </w:rPr>
        <w:t xml:space="preserve"> </w:t>
      </w:r>
      <w:r>
        <w:rPr>
          <w:rFonts w:hint="eastAsia" w:ascii="Times New Roman" w:hAnsi="Times New Roman" w:eastAsia="宋体"/>
          <w:color w:val="auto"/>
          <w:sz w:val="24"/>
          <w:szCs w:val="28"/>
          <w:lang w:val="en-US" w:eastAsia="zh-CN"/>
        </w:rPr>
        <w:t>乐平市金山工业园扩区调区后规划范围</w:t>
      </w:r>
      <w:r>
        <w:rPr>
          <w:rFonts w:hint="eastAsia"/>
          <w:color w:val="auto"/>
          <w:sz w:val="24"/>
          <w:szCs w:val="28"/>
          <w:lang w:val="en-US" w:eastAsia="zh-CN"/>
        </w:rPr>
        <w:t>；</w:t>
      </w:r>
    </w:p>
    <w:p w14:paraId="49D89C59">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eastAsia="宋体"/>
          <w:color w:val="auto"/>
          <w:sz w:val="24"/>
          <w:szCs w:val="28"/>
        </w:rPr>
      </w:pPr>
      <w:r>
        <w:rPr>
          <w:rFonts w:hint="eastAsia" w:ascii="Times New Roman" w:hAnsi="Times New Roman" w:eastAsia="宋体"/>
          <w:color w:val="auto"/>
          <w:sz w:val="24"/>
          <w:szCs w:val="28"/>
        </w:rPr>
        <w:t xml:space="preserve">附图8 </w:t>
      </w:r>
      <w:r>
        <w:rPr>
          <w:rFonts w:hint="eastAsia"/>
          <w:color w:val="auto"/>
          <w:sz w:val="24"/>
          <w:szCs w:val="28"/>
          <w:lang w:val="en-US" w:eastAsia="zh-CN"/>
        </w:rPr>
        <w:t xml:space="preserve"> </w:t>
      </w:r>
      <w:r>
        <w:rPr>
          <w:rFonts w:hint="eastAsia" w:ascii="Times New Roman" w:hAnsi="Times New Roman" w:eastAsia="宋体"/>
          <w:color w:val="auto"/>
          <w:sz w:val="24"/>
          <w:szCs w:val="28"/>
        </w:rPr>
        <w:t>乐平市金山工业园土地利用规划图；</w:t>
      </w:r>
    </w:p>
    <w:p w14:paraId="4E23E821">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eastAsia="宋体"/>
          <w:color w:val="auto"/>
          <w:sz w:val="24"/>
          <w:szCs w:val="28"/>
        </w:rPr>
      </w:pPr>
      <w:r>
        <w:rPr>
          <w:rFonts w:hint="eastAsia" w:ascii="Times New Roman" w:hAnsi="Times New Roman" w:eastAsia="宋体"/>
          <w:color w:val="auto"/>
          <w:sz w:val="24"/>
          <w:szCs w:val="28"/>
        </w:rPr>
        <w:t xml:space="preserve">附图9 </w:t>
      </w:r>
      <w:r>
        <w:rPr>
          <w:rFonts w:hint="eastAsia"/>
          <w:color w:val="auto"/>
          <w:sz w:val="24"/>
          <w:szCs w:val="28"/>
          <w:lang w:val="en-US" w:eastAsia="zh-CN"/>
        </w:rPr>
        <w:t xml:space="preserve"> </w:t>
      </w:r>
      <w:r>
        <w:rPr>
          <w:rFonts w:hint="eastAsia" w:ascii="Times New Roman" w:hAnsi="Times New Roman" w:eastAsia="宋体"/>
          <w:color w:val="auto"/>
          <w:sz w:val="24"/>
          <w:szCs w:val="28"/>
        </w:rPr>
        <w:t>乐平市金山工业园产业布局图；</w:t>
      </w:r>
    </w:p>
    <w:p w14:paraId="14960457">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eastAsia="宋体"/>
          <w:color w:val="auto"/>
          <w:sz w:val="24"/>
          <w:szCs w:val="28"/>
          <w:lang w:eastAsia="zh-CN"/>
        </w:rPr>
      </w:pPr>
      <w:r>
        <w:rPr>
          <w:rFonts w:hint="eastAsia" w:ascii="Times New Roman" w:hAnsi="Times New Roman" w:eastAsia="宋体"/>
          <w:color w:val="auto"/>
          <w:sz w:val="24"/>
          <w:szCs w:val="28"/>
        </w:rPr>
        <w:t>附图10 乐平市金山工业园区污水管网图</w:t>
      </w:r>
      <w:r>
        <w:rPr>
          <w:rFonts w:hint="eastAsia"/>
          <w:color w:val="auto"/>
          <w:sz w:val="24"/>
          <w:szCs w:val="28"/>
          <w:lang w:eastAsia="zh-CN"/>
        </w:rPr>
        <w:t>；</w:t>
      </w:r>
    </w:p>
    <w:p w14:paraId="5BBE83F3">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eastAsia="宋体"/>
          <w:color w:val="auto"/>
          <w:sz w:val="24"/>
          <w:szCs w:val="28"/>
          <w:lang w:eastAsia="zh-CN"/>
        </w:rPr>
      </w:pPr>
      <w:r>
        <w:rPr>
          <w:rFonts w:hint="eastAsia" w:ascii="Times New Roman" w:hAnsi="Times New Roman" w:eastAsia="宋体"/>
          <w:color w:val="auto"/>
          <w:sz w:val="24"/>
          <w:szCs w:val="28"/>
        </w:rPr>
        <w:t>附图11 乐平市金山工业园雨水管网图</w:t>
      </w:r>
      <w:r>
        <w:rPr>
          <w:rFonts w:hint="eastAsia"/>
          <w:color w:val="auto"/>
          <w:sz w:val="24"/>
          <w:szCs w:val="28"/>
          <w:lang w:eastAsia="zh-CN"/>
        </w:rPr>
        <w:t>；</w:t>
      </w:r>
    </w:p>
    <w:p w14:paraId="6EC2ADF9">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eastAsia="宋体"/>
          <w:color w:val="auto"/>
          <w:sz w:val="24"/>
          <w:szCs w:val="28"/>
          <w:lang w:eastAsia="zh-CN"/>
        </w:rPr>
      </w:pPr>
      <w:r>
        <w:rPr>
          <w:rFonts w:hint="eastAsia" w:ascii="Times New Roman" w:hAnsi="Times New Roman" w:eastAsia="宋体"/>
          <w:color w:val="auto"/>
          <w:sz w:val="24"/>
          <w:szCs w:val="28"/>
        </w:rPr>
        <w:t>附图12 乐平市生态保护红线划定范围图</w:t>
      </w:r>
      <w:r>
        <w:rPr>
          <w:rFonts w:hint="eastAsia"/>
          <w:color w:val="auto"/>
          <w:sz w:val="24"/>
          <w:szCs w:val="28"/>
          <w:lang w:eastAsia="zh-CN"/>
        </w:rPr>
        <w:t>；</w:t>
      </w:r>
    </w:p>
    <w:p w14:paraId="79E6C25D">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eastAsia="宋体"/>
          <w:color w:val="auto"/>
          <w:sz w:val="24"/>
          <w:szCs w:val="28"/>
          <w:lang w:eastAsia="zh-CN"/>
        </w:rPr>
      </w:pPr>
      <w:r>
        <w:rPr>
          <w:rFonts w:hint="eastAsia" w:ascii="Times New Roman" w:hAnsi="Times New Roman" w:eastAsia="宋体"/>
          <w:color w:val="auto"/>
          <w:sz w:val="24"/>
          <w:szCs w:val="28"/>
        </w:rPr>
        <w:t>附图13 乐平市环境管控单元划定示意图</w:t>
      </w:r>
      <w:r>
        <w:rPr>
          <w:rFonts w:hint="eastAsia"/>
          <w:color w:val="auto"/>
          <w:sz w:val="24"/>
          <w:szCs w:val="28"/>
          <w:lang w:eastAsia="zh-CN"/>
        </w:rPr>
        <w:t>；</w:t>
      </w:r>
    </w:p>
    <w:p w14:paraId="38146DF0">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color w:val="auto"/>
          <w:sz w:val="24"/>
          <w:szCs w:val="28"/>
          <w:lang w:eastAsia="zh-CN"/>
        </w:rPr>
      </w:pPr>
      <w:r>
        <w:rPr>
          <w:rFonts w:hint="eastAsia" w:ascii="Times New Roman" w:hAnsi="Times New Roman" w:eastAsia="宋体"/>
          <w:color w:val="auto"/>
          <w:sz w:val="24"/>
          <w:szCs w:val="28"/>
        </w:rPr>
        <w:t>附图1</w:t>
      </w:r>
      <w:r>
        <w:rPr>
          <w:rFonts w:hint="eastAsia"/>
          <w:color w:val="auto"/>
          <w:sz w:val="24"/>
          <w:szCs w:val="28"/>
          <w:lang w:val="en-US" w:eastAsia="zh-CN"/>
        </w:rPr>
        <w:t>4</w:t>
      </w:r>
      <w:r>
        <w:rPr>
          <w:rFonts w:hint="eastAsia" w:ascii="Times New Roman" w:hAnsi="Times New Roman" w:eastAsia="宋体"/>
          <w:color w:val="auto"/>
          <w:sz w:val="24"/>
          <w:szCs w:val="28"/>
        </w:rPr>
        <w:t xml:space="preserve"> 大气环境现状监测点位图</w:t>
      </w:r>
      <w:r>
        <w:rPr>
          <w:rFonts w:hint="eastAsia"/>
          <w:color w:val="auto"/>
          <w:sz w:val="24"/>
          <w:szCs w:val="28"/>
          <w:lang w:eastAsia="zh-CN"/>
        </w:rPr>
        <w:t>；</w:t>
      </w:r>
    </w:p>
    <w:p w14:paraId="4508B8A0">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cs="Times New Roman"/>
          <w:color w:val="auto"/>
          <w:sz w:val="24"/>
          <w:szCs w:val="28"/>
          <w:lang w:val="en-US" w:eastAsia="zh-CN"/>
        </w:rPr>
      </w:pPr>
      <w:r>
        <w:rPr>
          <w:rFonts w:hint="eastAsia" w:ascii="Times New Roman" w:hAnsi="Times New Roman" w:eastAsia="宋体" w:cs="Times New Roman"/>
          <w:color w:val="auto"/>
          <w:sz w:val="24"/>
          <w:szCs w:val="28"/>
          <w:lang w:val="en-US" w:eastAsia="zh-CN"/>
        </w:rPr>
        <w:t>附</w:t>
      </w:r>
      <w:r>
        <w:rPr>
          <w:rFonts w:hint="default" w:ascii="Times New Roman" w:hAnsi="Times New Roman" w:eastAsia="宋体" w:cs="Times New Roman"/>
          <w:color w:val="auto"/>
          <w:sz w:val="24"/>
          <w:szCs w:val="28"/>
          <w:lang w:val="en-US" w:eastAsia="zh-CN"/>
        </w:rPr>
        <w:t>图</w:t>
      </w:r>
      <w:r>
        <w:rPr>
          <w:rFonts w:hint="eastAsia" w:ascii="Times New Roman" w:hAnsi="Times New Roman" w:eastAsia="宋体" w:cs="Times New Roman"/>
          <w:color w:val="auto"/>
          <w:sz w:val="24"/>
          <w:szCs w:val="28"/>
          <w:lang w:val="en-US" w:eastAsia="zh-CN"/>
        </w:rPr>
        <w:t>1</w:t>
      </w:r>
      <w:r>
        <w:rPr>
          <w:rFonts w:hint="eastAsia" w:cs="Times New Roman"/>
          <w:color w:val="auto"/>
          <w:sz w:val="24"/>
          <w:szCs w:val="28"/>
          <w:lang w:val="en-US" w:eastAsia="zh-CN"/>
        </w:rPr>
        <w:t>5</w:t>
      </w:r>
      <w:r>
        <w:rPr>
          <w:rFonts w:hint="default" w:ascii="Times New Roman" w:hAnsi="Times New Roman" w:eastAsia="宋体" w:cs="Times New Roman"/>
          <w:color w:val="auto"/>
          <w:sz w:val="24"/>
          <w:szCs w:val="28"/>
          <w:lang w:val="en-US" w:eastAsia="zh-CN"/>
        </w:rPr>
        <w:t xml:space="preserve"> </w:t>
      </w:r>
      <w:r>
        <w:rPr>
          <w:rFonts w:hint="eastAsia" w:ascii="Times New Roman" w:hAnsi="Times New Roman" w:eastAsia="宋体" w:cs="Times New Roman"/>
          <w:color w:val="auto"/>
          <w:sz w:val="24"/>
          <w:szCs w:val="28"/>
          <w:lang w:val="en-US" w:eastAsia="zh-CN"/>
        </w:rPr>
        <w:t>本项目与江西省生态环境分区管控信息平台比对图</w:t>
      </w:r>
      <w:r>
        <w:rPr>
          <w:rFonts w:hint="eastAsia" w:cs="Times New Roman"/>
          <w:color w:val="auto"/>
          <w:sz w:val="24"/>
          <w:szCs w:val="28"/>
          <w:lang w:val="en-US" w:eastAsia="zh-CN"/>
        </w:rPr>
        <w:t>；</w:t>
      </w:r>
    </w:p>
    <w:p w14:paraId="4C01B7F9">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eastAsia="宋体" w:cs="Times New Roman"/>
          <w:color w:val="auto"/>
          <w:sz w:val="24"/>
          <w:szCs w:val="28"/>
          <w:lang w:val="en-US" w:eastAsia="zh-CN"/>
        </w:rPr>
      </w:pPr>
      <w:r>
        <w:rPr>
          <w:rFonts w:hint="eastAsia" w:ascii="Times New Roman" w:hAnsi="Times New Roman" w:eastAsia="宋体" w:cs="Times New Roman"/>
          <w:color w:val="auto"/>
          <w:sz w:val="24"/>
          <w:szCs w:val="28"/>
          <w:lang w:val="en-US" w:eastAsia="zh-CN"/>
        </w:rPr>
        <w:t>附图16 本项目卫生防护距离图。</w:t>
      </w:r>
    </w:p>
    <w:p w14:paraId="76B3C8C3">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color w:val="auto"/>
          <w:sz w:val="24"/>
          <w:szCs w:val="28"/>
          <w:lang w:eastAsia="zh-CN"/>
        </w:rPr>
      </w:pPr>
    </w:p>
    <w:p w14:paraId="3F729174">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ascii="Times New Roman" w:hAnsi="Times New Roman" w:eastAsia="宋体"/>
          <w:b/>
          <w:color w:val="auto"/>
          <w:sz w:val="24"/>
          <w:szCs w:val="28"/>
        </w:rPr>
      </w:pPr>
      <w:r>
        <w:rPr>
          <w:rFonts w:hint="eastAsia" w:ascii="Times New Roman" w:hAnsi="Times New Roman" w:eastAsia="宋体"/>
          <w:b/>
          <w:color w:val="auto"/>
          <w:sz w:val="24"/>
          <w:szCs w:val="28"/>
        </w:rPr>
        <w:t>附件</w:t>
      </w:r>
      <w:r>
        <w:rPr>
          <w:rFonts w:hint="eastAsia"/>
          <w:b/>
          <w:color w:val="auto"/>
          <w:sz w:val="24"/>
          <w:szCs w:val="28"/>
          <w:lang w:eastAsia="zh-CN"/>
        </w:rPr>
        <w:t>：</w:t>
      </w:r>
    </w:p>
    <w:p w14:paraId="2F904337">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eastAsia="宋体"/>
          <w:color w:val="auto"/>
          <w:sz w:val="24"/>
          <w:szCs w:val="28"/>
          <w:lang w:eastAsia="zh-CN"/>
        </w:rPr>
      </w:pPr>
      <w:r>
        <w:rPr>
          <w:rFonts w:hint="eastAsia" w:ascii="Times New Roman" w:hAnsi="Times New Roman" w:eastAsia="宋体"/>
          <w:color w:val="auto"/>
          <w:sz w:val="24"/>
          <w:szCs w:val="28"/>
        </w:rPr>
        <w:t xml:space="preserve">附件1  </w:t>
      </w:r>
      <w:r>
        <w:rPr>
          <w:rFonts w:hint="eastAsia" w:ascii="Times New Roman" w:hAnsi="Times New Roman" w:eastAsia="宋体"/>
          <w:color w:val="auto"/>
          <w:sz w:val="24"/>
          <w:szCs w:val="28"/>
          <w:lang w:val="en-US" w:eastAsia="zh-CN"/>
        </w:rPr>
        <w:t>项目</w:t>
      </w:r>
      <w:r>
        <w:rPr>
          <w:rFonts w:hint="eastAsia" w:ascii="Times New Roman" w:hAnsi="Times New Roman" w:eastAsia="宋体"/>
          <w:color w:val="auto"/>
          <w:sz w:val="24"/>
          <w:szCs w:val="28"/>
        </w:rPr>
        <w:t>环评委托书</w:t>
      </w:r>
      <w:r>
        <w:rPr>
          <w:rFonts w:hint="eastAsia"/>
          <w:color w:val="auto"/>
          <w:sz w:val="24"/>
          <w:szCs w:val="28"/>
          <w:lang w:eastAsia="zh-CN"/>
        </w:rPr>
        <w:t>；</w:t>
      </w:r>
    </w:p>
    <w:p w14:paraId="6CEE3EF5">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eastAsia="宋体"/>
          <w:color w:val="auto"/>
          <w:sz w:val="24"/>
          <w:szCs w:val="28"/>
          <w:lang w:eastAsia="zh-CN"/>
        </w:rPr>
      </w:pPr>
      <w:r>
        <w:rPr>
          <w:rFonts w:hint="eastAsia" w:ascii="Times New Roman" w:hAnsi="Times New Roman" w:eastAsia="宋体"/>
          <w:color w:val="auto"/>
          <w:sz w:val="24"/>
          <w:szCs w:val="28"/>
        </w:rPr>
        <w:t>附件2  项目备案文件</w:t>
      </w:r>
      <w:r>
        <w:rPr>
          <w:rFonts w:hint="eastAsia"/>
          <w:color w:val="auto"/>
          <w:sz w:val="24"/>
          <w:szCs w:val="28"/>
          <w:lang w:eastAsia="zh-CN"/>
        </w:rPr>
        <w:t>；</w:t>
      </w:r>
    </w:p>
    <w:p w14:paraId="29354E70">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Times New Roman" w:hAnsi="Times New Roman" w:eastAsia="宋体"/>
          <w:color w:val="auto"/>
          <w:sz w:val="24"/>
          <w:szCs w:val="28"/>
          <w:lang w:eastAsia="zh-CN"/>
        </w:rPr>
      </w:pPr>
      <w:r>
        <w:rPr>
          <w:rFonts w:hint="eastAsia" w:ascii="Times New Roman" w:hAnsi="Times New Roman" w:eastAsia="宋体"/>
          <w:color w:val="auto"/>
          <w:sz w:val="24"/>
          <w:szCs w:val="28"/>
        </w:rPr>
        <w:t>附件3  企业营业执照</w:t>
      </w:r>
      <w:r>
        <w:rPr>
          <w:rFonts w:hint="eastAsia"/>
          <w:color w:val="auto"/>
          <w:sz w:val="24"/>
          <w:szCs w:val="28"/>
          <w:lang w:eastAsia="zh-CN"/>
        </w:rPr>
        <w:t>；</w:t>
      </w:r>
    </w:p>
    <w:p w14:paraId="5558A162">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Style w:val="32"/>
          <w:rFonts w:hint="eastAsia" w:ascii="Times New Roman" w:hAnsi="Times New Roman" w:eastAsia="宋体"/>
          <w:color w:val="auto"/>
          <w:kern w:val="0"/>
          <w:sz w:val="24"/>
          <w:szCs w:val="28"/>
          <w:lang w:eastAsia="zh-CN"/>
        </w:rPr>
      </w:pPr>
      <w:r>
        <w:rPr>
          <w:rFonts w:hint="eastAsia" w:ascii="Times New Roman" w:hAnsi="Times New Roman" w:eastAsia="宋体"/>
          <w:color w:val="auto"/>
          <w:sz w:val="24"/>
          <w:szCs w:val="28"/>
        </w:rPr>
        <w:t xml:space="preserve">附件4  </w:t>
      </w:r>
      <w:r>
        <w:rPr>
          <w:rFonts w:hint="eastAsia"/>
          <w:color w:val="auto"/>
          <w:sz w:val="24"/>
          <w:szCs w:val="28"/>
          <w:lang w:val="en-US" w:eastAsia="zh-CN"/>
        </w:rPr>
        <w:t>项目租赁协议及用地证明</w:t>
      </w:r>
      <w:r>
        <w:rPr>
          <w:rFonts w:hint="eastAsia"/>
          <w:color w:val="auto"/>
          <w:sz w:val="24"/>
          <w:szCs w:val="28"/>
          <w:lang w:eastAsia="zh-CN"/>
        </w:rPr>
        <w:t>；</w:t>
      </w:r>
    </w:p>
    <w:p w14:paraId="72095774">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Style w:val="32"/>
          <w:rFonts w:hint="default" w:ascii="Times New Roman" w:hAnsi="Times New Roman" w:eastAsia="宋体"/>
          <w:color w:val="auto"/>
          <w:kern w:val="0"/>
          <w:sz w:val="24"/>
          <w:szCs w:val="28"/>
          <w:lang w:val="en-US" w:eastAsia="zh-CN"/>
        </w:rPr>
      </w:pPr>
      <w:r>
        <w:rPr>
          <w:rFonts w:hint="eastAsia" w:ascii="Times New Roman" w:hAnsi="Times New Roman" w:eastAsia="宋体"/>
          <w:color w:val="auto"/>
          <w:sz w:val="24"/>
          <w:szCs w:val="28"/>
        </w:rPr>
        <w:t>附件</w:t>
      </w:r>
      <w:r>
        <w:rPr>
          <w:rFonts w:hint="eastAsia" w:ascii="Times New Roman" w:hAnsi="Times New Roman" w:eastAsia="宋体"/>
          <w:color w:val="auto"/>
          <w:sz w:val="24"/>
          <w:szCs w:val="28"/>
          <w:lang w:val="en-US" w:eastAsia="zh-CN"/>
        </w:rPr>
        <w:t>5</w:t>
      </w:r>
      <w:r>
        <w:rPr>
          <w:rFonts w:hint="eastAsia" w:ascii="Times New Roman" w:hAnsi="Times New Roman" w:eastAsia="宋体"/>
          <w:color w:val="auto"/>
          <w:sz w:val="24"/>
          <w:szCs w:val="28"/>
        </w:rPr>
        <w:t xml:space="preserve">  </w:t>
      </w:r>
      <w:r>
        <w:rPr>
          <w:rFonts w:hint="eastAsia" w:ascii="Times New Roman" w:hAnsi="Times New Roman" w:eastAsia="宋体"/>
          <w:color w:val="auto"/>
          <w:sz w:val="24"/>
          <w:szCs w:val="28"/>
          <w:lang w:val="en-US" w:eastAsia="zh-CN"/>
        </w:rPr>
        <w:t>规划环评审查意见；</w:t>
      </w:r>
    </w:p>
    <w:p w14:paraId="5C4B7407">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Style w:val="32"/>
          <w:rFonts w:hint="default" w:ascii="Times New Roman" w:hAnsi="Times New Roman" w:eastAsia="宋体"/>
          <w:color w:val="auto"/>
          <w:kern w:val="0"/>
          <w:sz w:val="24"/>
          <w:szCs w:val="28"/>
          <w:lang w:val="en-US" w:eastAsia="zh-CN"/>
        </w:rPr>
      </w:pPr>
      <w:r>
        <w:rPr>
          <w:rFonts w:hint="eastAsia" w:ascii="Times New Roman" w:hAnsi="Times New Roman" w:eastAsia="宋体"/>
          <w:color w:val="auto"/>
          <w:sz w:val="24"/>
          <w:szCs w:val="28"/>
        </w:rPr>
        <w:t>附件</w:t>
      </w:r>
      <w:r>
        <w:rPr>
          <w:rFonts w:hint="eastAsia" w:ascii="Times New Roman" w:hAnsi="Times New Roman" w:eastAsia="宋体"/>
          <w:color w:val="auto"/>
          <w:sz w:val="24"/>
          <w:szCs w:val="28"/>
          <w:lang w:val="en-US" w:eastAsia="zh-CN"/>
        </w:rPr>
        <w:t>6</w:t>
      </w:r>
      <w:r>
        <w:rPr>
          <w:rFonts w:hint="eastAsia" w:ascii="Times New Roman" w:hAnsi="Times New Roman" w:eastAsia="宋体"/>
          <w:color w:val="auto"/>
          <w:sz w:val="24"/>
          <w:szCs w:val="28"/>
        </w:rPr>
        <w:t xml:space="preserve">  </w:t>
      </w:r>
      <w:r>
        <w:rPr>
          <w:rFonts w:hint="eastAsia" w:ascii="Times New Roman" w:hAnsi="Times New Roman" w:eastAsia="宋体"/>
          <w:color w:val="auto"/>
          <w:sz w:val="24"/>
          <w:szCs w:val="28"/>
          <w:lang w:val="en-US" w:eastAsia="zh-CN"/>
        </w:rPr>
        <w:t>原料MSDS；</w:t>
      </w:r>
    </w:p>
    <w:p w14:paraId="03D1651F">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color w:val="auto"/>
          <w:sz w:val="24"/>
          <w:szCs w:val="28"/>
          <w:lang w:val="en-US" w:eastAsia="zh-CN"/>
        </w:rPr>
      </w:pPr>
      <w:r>
        <w:rPr>
          <w:rFonts w:hint="eastAsia" w:ascii="Times New Roman" w:hAnsi="Times New Roman" w:eastAsia="宋体"/>
          <w:color w:val="auto"/>
          <w:sz w:val="24"/>
          <w:szCs w:val="28"/>
        </w:rPr>
        <w:t>附件</w:t>
      </w:r>
      <w:r>
        <w:rPr>
          <w:rFonts w:hint="eastAsia" w:ascii="Times New Roman" w:hAnsi="Times New Roman" w:eastAsia="宋体"/>
          <w:color w:val="auto"/>
          <w:sz w:val="24"/>
          <w:szCs w:val="28"/>
          <w:lang w:val="en-US" w:eastAsia="zh-CN"/>
        </w:rPr>
        <w:t>7</w:t>
      </w:r>
      <w:r>
        <w:rPr>
          <w:rFonts w:hint="eastAsia" w:ascii="Times New Roman" w:hAnsi="Times New Roman" w:eastAsia="宋体"/>
          <w:color w:val="auto"/>
          <w:sz w:val="24"/>
          <w:szCs w:val="28"/>
        </w:rPr>
        <w:t xml:space="preserve">  </w:t>
      </w:r>
      <w:r>
        <w:rPr>
          <w:rFonts w:hint="eastAsia" w:ascii="Times New Roman" w:hAnsi="Times New Roman" w:eastAsia="宋体"/>
          <w:color w:val="auto"/>
          <w:sz w:val="24"/>
          <w:szCs w:val="28"/>
          <w:lang w:val="en-US" w:eastAsia="zh-CN"/>
        </w:rPr>
        <w:t>原料检测报告</w:t>
      </w:r>
      <w:r>
        <w:rPr>
          <w:rFonts w:hint="eastAsia"/>
          <w:color w:val="auto"/>
          <w:sz w:val="24"/>
          <w:szCs w:val="28"/>
          <w:lang w:val="en-US" w:eastAsia="zh-CN"/>
        </w:rPr>
        <w:t>；</w:t>
      </w:r>
    </w:p>
    <w:p w14:paraId="4827FCE2">
      <w:pPr>
        <w:pStyle w:val="16"/>
        <w:ind w:left="0" w:leftChars="0" w:firstLine="0" w:firstLineChars="0"/>
        <w:rPr>
          <w:rFonts w:hint="eastAsia"/>
          <w:color w:val="auto"/>
          <w:lang w:val="en-US" w:eastAsia="zh-CN"/>
        </w:rPr>
      </w:pPr>
      <w:r>
        <w:rPr>
          <w:rFonts w:hint="eastAsia" w:ascii="Times New Roman" w:hAnsi="Times New Roman" w:eastAsia="宋体"/>
          <w:color w:val="auto"/>
          <w:sz w:val="24"/>
          <w:szCs w:val="28"/>
        </w:rPr>
        <w:t>附件</w:t>
      </w:r>
      <w:r>
        <w:rPr>
          <w:rFonts w:hint="eastAsia" w:ascii="Times New Roman" w:hAnsi="Times New Roman"/>
          <w:color w:val="auto"/>
          <w:sz w:val="24"/>
          <w:szCs w:val="28"/>
          <w:lang w:val="en-US" w:eastAsia="zh-CN"/>
        </w:rPr>
        <w:t>8</w:t>
      </w:r>
      <w:r>
        <w:rPr>
          <w:rFonts w:hint="eastAsia" w:ascii="Times New Roman" w:hAnsi="Times New Roman" w:eastAsia="宋体"/>
          <w:color w:val="auto"/>
          <w:sz w:val="24"/>
          <w:szCs w:val="28"/>
        </w:rPr>
        <w:t xml:space="preserve">  </w:t>
      </w:r>
      <w:r>
        <w:rPr>
          <w:rFonts w:hint="eastAsia" w:ascii="Times New Roman" w:hAnsi="Times New Roman" w:eastAsia="宋体"/>
          <w:color w:val="auto"/>
          <w:sz w:val="24"/>
          <w:szCs w:val="28"/>
          <w:lang w:val="en-US" w:eastAsia="zh-CN"/>
        </w:rPr>
        <w:t>基础资料真实性承诺书</w:t>
      </w:r>
      <w:r>
        <w:rPr>
          <w:rFonts w:hint="eastAsia" w:ascii="Times New Roman" w:hAnsi="Times New Roman"/>
          <w:color w:val="auto"/>
          <w:sz w:val="24"/>
          <w:szCs w:val="28"/>
          <w:lang w:val="en-US" w:eastAsia="zh-CN"/>
        </w:rPr>
        <w:t>；</w:t>
      </w:r>
    </w:p>
    <w:p w14:paraId="5288523A">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color w:val="auto"/>
          <w:sz w:val="24"/>
          <w:szCs w:val="28"/>
          <w:lang w:val="en-US" w:eastAsia="zh-CN"/>
        </w:rPr>
      </w:pPr>
      <w:r>
        <w:rPr>
          <w:rFonts w:hint="eastAsia"/>
          <w:color w:val="auto"/>
          <w:sz w:val="24"/>
          <w:szCs w:val="28"/>
          <w:lang w:val="en-US" w:eastAsia="zh-CN"/>
        </w:rPr>
        <w:t>附件9  引用监测报告；</w:t>
      </w:r>
    </w:p>
    <w:p w14:paraId="6119E103">
      <w:pPr>
        <w:pStyle w:val="16"/>
        <w:ind w:left="0" w:leftChars="0" w:firstLine="0" w:firstLineChars="0"/>
        <w:rPr>
          <w:rFonts w:hint="eastAsia" w:ascii="Times New Roman" w:hAnsi="Times New Roman"/>
          <w:color w:val="auto"/>
          <w:sz w:val="24"/>
          <w:szCs w:val="28"/>
          <w:lang w:val="en-US" w:eastAsia="zh-CN"/>
        </w:rPr>
      </w:pPr>
      <w:r>
        <w:rPr>
          <w:rFonts w:hint="eastAsia" w:ascii="Times New Roman" w:hAnsi="Times New Roman" w:eastAsia="宋体"/>
          <w:color w:val="auto"/>
          <w:sz w:val="24"/>
          <w:szCs w:val="28"/>
        </w:rPr>
        <w:t>附件</w:t>
      </w:r>
      <w:r>
        <w:rPr>
          <w:rFonts w:hint="eastAsia" w:ascii="Times New Roman" w:hAnsi="Times New Roman"/>
          <w:color w:val="auto"/>
          <w:sz w:val="24"/>
          <w:szCs w:val="28"/>
          <w:lang w:val="en-US" w:eastAsia="zh-CN"/>
        </w:rPr>
        <w:t>10</w:t>
      </w:r>
      <w:r>
        <w:rPr>
          <w:rFonts w:hint="eastAsia" w:ascii="Times New Roman" w:hAnsi="Times New Roman" w:eastAsia="宋体"/>
          <w:color w:val="auto"/>
          <w:sz w:val="24"/>
          <w:szCs w:val="28"/>
        </w:rPr>
        <w:t xml:space="preserve"> </w:t>
      </w:r>
      <w:r>
        <w:rPr>
          <w:rFonts w:hint="eastAsia" w:ascii="Times New Roman" w:hAnsi="Times New Roman" w:eastAsia="宋体"/>
          <w:color w:val="auto"/>
          <w:sz w:val="24"/>
          <w:szCs w:val="28"/>
          <w:lang w:val="en-US" w:eastAsia="zh-CN"/>
        </w:rPr>
        <w:t>项目使用新材料承诺书</w:t>
      </w:r>
      <w:r>
        <w:rPr>
          <w:rFonts w:hint="eastAsia" w:ascii="Times New Roman" w:hAnsi="Times New Roman"/>
          <w:color w:val="auto"/>
          <w:sz w:val="24"/>
          <w:szCs w:val="28"/>
          <w:lang w:val="en-US" w:eastAsia="zh-CN"/>
        </w:rPr>
        <w:t>；</w:t>
      </w:r>
    </w:p>
    <w:p w14:paraId="471612EA">
      <w:pPr>
        <w:pStyle w:val="16"/>
        <w:ind w:left="0" w:leftChars="0" w:firstLine="0" w:firstLineChars="0"/>
        <w:rPr>
          <w:rFonts w:hint="eastAsia" w:ascii="Times New Roman" w:hAnsi="Times New Roman"/>
          <w:color w:val="auto"/>
          <w:sz w:val="24"/>
          <w:szCs w:val="28"/>
          <w:lang w:val="en-US" w:eastAsia="zh-CN"/>
        </w:rPr>
      </w:pPr>
      <w:r>
        <w:rPr>
          <w:rFonts w:hint="eastAsia" w:ascii="Times New Roman" w:hAnsi="Times New Roman" w:eastAsia="宋体"/>
          <w:color w:val="auto"/>
          <w:sz w:val="24"/>
          <w:szCs w:val="28"/>
        </w:rPr>
        <w:t>附件</w:t>
      </w:r>
      <w:r>
        <w:rPr>
          <w:rFonts w:hint="eastAsia" w:ascii="Times New Roman" w:hAnsi="Times New Roman"/>
          <w:color w:val="auto"/>
          <w:sz w:val="24"/>
          <w:szCs w:val="28"/>
          <w:lang w:val="en-US" w:eastAsia="zh-CN"/>
        </w:rPr>
        <w:t>11</w:t>
      </w:r>
      <w:r>
        <w:rPr>
          <w:rFonts w:hint="eastAsia" w:ascii="Times New Roman" w:hAnsi="Times New Roman" w:eastAsia="宋体"/>
          <w:color w:val="auto"/>
          <w:sz w:val="24"/>
          <w:szCs w:val="28"/>
        </w:rPr>
        <w:t xml:space="preserve"> </w:t>
      </w:r>
      <w:r>
        <w:rPr>
          <w:rFonts w:hint="eastAsia" w:ascii="Times New Roman" w:hAnsi="Times New Roman" w:eastAsia="宋体"/>
          <w:color w:val="auto"/>
          <w:sz w:val="24"/>
          <w:szCs w:val="28"/>
          <w:lang w:val="en-US" w:eastAsia="zh-CN"/>
        </w:rPr>
        <w:t>项目</w:t>
      </w:r>
      <w:r>
        <w:rPr>
          <w:rFonts w:hint="eastAsia" w:ascii="Times New Roman" w:hAnsi="Times New Roman"/>
          <w:color w:val="auto"/>
          <w:sz w:val="24"/>
          <w:szCs w:val="28"/>
          <w:lang w:val="en-US" w:eastAsia="zh-CN"/>
        </w:rPr>
        <w:t>总量文件；</w:t>
      </w:r>
    </w:p>
    <w:p w14:paraId="6A939C4F">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color w:val="auto"/>
          <w:sz w:val="24"/>
          <w:szCs w:val="28"/>
          <w:lang w:val="en-US" w:eastAsia="zh-CN"/>
        </w:rPr>
      </w:pPr>
      <w:r>
        <w:rPr>
          <w:rFonts w:hint="eastAsia"/>
          <w:color w:val="auto"/>
          <w:sz w:val="24"/>
          <w:szCs w:val="28"/>
          <w:lang w:val="en-US" w:eastAsia="zh-CN"/>
        </w:rPr>
        <w:t>附件12 专家意见；</w:t>
      </w:r>
    </w:p>
    <w:p w14:paraId="602AB17B">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color w:val="auto"/>
          <w:sz w:val="24"/>
          <w:szCs w:val="28"/>
          <w:lang w:val="en-US" w:eastAsia="zh-CN"/>
        </w:rPr>
      </w:pPr>
      <w:r>
        <w:rPr>
          <w:rFonts w:hint="eastAsia"/>
          <w:color w:val="auto"/>
          <w:sz w:val="24"/>
          <w:szCs w:val="28"/>
          <w:lang w:val="en-US" w:eastAsia="zh-CN"/>
        </w:rPr>
        <w:t>附件13 专家意见修改清单；</w:t>
      </w:r>
    </w:p>
    <w:p w14:paraId="409C61B2">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color w:val="auto"/>
          <w:sz w:val="24"/>
          <w:szCs w:val="28"/>
          <w:lang w:val="en-US" w:eastAsia="zh-CN"/>
        </w:rPr>
      </w:pPr>
      <w:r>
        <w:rPr>
          <w:rFonts w:hint="eastAsia"/>
          <w:color w:val="auto"/>
          <w:sz w:val="24"/>
          <w:szCs w:val="28"/>
          <w:lang w:val="en-US" w:eastAsia="zh-CN"/>
        </w:rPr>
        <w:t>附件14 专家复核意见。</w:t>
      </w:r>
    </w:p>
    <w:p w14:paraId="4198AA9C">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color w:val="auto"/>
          <w:sz w:val="24"/>
          <w:szCs w:val="28"/>
          <w:lang w:val="en-US" w:eastAsia="zh-CN"/>
        </w:rPr>
      </w:pPr>
    </w:p>
    <w:p w14:paraId="09B643FE">
      <w:pPr>
        <w:pStyle w:val="16"/>
        <w:rPr>
          <w:rFonts w:hint="eastAsia"/>
          <w:color w:val="auto"/>
          <w:lang w:val="en-US" w:eastAsia="zh-CN"/>
        </w:rPr>
      </w:pPr>
    </w:p>
    <w:p w14:paraId="37EB6F77">
      <w:pPr>
        <w:pStyle w:val="16"/>
        <w:rPr>
          <w:rFonts w:hint="eastAsia"/>
          <w:color w:val="auto"/>
          <w:sz w:val="24"/>
          <w:szCs w:val="28"/>
          <w:lang w:val="en-US" w:eastAsia="zh-CN"/>
        </w:rPr>
      </w:pPr>
    </w:p>
    <w:p w14:paraId="2D3F8361">
      <w:pPr>
        <w:pStyle w:val="16"/>
        <w:rPr>
          <w:rFonts w:hint="eastAsia"/>
          <w:color w:val="auto"/>
          <w:sz w:val="24"/>
          <w:szCs w:val="28"/>
          <w:lang w:val="en-US" w:eastAsia="zh-CN"/>
        </w:rPr>
        <w:sectPr>
          <w:pgSz w:w="11906" w:h="16838"/>
          <w:pgMar w:top="1701" w:right="1531" w:bottom="1701" w:left="1531" w:header="851" w:footer="1077" w:gutter="0"/>
          <w:pgBorders>
            <w:top w:val="none" w:sz="0" w:space="0"/>
            <w:left w:val="none" w:sz="0" w:space="0"/>
            <w:bottom w:val="none" w:sz="0" w:space="0"/>
            <w:right w:val="none" w:sz="0" w:space="0"/>
          </w:pgBorders>
          <w:pgNumType w:fmt="decimal" w:start="3"/>
          <w:cols w:space="720" w:num="1"/>
          <w:docGrid w:linePitch="312" w:charSpace="0"/>
        </w:sectPr>
      </w:pPr>
    </w:p>
    <w:p w14:paraId="2A7D0558">
      <w:pPr>
        <w:pStyle w:val="18"/>
        <w:jc w:val="center"/>
        <w:outlineLvl w:val="0"/>
        <w:rPr>
          <w:rFonts w:cs="宋体"/>
          <w:b/>
          <w:bCs/>
          <w:snapToGrid w:val="0"/>
          <w:color w:val="auto"/>
          <w:sz w:val="30"/>
          <w:szCs w:val="30"/>
          <w:highlight w:val="none"/>
        </w:rPr>
      </w:pPr>
      <w:bookmarkStart w:id="5" w:name="_Toc26842"/>
      <w:r>
        <w:rPr>
          <w:rFonts w:hint="eastAsia" w:cs="宋体"/>
          <w:b/>
          <w:bCs/>
          <w:snapToGrid w:val="0"/>
          <w:color w:val="auto"/>
          <w:sz w:val="30"/>
          <w:szCs w:val="30"/>
          <w:highlight w:val="none"/>
        </w:rPr>
        <w:t>一、建设项目基本情况</w:t>
      </w:r>
      <w:bookmarkEnd w:id="5"/>
    </w:p>
    <w:tbl>
      <w:tblPr>
        <w:tblStyle w:val="26"/>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1193"/>
        <w:gridCol w:w="1985"/>
        <w:gridCol w:w="1862"/>
        <w:gridCol w:w="3830"/>
      </w:tblGrid>
      <w:tr w14:paraId="5242595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2050" w:type="dxa"/>
            <w:tcMar>
              <w:top w:w="16" w:type="dxa"/>
              <w:left w:w="16" w:type="dxa"/>
              <w:right w:w="16" w:type="dxa"/>
            </w:tcMar>
            <w:vAlign w:val="center"/>
          </w:tcPr>
          <w:p w14:paraId="57C207F5">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
                <w:bCs/>
                <w:color w:val="auto"/>
                <w:sz w:val="24"/>
                <w:highlight w:val="none"/>
              </w:rPr>
            </w:pPr>
            <w:r>
              <w:rPr>
                <w:rFonts w:hint="default" w:ascii="Times New Roman" w:hAnsi="Times New Roman" w:cs="Times New Roman"/>
                <w:b/>
                <w:bCs/>
                <w:color w:val="auto"/>
                <w:sz w:val="24"/>
                <w:highlight w:val="none"/>
              </w:rPr>
              <w:t>建设项目名称</w:t>
            </w:r>
          </w:p>
        </w:tc>
        <w:tc>
          <w:tcPr>
            <w:tcW w:w="6820" w:type="dxa"/>
            <w:gridSpan w:val="3"/>
            <w:vAlign w:val="center"/>
          </w:tcPr>
          <w:p w14:paraId="38FB7E76">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4"/>
                <w:highlight w:val="none"/>
                <w:lang w:eastAsia="zh-CN"/>
              </w:rPr>
            </w:pPr>
            <w:r>
              <w:rPr>
                <w:rFonts w:hint="default" w:ascii="Times New Roman" w:hAnsi="Times New Roman" w:eastAsia="宋体" w:cs="Times New Roman"/>
                <w:color w:val="auto"/>
                <w:sz w:val="24"/>
                <w:highlight w:val="none"/>
                <w:lang w:val="en-US" w:eastAsia="zh-CN"/>
              </w:rPr>
              <w:t>江西红鲤鱼鞋业有限公司年产280万双休闲鞋项目</w:t>
            </w:r>
          </w:p>
        </w:tc>
      </w:tr>
      <w:tr w14:paraId="6671498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2050" w:type="dxa"/>
            <w:tcMar>
              <w:top w:w="16" w:type="dxa"/>
              <w:left w:w="16" w:type="dxa"/>
              <w:right w:w="16" w:type="dxa"/>
            </w:tcMar>
            <w:vAlign w:val="center"/>
          </w:tcPr>
          <w:p w14:paraId="3E29BE7F">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
                <w:bCs/>
                <w:color w:val="auto"/>
                <w:sz w:val="24"/>
                <w:highlight w:val="none"/>
              </w:rPr>
            </w:pPr>
            <w:r>
              <w:rPr>
                <w:rFonts w:hint="default" w:ascii="Times New Roman" w:hAnsi="Times New Roman" w:cs="Times New Roman"/>
                <w:b/>
                <w:bCs/>
                <w:color w:val="auto"/>
                <w:sz w:val="24"/>
                <w:highlight w:val="none"/>
              </w:rPr>
              <w:t>项目代码</w:t>
            </w:r>
          </w:p>
        </w:tc>
        <w:tc>
          <w:tcPr>
            <w:tcW w:w="6820" w:type="dxa"/>
            <w:gridSpan w:val="3"/>
            <w:vAlign w:val="center"/>
          </w:tcPr>
          <w:p w14:paraId="690EB5E6">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4"/>
                <w:highlight w:val="none"/>
                <w:lang w:val="en-US" w:eastAsia="zh-CN"/>
              </w:rPr>
            </w:pPr>
            <w:r>
              <w:rPr>
                <w:rFonts w:hint="default" w:ascii="Times New Roman" w:hAnsi="Times New Roman" w:eastAsia="宋体" w:cs="Times New Roman"/>
                <w:color w:val="auto"/>
                <w:sz w:val="24"/>
                <w:highlight w:val="none"/>
                <w:lang w:val="en-US" w:eastAsia="zh-CN"/>
              </w:rPr>
              <w:t>2512-360281-04-05-373532</w:t>
            </w:r>
          </w:p>
        </w:tc>
      </w:tr>
      <w:tr w14:paraId="68F7851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2050" w:type="dxa"/>
            <w:tcMar>
              <w:top w:w="16" w:type="dxa"/>
              <w:left w:w="16" w:type="dxa"/>
              <w:right w:w="16" w:type="dxa"/>
            </w:tcMar>
            <w:vAlign w:val="center"/>
          </w:tcPr>
          <w:p w14:paraId="1C9AE6B5">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
                <w:bCs/>
                <w:color w:val="auto"/>
                <w:sz w:val="24"/>
                <w:highlight w:val="none"/>
              </w:rPr>
            </w:pPr>
            <w:r>
              <w:rPr>
                <w:rFonts w:hint="default" w:ascii="Times New Roman" w:hAnsi="Times New Roman" w:cs="Times New Roman"/>
                <w:b/>
                <w:bCs/>
                <w:color w:val="auto"/>
                <w:sz w:val="24"/>
                <w:highlight w:val="none"/>
              </w:rPr>
              <w:t>建设单位联系人</w:t>
            </w:r>
          </w:p>
        </w:tc>
        <w:tc>
          <w:tcPr>
            <w:tcW w:w="2048" w:type="dxa"/>
            <w:vAlign w:val="center"/>
          </w:tcPr>
          <w:p w14:paraId="6ABC1416">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4"/>
                <w:highlight w:val="none"/>
                <w:lang w:val="en-US" w:eastAsia="zh-CN"/>
              </w:rPr>
            </w:pPr>
            <w:r>
              <w:rPr>
                <w:rFonts w:hint="eastAsia" w:cs="Times New Roman"/>
                <w:color w:val="auto"/>
                <w:sz w:val="24"/>
                <w:highlight w:val="none"/>
                <w:lang w:val="en-US" w:eastAsia="zh-CN"/>
              </w:rPr>
              <w:t>叶小琴</w:t>
            </w:r>
          </w:p>
        </w:tc>
        <w:tc>
          <w:tcPr>
            <w:tcW w:w="1875" w:type="dxa"/>
            <w:vAlign w:val="center"/>
          </w:tcPr>
          <w:p w14:paraId="74383733">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color w:val="auto"/>
                <w:sz w:val="24"/>
                <w:highlight w:val="none"/>
              </w:rPr>
            </w:pPr>
            <w:r>
              <w:rPr>
                <w:rFonts w:hint="default" w:ascii="Times New Roman" w:hAnsi="Times New Roman" w:cs="Times New Roman"/>
                <w:b/>
                <w:bCs/>
                <w:color w:val="auto"/>
                <w:sz w:val="24"/>
                <w:highlight w:val="none"/>
              </w:rPr>
              <w:t>联系方式</w:t>
            </w:r>
          </w:p>
        </w:tc>
        <w:tc>
          <w:tcPr>
            <w:tcW w:w="2897" w:type="dxa"/>
            <w:vAlign w:val="center"/>
          </w:tcPr>
          <w:p w14:paraId="4E120E29">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4"/>
                <w:highlight w:val="none"/>
                <w:lang w:val="en-US" w:eastAsia="zh-CN"/>
              </w:rPr>
            </w:pPr>
            <w:r>
              <w:rPr>
                <w:rFonts w:hint="eastAsia" w:cs="Times New Roman"/>
                <w:color w:val="auto"/>
                <w:sz w:val="24"/>
                <w:highlight w:val="none"/>
                <w:lang w:val="en-US" w:eastAsia="zh-CN"/>
              </w:rPr>
              <w:t>13484265766</w:t>
            </w:r>
          </w:p>
        </w:tc>
      </w:tr>
      <w:tr w14:paraId="0FB00C5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2050" w:type="dxa"/>
            <w:tcMar>
              <w:top w:w="16" w:type="dxa"/>
              <w:left w:w="16" w:type="dxa"/>
              <w:right w:w="16" w:type="dxa"/>
            </w:tcMar>
            <w:vAlign w:val="center"/>
          </w:tcPr>
          <w:p w14:paraId="572B2C9F">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
                <w:bCs/>
                <w:color w:val="auto"/>
                <w:sz w:val="24"/>
                <w:highlight w:val="none"/>
              </w:rPr>
            </w:pPr>
            <w:r>
              <w:rPr>
                <w:rFonts w:hint="default" w:ascii="Times New Roman" w:hAnsi="Times New Roman" w:cs="Times New Roman"/>
                <w:b/>
                <w:bCs/>
                <w:color w:val="auto"/>
                <w:sz w:val="24"/>
                <w:highlight w:val="none"/>
              </w:rPr>
              <w:t>建设地点</w:t>
            </w:r>
          </w:p>
        </w:tc>
        <w:tc>
          <w:tcPr>
            <w:tcW w:w="6820" w:type="dxa"/>
            <w:gridSpan w:val="3"/>
            <w:vAlign w:val="center"/>
          </w:tcPr>
          <w:p w14:paraId="488726D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sz w:val="24"/>
                <w:highlight w:val="none"/>
                <w:lang w:val="en-US" w:eastAsia="zh-CN"/>
              </w:rPr>
            </w:pPr>
            <w:r>
              <w:rPr>
                <w:rFonts w:hint="eastAsia" w:cs="Times New Roman"/>
                <w:color w:val="auto"/>
                <w:sz w:val="24"/>
                <w:szCs w:val="24"/>
                <w:highlight w:val="none"/>
                <w:lang w:val="en-US" w:eastAsia="zh-CN"/>
              </w:rPr>
              <w:t>江西省景德镇市乐平市金山工业园</w:t>
            </w:r>
          </w:p>
        </w:tc>
      </w:tr>
      <w:tr w14:paraId="54D04EA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2050" w:type="dxa"/>
            <w:tcMar>
              <w:top w:w="16" w:type="dxa"/>
              <w:left w:w="16" w:type="dxa"/>
              <w:right w:w="16" w:type="dxa"/>
            </w:tcMar>
            <w:vAlign w:val="center"/>
          </w:tcPr>
          <w:p w14:paraId="045A8E26">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
                <w:bCs/>
                <w:color w:val="auto"/>
                <w:sz w:val="24"/>
                <w:highlight w:val="none"/>
              </w:rPr>
            </w:pPr>
            <w:r>
              <w:rPr>
                <w:rFonts w:hint="default" w:ascii="Times New Roman" w:hAnsi="Times New Roman" w:cs="Times New Roman"/>
                <w:b/>
                <w:bCs/>
                <w:color w:val="auto"/>
                <w:sz w:val="24"/>
                <w:highlight w:val="none"/>
              </w:rPr>
              <w:t>地理坐标</w:t>
            </w:r>
          </w:p>
        </w:tc>
        <w:tc>
          <w:tcPr>
            <w:tcW w:w="6820" w:type="dxa"/>
            <w:gridSpan w:val="3"/>
            <w:vAlign w:val="center"/>
          </w:tcPr>
          <w:p w14:paraId="2566F065">
            <w:pPr>
              <w:keepNext w:val="0"/>
              <w:keepLines w:val="0"/>
              <w:suppressLineNumbers w:val="0"/>
              <w:spacing w:before="0" w:beforeAutospacing="0" w:after="0" w:afterAutospacing="0" w:line="240" w:lineRule="auto"/>
              <w:ind w:left="0" w:right="0"/>
              <w:jc w:val="center"/>
              <w:rPr>
                <w:rFonts w:hint="default" w:ascii="Times New Roman" w:hAnsi="Times New Roman" w:cs="Times New Roman"/>
                <w:color w:val="auto"/>
                <w:sz w:val="24"/>
                <w:highlight w:val="none"/>
              </w:rPr>
            </w:pPr>
            <w:r>
              <w:rPr>
                <w:rFonts w:hint="eastAsia" w:cs="Times New Roman"/>
                <w:color w:val="auto"/>
                <w:sz w:val="24"/>
                <w:szCs w:val="24"/>
                <w:highlight w:val="none"/>
                <w:lang w:val="en-US" w:eastAsia="zh-CN"/>
              </w:rPr>
              <w:t>E</w:t>
            </w:r>
            <w:r>
              <w:rPr>
                <w:rFonts w:hint="default" w:ascii="Times New Roman" w:hAnsi="Times New Roman" w:cs="Times New Roman"/>
                <w:color w:val="auto"/>
                <w:sz w:val="24"/>
                <w:szCs w:val="24"/>
                <w:highlight w:val="none"/>
                <w:lang w:val="en-US" w:eastAsia="zh-CN"/>
              </w:rPr>
              <w:t>117°9′29.</w:t>
            </w:r>
            <w:r>
              <w:rPr>
                <w:rFonts w:hint="eastAsia" w:cs="Times New Roman"/>
                <w:color w:val="auto"/>
                <w:sz w:val="24"/>
                <w:szCs w:val="24"/>
                <w:highlight w:val="none"/>
                <w:lang w:val="en-US" w:eastAsia="zh-CN"/>
              </w:rPr>
              <w:t>243</w:t>
            </w:r>
            <w:r>
              <w:rPr>
                <w:rFonts w:hint="default" w:ascii="Times New Roman" w:hAnsi="Times New Roman" w:cs="Times New Roman"/>
                <w:color w:val="auto"/>
                <w:sz w:val="24"/>
                <w:szCs w:val="24"/>
                <w:highlight w:val="none"/>
                <w:lang w:val="en-US" w:eastAsia="zh-CN"/>
              </w:rPr>
              <w:t>″</w:t>
            </w:r>
            <w:r>
              <w:rPr>
                <w:rFonts w:hint="eastAsia" w:cs="Times New Roman"/>
                <w:color w:val="auto"/>
                <w:sz w:val="24"/>
                <w:szCs w:val="24"/>
                <w:highlight w:val="none"/>
                <w:lang w:val="en-US" w:eastAsia="zh-CN"/>
              </w:rPr>
              <w:t>,N</w:t>
            </w:r>
            <w:r>
              <w:rPr>
                <w:rFonts w:hint="default" w:ascii="Times New Roman" w:hAnsi="Times New Roman" w:cs="Times New Roman"/>
                <w:color w:val="auto"/>
                <w:sz w:val="24"/>
                <w:szCs w:val="24"/>
                <w:highlight w:val="none"/>
                <w:lang w:val="en-US" w:eastAsia="zh-CN"/>
              </w:rPr>
              <w:t>29°0′26.751″</w:t>
            </w:r>
          </w:p>
        </w:tc>
      </w:tr>
      <w:tr w14:paraId="6FA6306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61" w:hRule="atLeast"/>
          <w:jc w:val="center"/>
        </w:trPr>
        <w:tc>
          <w:tcPr>
            <w:tcW w:w="2050" w:type="dxa"/>
            <w:tcMar>
              <w:top w:w="16" w:type="dxa"/>
              <w:left w:w="16" w:type="dxa"/>
              <w:right w:w="16" w:type="dxa"/>
            </w:tcMar>
            <w:vAlign w:val="center"/>
          </w:tcPr>
          <w:p w14:paraId="3C48A8E7">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4"/>
                <w:highlight w:val="none"/>
                <w:lang w:val="en-US" w:eastAsia="zh-CN"/>
              </w:rPr>
            </w:pPr>
            <w:r>
              <w:rPr>
                <w:rFonts w:hint="default" w:ascii="Times New Roman" w:hAnsi="Times New Roman" w:eastAsia="宋体" w:cs="Times New Roman"/>
                <w:b/>
                <w:bCs/>
                <w:color w:val="auto"/>
                <w:sz w:val="24"/>
                <w:highlight w:val="none"/>
                <w:lang w:val="en-US" w:eastAsia="zh-CN"/>
              </w:rPr>
              <w:t>国民经济</w:t>
            </w:r>
          </w:p>
          <w:p w14:paraId="50C5A985">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b/>
                <w:bCs/>
                <w:color w:val="auto"/>
                <w:sz w:val="24"/>
                <w:highlight w:val="none"/>
                <w:lang w:val="en-US" w:eastAsia="zh-CN"/>
              </w:rPr>
              <w:t>行业类别</w:t>
            </w:r>
          </w:p>
        </w:tc>
        <w:tc>
          <w:tcPr>
            <w:tcW w:w="2048" w:type="dxa"/>
            <w:vAlign w:val="center"/>
          </w:tcPr>
          <w:p w14:paraId="1D7DD09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sz w:val="24"/>
                <w:szCs w:val="24"/>
                <w:highlight w:val="none"/>
                <w:lang w:val="en-US" w:eastAsia="zh-CN"/>
              </w:rPr>
            </w:pPr>
            <w:bookmarkStart w:id="6" w:name="OLE_LINK44"/>
            <w:r>
              <w:rPr>
                <w:rFonts w:hint="default" w:ascii="Times New Roman" w:hAnsi="Times New Roman" w:eastAsia="宋体" w:cs="Times New Roman"/>
                <w:color w:val="auto"/>
                <w:sz w:val="24"/>
                <w:szCs w:val="24"/>
                <w:highlight w:val="none"/>
                <w:lang w:val="en-US" w:eastAsia="zh-CN"/>
              </w:rPr>
              <w:t>C1952皮鞋制造</w:t>
            </w:r>
          </w:p>
          <w:p w14:paraId="626F3CC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C1953塑料鞋制造</w:t>
            </w:r>
            <w:bookmarkEnd w:id="6"/>
            <w:r>
              <w:rPr>
                <w:rFonts w:hint="default" w:ascii="Times New Roman" w:hAnsi="Times New Roman" w:eastAsia="宋体" w:cs="Times New Roman"/>
                <w:color w:val="auto"/>
                <w:sz w:val="24"/>
                <w:szCs w:val="24"/>
                <w:highlight w:val="none"/>
                <w:lang w:val="en-US" w:eastAsia="zh-CN"/>
              </w:rPr>
              <w:t>C195</w:t>
            </w:r>
            <w:r>
              <w:rPr>
                <w:rFonts w:hint="eastAsia" w:cs="Times New Roman"/>
                <w:color w:val="auto"/>
                <w:sz w:val="24"/>
                <w:szCs w:val="24"/>
                <w:highlight w:val="none"/>
                <w:lang w:val="en-US" w:eastAsia="zh-CN"/>
              </w:rPr>
              <w:t>9其他</w:t>
            </w:r>
            <w:r>
              <w:rPr>
                <w:rFonts w:hint="default" w:ascii="Times New Roman" w:hAnsi="Times New Roman" w:eastAsia="宋体" w:cs="Times New Roman"/>
                <w:color w:val="auto"/>
                <w:sz w:val="24"/>
                <w:szCs w:val="24"/>
                <w:highlight w:val="none"/>
                <w:lang w:val="en-US" w:eastAsia="zh-CN"/>
              </w:rPr>
              <w:t>鞋制造</w:t>
            </w:r>
          </w:p>
        </w:tc>
        <w:tc>
          <w:tcPr>
            <w:tcW w:w="1875" w:type="dxa"/>
            <w:vAlign w:val="center"/>
          </w:tcPr>
          <w:p w14:paraId="7801022A">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
                <w:bCs/>
                <w:color w:val="auto"/>
                <w:sz w:val="24"/>
                <w:highlight w:val="none"/>
              </w:rPr>
            </w:pPr>
            <w:bookmarkStart w:id="7" w:name="_Hlk49843745"/>
            <w:r>
              <w:rPr>
                <w:rFonts w:hint="default" w:ascii="Times New Roman" w:hAnsi="Times New Roman" w:cs="Times New Roman"/>
                <w:b/>
                <w:bCs/>
                <w:color w:val="auto"/>
                <w:sz w:val="24"/>
                <w:highlight w:val="none"/>
              </w:rPr>
              <w:t>建设项目</w:t>
            </w:r>
          </w:p>
          <w:p w14:paraId="751F69C1">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color w:val="auto"/>
                <w:sz w:val="24"/>
                <w:highlight w:val="none"/>
              </w:rPr>
            </w:pPr>
            <w:r>
              <w:rPr>
                <w:rFonts w:hint="default" w:ascii="Times New Roman" w:hAnsi="Times New Roman" w:cs="Times New Roman"/>
                <w:b/>
                <w:bCs/>
                <w:color w:val="auto"/>
                <w:sz w:val="24"/>
                <w:highlight w:val="none"/>
              </w:rPr>
              <w:t>行业类别</w:t>
            </w:r>
            <w:bookmarkEnd w:id="7"/>
          </w:p>
        </w:tc>
        <w:tc>
          <w:tcPr>
            <w:tcW w:w="2897" w:type="dxa"/>
            <w:vAlign w:val="center"/>
          </w:tcPr>
          <w:p w14:paraId="471E4B7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highlight w:val="none"/>
                <w:lang w:val="en-US" w:eastAsia="zh-CN"/>
              </w:rPr>
            </w:pPr>
            <w:bookmarkStart w:id="8" w:name="OLE_LINK45"/>
            <w:r>
              <w:rPr>
                <w:rFonts w:hint="default" w:ascii="Times New Roman" w:hAnsi="Times New Roman" w:eastAsia="宋体" w:cs="Times New Roman"/>
                <w:color w:val="auto"/>
                <w:sz w:val="24"/>
                <w:szCs w:val="24"/>
                <w:highlight w:val="none"/>
                <w:lang w:val="en-US" w:eastAsia="zh-CN"/>
              </w:rPr>
              <w:t>十六、皮革、毛皮、羽毛及其制品和制鞋业 32、制鞋业195 年用溶剂型胶粘剂10吨及以上的，或年用溶剂型处理剂3吨及以上的</w:t>
            </w:r>
            <w:bookmarkEnd w:id="8"/>
          </w:p>
        </w:tc>
      </w:tr>
      <w:tr w14:paraId="6B862D2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1219" w:hRule="atLeast"/>
          <w:jc w:val="center"/>
        </w:trPr>
        <w:tc>
          <w:tcPr>
            <w:tcW w:w="2050" w:type="dxa"/>
            <w:tcMar>
              <w:top w:w="16" w:type="dxa"/>
              <w:left w:w="16" w:type="dxa"/>
              <w:right w:w="16" w:type="dxa"/>
            </w:tcMar>
            <w:vAlign w:val="center"/>
          </w:tcPr>
          <w:p w14:paraId="0885DC4D">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
                <w:bCs/>
                <w:color w:val="auto"/>
                <w:sz w:val="24"/>
                <w:highlight w:val="none"/>
              </w:rPr>
            </w:pPr>
            <w:r>
              <w:rPr>
                <w:rFonts w:hint="default" w:ascii="Times New Roman" w:hAnsi="Times New Roman" w:cs="Times New Roman"/>
                <w:b/>
                <w:bCs/>
                <w:color w:val="auto"/>
                <w:sz w:val="24"/>
                <w:highlight w:val="none"/>
              </w:rPr>
              <w:t>建设性质</w:t>
            </w:r>
          </w:p>
        </w:tc>
        <w:tc>
          <w:tcPr>
            <w:tcW w:w="2048" w:type="dxa"/>
            <w:vAlign w:val="center"/>
          </w:tcPr>
          <w:p w14:paraId="3D5B5BDD">
            <w:pPr>
              <w:keepNext w:val="0"/>
              <w:keepLines w:val="0"/>
              <w:suppressLineNumbers w:val="0"/>
              <w:spacing w:before="0" w:beforeAutospacing="0" w:after="0" w:afterAutospacing="0" w:line="240" w:lineRule="auto"/>
              <w:ind w:left="0" w:right="0"/>
              <w:jc w:val="left"/>
              <w:rPr>
                <w:rFonts w:hint="default" w:ascii="Times New Roman" w:hAnsi="Times New Roman" w:eastAsia="宋体" w:cs="Times New Roman"/>
                <w:color w:val="auto"/>
                <w:sz w:val="24"/>
                <w:szCs w:val="24"/>
                <w:highlight w:val="none"/>
              </w:rPr>
            </w:pPr>
            <w:r>
              <w:rPr>
                <w:rFonts w:hint="default" w:ascii="Times New Roman" w:hAnsi="Times New Roman" w:cs="Times New Roman"/>
                <w:b/>
                <w:bCs/>
                <w:color w:val="auto"/>
                <w:sz w:val="24"/>
                <w:szCs w:val="24"/>
                <w:highlight w:val="none"/>
                <w:lang w:eastAsia="zh-CN"/>
              </w:rPr>
              <w:sym w:font="Wingdings 2" w:char="0052"/>
            </w:r>
            <w:r>
              <w:rPr>
                <w:rFonts w:hint="default" w:ascii="Times New Roman" w:hAnsi="Times New Roman" w:eastAsia="宋体" w:cs="Times New Roman"/>
                <w:color w:val="auto"/>
                <w:sz w:val="24"/>
                <w:szCs w:val="24"/>
                <w:highlight w:val="none"/>
              </w:rPr>
              <w:t>新建（迁建）</w:t>
            </w:r>
          </w:p>
          <w:p w14:paraId="0568D897">
            <w:pPr>
              <w:keepNext w:val="0"/>
              <w:keepLines w:val="0"/>
              <w:suppressLineNumbers w:val="0"/>
              <w:spacing w:before="0" w:beforeAutospacing="0" w:after="0" w:afterAutospacing="0" w:line="240" w:lineRule="auto"/>
              <w:ind w:left="0" w:right="0"/>
              <w:jc w:val="left"/>
              <w:rPr>
                <w:rFonts w:hint="default" w:ascii="Times New Roman" w:hAnsi="Times New Roman" w:eastAsia="宋体" w:cs="Times New Roman"/>
                <w:color w:val="auto"/>
                <w:sz w:val="24"/>
                <w:szCs w:val="24"/>
                <w:highlight w:val="none"/>
              </w:rPr>
            </w:pPr>
            <w:r>
              <w:rPr>
                <w:rFonts w:hint="eastAsia"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rPr>
              <w:t>改建</w:t>
            </w:r>
          </w:p>
          <w:p w14:paraId="266C474A">
            <w:pPr>
              <w:keepNext w:val="0"/>
              <w:keepLines w:val="0"/>
              <w:suppressLineNumbers w:val="0"/>
              <w:spacing w:before="0" w:beforeAutospacing="0" w:after="0" w:afterAutospacing="0" w:line="240" w:lineRule="auto"/>
              <w:ind w:left="0" w:right="0"/>
              <w:jc w:val="left"/>
              <w:rPr>
                <w:rFonts w:hint="default" w:ascii="Times New Roman" w:hAnsi="Times New Roman" w:eastAsia="宋体" w:cs="Times New Roman"/>
                <w:color w:val="auto"/>
                <w:sz w:val="24"/>
                <w:szCs w:val="24"/>
                <w:highlight w:val="none"/>
              </w:rPr>
            </w:pPr>
            <w:r>
              <w:rPr>
                <w:rFonts w:hint="eastAsia"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rPr>
              <w:t>扩建</w:t>
            </w:r>
          </w:p>
          <w:p w14:paraId="4D7BE8AB">
            <w:pPr>
              <w:keepNext w:val="0"/>
              <w:keepLines w:val="0"/>
              <w:suppressLineNumbers w:val="0"/>
              <w:spacing w:before="0" w:beforeAutospacing="0" w:after="0" w:afterAutospacing="0" w:line="240" w:lineRule="auto"/>
              <w:ind w:left="0" w:right="0"/>
              <w:jc w:val="left"/>
              <w:rPr>
                <w:rFonts w:hint="default" w:ascii="Times New Roman" w:hAnsi="Times New Roman" w:cs="Times New Roman"/>
                <w:color w:val="auto"/>
                <w:sz w:val="24"/>
                <w:highlight w:val="none"/>
              </w:rPr>
            </w:pPr>
            <w:r>
              <w:rPr>
                <w:rFonts w:hint="eastAsia"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rPr>
              <w:t>技术改造</w:t>
            </w:r>
          </w:p>
        </w:tc>
        <w:tc>
          <w:tcPr>
            <w:tcW w:w="1875" w:type="dxa"/>
            <w:vAlign w:val="center"/>
          </w:tcPr>
          <w:p w14:paraId="120FFC78">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
                <w:bCs/>
                <w:color w:val="auto"/>
                <w:sz w:val="24"/>
                <w:highlight w:val="none"/>
              </w:rPr>
            </w:pPr>
            <w:r>
              <w:rPr>
                <w:rFonts w:hint="default" w:ascii="Times New Roman" w:hAnsi="Times New Roman" w:cs="Times New Roman"/>
                <w:b/>
                <w:bCs/>
                <w:color w:val="auto"/>
                <w:sz w:val="24"/>
                <w:highlight w:val="none"/>
              </w:rPr>
              <w:t>建设项目</w:t>
            </w:r>
          </w:p>
          <w:p w14:paraId="32E282CF">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
                <w:bCs/>
                <w:color w:val="auto"/>
                <w:sz w:val="24"/>
                <w:highlight w:val="none"/>
              </w:rPr>
            </w:pPr>
            <w:r>
              <w:rPr>
                <w:rFonts w:hint="default" w:ascii="Times New Roman" w:hAnsi="Times New Roman" w:cs="Times New Roman"/>
                <w:b/>
                <w:bCs/>
                <w:color w:val="auto"/>
                <w:sz w:val="24"/>
                <w:highlight w:val="none"/>
              </w:rPr>
              <w:t>申报情形</w:t>
            </w:r>
          </w:p>
        </w:tc>
        <w:tc>
          <w:tcPr>
            <w:tcW w:w="2897" w:type="dxa"/>
            <w:vAlign w:val="center"/>
          </w:tcPr>
          <w:p w14:paraId="57AFFBB0">
            <w:pPr>
              <w:keepNext w:val="0"/>
              <w:keepLines w:val="0"/>
              <w:suppressLineNumbers w:val="0"/>
              <w:spacing w:before="0" w:beforeAutospacing="0" w:after="0" w:afterAutospacing="0" w:line="240" w:lineRule="auto"/>
              <w:ind w:left="0" w:right="0"/>
              <w:jc w:val="left"/>
              <w:rPr>
                <w:rFonts w:hint="default" w:ascii="Times New Roman" w:hAnsi="Times New Roman" w:eastAsia="宋体" w:cs="Times New Roman"/>
                <w:color w:val="auto"/>
                <w:sz w:val="24"/>
                <w:szCs w:val="24"/>
                <w:highlight w:val="none"/>
                <w:lang w:eastAsia="zh-CN"/>
              </w:rPr>
            </w:pPr>
            <w:r>
              <w:rPr>
                <w:rFonts w:hint="default" w:ascii="Times New Roman" w:hAnsi="Times New Roman" w:cs="Times New Roman"/>
                <w:b/>
                <w:bCs/>
                <w:color w:val="auto"/>
                <w:sz w:val="24"/>
                <w:szCs w:val="24"/>
                <w:highlight w:val="none"/>
                <w:lang w:eastAsia="zh-CN"/>
              </w:rPr>
              <w:sym w:font="Wingdings 2" w:char="0052"/>
            </w:r>
            <w:r>
              <w:rPr>
                <w:rFonts w:hint="default" w:ascii="Times New Roman" w:hAnsi="Times New Roman" w:eastAsia="宋体" w:cs="Times New Roman"/>
                <w:color w:val="auto"/>
                <w:sz w:val="24"/>
                <w:szCs w:val="24"/>
                <w:highlight w:val="none"/>
              </w:rPr>
              <w:t>首次申报项目</w:t>
            </w:r>
          </w:p>
          <w:p w14:paraId="669F50B3">
            <w:pPr>
              <w:keepNext w:val="0"/>
              <w:keepLines w:val="0"/>
              <w:suppressLineNumbers w:val="0"/>
              <w:spacing w:before="0" w:beforeAutospacing="0" w:after="0" w:afterAutospacing="0" w:line="240" w:lineRule="auto"/>
              <w:ind w:left="0" w:right="0"/>
              <w:jc w:val="left"/>
              <w:rPr>
                <w:rFonts w:hint="default" w:ascii="Times New Roman" w:hAnsi="Times New Roman" w:eastAsia="宋体" w:cs="Times New Roman"/>
                <w:color w:val="auto"/>
                <w:sz w:val="24"/>
                <w:szCs w:val="24"/>
                <w:highlight w:val="none"/>
              </w:rPr>
            </w:pPr>
            <w:r>
              <w:rPr>
                <w:rFonts w:hint="eastAsia"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rPr>
              <w:t>不予批准后再次申报项目</w:t>
            </w:r>
          </w:p>
          <w:p w14:paraId="53FB29E4">
            <w:pPr>
              <w:keepNext w:val="0"/>
              <w:keepLines w:val="0"/>
              <w:suppressLineNumbers w:val="0"/>
              <w:spacing w:before="0" w:beforeAutospacing="0" w:after="0" w:afterAutospacing="0" w:line="240" w:lineRule="auto"/>
              <w:ind w:left="0" w:right="0"/>
              <w:jc w:val="left"/>
              <w:rPr>
                <w:rFonts w:hint="default" w:ascii="Times New Roman" w:hAnsi="Times New Roman" w:eastAsia="宋体" w:cs="Times New Roman"/>
                <w:color w:val="auto"/>
                <w:sz w:val="24"/>
                <w:szCs w:val="24"/>
                <w:highlight w:val="none"/>
                <w:lang w:eastAsia="zh-CN"/>
              </w:rPr>
            </w:pPr>
            <w:r>
              <w:rPr>
                <w:rFonts w:hint="eastAsia"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rPr>
              <w:t>超五年重新审核项目</w:t>
            </w:r>
          </w:p>
          <w:p w14:paraId="7C6C9729">
            <w:pPr>
              <w:keepNext w:val="0"/>
              <w:keepLines w:val="0"/>
              <w:suppressLineNumbers w:val="0"/>
              <w:spacing w:before="0" w:beforeAutospacing="0" w:after="0" w:afterAutospacing="0" w:line="240" w:lineRule="auto"/>
              <w:ind w:left="0" w:right="0"/>
              <w:jc w:val="left"/>
              <w:rPr>
                <w:rFonts w:hint="default" w:ascii="Times New Roman" w:hAnsi="Times New Roman" w:cs="Times New Roman"/>
                <w:color w:val="auto"/>
                <w:sz w:val="24"/>
                <w:highlight w:val="none"/>
              </w:rPr>
            </w:pPr>
            <w:r>
              <w:rPr>
                <w:rFonts w:hint="eastAsia"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rPr>
              <w:t>重大变动重新报批项目</w:t>
            </w:r>
          </w:p>
        </w:tc>
      </w:tr>
      <w:tr w14:paraId="394B570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851" w:hRule="atLeast"/>
          <w:jc w:val="center"/>
        </w:trPr>
        <w:tc>
          <w:tcPr>
            <w:tcW w:w="2050" w:type="dxa"/>
            <w:tcMar>
              <w:top w:w="16" w:type="dxa"/>
              <w:left w:w="16" w:type="dxa"/>
              <w:right w:w="16" w:type="dxa"/>
            </w:tcMar>
            <w:vAlign w:val="center"/>
          </w:tcPr>
          <w:p w14:paraId="37200FDB">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
                <w:bCs/>
                <w:color w:val="auto"/>
                <w:sz w:val="24"/>
                <w:highlight w:val="none"/>
              </w:rPr>
            </w:pPr>
            <w:r>
              <w:rPr>
                <w:rFonts w:hint="default" w:ascii="Times New Roman" w:hAnsi="Times New Roman" w:cs="Times New Roman"/>
                <w:b/>
                <w:bCs/>
                <w:color w:val="auto"/>
                <w:sz w:val="24"/>
                <w:highlight w:val="none"/>
              </w:rPr>
              <w:t>项目审批（核准/</w:t>
            </w:r>
          </w:p>
          <w:p w14:paraId="55406EBE">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
                <w:bCs/>
                <w:color w:val="auto"/>
                <w:sz w:val="24"/>
                <w:highlight w:val="none"/>
              </w:rPr>
            </w:pPr>
            <w:r>
              <w:rPr>
                <w:rFonts w:hint="default" w:ascii="Times New Roman" w:hAnsi="Times New Roman" w:cs="Times New Roman"/>
                <w:b/>
                <w:bCs/>
                <w:color w:val="auto"/>
                <w:sz w:val="24"/>
                <w:highlight w:val="none"/>
              </w:rPr>
              <w:t>备案）部门（选填）</w:t>
            </w:r>
          </w:p>
        </w:tc>
        <w:tc>
          <w:tcPr>
            <w:tcW w:w="2048" w:type="dxa"/>
            <w:vAlign w:val="center"/>
          </w:tcPr>
          <w:p w14:paraId="3AF3EC18">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4"/>
                <w:highlight w:val="none"/>
                <w:lang w:val="en-US" w:eastAsia="zh-CN"/>
              </w:rPr>
            </w:pPr>
            <w:r>
              <w:rPr>
                <w:rFonts w:hint="default" w:ascii="Times New Roman" w:hAnsi="Times New Roman" w:cs="Times New Roman"/>
                <w:color w:val="auto"/>
                <w:sz w:val="24"/>
                <w:highlight w:val="none"/>
                <w:lang w:val="en-US" w:eastAsia="zh-CN"/>
              </w:rPr>
              <w:t>乐平市发展和改革委员会</w:t>
            </w:r>
          </w:p>
        </w:tc>
        <w:tc>
          <w:tcPr>
            <w:tcW w:w="1875" w:type="dxa"/>
            <w:vAlign w:val="center"/>
          </w:tcPr>
          <w:p w14:paraId="3A2E27CE">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
                <w:bCs/>
                <w:color w:val="auto"/>
                <w:sz w:val="24"/>
                <w:highlight w:val="none"/>
              </w:rPr>
            </w:pPr>
            <w:r>
              <w:rPr>
                <w:rFonts w:hint="default" w:ascii="Times New Roman" w:hAnsi="Times New Roman" w:cs="Times New Roman"/>
                <w:b/>
                <w:bCs/>
                <w:color w:val="auto"/>
                <w:sz w:val="24"/>
                <w:highlight w:val="none"/>
              </w:rPr>
              <w:t>项目审批（核准/</w:t>
            </w:r>
          </w:p>
          <w:p w14:paraId="188105F7">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
                <w:bCs/>
                <w:color w:val="auto"/>
                <w:sz w:val="24"/>
                <w:highlight w:val="none"/>
              </w:rPr>
            </w:pPr>
            <w:r>
              <w:rPr>
                <w:rFonts w:hint="default" w:ascii="Times New Roman" w:hAnsi="Times New Roman" w:cs="Times New Roman"/>
                <w:b/>
                <w:bCs/>
                <w:color w:val="auto"/>
                <w:sz w:val="24"/>
                <w:highlight w:val="none"/>
              </w:rPr>
              <w:t>备案）文号（选填）</w:t>
            </w:r>
          </w:p>
        </w:tc>
        <w:tc>
          <w:tcPr>
            <w:tcW w:w="2897" w:type="dxa"/>
            <w:vAlign w:val="center"/>
          </w:tcPr>
          <w:p w14:paraId="368CCDB9">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cs="Times New Roman"/>
                <w:color w:val="auto"/>
                <w:sz w:val="24"/>
                <w:highlight w:val="none"/>
              </w:rPr>
            </w:pPr>
            <w:r>
              <w:rPr>
                <w:rFonts w:hint="default" w:ascii="Times New Roman" w:hAnsi="Times New Roman" w:eastAsia="宋体" w:cs="Times New Roman"/>
                <w:color w:val="auto"/>
                <w:sz w:val="24"/>
                <w:highlight w:val="none"/>
                <w:lang w:val="en-US" w:eastAsia="zh-CN"/>
              </w:rPr>
              <w:t>2512-360281-04-05-373532</w:t>
            </w:r>
          </w:p>
        </w:tc>
      </w:tr>
      <w:tr w14:paraId="07C3F27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2050" w:type="dxa"/>
            <w:tcMar>
              <w:top w:w="16" w:type="dxa"/>
              <w:left w:w="16" w:type="dxa"/>
              <w:right w:w="16" w:type="dxa"/>
            </w:tcMar>
            <w:vAlign w:val="center"/>
          </w:tcPr>
          <w:p w14:paraId="2364C978">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
                <w:bCs/>
                <w:color w:val="auto"/>
                <w:sz w:val="24"/>
                <w:highlight w:val="none"/>
              </w:rPr>
            </w:pPr>
            <w:r>
              <w:rPr>
                <w:rFonts w:hint="default" w:ascii="Times New Roman" w:hAnsi="Times New Roman" w:cs="Times New Roman"/>
                <w:b/>
                <w:bCs/>
                <w:color w:val="auto"/>
                <w:sz w:val="24"/>
                <w:highlight w:val="none"/>
              </w:rPr>
              <w:t>总投资（万元）</w:t>
            </w:r>
          </w:p>
        </w:tc>
        <w:tc>
          <w:tcPr>
            <w:tcW w:w="2048" w:type="dxa"/>
            <w:vAlign w:val="center"/>
          </w:tcPr>
          <w:p w14:paraId="0657BA7C">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4"/>
                <w:highlight w:val="none"/>
                <w:lang w:val="en-US" w:eastAsia="zh-CN"/>
              </w:rPr>
            </w:pPr>
            <w:r>
              <w:rPr>
                <w:rFonts w:hint="eastAsia" w:cs="Times New Roman"/>
                <w:color w:val="auto"/>
                <w:sz w:val="24"/>
                <w:highlight w:val="none"/>
                <w:lang w:val="en-US" w:eastAsia="zh-CN"/>
              </w:rPr>
              <w:t>2000</w:t>
            </w:r>
          </w:p>
        </w:tc>
        <w:tc>
          <w:tcPr>
            <w:tcW w:w="1875" w:type="dxa"/>
            <w:tcMar>
              <w:top w:w="16" w:type="dxa"/>
              <w:left w:w="16" w:type="dxa"/>
              <w:right w:w="16" w:type="dxa"/>
            </w:tcMar>
            <w:vAlign w:val="center"/>
          </w:tcPr>
          <w:p w14:paraId="7F99960A">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
                <w:bCs/>
                <w:color w:val="auto"/>
                <w:sz w:val="24"/>
                <w:highlight w:val="none"/>
              </w:rPr>
            </w:pPr>
            <w:r>
              <w:rPr>
                <w:rFonts w:hint="default" w:ascii="Times New Roman" w:hAnsi="Times New Roman" w:cs="Times New Roman"/>
                <w:b/>
                <w:bCs/>
                <w:color w:val="auto"/>
                <w:sz w:val="24"/>
                <w:highlight w:val="none"/>
              </w:rPr>
              <w:t>环保投资（万元）</w:t>
            </w:r>
          </w:p>
        </w:tc>
        <w:tc>
          <w:tcPr>
            <w:tcW w:w="2897" w:type="dxa"/>
            <w:vAlign w:val="center"/>
          </w:tcPr>
          <w:p w14:paraId="54F380A8">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4"/>
                <w:highlight w:val="none"/>
                <w:lang w:val="en-US" w:eastAsia="zh-CN"/>
              </w:rPr>
            </w:pPr>
            <w:r>
              <w:rPr>
                <w:rFonts w:hint="eastAsia" w:cs="Times New Roman"/>
                <w:color w:val="auto"/>
                <w:sz w:val="24"/>
                <w:highlight w:val="none"/>
                <w:lang w:val="en-US" w:eastAsia="zh-CN"/>
              </w:rPr>
              <w:t>103.2</w:t>
            </w:r>
          </w:p>
        </w:tc>
      </w:tr>
      <w:tr w14:paraId="04392FB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2050" w:type="dxa"/>
            <w:tcMar>
              <w:top w:w="16" w:type="dxa"/>
              <w:left w:w="16" w:type="dxa"/>
              <w:right w:w="16" w:type="dxa"/>
            </w:tcMar>
            <w:vAlign w:val="center"/>
          </w:tcPr>
          <w:p w14:paraId="027227F7">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
                <w:bCs/>
                <w:color w:val="auto"/>
                <w:sz w:val="24"/>
                <w:highlight w:val="none"/>
              </w:rPr>
            </w:pPr>
            <w:r>
              <w:rPr>
                <w:rFonts w:hint="default" w:ascii="Times New Roman" w:hAnsi="Times New Roman" w:cs="Times New Roman"/>
                <w:b/>
                <w:bCs/>
                <w:color w:val="auto"/>
                <w:sz w:val="24"/>
                <w:highlight w:val="none"/>
              </w:rPr>
              <w:t>环保投资占比（%）</w:t>
            </w:r>
          </w:p>
        </w:tc>
        <w:tc>
          <w:tcPr>
            <w:tcW w:w="2048" w:type="dxa"/>
            <w:vAlign w:val="center"/>
          </w:tcPr>
          <w:p w14:paraId="7DA7AC02">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4"/>
                <w:highlight w:val="none"/>
                <w:lang w:val="en-US" w:eastAsia="zh-CN"/>
              </w:rPr>
            </w:pPr>
            <w:r>
              <w:rPr>
                <w:rFonts w:hint="eastAsia" w:cs="Times New Roman"/>
                <w:color w:val="auto"/>
                <w:sz w:val="24"/>
                <w:highlight w:val="none"/>
                <w:lang w:val="en-US" w:eastAsia="zh-CN"/>
              </w:rPr>
              <w:t>5.16</w:t>
            </w:r>
          </w:p>
        </w:tc>
        <w:tc>
          <w:tcPr>
            <w:tcW w:w="1875" w:type="dxa"/>
            <w:tcMar>
              <w:top w:w="16" w:type="dxa"/>
              <w:left w:w="16" w:type="dxa"/>
              <w:right w:w="16" w:type="dxa"/>
            </w:tcMar>
            <w:vAlign w:val="center"/>
          </w:tcPr>
          <w:p w14:paraId="309B1641">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
                <w:bCs/>
                <w:color w:val="auto"/>
                <w:sz w:val="24"/>
                <w:highlight w:val="none"/>
              </w:rPr>
            </w:pPr>
            <w:r>
              <w:rPr>
                <w:rFonts w:hint="default" w:ascii="Times New Roman" w:hAnsi="Times New Roman" w:cs="Times New Roman"/>
                <w:b/>
                <w:bCs/>
                <w:color w:val="auto"/>
                <w:sz w:val="24"/>
                <w:highlight w:val="none"/>
              </w:rPr>
              <w:t>施工工期</w:t>
            </w:r>
          </w:p>
        </w:tc>
        <w:tc>
          <w:tcPr>
            <w:tcW w:w="2897" w:type="dxa"/>
            <w:vAlign w:val="center"/>
          </w:tcPr>
          <w:p w14:paraId="0A2B8B66">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4"/>
                <w:highlight w:val="none"/>
                <w:lang w:val="en-US" w:eastAsia="zh-CN"/>
              </w:rPr>
            </w:pPr>
            <w:r>
              <w:rPr>
                <w:rFonts w:hint="eastAsia" w:cs="Times New Roman"/>
                <w:color w:val="auto"/>
                <w:sz w:val="24"/>
                <w:szCs w:val="24"/>
                <w:highlight w:val="none"/>
                <w:lang w:val="en-US" w:eastAsia="zh-CN"/>
              </w:rPr>
              <w:t>2个月</w:t>
            </w:r>
          </w:p>
        </w:tc>
      </w:tr>
      <w:tr w14:paraId="2B953CC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2050" w:type="dxa"/>
            <w:tcMar>
              <w:top w:w="16" w:type="dxa"/>
              <w:left w:w="16" w:type="dxa"/>
              <w:right w:w="16" w:type="dxa"/>
            </w:tcMar>
            <w:vAlign w:val="center"/>
          </w:tcPr>
          <w:p w14:paraId="5393708B">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
                <w:bCs/>
                <w:color w:val="auto"/>
                <w:sz w:val="24"/>
                <w:highlight w:val="none"/>
              </w:rPr>
            </w:pPr>
            <w:r>
              <w:rPr>
                <w:rFonts w:hint="default" w:ascii="Times New Roman" w:hAnsi="Times New Roman" w:cs="Times New Roman"/>
                <w:b/>
                <w:bCs/>
                <w:color w:val="auto"/>
                <w:sz w:val="24"/>
                <w:highlight w:val="none"/>
              </w:rPr>
              <w:t>是否开工建设</w:t>
            </w:r>
          </w:p>
        </w:tc>
        <w:tc>
          <w:tcPr>
            <w:tcW w:w="2048" w:type="dxa"/>
            <w:vAlign w:val="center"/>
          </w:tcPr>
          <w:p w14:paraId="33703612">
            <w:pPr>
              <w:keepNext w:val="0"/>
              <w:keepLines w:val="0"/>
              <w:suppressLineNumbers w:val="0"/>
              <w:adjustRightInd w:val="0"/>
              <w:snapToGrid w:val="0"/>
              <w:spacing w:before="0" w:beforeAutospacing="0" w:after="0" w:afterAutospacing="0"/>
              <w:ind w:left="0" w:right="0"/>
              <w:rPr>
                <w:rFonts w:hint="default" w:ascii="Times New Roman" w:hAnsi="Times New Roman" w:cs="Times New Roman"/>
                <w:color w:val="auto"/>
                <w:sz w:val="24"/>
                <w:highlight w:val="none"/>
              </w:rPr>
            </w:pPr>
            <w:r>
              <w:rPr>
                <w:rFonts w:hint="default" w:ascii="Times New Roman" w:hAnsi="Times New Roman" w:cs="Times New Roman"/>
                <w:color w:val="auto"/>
                <w:sz w:val="24"/>
                <w:highlight w:val="none"/>
                <w:lang w:eastAsia="zh-CN"/>
              </w:rPr>
              <w:sym w:font="Wingdings 2" w:char="0052"/>
            </w:r>
            <w:r>
              <w:rPr>
                <w:rFonts w:hint="default" w:ascii="Times New Roman" w:hAnsi="Times New Roman" w:cs="Times New Roman"/>
                <w:color w:val="auto"/>
                <w:sz w:val="24"/>
                <w:highlight w:val="none"/>
              </w:rPr>
              <w:t>否</w:t>
            </w:r>
          </w:p>
          <w:p w14:paraId="6D0497F4">
            <w:pPr>
              <w:keepNext w:val="0"/>
              <w:keepLines w:val="0"/>
              <w:suppressLineNumbers w:val="0"/>
              <w:adjustRightInd w:val="0"/>
              <w:snapToGrid w:val="0"/>
              <w:spacing w:before="0" w:beforeAutospacing="0" w:after="0" w:afterAutospacing="0"/>
              <w:ind w:left="0" w:right="0"/>
              <w:rPr>
                <w:rFonts w:hint="default" w:ascii="Times New Roman" w:hAnsi="Times New Roman" w:eastAsia="宋体" w:cs="Times New Roman"/>
                <w:color w:val="auto"/>
                <w:sz w:val="24"/>
                <w:highlight w:val="none"/>
                <w:u w:val="single"/>
                <w:lang w:val="en-US" w:eastAsia="zh-CN"/>
              </w:rPr>
            </w:pPr>
            <w:r>
              <w:rPr>
                <w:rFonts w:hint="eastAsia" w:cs="Times New Roman"/>
                <w:color w:val="auto"/>
                <w:sz w:val="24"/>
                <w:highlight w:val="none"/>
                <w:lang w:eastAsia="zh-CN"/>
              </w:rPr>
              <w:t>□</w:t>
            </w:r>
            <w:r>
              <w:rPr>
                <w:rFonts w:hint="default" w:ascii="Times New Roman" w:hAnsi="Times New Roman" w:cs="Times New Roman"/>
                <w:color w:val="auto"/>
                <w:sz w:val="24"/>
                <w:highlight w:val="none"/>
              </w:rPr>
              <w:t>是：</w:t>
            </w:r>
            <w:r>
              <w:rPr>
                <w:rFonts w:hint="eastAsia" w:cs="Times New Roman"/>
                <w:color w:val="auto"/>
                <w:sz w:val="24"/>
                <w:highlight w:val="none"/>
                <w:u w:val="single"/>
                <w:lang w:val="en-US" w:eastAsia="zh-CN"/>
              </w:rPr>
              <w:t xml:space="preserve">        </w:t>
            </w:r>
          </w:p>
        </w:tc>
        <w:tc>
          <w:tcPr>
            <w:tcW w:w="1875" w:type="dxa"/>
            <w:tcMar>
              <w:top w:w="16" w:type="dxa"/>
              <w:left w:w="16" w:type="dxa"/>
              <w:right w:w="16" w:type="dxa"/>
            </w:tcMar>
            <w:vAlign w:val="center"/>
          </w:tcPr>
          <w:p w14:paraId="48BA8605">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
                <w:bCs/>
                <w:color w:val="auto"/>
                <w:spacing w:val="-6"/>
                <w:sz w:val="24"/>
                <w:highlight w:val="none"/>
              </w:rPr>
            </w:pPr>
            <w:r>
              <w:rPr>
                <w:rFonts w:hint="default" w:ascii="Times New Roman" w:hAnsi="Times New Roman" w:cs="Times New Roman"/>
                <w:b/>
                <w:bCs/>
                <w:color w:val="auto"/>
                <w:spacing w:val="-6"/>
                <w:sz w:val="24"/>
                <w:highlight w:val="none"/>
              </w:rPr>
              <w:t>用地（用海）</w:t>
            </w:r>
          </w:p>
          <w:p w14:paraId="1C6B2D5E">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
                <w:bCs/>
                <w:color w:val="auto"/>
                <w:sz w:val="24"/>
                <w:highlight w:val="none"/>
              </w:rPr>
            </w:pPr>
            <w:r>
              <w:rPr>
                <w:rFonts w:hint="default" w:ascii="Times New Roman" w:hAnsi="Times New Roman" w:cs="Times New Roman"/>
                <w:b/>
                <w:bCs/>
                <w:color w:val="auto"/>
                <w:spacing w:val="-6"/>
                <w:sz w:val="24"/>
                <w:highlight w:val="none"/>
              </w:rPr>
              <w:t>面积（m</w:t>
            </w:r>
            <w:r>
              <w:rPr>
                <w:rFonts w:hint="default" w:ascii="Times New Roman" w:hAnsi="Times New Roman" w:cs="Times New Roman"/>
                <w:b/>
                <w:bCs/>
                <w:color w:val="auto"/>
                <w:spacing w:val="-6"/>
                <w:sz w:val="24"/>
                <w:highlight w:val="none"/>
                <w:vertAlign w:val="superscript"/>
              </w:rPr>
              <w:t>2</w:t>
            </w:r>
            <w:r>
              <w:rPr>
                <w:rFonts w:hint="default" w:ascii="Times New Roman" w:hAnsi="Times New Roman" w:cs="Times New Roman"/>
                <w:b/>
                <w:bCs/>
                <w:color w:val="auto"/>
                <w:spacing w:val="-6"/>
                <w:sz w:val="24"/>
                <w:highlight w:val="none"/>
              </w:rPr>
              <w:t>）</w:t>
            </w:r>
          </w:p>
        </w:tc>
        <w:tc>
          <w:tcPr>
            <w:tcW w:w="2897" w:type="dxa"/>
            <w:vAlign w:val="center"/>
          </w:tcPr>
          <w:p w14:paraId="4FDF9CF5">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sz w:val="24"/>
                <w:highlight w:val="none"/>
                <w:lang w:val="en-US" w:eastAsia="zh-CN"/>
              </w:rPr>
            </w:pPr>
            <w:r>
              <w:rPr>
                <w:rFonts w:hint="eastAsia" w:cs="Times New Roman"/>
                <w:color w:val="auto"/>
                <w:sz w:val="24"/>
                <w:highlight w:val="none"/>
                <w:lang w:val="en-US" w:eastAsia="zh-CN"/>
              </w:rPr>
              <w:t>36517.62</w:t>
            </w:r>
          </w:p>
        </w:tc>
      </w:tr>
      <w:tr w14:paraId="7610D80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2050" w:type="dxa"/>
            <w:vAlign w:val="center"/>
          </w:tcPr>
          <w:p w14:paraId="79DCADBA">
            <w:pPr>
              <w:keepNext w:val="0"/>
              <w:keepLines w:val="0"/>
              <w:suppressLineNumbers w:val="0"/>
              <w:autoSpaceDE w:val="0"/>
              <w:autoSpaceDN w:val="0"/>
              <w:adjustRightInd w:val="0"/>
              <w:snapToGrid w:val="0"/>
              <w:spacing w:before="0" w:beforeAutospacing="0" w:after="0" w:afterAutospacing="0"/>
              <w:ind w:left="0" w:right="0"/>
              <w:jc w:val="center"/>
              <w:rPr>
                <w:rFonts w:hint="default" w:ascii="Times New Roman" w:hAnsi="Times New Roman" w:cs="Times New Roman"/>
                <w:b/>
                <w:bCs/>
                <w:color w:val="auto"/>
                <w:kern w:val="0"/>
                <w:sz w:val="24"/>
                <w:highlight w:val="none"/>
              </w:rPr>
            </w:pPr>
            <w:r>
              <w:rPr>
                <w:rFonts w:hint="default" w:ascii="Times New Roman" w:hAnsi="Times New Roman" w:cs="Times New Roman"/>
                <w:b/>
                <w:bCs/>
                <w:color w:val="auto"/>
                <w:kern w:val="0"/>
                <w:sz w:val="24"/>
                <w:highlight w:val="none"/>
              </w:rPr>
              <w:t>专项评价设置情况</w:t>
            </w:r>
          </w:p>
        </w:tc>
        <w:tc>
          <w:tcPr>
            <w:tcW w:w="6820" w:type="dxa"/>
            <w:gridSpan w:val="3"/>
            <w:vAlign w:val="center"/>
          </w:tcPr>
          <w:p w14:paraId="4EE81695">
            <w:pPr>
              <w:keepNext w:val="0"/>
              <w:keepLines w:val="0"/>
              <w:suppressLineNumbers w:val="0"/>
              <w:autoSpaceDE w:val="0"/>
              <w:autoSpaceDN w:val="0"/>
              <w:adjustRightInd w:val="0"/>
              <w:snapToGrid w:val="0"/>
              <w:spacing w:before="0" w:beforeAutospacing="0" w:after="0" w:afterAutospacing="0" w:line="360" w:lineRule="auto"/>
              <w:ind w:left="0" w:right="0" w:firstLine="480" w:firstLineChars="200"/>
              <w:rPr>
                <w:rFonts w:hint="default" w:ascii="Times New Roman" w:hAnsi="Times New Roman" w:cs="Times New Roman"/>
                <w:color w:val="auto"/>
                <w:sz w:val="24"/>
                <w:highlight w:val="none"/>
                <w:shd w:val="clear" w:color="auto" w:fill="FFFFFF"/>
              </w:rPr>
            </w:pPr>
            <w:r>
              <w:rPr>
                <w:rFonts w:hint="default" w:ascii="Times New Roman" w:hAnsi="Times New Roman" w:cs="Times New Roman"/>
                <w:color w:val="auto"/>
                <w:sz w:val="24"/>
                <w:highlight w:val="none"/>
                <w:shd w:val="clear" w:color="auto" w:fill="FFFFFF"/>
              </w:rPr>
              <w:t>根据大气、地表水、环境风险、生态</w:t>
            </w:r>
            <w:r>
              <w:rPr>
                <w:rFonts w:hint="default" w:ascii="Times New Roman" w:hAnsi="Times New Roman" w:cs="Times New Roman"/>
                <w:color w:val="auto"/>
                <w:sz w:val="24"/>
                <w:highlight w:val="none"/>
                <w:shd w:val="clear" w:color="auto" w:fill="FFFFFF"/>
                <w:lang w:eastAsia="zh-CN"/>
              </w:rPr>
              <w:t>、</w:t>
            </w:r>
            <w:r>
              <w:rPr>
                <w:rFonts w:hint="default" w:ascii="Times New Roman" w:hAnsi="Times New Roman" w:cs="Times New Roman"/>
                <w:color w:val="auto"/>
                <w:sz w:val="24"/>
                <w:highlight w:val="none"/>
                <w:shd w:val="clear" w:color="auto" w:fill="FFFFFF"/>
              </w:rPr>
              <w:t>海洋</w:t>
            </w:r>
            <w:r>
              <w:rPr>
                <w:rFonts w:hint="default" w:ascii="Times New Roman" w:hAnsi="Times New Roman" w:cs="Times New Roman"/>
                <w:color w:val="auto"/>
                <w:sz w:val="24"/>
                <w:highlight w:val="none"/>
                <w:shd w:val="clear" w:color="auto" w:fill="FFFFFF"/>
                <w:lang w:val="en-US" w:eastAsia="zh-CN"/>
              </w:rPr>
              <w:t>和地下水</w:t>
            </w:r>
            <w:r>
              <w:rPr>
                <w:rFonts w:hint="default" w:ascii="Times New Roman" w:hAnsi="Times New Roman" w:cs="Times New Roman"/>
                <w:color w:val="auto"/>
                <w:sz w:val="24"/>
                <w:highlight w:val="none"/>
                <w:shd w:val="clear" w:color="auto" w:fill="FFFFFF"/>
              </w:rPr>
              <w:t>专项评价设置原则，本项目不属于需设置专项评价的建设项目。</w:t>
            </w:r>
          </w:p>
          <w:p w14:paraId="56CBDE4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cs="Times New Roman"/>
                <w:b/>
                <w:color w:val="auto"/>
                <w:kern w:val="0"/>
                <w:highlight w:val="none"/>
              </w:rPr>
            </w:pPr>
            <w:r>
              <w:rPr>
                <w:rFonts w:hint="default" w:ascii="Times New Roman" w:hAnsi="Times New Roman" w:cs="Times New Roman"/>
                <w:b/>
                <w:color w:val="auto"/>
                <w:kern w:val="0"/>
                <w:highlight w:val="none"/>
              </w:rPr>
              <w:t>表1-1  专项评价设置原则表</w:t>
            </w:r>
          </w:p>
          <w:tbl>
            <w:tblPr>
              <w:tblStyle w:val="27"/>
              <w:tblW w:w="72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57"/>
              <w:gridCol w:w="2480"/>
              <w:gridCol w:w="2266"/>
              <w:gridCol w:w="1124"/>
            </w:tblGrid>
            <w:tr w14:paraId="1D4CE6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939" w:type="pct"/>
                  <w:tcBorders>
                    <w:tl2br w:val="nil"/>
                    <w:tr2bl w:val="nil"/>
                  </w:tcBorders>
                  <w:noWrap w:val="0"/>
                  <w:vAlign w:val="center"/>
                </w:tcPr>
                <w:p w14:paraId="752C902A">
                  <w:pPr>
                    <w:keepNext w:val="0"/>
                    <w:keepLines w:val="0"/>
                    <w:suppressLineNumbers w:val="0"/>
                    <w:autoSpaceDE w:val="0"/>
                    <w:autoSpaceDN w:val="0"/>
                    <w:adjustRightInd w:val="0"/>
                    <w:snapToGrid w:val="0"/>
                    <w:spacing w:before="0" w:beforeAutospacing="0" w:after="0" w:afterAutospacing="0"/>
                    <w:ind w:left="0" w:right="0"/>
                    <w:jc w:val="center"/>
                    <w:rPr>
                      <w:rFonts w:hint="default" w:ascii="Times New Roman" w:hAnsi="Times New Roman" w:cs="Times New Roman"/>
                      <w:b/>
                      <w:bCs/>
                      <w:color w:val="auto"/>
                      <w:highlight w:val="none"/>
                    </w:rPr>
                  </w:pPr>
                  <w:r>
                    <w:rPr>
                      <w:rFonts w:hint="default" w:ascii="Times New Roman" w:hAnsi="Times New Roman" w:cs="Times New Roman"/>
                      <w:b/>
                      <w:bCs/>
                      <w:color w:val="auto"/>
                      <w:highlight w:val="none"/>
                    </w:rPr>
                    <w:t>专项评价的类别</w:t>
                  </w:r>
                </w:p>
              </w:tc>
              <w:tc>
                <w:tcPr>
                  <w:tcW w:w="1715" w:type="pct"/>
                  <w:tcBorders>
                    <w:tl2br w:val="nil"/>
                    <w:tr2bl w:val="nil"/>
                  </w:tcBorders>
                  <w:noWrap w:val="0"/>
                  <w:vAlign w:val="center"/>
                </w:tcPr>
                <w:p w14:paraId="51677851">
                  <w:pPr>
                    <w:keepNext w:val="0"/>
                    <w:keepLines w:val="0"/>
                    <w:suppressLineNumbers w:val="0"/>
                    <w:autoSpaceDE w:val="0"/>
                    <w:autoSpaceDN w:val="0"/>
                    <w:adjustRightInd w:val="0"/>
                    <w:snapToGrid w:val="0"/>
                    <w:spacing w:before="0" w:beforeAutospacing="0" w:after="0" w:afterAutospacing="0"/>
                    <w:ind w:left="0" w:right="0"/>
                    <w:jc w:val="center"/>
                    <w:rPr>
                      <w:rFonts w:hint="default" w:ascii="Times New Roman" w:hAnsi="Times New Roman" w:cs="Times New Roman"/>
                      <w:b/>
                      <w:bCs/>
                      <w:color w:val="auto"/>
                      <w:highlight w:val="none"/>
                    </w:rPr>
                  </w:pPr>
                  <w:r>
                    <w:rPr>
                      <w:rFonts w:hint="default" w:ascii="Times New Roman" w:hAnsi="Times New Roman" w:cs="Times New Roman"/>
                      <w:b/>
                      <w:bCs/>
                      <w:color w:val="auto"/>
                      <w:highlight w:val="none"/>
                    </w:rPr>
                    <w:t>设置原则</w:t>
                  </w:r>
                </w:p>
              </w:tc>
              <w:tc>
                <w:tcPr>
                  <w:tcW w:w="1567" w:type="pct"/>
                  <w:tcBorders>
                    <w:tl2br w:val="nil"/>
                    <w:tr2bl w:val="nil"/>
                  </w:tcBorders>
                  <w:noWrap w:val="0"/>
                  <w:vAlign w:val="center"/>
                </w:tcPr>
                <w:p w14:paraId="00F36C8F">
                  <w:pPr>
                    <w:keepNext w:val="0"/>
                    <w:keepLines w:val="0"/>
                    <w:suppressLineNumbers w:val="0"/>
                    <w:autoSpaceDE w:val="0"/>
                    <w:autoSpaceDN w:val="0"/>
                    <w:adjustRightInd w:val="0"/>
                    <w:snapToGrid w:val="0"/>
                    <w:spacing w:before="0" w:beforeAutospacing="0" w:after="0" w:afterAutospacing="0"/>
                    <w:ind w:left="0" w:right="0"/>
                    <w:jc w:val="center"/>
                    <w:rPr>
                      <w:rFonts w:hint="default" w:ascii="Times New Roman" w:hAnsi="Times New Roman" w:cs="Times New Roman"/>
                      <w:b/>
                      <w:bCs/>
                      <w:color w:val="auto"/>
                      <w:highlight w:val="none"/>
                    </w:rPr>
                  </w:pPr>
                  <w:r>
                    <w:rPr>
                      <w:rFonts w:hint="default" w:ascii="Times New Roman" w:hAnsi="Times New Roman" w:cs="Times New Roman"/>
                      <w:b/>
                      <w:bCs/>
                      <w:color w:val="auto"/>
                      <w:highlight w:val="none"/>
                    </w:rPr>
                    <w:t>本项目</w:t>
                  </w:r>
                </w:p>
              </w:tc>
              <w:tc>
                <w:tcPr>
                  <w:tcW w:w="777" w:type="pct"/>
                  <w:tcBorders>
                    <w:tl2br w:val="nil"/>
                    <w:tr2bl w:val="nil"/>
                  </w:tcBorders>
                  <w:noWrap w:val="0"/>
                  <w:vAlign w:val="center"/>
                </w:tcPr>
                <w:p w14:paraId="7244A394">
                  <w:pPr>
                    <w:keepNext w:val="0"/>
                    <w:keepLines w:val="0"/>
                    <w:suppressLineNumbers w:val="0"/>
                    <w:autoSpaceDE w:val="0"/>
                    <w:autoSpaceDN w:val="0"/>
                    <w:adjustRightInd w:val="0"/>
                    <w:snapToGrid w:val="0"/>
                    <w:spacing w:before="0" w:beforeAutospacing="0" w:after="0" w:afterAutospacing="0"/>
                    <w:ind w:left="0" w:right="0"/>
                    <w:jc w:val="center"/>
                    <w:rPr>
                      <w:rFonts w:hint="default" w:ascii="Times New Roman" w:hAnsi="Times New Roman" w:eastAsia="宋体" w:cs="Times New Roman"/>
                      <w:b/>
                      <w:bCs/>
                      <w:color w:val="auto"/>
                      <w:kern w:val="2"/>
                      <w:sz w:val="21"/>
                      <w:szCs w:val="24"/>
                      <w:highlight w:val="none"/>
                      <w:lang w:val="en-US" w:eastAsia="zh-CN" w:bidi="ar-SA"/>
                    </w:rPr>
                  </w:pPr>
                  <w:r>
                    <w:rPr>
                      <w:rFonts w:hint="default" w:ascii="Times New Roman" w:hAnsi="Times New Roman" w:eastAsia="宋体" w:cs="Times New Roman"/>
                      <w:b/>
                      <w:bCs/>
                      <w:color w:val="auto"/>
                      <w:highlight w:val="none"/>
                    </w:rPr>
                    <w:t>判定结果</w:t>
                  </w:r>
                </w:p>
              </w:tc>
            </w:tr>
            <w:tr w14:paraId="1EAA00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39" w:type="pct"/>
                  <w:tcBorders>
                    <w:tl2br w:val="nil"/>
                    <w:tr2bl w:val="nil"/>
                  </w:tcBorders>
                  <w:noWrap w:val="0"/>
                  <w:vAlign w:val="center"/>
                </w:tcPr>
                <w:p w14:paraId="6DE7BA2F">
                  <w:pPr>
                    <w:keepNext w:val="0"/>
                    <w:keepLines w:val="0"/>
                    <w:suppressLineNumbers w:val="0"/>
                    <w:autoSpaceDE w:val="0"/>
                    <w:autoSpaceDN w:val="0"/>
                    <w:adjustRightInd w:val="0"/>
                    <w:snapToGrid w:val="0"/>
                    <w:spacing w:before="0" w:beforeAutospacing="0" w:after="0" w:afterAutospacing="0"/>
                    <w:ind w:left="0" w:right="0"/>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大气</w:t>
                  </w:r>
                </w:p>
              </w:tc>
              <w:tc>
                <w:tcPr>
                  <w:tcW w:w="1715" w:type="pct"/>
                  <w:tcBorders>
                    <w:tl2br w:val="nil"/>
                    <w:tr2bl w:val="nil"/>
                  </w:tcBorders>
                  <w:noWrap w:val="0"/>
                  <w:vAlign w:val="center"/>
                </w:tcPr>
                <w:p w14:paraId="1931E9DE">
                  <w:pPr>
                    <w:keepNext w:val="0"/>
                    <w:keepLines w:val="0"/>
                    <w:suppressLineNumbers w:val="0"/>
                    <w:autoSpaceDE w:val="0"/>
                    <w:autoSpaceDN w:val="0"/>
                    <w:adjustRightInd w:val="0"/>
                    <w:snapToGrid w:val="0"/>
                    <w:spacing w:before="0" w:beforeAutospacing="0" w:after="0" w:afterAutospacing="0"/>
                    <w:ind w:left="0" w:right="0"/>
                    <w:rPr>
                      <w:rFonts w:hint="default" w:ascii="Times New Roman" w:hAnsi="Times New Roman" w:cs="Times New Roman"/>
                      <w:color w:val="auto"/>
                      <w:highlight w:val="none"/>
                    </w:rPr>
                  </w:pPr>
                  <w:r>
                    <w:rPr>
                      <w:rFonts w:hint="default" w:ascii="Times New Roman" w:hAnsi="Times New Roman" w:cs="Times New Roman"/>
                      <w:color w:val="auto"/>
                      <w:highlight w:val="none"/>
                    </w:rPr>
                    <w:t>排放废气含有毒有害污染物，二噁英、苯并</w:t>
                  </w:r>
                  <w:r>
                    <w:rPr>
                      <w:rFonts w:hint="eastAsia"/>
                      <w:color w:val="auto"/>
                      <w:spacing w:val="0"/>
                      <w:highlight w:val="none"/>
                      <w:lang w:val="en-US" w:eastAsia="zh-CN"/>
                    </w:rPr>
                    <w:t>[a]芘</w:t>
                  </w:r>
                  <w:r>
                    <w:rPr>
                      <w:rFonts w:hint="default" w:ascii="Times New Roman" w:hAnsi="Times New Roman" w:cs="Times New Roman"/>
                      <w:color w:val="auto"/>
                      <w:highlight w:val="none"/>
                    </w:rPr>
                    <w:t>、氰化物、氯气且厂界外500米范围内有环境空气保护目标的建设项目。</w:t>
                  </w:r>
                </w:p>
              </w:tc>
              <w:tc>
                <w:tcPr>
                  <w:tcW w:w="1567" w:type="pct"/>
                  <w:tcBorders>
                    <w:tl2br w:val="nil"/>
                    <w:tr2bl w:val="nil"/>
                  </w:tcBorders>
                  <w:noWrap w:val="0"/>
                  <w:vAlign w:val="center"/>
                </w:tcPr>
                <w:p w14:paraId="6C3511C5">
                  <w:pPr>
                    <w:keepNext w:val="0"/>
                    <w:keepLines w:val="0"/>
                    <w:suppressLineNumbers w:val="0"/>
                    <w:autoSpaceDE w:val="0"/>
                    <w:autoSpaceDN w:val="0"/>
                    <w:adjustRightInd w:val="0"/>
                    <w:snapToGrid w:val="0"/>
                    <w:spacing w:before="0" w:beforeAutospacing="0" w:after="0" w:afterAutospacing="0"/>
                    <w:ind w:left="0" w:right="0"/>
                    <w:rPr>
                      <w:rFonts w:hint="default" w:ascii="Times New Roman" w:hAnsi="Times New Roman" w:cs="Times New Roman"/>
                      <w:color w:val="auto"/>
                      <w:highlight w:val="none"/>
                    </w:rPr>
                  </w:pPr>
                  <w:r>
                    <w:rPr>
                      <w:rFonts w:hint="default" w:ascii="Times New Roman" w:hAnsi="Times New Roman" w:cs="Times New Roman"/>
                      <w:color w:val="auto"/>
                      <w:highlight w:val="none"/>
                    </w:rPr>
                    <w:t>本项目排放废气不含有毒有害污染物二噁英、苯并</w:t>
                  </w:r>
                  <w:r>
                    <w:rPr>
                      <w:rFonts w:hint="eastAsia"/>
                      <w:color w:val="auto"/>
                      <w:spacing w:val="0"/>
                      <w:highlight w:val="none"/>
                      <w:lang w:val="en-US" w:eastAsia="zh-CN"/>
                    </w:rPr>
                    <w:t>[a]芘</w:t>
                  </w:r>
                  <w:r>
                    <w:rPr>
                      <w:rFonts w:hint="default" w:ascii="Times New Roman" w:hAnsi="Times New Roman" w:cs="Times New Roman"/>
                      <w:color w:val="auto"/>
                      <w:highlight w:val="none"/>
                    </w:rPr>
                    <w:t>、氰化物、氯气。</w:t>
                  </w:r>
                </w:p>
              </w:tc>
              <w:tc>
                <w:tcPr>
                  <w:tcW w:w="777" w:type="pct"/>
                  <w:tcBorders>
                    <w:tl2br w:val="nil"/>
                    <w:tr2bl w:val="nil"/>
                  </w:tcBorders>
                  <w:noWrap w:val="0"/>
                  <w:vAlign w:val="center"/>
                </w:tcPr>
                <w:p w14:paraId="639F0B68">
                  <w:pPr>
                    <w:keepNext w:val="0"/>
                    <w:keepLines w:val="0"/>
                    <w:suppressLineNumbers w:val="0"/>
                    <w:spacing w:before="0" w:beforeAutospacing="0" w:after="0" w:afterAutospacing="0" w:line="0" w:lineRule="atLeast"/>
                    <w:ind w:left="0" w:right="0"/>
                    <w:jc w:val="center"/>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highlight w:val="none"/>
                    </w:rPr>
                    <w:t>无需设置</w:t>
                  </w:r>
                </w:p>
              </w:tc>
            </w:tr>
            <w:tr w14:paraId="13DF73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39" w:type="pct"/>
                  <w:tcBorders>
                    <w:tl2br w:val="nil"/>
                    <w:tr2bl w:val="nil"/>
                  </w:tcBorders>
                  <w:noWrap w:val="0"/>
                  <w:vAlign w:val="center"/>
                </w:tcPr>
                <w:p w14:paraId="3DEE3485">
                  <w:pPr>
                    <w:keepNext w:val="0"/>
                    <w:keepLines w:val="0"/>
                    <w:suppressLineNumbers w:val="0"/>
                    <w:autoSpaceDE w:val="0"/>
                    <w:autoSpaceDN w:val="0"/>
                    <w:adjustRightInd w:val="0"/>
                    <w:snapToGrid w:val="0"/>
                    <w:spacing w:before="0" w:beforeAutospacing="0" w:after="0" w:afterAutospacing="0"/>
                    <w:ind w:left="0" w:right="0"/>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地表水</w:t>
                  </w:r>
                </w:p>
              </w:tc>
              <w:tc>
                <w:tcPr>
                  <w:tcW w:w="1715" w:type="pct"/>
                  <w:tcBorders>
                    <w:tl2br w:val="nil"/>
                    <w:tr2bl w:val="nil"/>
                  </w:tcBorders>
                  <w:noWrap w:val="0"/>
                  <w:vAlign w:val="center"/>
                </w:tcPr>
                <w:p w14:paraId="6BA53234">
                  <w:pPr>
                    <w:keepNext w:val="0"/>
                    <w:keepLines w:val="0"/>
                    <w:suppressLineNumbers w:val="0"/>
                    <w:autoSpaceDE w:val="0"/>
                    <w:autoSpaceDN w:val="0"/>
                    <w:adjustRightInd w:val="0"/>
                    <w:snapToGrid w:val="0"/>
                    <w:spacing w:before="0" w:beforeAutospacing="0" w:after="0" w:afterAutospacing="0"/>
                    <w:ind w:left="0" w:right="0"/>
                    <w:rPr>
                      <w:rFonts w:hint="default" w:ascii="Times New Roman" w:hAnsi="Times New Roman" w:cs="Times New Roman"/>
                      <w:color w:val="auto"/>
                      <w:highlight w:val="none"/>
                    </w:rPr>
                  </w:pPr>
                  <w:r>
                    <w:rPr>
                      <w:rFonts w:hint="default" w:ascii="Times New Roman" w:hAnsi="Times New Roman" w:cs="Times New Roman"/>
                      <w:color w:val="auto"/>
                      <w:highlight w:val="none"/>
                    </w:rPr>
                    <w:t>新增工业废水直排建设项目（槽罐车外送污水处理厂的除外）；新增废水直排的污水集中处理厂。</w:t>
                  </w:r>
                </w:p>
              </w:tc>
              <w:tc>
                <w:tcPr>
                  <w:tcW w:w="1567" w:type="pct"/>
                  <w:tcBorders>
                    <w:tl2br w:val="nil"/>
                    <w:tr2bl w:val="nil"/>
                  </w:tcBorders>
                  <w:noWrap w:val="0"/>
                  <w:vAlign w:val="center"/>
                </w:tcPr>
                <w:p w14:paraId="6DE9CBA1">
                  <w:pPr>
                    <w:keepNext w:val="0"/>
                    <w:keepLines w:val="0"/>
                    <w:suppressLineNumbers w:val="0"/>
                    <w:autoSpaceDE w:val="0"/>
                    <w:autoSpaceDN w:val="0"/>
                    <w:adjustRightInd w:val="0"/>
                    <w:snapToGrid w:val="0"/>
                    <w:spacing w:before="0" w:beforeAutospacing="0" w:after="0" w:afterAutospacing="0"/>
                    <w:ind w:left="0" w:right="0"/>
                    <w:rPr>
                      <w:rFonts w:hint="default" w:ascii="Times New Roman" w:hAnsi="Times New Roman" w:cs="Times New Roman"/>
                      <w:color w:val="auto"/>
                      <w:highlight w:val="none"/>
                    </w:rPr>
                  </w:pPr>
                  <w:r>
                    <w:rPr>
                      <w:rFonts w:hint="default" w:ascii="Times New Roman" w:hAnsi="Times New Roman" w:cs="Times New Roman"/>
                      <w:color w:val="auto"/>
                      <w:highlight w:val="none"/>
                    </w:rPr>
                    <w:t>本项目</w:t>
                  </w:r>
                  <w:r>
                    <w:rPr>
                      <w:rFonts w:hint="eastAsia" w:cs="Times New Roman"/>
                      <w:color w:val="auto"/>
                      <w:highlight w:val="none"/>
                      <w:lang w:val="en-US" w:eastAsia="zh-CN"/>
                    </w:rPr>
                    <w:t>不属于</w:t>
                  </w:r>
                  <w:r>
                    <w:rPr>
                      <w:rFonts w:hint="default" w:ascii="Times New Roman" w:hAnsi="Times New Roman" w:cs="Times New Roman"/>
                      <w:color w:val="auto"/>
                      <w:highlight w:val="none"/>
                    </w:rPr>
                    <w:t>工业废水直排项目，不属于废水直排的污水集中处理厂。</w:t>
                  </w:r>
                </w:p>
              </w:tc>
              <w:tc>
                <w:tcPr>
                  <w:tcW w:w="777" w:type="pct"/>
                  <w:tcBorders>
                    <w:tl2br w:val="nil"/>
                    <w:tr2bl w:val="nil"/>
                  </w:tcBorders>
                  <w:noWrap w:val="0"/>
                  <w:vAlign w:val="center"/>
                </w:tcPr>
                <w:p w14:paraId="7CD09945">
                  <w:pPr>
                    <w:keepNext w:val="0"/>
                    <w:keepLines w:val="0"/>
                    <w:suppressLineNumbers w:val="0"/>
                    <w:spacing w:before="0" w:beforeAutospacing="0" w:after="0" w:afterAutospacing="0" w:line="0" w:lineRule="atLeast"/>
                    <w:ind w:left="0" w:right="0"/>
                    <w:jc w:val="center"/>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highlight w:val="none"/>
                    </w:rPr>
                    <w:t>无需设置</w:t>
                  </w:r>
                </w:p>
              </w:tc>
            </w:tr>
            <w:tr w14:paraId="23FEF3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39" w:type="pct"/>
                  <w:tcBorders>
                    <w:tl2br w:val="nil"/>
                    <w:tr2bl w:val="nil"/>
                  </w:tcBorders>
                  <w:noWrap w:val="0"/>
                  <w:vAlign w:val="center"/>
                </w:tcPr>
                <w:p w14:paraId="4EB739B7">
                  <w:pPr>
                    <w:keepNext w:val="0"/>
                    <w:keepLines w:val="0"/>
                    <w:suppressLineNumbers w:val="0"/>
                    <w:autoSpaceDE w:val="0"/>
                    <w:autoSpaceDN w:val="0"/>
                    <w:adjustRightInd w:val="0"/>
                    <w:snapToGrid w:val="0"/>
                    <w:spacing w:before="0" w:beforeAutospacing="0" w:after="0" w:afterAutospacing="0"/>
                    <w:ind w:left="0" w:right="0"/>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环境风险</w:t>
                  </w:r>
                </w:p>
              </w:tc>
              <w:tc>
                <w:tcPr>
                  <w:tcW w:w="1715" w:type="pct"/>
                  <w:tcBorders>
                    <w:tl2br w:val="nil"/>
                    <w:tr2bl w:val="nil"/>
                  </w:tcBorders>
                  <w:noWrap w:val="0"/>
                  <w:vAlign w:val="center"/>
                </w:tcPr>
                <w:p w14:paraId="104BD568">
                  <w:pPr>
                    <w:keepNext w:val="0"/>
                    <w:keepLines w:val="0"/>
                    <w:suppressLineNumbers w:val="0"/>
                    <w:autoSpaceDE w:val="0"/>
                    <w:autoSpaceDN w:val="0"/>
                    <w:adjustRightInd w:val="0"/>
                    <w:snapToGrid w:val="0"/>
                    <w:spacing w:before="0" w:beforeAutospacing="0" w:after="0" w:afterAutospacing="0"/>
                    <w:ind w:left="0" w:right="0"/>
                    <w:rPr>
                      <w:rFonts w:hint="default" w:ascii="Times New Roman" w:hAnsi="Times New Roman" w:cs="Times New Roman"/>
                      <w:color w:val="auto"/>
                      <w:highlight w:val="none"/>
                    </w:rPr>
                  </w:pPr>
                  <w:r>
                    <w:rPr>
                      <w:rFonts w:hint="default" w:ascii="Times New Roman" w:hAnsi="Times New Roman" w:cs="Times New Roman"/>
                      <w:color w:val="auto"/>
                      <w:highlight w:val="none"/>
                    </w:rPr>
                    <w:t>有毒有害和易燃易爆危险物质存储量超过临界量的建设项目。</w:t>
                  </w:r>
                </w:p>
              </w:tc>
              <w:tc>
                <w:tcPr>
                  <w:tcW w:w="1567" w:type="pct"/>
                  <w:tcBorders>
                    <w:tl2br w:val="nil"/>
                    <w:tr2bl w:val="nil"/>
                  </w:tcBorders>
                  <w:noWrap w:val="0"/>
                  <w:vAlign w:val="center"/>
                </w:tcPr>
                <w:p w14:paraId="59665385">
                  <w:pPr>
                    <w:keepNext w:val="0"/>
                    <w:keepLines w:val="0"/>
                    <w:suppressLineNumbers w:val="0"/>
                    <w:autoSpaceDE w:val="0"/>
                    <w:autoSpaceDN w:val="0"/>
                    <w:adjustRightInd w:val="0"/>
                    <w:snapToGrid w:val="0"/>
                    <w:spacing w:before="0" w:beforeAutospacing="0" w:after="0" w:afterAutospacing="0"/>
                    <w:ind w:left="0" w:right="0"/>
                    <w:rPr>
                      <w:rFonts w:hint="default" w:ascii="Times New Roman" w:hAnsi="Times New Roman" w:cs="Times New Roman"/>
                      <w:color w:val="auto"/>
                      <w:highlight w:val="none"/>
                    </w:rPr>
                  </w:pPr>
                  <w:r>
                    <w:rPr>
                      <w:rFonts w:hint="eastAsia"/>
                      <w:color w:val="auto"/>
                      <w:lang w:val="en-US" w:eastAsia="zh-CN"/>
                    </w:rPr>
                    <w:t>项目Q＜1，详见项目环境风险分析章节</w:t>
                  </w:r>
                  <w:r>
                    <w:rPr>
                      <w:rFonts w:hint="default" w:ascii="Times New Roman" w:hAnsi="Times New Roman" w:cs="Times New Roman"/>
                      <w:color w:val="auto"/>
                      <w:highlight w:val="none"/>
                    </w:rPr>
                    <w:t>。</w:t>
                  </w:r>
                </w:p>
              </w:tc>
              <w:tc>
                <w:tcPr>
                  <w:tcW w:w="777" w:type="pct"/>
                  <w:tcBorders>
                    <w:tl2br w:val="nil"/>
                    <w:tr2bl w:val="nil"/>
                  </w:tcBorders>
                  <w:noWrap w:val="0"/>
                  <w:vAlign w:val="center"/>
                </w:tcPr>
                <w:p w14:paraId="743EC3DE">
                  <w:pPr>
                    <w:keepNext w:val="0"/>
                    <w:keepLines w:val="0"/>
                    <w:suppressLineNumbers w:val="0"/>
                    <w:spacing w:before="0" w:beforeAutospacing="0" w:after="0" w:afterAutospacing="0" w:line="0" w:lineRule="atLeast"/>
                    <w:ind w:left="0" w:right="0"/>
                    <w:jc w:val="center"/>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highlight w:val="none"/>
                    </w:rPr>
                    <w:t>无需设置</w:t>
                  </w:r>
                </w:p>
              </w:tc>
            </w:tr>
            <w:tr w14:paraId="5B6FF4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39" w:type="pct"/>
                  <w:tcBorders>
                    <w:tl2br w:val="nil"/>
                    <w:tr2bl w:val="nil"/>
                  </w:tcBorders>
                  <w:noWrap w:val="0"/>
                  <w:vAlign w:val="center"/>
                </w:tcPr>
                <w:p w14:paraId="4E65D052">
                  <w:pPr>
                    <w:keepNext w:val="0"/>
                    <w:keepLines w:val="0"/>
                    <w:suppressLineNumbers w:val="0"/>
                    <w:autoSpaceDE w:val="0"/>
                    <w:autoSpaceDN w:val="0"/>
                    <w:adjustRightInd w:val="0"/>
                    <w:snapToGrid w:val="0"/>
                    <w:spacing w:before="0" w:beforeAutospacing="0" w:after="0" w:afterAutospacing="0"/>
                    <w:ind w:left="0" w:right="0"/>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生态</w:t>
                  </w:r>
                </w:p>
              </w:tc>
              <w:tc>
                <w:tcPr>
                  <w:tcW w:w="1715" w:type="pct"/>
                  <w:tcBorders>
                    <w:tl2br w:val="nil"/>
                    <w:tr2bl w:val="nil"/>
                  </w:tcBorders>
                  <w:noWrap w:val="0"/>
                  <w:vAlign w:val="center"/>
                </w:tcPr>
                <w:p w14:paraId="7D4DA41C">
                  <w:pPr>
                    <w:keepNext w:val="0"/>
                    <w:keepLines w:val="0"/>
                    <w:suppressLineNumbers w:val="0"/>
                    <w:autoSpaceDE w:val="0"/>
                    <w:autoSpaceDN w:val="0"/>
                    <w:adjustRightInd w:val="0"/>
                    <w:snapToGrid w:val="0"/>
                    <w:spacing w:before="0" w:beforeAutospacing="0" w:after="0" w:afterAutospacing="0"/>
                    <w:ind w:left="0" w:right="0"/>
                    <w:rPr>
                      <w:rFonts w:hint="default" w:ascii="Times New Roman" w:hAnsi="Times New Roman" w:cs="Times New Roman"/>
                      <w:color w:val="auto"/>
                      <w:highlight w:val="none"/>
                    </w:rPr>
                  </w:pPr>
                  <w:r>
                    <w:rPr>
                      <w:rFonts w:hint="default" w:ascii="Times New Roman" w:hAnsi="Times New Roman" w:cs="Times New Roman"/>
                      <w:color w:val="auto"/>
                      <w:highlight w:val="none"/>
                    </w:rPr>
                    <w:t>取水口下游500米范围内有重要水生生物的自然产卵场、索饵场、越冬场和洄游通道的新增河道取水的污染建设项目。</w:t>
                  </w:r>
                </w:p>
              </w:tc>
              <w:tc>
                <w:tcPr>
                  <w:tcW w:w="1567" w:type="pct"/>
                  <w:tcBorders>
                    <w:tl2br w:val="nil"/>
                    <w:tr2bl w:val="nil"/>
                  </w:tcBorders>
                  <w:noWrap w:val="0"/>
                  <w:vAlign w:val="center"/>
                </w:tcPr>
                <w:p w14:paraId="4BF71D5E">
                  <w:pPr>
                    <w:keepNext w:val="0"/>
                    <w:keepLines w:val="0"/>
                    <w:suppressLineNumbers w:val="0"/>
                    <w:autoSpaceDE w:val="0"/>
                    <w:autoSpaceDN w:val="0"/>
                    <w:adjustRightInd w:val="0"/>
                    <w:snapToGrid w:val="0"/>
                    <w:spacing w:before="0" w:beforeAutospacing="0" w:after="0" w:afterAutospacing="0"/>
                    <w:ind w:left="0" w:right="0"/>
                    <w:rPr>
                      <w:rFonts w:hint="default" w:ascii="Times New Roman" w:hAnsi="Times New Roman" w:cs="Times New Roman"/>
                      <w:color w:val="auto"/>
                      <w:highlight w:val="none"/>
                    </w:rPr>
                  </w:pPr>
                  <w:r>
                    <w:rPr>
                      <w:rFonts w:hint="eastAsia" w:ascii="Times New Roman" w:hAnsi="Times New Roman" w:eastAsia="宋体" w:cs="Times New Roman"/>
                      <w:b w:val="0"/>
                      <w:bCs w:val="0"/>
                      <w:color w:val="auto"/>
                      <w:kern w:val="0"/>
                      <w:sz w:val="21"/>
                      <w:szCs w:val="21"/>
                      <w:lang w:val="en-US" w:eastAsia="zh-CN"/>
                    </w:rPr>
                    <w:t>本项目</w:t>
                  </w:r>
                  <w:r>
                    <w:rPr>
                      <w:rFonts w:hint="eastAsia" w:ascii="Times New Roman" w:hAnsi="Times New Roman" w:eastAsia="宋体" w:cs="Times New Roman"/>
                      <w:b w:val="0"/>
                      <w:bCs w:val="0"/>
                      <w:color w:val="auto"/>
                      <w:kern w:val="0"/>
                      <w:sz w:val="21"/>
                      <w:szCs w:val="21"/>
                      <w:lang w:eastAsia="zh-CN"/>
                    </w:rPr>
                    <w:t>不涉及</w:t>
                  </w:r>
                  <w:r>
                    <w:rPr>
                      <w:rFonts w:hint="default"/>
                      <w:color w:val="auto"/>
                    </w:rPr>
                    <w:t>取水口</w:t>
                  </w:r>
                  <w:r>
                    <w:rPr>
                      <w:rFonts w:hint="eastAsia"/>
                      <w:color w:val="auto"/>
                      <w:lang w:eastAsia="zh-CN"/>
                    </w:rPr>
                    <w:t>。</w:t>
                  </w:r>
                </w:p>
              </w:tc>
              <w:tc>
                <w:tcPr>
                  <w:tcW w:w="777" w:type="pct"/>
                  <w:tcBorders>
                    <w:tl2br w:val="nil"/>
                    <w:tr2bl w:val="nil"/>
                  </w:tcBorders>
                  <w:noWrap w:val="0"/>
                  <w:vAlign w:val="center"/>
                </w:tcPr>
                <w:p w14:paraId="1A5F3074">
                  <w:pPr>
                    <w:keepNext w:val="0"/>
                    <w:keepLines w:val="0"/>
                    <w:suppressLineNumbers w:val="0"/>
                    <w:spacing w:before="0" w:beforeAutospacing="0" w:after="0" w:afterAutospacing="0" w:line="0" w:lineRule="atLeast"/>
                    <w:ind w:left="0" w:right="0"/>
                    <w:jc w:val="center"/>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highlight w:val="none"/>
                    </w:rPr>
                    <w:t>无需设置</w:t>
                  </w:r>
                </w:p>
              </w:tc>
            </w:tr>
            <w:tr w14:paraId="7D0034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39" w:type="pct"/>
                  <w:tcBorders>
                    <w:tl2br w:val="nil"/>
                    <w:tr2bl w:val="nil"/>
                  </w:tcBorders>
                  <w:noWrap w:val="0"/>
                  <w:vAlign w:val="center"/>
                </w:tcPr>
                <w:p w14:paraId="44F4C488">
                  <w:pPr>
                    <w:keepNext w:val="0"/>
                    <w:keepLines w:val="0"/>
                    <w:suppressLineNumbers w:val="0"/>
                    <w:autoSpaceDE w:val="0"/>
                    <w:autoSpaceDN w:val="0"/>
                    <w:adjustRightInd w:val="0"/>
                    <w:snapToGrid w:val="0"/>
                    <w:spacing w:before="0" w:beforeAutospacing="0" w:after="0" w:afterAutospacing="0"/>
                    <w:ind w:left="0" w:right="0"/>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海洋</w:t>
                  </w:r>
                </w:p>
              </w:tc>
              <w:tc>
                <w:tcPr>
                  <w:tcW w:w="1715" w:type="pct"/>
                  <w:tcBorders>
                    <w:tl2br w:val="nil"/>
                    <w:tr2bl w:val="nil"/>
                  </w:tcBorders>
                  <w:noWrap w:val="0"/>
                  <w:vAlign w:val="center"/>
                </w:tcPr>
                <w:p w14:paraId="571A6183">
                  <w:pPr>
                    <w:keepNext w:val="0"/>
                    <w:keepLines w:val="0"/>
                    <w:suppressLineNumbers w:val="0"/>
                    <w:autoSpaceDE w:val="0"/>
                    <w:autoSpaceDN w:val="0"/>
                    <w:adjustRightInd w:val="0"/>
                    <w:snapToGrid w:val="0"/>
                    <w:spacing w:before="0" w:beforeAutospacing="0" w:after="0" w:afterAutospacing="0"/>
                    <w:ind w:left="0" w:right="0"/>
                    <w:rPr>
                      <w:rFonts w:hint="eastAsia" w:ascii="Times New Roman" w:hAnsi="Times New Roman" w:eastAsia="宋体" w:cs="Times New Roman"/>
                      <w:color w:val="auto"/>
                      <w:highlight w:val="none"/>
                      <w:lang w:eastAsia="zh-CN"/>
                    </w:rPr>
                  </w:pPr>
                  <w:r>
                    <w:rPr>
                      <w:rFonts w:hint="default" w:ascii="Times New Roman" w:hAnsi="Times New Roman" w:cs="Times New Roman"/>
                      <w:color w:val="auto"/>
                      <w:highlight w:val="none"/>
                    </w:rPr>
                    <w:t>直接向海排放污染物的海洋工程建设项目</w:t>
                  </w:r>
                  <w:r>
                    <w:rPr>
                      <w:rFonts w:hint="eastAsia" w:cs="Times New Roman"/>
                      <w:color w:val="auto"/>
                      <w:highlight w:val="none"/>
                      <w:lang w:eastAsia="zh-CN"/>
                    </w:rPr>
                    <w:t>。</w:t>
                  </w:r>
                </w:p>
              </w:tc>
              <w:tc>
                <w:tcPr>
                  <w:tcW w:w="1567" w:type="pct"/>
                  <w:tcBorders>
                    <w:tl2br w:val="nil"/>
                    <w:tr2bl w:val="nil"/>
                  </w:tcBorders>
                  <w:noWrap w:val="0"/>
                  <w:vAlign w:val="center"/>
                </w:tcPr>
                <w:p w14:paraId="6F1BAFB0">
                  <w:pPr>
                    <w:keepNext w:val="0"/>
                    <w:keepLines w:val="0"/>
                    <w:suppressLineNumbers w:val="0"/>
                    <w:autoSpaceDE w:val="0"/>
                    <w:autoSpaceDN w:val="0"/>
                    <w:adjustRightInd w:val="0"/>
                    <w:snapToGrid w:val="0"/>
                    <w:spacing w:before="0" w:beforeAutospacing="0" w:after="0" w:afterAutospacing="0"/>
                    <w:ind w:left="0" w:right="0"/>
                    <w:rPr>
                      <w:rFonts w:hint="default" w:ascii="Times New Roman" w:hAnsi="Times New Roman" w:eastAsia="宋体" w:cs="Times New Roman"/>
                      <w:color w:val="auto"/>
                      <w:highlight w:val="none"/>
                      <w:lang w:eastAsia="zh-CN"/>
                    </w:rPr>
                  </w:pPr>
                  <w:r>
                    <w:rPr>
                      <w:rFonts w:hint="default" w:ascii="Times New Roman" w:hAnsi="Times New Roman" w:cs="Times New Roman"/>
                      <w:color w:val="auto"/>
                      <w:highlight w:val="none"/>
                    </w:rPr>
                    <w:t>本项目不属于直接向海排放污染物的海洋工程建设项目</w:t>
                  </w:r>
                  <w:r>
                    <w:rPr>
                      <w:rFonts w:hint="default" w:ascii="Times New Roman" w:hAnsi="Times New Roman" w:cs="Times New Roman"/>
                      <w:color w:val="auto"/>
                      <w:highlight w:val="none"/>
                      <w:lang w:eastAsia="zh-CN"/>
                    </w:rPr>
                    <w:t>。</w:t>
                  </w:r>
                </w:p>
              </w:tc>
              <w:tc>
                <w:tcPr>
                  <w:tcW w:w="777" w:type="pct"/>
                  <w:tcBorders>
                    <w:tl2br w:val="nil"/>
                    <w:tr2bl w:val="nil"/>
                  </w:tcBorders>
                  <w:noWrap w:val="0"/>
                  <w:vAlign w:val="center"/>
                </w:tcPr>
                <w:p w14:paraId="62A02EC6">
                  <w:pPr>
                    <w:keepNext w:val="0"/>
                    <w:keepLines w:val="0"/>
                    <w:suppressLineNumbers w:val="0"/>
                    <w:spacing w:before="0" w:beforeAutospacing="0" w:after="0" w:afterAutospacing="0" w:line="0" w:lineRule="atLeast"/>
                    <w:ind w:left="0" w:right="0"/>
                    <w:jc w:val="center"/>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highlight w:val="none"/>
                    </w:rPr>
                    <w:t>无需设置</w:t>
                  </w:r>
                </w:p>
              </w:tc>
            </w:tr>
            <w:tr w14:paraId="296ADC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39" w:type="pct"/>
                  <w:tcBorders>
                    <w:tl2br w:val="nil"/>
                    <w:tr2bl w:val="nil"/>
                  </w:tcBorders>
                  <w:noWrap w:val="0"/>
                  <w:vAlign w:val="center"/>
                </w:tcPr>
                <w:p w14:paraId="388EE4F4">
                  <w:pPr>
                    <w:keepNext w:val="0"/>
                    <w:keepLines w:val="0"/>
                    <w:suppressLineNumbers w:val="0"/>
                    <w:autoSpaceDE w:val="0"/>
                    <w:autoSpaceDN w:val="0"/>
                    <w:adjustRightInd w:val="0"/>
                    <w:snapToGrid w:val="0"/>
                    <w:spacing w:before="0" w:beforeAutospacing="0" w:after="0" w:afterAutospacing="0"/>
                    <w:ind w:left="0" w:right="0"/>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地下水</w:t>
                  </w:r>
                </w:p>
              </w:tc>
              <w:tc>
                <w:tcPr>
                  <w:tcW w:w="1715" w:type="pct"/>
                  <w:tcBorders>
                    <w:tl2br w:val="nil"/>
                    <w:tr2bl w:val="nil"/>
                  </w:tcBorders>
                  <w:noWrap w:val="0"/>
                  <w:vAlign w:val="center"/>
                </w:tcPr>
                <w:p w14:paraId="35972128">
                  <w:pPr>
                    <w:keepNext w:val="0"/>
                    <w:keepLines w:val="0"/>
                    <w:suppressLineNumbers w:val="0"/>
                    <w:autoSpaceDE w:val="0"/>
                    <w:autoSpaceDN w:val="0"/>
                    <w:adjustRightInd w:val="0"/>
                    <w:snapToGrid w:val="0"/>
                    <w:spacing w:before="0" w:beforeAutospacing="0" w:after="0" w:afterAutospacing="0"/>
                    <w:ind w:left="0" w:right="0"/>
                    <w:rPr>
                      <w:rFonts w:hint="default" w:ascii="Times New Roman" w:hAnsi="Times New Roman" w:cs="Times New Roman"/>
                      <w:color w:val="auto"/>
                      <w:highlight w:val="none"/>
                    </w:rPr>
                  </w:pPr>
                  <w:r>
                    <w:rPr>
                      <w:rFonts w:hint="default" w:ascii="Times New Roman" w:hAnsi="Times New Roman" w:cs="Times New Roman"/>
                      <w:color w:val="auto"/>
                      <w:highlight w:val="none"/>
                    </w:rPr>
                    <w:t>涉及集中式饮用水水源和热水、矿泉水、温泉等特殊地下水资源保护区的开展地下水专项评价工作。</w:t>
                  </w:r>
                </w:p>
              </w:tc>
              <w:tc>
                <w:tcPr>
                  <w:tcW w:w="1567" w:type="pct"/>
                  <w:tcBorders>
                    <w:tl2br w:val="nil"/>
                    <w:tr2bl w:val="nil"/>
                  </w:tcBorders>
                  <w:noWrap w:val="0"/>
                  <w:vAlign w:val="center"/>
                </w:tcPr>
                <w:p w14:paraId="7FEB1160">
                  <w:pPr>
                    <w:keepNext w:val="0"/>
                    <w:keepLines w:val="0"/>
                    <w:suppressLineNumbers w:val="0"/>
                    <w:autoSpaceDE w:val="0"/>
                    <w:autoSpaceDN w:val="0"/>
                    <w:adjustRightInd w:val="0"/>
                    <w:snapToGrid w:val="0"/>
                    <w:spacing w:before="0" w:beforeAutospacing="0" w:after="0" w:afterAutospacing="0"/>
                    <w:ind w:left="0" w:right="0"/>
                    <w:rPr>
                      <w:rFonts w:hint="default" w:ascii="Times New Roman" w:hAnsi="Times New Roman" w:cs="Times New Roman"/>
                      <w:color w:val="auto"/>
                      <w:highlight w:val="none"/>
                    </w:rPr>
                  </w:pPr>
                  <w:r>
                    <w:rPr>
                      <w:rFonts w:hint="default" w:ascii="Times New Roman" w:hAnsi="Times New Roman" w:cs="Times New Roman"/>
                      <w:color w:val="auto"/>
                      <w:szCs w:val="21"/>
                      <w:highlight w:val="none"/>
                    </w:rPr>
                    <w:t>本项目不涉及</w:t>
                  </w:r>
                  <w:r>
                    <w:rPr>
                      <w:rFonts w:hint="default" w:ascii="Times New Roman" w:hAnsi="Times New Roman" w:cs="Times New Roman"/>
                      <w:color w:val="auto"/>
                      <w:highlight w:val="none"/>
                    </w:rPr>
                    <w:t>集中式饮用水水源和热水、矿泉水、温泉等特殊地下水资源保护区。</w:t>
                  </w:r>
                </w:p>
              </w:tc>
              <w:tc>
                <w:tcPr>
                  <w:tcW w:w="777" w:type="pct"/>
                  <w:tcBorders>
                    <w:tl2br w:val="nil"/>
                    <w:tr2bl w:val="nil"/>
                  </w:tcBorders>
                  <w:noWrap w:val="0"/>
                  <w:vAlign w:val="center"/>
                </w:tcPr>
                <w:p w14:paraId="782BAB83">
                  <w:pPr>
                    <w:keepNext w:val="0"/>
                    <w:keepLines w:val="0"/>
                    <w:suppressLineNumbers w:val="0"/>
                    <w:spacing w:before="0" w:beforeAutospacing="0" w:after="0" w:afterAutospacing="0" w:line="0" w:lineRule="atLeast"/>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highlight w:val="none"/>
                    </w:rPr>
                    <w:t>无需设置</w:t>
                  </w:r>
                </w:p>
              </w:tc>
            </w:tr>
          </w:tbl>
          <w:p w14:paraId="4682DF81">
            <w:pPr>
              <w:keepNext w:val="0"/>
              <w:keepLines w:val="0"/>
              <w:suppressLineNumbers w:val="0"/>
              <w:autoSpaceDE w:val="0"/>
              <w:autoSpaceDN w:val="0"/>
              <w:adjustRightInd w:val="0"/>
              <w:snapToGrid w:val="0"/>
              <w:spacing w:before="0" w:beforeAutospacing="0" w:after="0" w:afterAutospacing="0"/>
              <w:ind w:left="0" w:right="0"/>
              <w:jc w:val="center"/>
              <w:rPr>
                <w:rFonts w:hint="default" w:ascii="Times New Roman" w:hAnsi="Times New Roman" w:cs="Times New Roman"/>
                <w:color w:val="auto"/>
                <w:kern w:val="0"/>
                <w:sz w:val="24"/>
                <w:highlight w:val="none"/>
              </w:rPr>
            </w:pPr>
          </w:p>
        </w:tc>
      </w:tr>
      <w:tr w14:paraId="53E7C87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2050" w:type="dxa"/>
            <w:vAlign w:val="center"/>
          </w:tcPr>
          <w:p w14:paraId="39320CAF">
            <w:pPr>
              <w:keepNext w:val="0"/>
              <w:keepLines w:val="0"/>
              <w:suppressLineNumbers w:val="0"/>
              <w:autoSpaceDE w:val="0"/>
              <w:autoSpaceDN w:val="0"/>
              <w:adjustRightInd w:val="0"/>
              <w:snapToGrid w:val="0"/>
              <w:spacing w:before="0" w:beforeAutospacing="0" w:after="0" w:afterAutospacing="0"/>
              <w:ind w:left="0" w:right="0"/>
              <w:jc w:val="center"/>
              <w:rPr>
                <w:rFonts w:hint="default" w:ascii="Times New Roman" w:hAnsi="Times New Roman" w:cs="Times New Roman"/>
                <w:color w:val="auto"/>
                <w:kern w:val="0"/>
                <w:szCs w:val="21"/>
                <w:highlight w:val="none"/>
              </w:rPr>
            </w:pPr>
            <w:r>
              <w:rPr>
                <w:rFonts w:hint="default" w:ascii="Times New Roman" w:hAnsi="Times New Roman" w:cs="Times New Roman"/>
                <w:b/>
                <w:bCs/>
                <w:color w:val="auto"/>
                <w:sz w:val="24"/>
                <w:highlight w:val="none"/>
              </w:rPr>
              <w:t>规划情况</w:t>
            </w:r>
          </w:p>
        </w:tc>
        <w:tc>
          <w:tcPr>
            <w:tcW w:w="6820" w:type="dxa"/>
            <w:gridSpan w:val="3"/>
            <w:vAlign w:val="center"/>
          </w:tcPr>
          <w:p w14:paraId="627AD4B9">
            <w:pPr>
              <w:pStyle w:val="115"/>
              <w:keepNext w:val="0"/>
              <w:keepLines w:val="0"/>
              <w:suppressLineNumbers w:val="0"/>
              <w:shd w:val="clear" w:color="auto" w:fill="auto"/>
              <w:spacing w:before="0" w:beforeAutospacing="0" w:after="0" w:afterAutospacing="0"/>
              <w:ind w:left="0" w:right="0" w:firstLine="480"/>
              <w:rPr>
                <w:rFonts w:hint="eastAsia" w:cs="Times New Roman"/>
                <w:color w:val="auto"/>
                <w:sz w:val="24"/>
                <w:highlight w:val="none"/>
                <w:shd w:val="clear" w:color="auto" w:fill="FFFFFF"/>
                <w:lang w:val="en-US" w:eastAsia="zh-CN"/>
              </w:rPr>
            </w:pPr>
            <w:r>
              <w:rPr>
                <w:rFonts w:hint="eastAsia" w:cs="Times New Roman"/>
                <w:color w:val="auto"/>
                <w:sz w:val="24"/>
                <w:highlight w:val="none"/>
                <w:shd w:val="clear" w:color="auto" w:fill="FFFFFF"/>
                <w:lang w:val="en-US" w:eastAsia="zh-CN"/>
              </w:rPr>
              <w:t>规划名称：</w:t>
            </w:r>
            <w:r>
              <w:rPr>
                <w:rFonts w:hint="eastAsia"/>
                <w:color w:val="auto"/>
                <w:highlight w:val="none"/>
              </w:rPr>
              <w:t>《江西乐平工业园区扩区调区塔山、鸣山工业园控制性详细规划》</w:t>
            </w:r>
            <w:r>
              <w:rPr>
                <w:rFonts w:hint="eastAsia" w:cs="Times New Roman"/>
                <w:color w:val="auto"/>
                <w:sz w:val="24"/>
                <w:highlight w:val="none"/>
                <w:shd w:val="clear" w:color="auto" w:fill="FFFFFF"/>
                <w:lang w:val="en-US" w:eastAsia="zh-CN"/>
              </w:rPr>
              <w:t>；</w:t>
            </w:r>
          </w:p>
          <w:p w14:paraId="6347534C">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80" w:firstLineChars="200"/>
              <w:jc w:val="both"/>
              <w:textAlignment w:val="auto"/>
              <w:rPr>
                <w:rFonts w:hint="eastAsia" w:cs="Times New Roman"/>
                <w:color w:val="auto"/>
                <w:sz w:val="24"/>
                <w:highlight w:val="none"/>
                <w:shd w:val="clear" w:color="auto" w:fill="FFFFFF"/>
                <w:lang w:val="en-US" w:eastAsia="zh-CN"/>
              </w:rPr>
            </w:pPr>
            <w:r>
              <w:rPr>
                <w:rFonts w:hint="eastAsia" w:cs="Times New Roman"/>
                <w:color w:val="auto"/>
                <w:sz w:val="24"/>
                <w:highlight w:val="none"/>
                <w:shd w:val="clear" w:color="auto" w:fill="FFFFFF"/>
                <w:lang w:val="en-US" w:eastAsia="zh-CN"/>
              </w:rPr>
              <w:t>审查机关：江西省人民政府；</w:t>
            </w:r>
          </w:p>
          <w:p w14:paraId="36FC79AB">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80" w:firstLineChars="200"/>
              <w:jc w:val="both"/>
              <w:textAlignment w:val="auto"/>
              <w:rPr>
                <w:rFonts w:hint="eastAsia" w:ascii="Times New Roman" w:hAnsi="Times New Roman" w:eastAsia="宋体" w:cs="Times New Roman"/>
                <w:color w:val="auto"/>
                <w:sz w:val="24"/>
                <w:highlight w:val="none"/>
                <w:shd w:val="clear" w:color="auto" w:fill="FFFFFF"/>
                <w:lang w:val="en-US" w:eastAsia="zh-CN"/>
              </w:rPr>
            </w:pPr>
            <w:r>
              <w:rPr>
                <w:rFonts w:hint="eastAsia" w:cs="Times New Roman"/>
                <w:color w:val="auto"/>
                <w:sz w:val="24"/>
                <w:highlight w:val="none"/>
                <w:shd w:val="clear" w:color="auto" w:fill="FFFFFF"/>
                <w:lang w:val="en-US" w:eastAsia="zh-CN"/>
              </w:rPr>
              <w:t>审批文号：赣府厅字〔2024〕1号。</w:t>
            </w:r>
          </w:p>
        </w:tc>
      </w:tr>
      <w:tr w14:paraId="10087DF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2050" w:type="dxa"/>
            <w:vAlign w:val="center"/>
          </w:tcPr>
          <w:p w14:paraId="78E1CCEF">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color w:val="auto"/>
                <w:kern w:val="0"/>
                <w:sz w:val="24"/>
                <w:highlight w:val="none"/>
              </w:rPr>
            </w:pPr>
            <w:r>
              <w:rPr>
                <w:rFonts w:hint="default" w:ascii="Times New Roman" w:hAnsi="Times New Roman" w:cs="Times New Roman"/>
                <w:b/>
                <w:bCs/>
                <w:color w:val="auto"/>
                <w:sz w:val="24"/>
                <w:highlight w:val="none"/>
              </w:rPr>
              <w:t>规划环境影响评价情况</w:t>
            </w:r>
          </w:p>
        </w:tc>
        <w:tc>
          <w:tcPr>
            <w:tcW w:w="6820" w:type="dxa"/>
            <w:gridSpan w:val="3"/>
            <w:vAlign w:val="center"/>
          </w:tcPr>
          <w:p w14:paraId="448FD565">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both"/>
              <w:textAlignment w:val="baseline"/>
              <w:outlineLvl w:val="9"/>
              <w:rPr>
                <w:rFonts w:hint="eastAsia" w:cs="Times New Roman"/>
                <w:color w:val="auto"/>
                <w:sz w:val="24"/>
                <w:szCs w:val="24"/>
                <w:highlight w:val="none"/>
                <w:lang w:val="en-US" w:eastAsia="zh-CN"/>
              </w:rPr>
            </w:pPr>
            <w:r>
              <w:rPr>
                <w:rFonts w:hint="eastAsia" w:cs="Times New Roman"/>
                <w:color w:val="auto"/>
                <w:sz w:val="24"/>
                <w:szCs w:val="24"/>
                <w:highlight w:val="none"/>
                <w:lang w:val="en-US" w:eastAsia="zh-CN"/>
              </w:rPr>
              <w:t>规划环评名称：《江西乐平工业园区扩区调区规划环境影响报告书》；</w:t>
            </w:r>
          </w:p>
          <w:p w14:paraId="1F24175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both"/>
              <w:textAlignment w:val="baseline"/>
              <w:outlineLvl w:val="9"/>
              <w:rPr>
                <w:rFonts w:hint="eastAsia" w:cs="Times New Roman"/>
                <w:color w:val="auto"/>
                <w:sz w:val="24"/>
                <w:szCs w:val="24"/>
                <w:highlight w:val="none"/>
                <w:lang w:val="en-US" w:eastAsia="zh-CN"/>
              </w:rPr>
            </w:pPr>
            <w:r>
              <w:rPr>
                <w:rFonts w:hint="eastAsia" w:cs="Times New Roman"/>
                <w:color w:val="auto"/>
                <w:sz w:val="24"/>
                <w:szCs w:val="24"/>
                <w:highlight w:val="none"/>
                <w:lang w:val="en-US" w:eastAsia="zh-CN"/>
              </w:rPr>
              <w:t>审查机关：江西省生态环境厅；</w:t>
            </w:r>
          </w:p>
          <w:p w14:paraId="129D837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both"/>
              <w:textAlignment w:val="baseline"/>
              <w:outlineLvl w:val="9"/>
              <w:rPr>
                <w:rFonts w:hint="default" w:ascii="Times New Roman" w:hAnsi="Times New Roman" w:cs="Times New Roman"/>
                <w:color w:val="auto"/>
                <w:sz w:val="24"/>
                <w:highlight w:val="none"/>
              </w:rPr>
            </w:pPr>
            <w:r>
              <w:rPr>
                <w:rFonts w:hint="eastAsia" w:cs="Times New Roman"/>
                <w:color w:val="auto"/>
                <w:sz w:val="24"/>
                <w:szCs w:val="24"/>
                <w:highlight w:val="none"/>
                <w:lang w:val="en-US" w:eastAsia="zh-CN"/>
              </w:rPr>
              <w:t>审查文件名称及文号：《关于江西乐平工业园扩区调区规划环境影响报告书审查意见的函》（赣环环评函〔2023〕267号）。</w:t>
            </w:r>
          </w:p>
        </w:tc>
      </w:tr>
      <w:tr w14:paraId="271BF38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06" w:hRule="atLeast"/>
          <w:jc w:val="center"/>
        </w:trPr>
        <w:tc>
          <w:tcPr>
            <w:tcW w:w="2050" w:type="dxa"/>
            <w:vAlign w:val="center"/>
          </w:tcPr>
          <w:p w14:paraId="51E73570">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color w:val="auto"/>
                <w:sz w:val="24"/>
                <w:highlight w:val="none"/>
                <w:lang w:val="zh-CN"/>
              </w:rPr>
            </w:pPr>
            <w:r>
              <w:rPr>
                <w:rFonts w:hint="default" w:ascii="Times New Roman" w:hAnsi="Times New Roman" w:cs="Times New Roman"/>
                <w:b/>
                <w:bCs/>
                <w:color w:val="auto"/>
                <w:sz w:val="24"/>
                <w:highlight w:val="none"/>
                <w:lang w:val="zh-CN"/>
              </w:rPr>
              <w:t>规划及规划环境影响评价符合性分析</w:t>
            </w:r>
          </w:p>
        </w:tc>
        <w:tc>
          <w:tcPr>
            <w:tcW w:w="6820" w:type="dxa"/>
            <w:gridSpan w:val="3"/>
            <w:vAlign w:val="center"/>
          </w:tcPr>
          <w:p w14:paraId="41B0F17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firstLine="482" w:firstLineChars="200"/>
              <w:jc w:val="both"/>
              <w:textAlignment w:val="baseline"/>
              <w:outlineLvl w:val="9"/>
              <w:rPr>
                <w:rFonts w:hint="eastAsia" w:cs="Times New Roman"/>
                <w:b w:val="0"/>
                <w:bCs w:val="0"/>
                <w:color w:val="auto"/>
                <w:sz w:val="24"/>
                <w:szCs w:val="24"/>
                <w:highlight w:val="none"/>
                <w:lang w:val="en-US" w:eastAsia="zh-CN"/>
              </w:rPr>
            </w:pPr>
            <w:r>
              <w:rPr>
                <w:rFonts w:hint="eastAsia" w:cs="Times New Roman"/>
                <w:b/>
                <w:bCs/>
                <w:color w:val="auto"/>
                <w:sz w:val="24"/>
                <w:szCs w:val="24"/>
                <w:highlight w:val="none"/>
                <w:lang w:val="en-US" w:eastAsia="zh-CN"/>
              </w:rPr>
              <w:t>与规划符合性分析：</w:t>
            </w:r>
            <w:r>
              <w:rPr>
                <w:rFonts w:hint="eastAsia" w:cs="Times New Roman"/>
                <w:b w:val="0"/>
                <w:bCs w:val="0"/>
                <w:color w:val="auto"/>
                <w:sz w:val="24"/>
                <w:szCs w:val="24"/>
                <w:highlight w:val="none"/>
                <w:lang w:val="en-US" w:eastAsia="zh-CN"/>
              </w:rPr>
              <w:t>根据《江西乐平工业园区中长期发展规划（2022—2030年）》，本次规划期限为2022—2030年，基准年为2021年，分为近期和中长期两个阶段。具体内容如下：</w:t>
            </w:r>
          </w:p>
          <w:p w14:paraId="3032A47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firstLine="482" w:firstLineChars="200"/>
              <w:jc w:val="both"/>
              <w:textAlignment w:val="baseline"/>
              <w:outlineLvl w:val="9"/>
              <w:rPr>
                <w:rFonts w:hint="eastAsia" w:cs="Times New Roman"/>
                <w:b/>
                <w:bCs/>
                <w:color w:val="auto"/>
                <w:sz w:val="24"/>
                <w:szCs w:val="24"/>
                <w:highlight w:val="none"/>
                <w:lang w:val="en-US" w:eastAsia="zh-CN"/>
              </w:rPr>
            </w:pPr>
            <w:r>
              <w:rPr>
                <w:rFonts w:hint="eastAsia" w:cs="Times New Roman"/>
                <w:b/>
                <w:bCs/>
                <w:color w:val="auto"/>
                <w:sz w:val="24"/>
                <w:szCs w:val="24"/>
                <w:highlight w:val="none"/>
                <w:lang w:val="en-US" w:eastAsia="zh-CN"/>
              </w:rPr>
              <w:t>规划范围：</w:t>
            </w:r>
          </w:p>
          <w:p w14:paraId="52DE798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firstLine="480" w:firstLineChars="200"/>
              <w:jc w:val="both"/>
              <w:textAlignment w:val="baseline"/>
              <w:outlineLvl w:val="9"/>
              <w:rPr>
                <w:rFonts w:hint="eastAsia" w:cs="Times New Roman"/>
                <w:b w:val="0"/>
                <w:bCs w:val="0"/>
                <w:color w:val="auto"/>
                <w:sz w:val="24"/>
                <w:szCs w:val="24"/>
                <w:highlight w:val="none"/>
                <w:lang w:val="en-US" w:eastAsia="zh-CN"/>
              </w:rPr>
            </w:pPr>
            <w:r>
              <w:rPr>
                <w:rFonts w:hint="eastAsia" w:cs="Times New Roman"/>
                <w:b w:val="0"/>
                <w:bCs w:val="0"/>
                <w:color w:val="auto"/>
                <w:sz w:val="24"/>
                <w:szCs w:val="24"/>
                <w:highlight w:val="none"/>
                <w:lang w:val="en-US" w:eastAsia="zh-CN"/>
              </w:rPr>
              <w:t>塔山工业园规划面积1069.52公顷，扩区后四至范围为：东临塔山十四路、塔山十五路及自然山体阻隔，南至S411（老屋村、洪家），西接塔山九路、塔山八路和塔山西路（塔山村，临近乐安河），北至工业五路和工业一路（沈家岭、上畈村）。</w:t>
            </w:r>
          </w:p>
          <w:p w14:paraId="42CE1D9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firstLine="480" w:firstLineChars="200"/>
              <w:jc w:val="both"/>
              <w:textAlignment w:val="baseline"/>
              <w:outlineLvl w:val="9"/>
              <w:rPr>
                <w:rFonts w:hint="eastAsia" w:cs="Times New Roman"/>
                <w:b/>
                <w:bCs/>
                <w:color w:val="auto"/>
                <w:sz w:val="24"/>
                <w:szCs w:val="24"/>
                <w:highlight w:val="none"/>
                <w:lang w:val="en-US" w:eastAsia="zh-CN"/>
              </w:rPr>
            </w:pPr>
            <w:r>
              <w:rPr>
                <w:rFonts w:hint="eastAsia" w:cs="Times New Roman"/>
                <w:b w:val="0"/>
                <w:bCs w:val="0"/>
                <w:color w:val="auto"/>
                <w:sz w:val="24"/>
                <w:szCs w:val="24"/>
                <w:highlight w:val="none"/>
                <w:lang w:val="en-US" w:eastAsia="zh-CN"/>
              </w:rPr>
              <w:t>鸣山工业园规划面积66.99公顷，规划范围为：东至经三路、南至纬二路、西至支一路、北至S306。</w:t>
            </w:r>
          </w:p>
          <w:p w14:paraId="0B64B49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firstLine="480" w:firstLineChars="200"/>
              <w:jc w:val="both"/>
              <w:textAlignment w:val="baseline"/>
              <w:outlineLvl w:val="9"/>
              <w:rPr>
                <w:rFonts w:hint="eastAsia" w:cs="Times New Roman"/>
                <w:b w:val="0"/>
                <w:bCs w:val="0"/>
                <w:color w:val="auto"/>
                <w:sz w:val="24"/>
                <w:szCs w:val="24"/>
                <w:highlight w:val="none"/>
                <w:lang w:val="en-US" w:eastAsia="zh-CN"/>
              </w:rPr>
            </w:pPr>
            <w:r>
              <w:rPr>
                <w:rFonts w:hint="eastAsia" w:cs="Times New Roman"/>
                <w:b w:val="0"/>
                <w:bCs w:val="0"/>
                <w:color w:val="auto"/>
                <w:sz w:val="24"/>
                <w:szCs w:val="24"/>
                <w:highlight w:val="none"/>
                <w:lang w:val="en-US" w:eastAsia="zh-CN"/>
              </w:rPr>
              <w:t>金山工业园规划面积为642.55公顷，规划范围为：东临规划S205、南至吴乐线、西接G206，北至规划新建S306。</w:t>
            </w:r>
          </w:p>
          <w:p w14:paraId="50D9CBF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firstLine="480" w:firstLineChars="200"/>
              <w:jc w:val="both"/>
              <w:textAlignment w:val="baseline"/>
              <w:outlineLvl w:val="9"/>
              <w:rPr>
                <w:rFonts w:hint="eastAsia" w:cs="Times New Roman"/>
                <w:b w:val="0"/>
                <w:bCs w:val="0"/>
                <w:color w:val="auto"/>
                <w:sz w:val="24"/>
                <w:szCs w:val="24"/>
                <w:highlight w:val="none"/>
                <w:lang w:val="en-US" w:eastAsia="zh-CN"/>
              </w:rPr>
            </w:pPr>
            <w:r>
              <w:rPr>
                <w:rFonts w:hint="eastAsia" w:cs="Times New Roman"/>
                <w:b w:val="0"/>
                <w:bCs w:val="0"/>
                <w:color w:val="auto"/>
                <w:sz w:val="24"/>
                <w:szCs w:val="24"/>
                <w:highlight w:val="none"/>
                <w:lang w:val="en-US" w:eastAsia="zh-CN"/>
              </w:rPr>
              <w:t>产业布局：</w:t>
            </w:r>
          </w:p>
          <w:p w14:paraId="3CA1CB7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firstLine="480" w:firstLineChars="200"/>
              <w:jc w:val="both"/>
              <w:textAlignment w:val="baseline"/>
              <w:outlineLvl w:val="9"/>
              <w:rPr>
                <w:rFonts w:hint="eastAsia" w:cs="Times New Roman"/>
                <w:b w:val="0"/>
                <w:bCs w:val="0"/>
                <w:color w:val="auto"/>
                <w:sz w:val="24"/>
                <w:szCs w:val="24"/>
                <w:highlight w:val="none"/>
                <w:lang w:val="en-US" w:eastAsia="zh-CN"/>
              </w:rPr>
            </w:pPr>
            <w:r>
              <w:rPr>
                <w:rFonts w:hint="eastAsia" w:cs="Times New Roman"/>
                <w:b w:val="0"/>
                <w:bCs w:val="0"/>
                <w:color w:val="auto"/>
                <w:sz w:val="24"/>
                <w:szCs w:val="24"/>
                <w:highlight w:val="none"/>
                <w:lang w:val="en-US" w:eastAsia="zh-CN"/>
              </w:rPr>
              <w:t>塔山工业园：重点发展精细化工、医药化工、新材料、有色金属冶炼（仅限于贵金属回收利用）等产业；</w:t>
            </w:r>
          </w:p>
          <w:p w14:paraId="4BE2DBF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firstLine="480" w:firstLineChars="200"/>
              <w:jc w:val="both"/>
              <w:textAlignment w:val="baseline"/>
              <w:outlineLvl w:val="9"/>
              <w:rPr>
                <w:rFonts w:hint="eastAsia" w:cs="Times New Roman"/>
                <w:b w:val="0"/>
                <w:bCs w:val="0"/>
                <w:color w:val="auto"/>
                <w:sz w:val="24"/>
                <w:szCs w:val="24"/>
                <w:highlight w:val="none"/>
                <w:lang w:val="en-US" w:eastAsia="zh-CN"/>
              </w:rPr>
            </w:pPr>
            <w:r>
              <w:rPr>
                <w:rFonts w:hint="eastAsia" w:cs="Times New Roman"/>
                <w:b w:val="0"/>
                <w:bCs w:val="0"/>
                <w:color w:val="auto"/>
                <w:sz w:val="24"/>
                <w:szCs w:val="24"/>
                <w:highlight w:val="none"/>
                <w:lang w:val="en-US" w:eastAsia="zh-CN"/>
              </w:rPr>
              <w:t>鸣山工业园：着重发展新型建材、机械电子等产业；</w:t>
            </w:r>
          </w:p>
          <w:p w14:paraId="0284D21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firstLine="480" w:firstLineChars="200"/>
              <w:jc w:val="both"/>
              <w:textAlignment w:val="baseline"/>
              <w:outlineLvl w:val="9"/>
              <w:rPr>
                <w:rFonts w:hint="eastAsia" w:cs="Times New Roman"/>
                <w:b w:val="0"/>
                <w:bCs w:val="0"/>
                <w:color w:val="auto"/>
                <w:sz w:val="24"/>
                <w:szCs w:val="24"/>
                <w:highlight w:val="none"/>
                <w:lang w:val="en-US" w:eastAsia="zh-CN"/>
              </w:rPr>
            </w:pPr>
            <w:r>
              <w:rPr>
                <w:rFonts w:hint="eastAsia" w:cs="Times New Roman"/>
                <w:b w:val="0"/>
                <w:bCs w:val="0"/>
                <w:color w:val="auto"/>
                <w:sz w:val="24"/>
                <w:szCs w:val="24"/>
                <w:highlight w:val="none"/>
                <w:lang w:val="en-US" w:eastAsia="zh-CN"/>
              </w:rPr>
              <w:t>金山工业园：着重新型建材、机械电子、有色金属制品、绿色纺织化纤等产业。</w:t>
            </w:r>
          </w:p>
          <w:p w14:paraId="65393FB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firstLine="480" w:firstLineChars="200"/>
              <w:jc w:val="both"/>
              <w:textAlignment w:val="baseline"/>
              <w:outlineLvl w:val="9"/>
              <w:rPr>
                <w:rFonts w:hint="eastAsia" w:cs="Times New Roman"/>
                <w:color w:val="auto"/>
                <w:sz w:val="24"/>
                <w:szCs w:val="24"/>
                <w:highlight w:val="none"/>
                <w:lang w:val="en-US" w:eastAsia="zh-CN"/>
              </w:rPr>
            </w:pPr>
            <w:r>
              <w:rPr>
                <w:rFonts w:hint="eastAsia" w:cs="Times New Roman"/>
                <w:color w:val="auto"/>
                <w:sz w:val="24"/>
                <w:szCs w:val="24"/>
                <w:highlight w:val="none"/>
                <w:lang w:val="en-US" w:eastAsia="zh-CN"/>
              </w:rPr>
              <w:t>本项目位于江西省景德镇市乐平市金山工业园机械电子产业区。本项目主要从事皮鞋、高跟鞋、注塑鞋制造，属于制鞋业，与机械电子产业不冲突，不属于园区限制和禁止产业。</w:t>
            </w:r>
          </w:p>
          <w:p w14:paraId="3082309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firstLine="482" w:firstLineChars="200"/>
              <w:jc w:val="both"/>
              <w:textAlignment w:val="baseline"/>
              <w:outlineLvl w:val="9"/>
              <w:rPr>
                <w:rFonts w:hint="eastAsia" w:cs="Times New Roman"/>
                <w:color w:val="auto"/>
                <w:sz w:val="24"/>
                <w:szCs w:val="24"/>
                <w:highlight w:val="none"/>
                <w:lang w:val="en-US" w:eastAsia="zh-CN"/>
              </w:rPr>
            </w:pPr>
            <w:r>
              <w:rPr>
                <w:rFonts w:hint="eastAsia" w:cs="Times New Roman"/>
                <w:b/>
                <w:bCs/>
                <w:color w:val="auto"/>
                <w:sz w:val="24"/>
                <w:szCs w:val="24"/>
                <w:highlight w:val="none"/>
                <w:lang w:val="en-US" w:eastAsia="zh-CN"/>
              </w:rPr>
              <w:t>规划环评符合性分析：</w:t>
            </w:r>
            <w:r>
              <w:rPr>
                <w:rFonts w:hint="eastAsia" w:cs="Times New Roman"/>
                <w:color w:val="auto"/>
                <w:sz w:val="24"/>
                <w:szCs w:val="24"/>
                <w:highlight w:val="none"/>
                <w:lang w:val="en-US" w:eastAsia="zh-CN"/>
              </w:rPr>
              <w:t>根据《江西乐平工业园区扩区调区规划环境影响报告书》和《关于江西乐平工业园区扩区调区规划环境影响报告书审查意见的函》（赣环环评函〔2023〕267号），江西乐平工业园区本次扩区调区后总规划面积1779.06公顷，按“一区三园”规划，含塔山工业园、金山工业园、鸣山工业园。塔山工业园规划面积为1069.52公顷，以精细化工、医药化工、新材料、有色金属冶炼（仅限贵金属回收利用）等为主导产业；金山工业园规划面积为642.55公顷，以新型建材、机械电子、有色金属制品、绿色纺织化纤等为主导产业，鸣山工业园规划面积为66.99公顷，以新型建材、机械电子等为主导产业。</w:t>
            </w:r>
          </w:p>
          <w:p w14:paraId="315C151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firstLine="480" w:firstLineChars="200"/>
              <w:jc w:val="both"/>
              <w:textAlignment w:val="baseline"/>
              <w:outlineLvl w:val="9"/>
              <w:rPr>
                <w:rFonts w:hint="eastAsia" w:cs="Times New Roman"/>
                <w:color w:val="auto"/>
                <w:sz w:val="24"/>
                <w:szCs w:val="24"/>
                <w:highlight w:val="none"/>
                <w:lang w:val="en-US" w:eastAsia="zh-CN"/>
              </w:rPr>
            </w:pPr>
            <w:r>
              <w:rPr>
                <w:rFonts w:hint="eastAsia" w:cs="Times New Roman"/>
                <w:color w:val="auto"/>
                <w:sz w:val="24"/>
                <w:szCs w:val="24"/>
                <w:highlight w:val="none"/>
                <w:lang w:val="en-US" w:eastAsia="zh-CN"/>
              </w:rPr>
              <w:t>本项目位于江西省景德镇市乐平市金山工业园机械电子区。根据《江西乐平工业园区扩区调区规划环境影响报告书》江西乐平工业园区机械电子区集中布局同类上下游企业，形成以废旧电子产业拆解及深加工、技术研发、零部件加工等为上游产业，以汽车配件、导航仪、电容器、温控器、温度传感器、LED半导体、显示器等生产为中游产业，以电子电器消费及回收为主的下游产业的循环产业链。本项目主要生产皮鞋、高跟鞋、注塑鞋，属于制鞋业，与机械电子产业不冲突，不属于园区限制和禁止产业</w:t>
            </w:r>
            <w:r>
              <w:rPr>
                <w:rFonts w:hint="eastAsia" w:cs="Times New Roman"/>
                <w:b w:val="0"/>
                <w:bCs w:val="0"/>
                <w:color w:val="auto"/>
                <w:sz w:val="24"/>
                <w:szCs w:val="24"/>
                <w:highlight w:val="none"/>
                <w:lang w:val="en-US" w:eastAsia="zh-CN"/>
              </w:rPr>
              <w:t>。</w:t>
            </w:r>
            <w:r>
              <w:rPr>
                <w:rFonts w:hint="default" w:ascii="Times New Roman" w:hAnsi="Times New Roman" w:cs="Times New Roman"/>
                <w:b w:val="0"/>
                <w:bCs w:val="0"/>
                <w:color w:val="auto"/>
                <w:sz w:val="24"/>
                <w:szCs w:val="24"/>
                <w:highlight w:val="none"/>
                <w:lang w:val="zh-CN"/>
              </w:rPr>
              <w:t>故本项目</w:t>
            </w:r>
            <w:r>
              <w:rPr>
                <w:rFonts w:hint="eastAsia" w:cs="Times New Roman"/>
                <w:b w:val="0"/>
                <w:bCs w:val="0"/>
                <w:color w:val="auto"/>
                <w:sz w:val="24"/>
                <w:szCs w:val="24"/>
                <w:highlight w:val="none"/>
                <w:lang w:val="en-US" w:eastAsia="zh-CN"/>
              </w:rPr>
              <w:t>与规划环评相符，选址可行。</w:t>
            </w:r>
          </w:p>
          <w:p w14:paraId="0EE3750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firstLine="480" w:firstLineChars="200"/>
              <w:jc w:val="both"/>
              <w:textAlignment w:val="baseline"/>
              <w:outlineLvl w:val="9"/>
              <w:rPr>
                <w:rFonts w:hint="eastAsia" w:cs="Times New Roman"/>
                <w:color w:val="auto"/>
                <w:sz w:val="24"/>
                <w:szCs w:val="24"/>
                <w:highlight w:val="none"/>
                <w:lang w:val="en-US" w:eastAsia="zh-CN"/>
              </w:rPr>
            </w:pPr>
            <w:r>
              <w:rPr>
                <w:rFonts w:hint="eastAsia" w:cs="Times New Roman"/>
                <w:color w:val="auto"/>
                <w:sz w:val="24"/>
                <w:szCs w:val="24"/>
                <w:highlight w:val="none"/>
                <w:lang w:val="en-US" w:eastAsia="zh-CN"/>
              </w:rPr>
              <w:t>根据《江西乐平工业园区扩区调区规划环境影响报告书》，项目与江西乐平工业园区生态环境准入清单相符性分析见表1-2。</w:t>
            </w:r>
          </w:p>
          <w:p w14:paraId="140EA1F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outlineLvl w:val="9"/>
              <w:rPr>
                <w:rFonts w:hint="default" w:ascii="Times New Roman" w:hAnsi="Times New Roman" w:eastAsia="宋体" w:cs="Times New Roman"/>
                <w:color w:val="auto"/>
                <w:highlight w:val="none"/>
                <w:vertAlign w:val="baseline"/>
                <w:lang w:val="en-US" w:eastAsia="zh-CN"/>
              </w:rPr>
            </w:pPr>
            <w:r>
              <w:rPr>
                <w:rFonts w:hint="eastAsia" w:ascii="Times New Roman" w:hAnsi="Times New Roman" w:cs="Times New Roman"/>
                <w:b/>
                <w:color w:val="auto"/>
                <w:kern w:val="0"/>
                <w:highlight w:val="none"/>
                <w:lang w:val="en-US" w:eastAsia="zh-CN"/>
              </w:rPr>
              <w:t xml:space="preserve">表1-2 </w:t>
            </w:r>
            <w:r>
              <w:rPr>
                <w:rFonts w:hint="eastAsia" w:cs="Times New Roman"/>
                <w:b/>
                <w:color w:val="auto"/>
                <w:kern w:val="0"/>
                <w:highlight w:val="none"/>
                <w:lang w:val="en-US" w:eastAsia="zh-CN"/>
              </w:rPr>
              <w:t xml:space="preserve"> </w:t>
            </w:r>
            <w:r>
              <w:rPr>
                <w:rFonts w:hint="eastAsia" w:ascii="Times New Roman" w:hAnsi="Times New Roman" w:cs="Times New Roman"/>
                <w:b/>
                <w:color w:val="auto"/>
                <w:kern w:val="0"/>
                <w:highlight w:val="none"/>
                <w:lang w:val="en-US" w:eastAsia="zh-CN"/>
              </w:rPr>
              <w:t>园区生态环境准入清单</w:t>
            </w:r>
          </w:p>
          <w:tbl>
            <w:tblPr>
              <w:tblStyle w:val="27"/>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52"/>
              <w:gridCol w:w="722"/>
              <w:gridCol w:w="2042"/>
              <w:gridCol w:w="1089"/>
              <w:gridCol w:w="1174"/>
              <w:gridCol w:w="1543"/>
              <w:gridCol w:w="439"/>
            </w:tblGrid>
            <w:tr w14:paraId="14D703F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17" w:hRule="atLeast"/>
                <w:jc w:val="center"/>
              </w:trPr>
              <w:tc>
                <w:tcPr>
                  <w:tcW w:w="0" w:type="auto"/>
                  <w:tcBorders>
                    <w:bottom w:val="single" w:color="auto" w:sz="12" w:space="0"/>
                  </w:tcBorders>
                  <w:vAlign w:val="center"/>
                </w:tcPr>
                <w:p w14:paraId="12E034D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outlineLvl w:val="9"/>
                    <w:rPr>
                      <w:rFonts w:hint="default" w:ascii="Times New Roman" w:hAnsi="Times New Roman" w:eastAsia="宋体" w:cs="Times New Roman"/>
                      <w:b/>
                      <w:bCs/>
                      <w:color w:val="auto"/>
                      <w:highlight w:val="none"/>
                      <w:vertAlign w:val="baseline"/>
                      <w:lang w:val="en-US" w:eastAsia="zh-CN"/>
                    </w:rPr>
                  </w:pPr>
                  <w:r>
                    <w:rPr>
                      <w:rFonts w:hint="eastAsia" w:cs="Times New Roman"/>
                      <w:b/>
                      <w:bCs/>
                      <w:color w:val="auto"/>
                      <w:highlight w:val="none"/>
                      <w:vertAlign w:val="baseline"/>
                      <w:lang w:val="en-US" w:eastAsia="zh-CN"/>
                    </w:rPr>
                    <w:t>片区</w:t>
                  </w:r>
                </w:p>
              </w:tc>
              <w:tc>
                <w:tcPr>
                  <w:tcW w:w="0" w:type="auto"/>
                  <w:tcBorders>
                    <w:bottom w:val="single" w:color="auto" w:sz="12" w:space="0"/>
                  </w:tcBorders>
                  <w:vAlign w:val="center"/>
                </w:tcPr>
                <w:p w14:paraId="788A3290">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outlineLvl w:val="9"/>
                    <w:rPr>
                      <w:rFonts w:hint="default" w:ascii="Times New Roman" w:hAnsi="Times New Roman" w:eastAsia="宋体" w:cs="Times New Roman"/>
                      <w:b/>
                      <w:bCs/>
                      <w:color w:val="auto"/>
                      <w:highlight w:val="none"/>
                      <w:vertAlign w:val="baseline"/>
                      <w:lang w:val="en-US" w:eastAsia="zh-CN"/>
                    </w:rPr>
                  </w:pPr>
                  <w:r>
                    <w:rPr>
                      <w:rFonts w:hint="eastAsia" w:cs="Times New Roman"/>
                      <w:b/>
                      <w:bCs/>
                      <w:color w:val="auto"/>
                      <w:highlight w:val="none"/>
                      <w:vertAlign w:val="baseline"/>
                      <w:lang w:val="en-US" w:eastAsia="zh-CN"/>
                    </w:rPr>
                    <w:t>规划产业</w:t>
                  </w:r>
                </w:p>
              </w:tc>
              <w:tc>
                <w:tcPr>
                  <w:tcW w:w="0" w:type="auto"/>
                  <w:tcBorders>
                    <w:bottom w:val="single" w:color="auto" w:sz="12" w:space="0"/>
                  </w:tcBorders>
                  <w:vAlign w:val="center"/>
                </w:tcPr>
                <w:p w14:paraId="55AD7600">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outlineLvl w:val="9"/>
                    <w:rPr>
                      <w:rFonts w:hint="default" w:ascii="Times New Roman" w:hAnsi="Times New Roman" w:eastAsia="宋体" w:cs="Times New Roman"/>
                      <w:b/>
                      <w:bCs/>
                      <w:color w:val="auto"/>
                      <w:highlight w:val="none"/>
                      <w:vertAlign w:val="baseline"/>
                      <w:lang w:val="en-US" w:eastAsia="zh-CN"/>
                    </w:rPr>
                  </w:pPr>
                  <w:r>
                    <w:rPr>
                      <w:rFonts w:hint="eastAsia" w:cs="Times New Roman"/>
                      <w:b/>
                      <w:bCs/>
                      <w:color w:val="auto"/>
                      <w:highlight w:val="none"/>
                      <w:vertAlign w:val="baseline"/>
                      <w:lang w:val="en-US" w:eastAsia="zh-CN"/>
                    </w:rPr>
                    <w:t>限制发展项目</w:t>
                  </w:r>
                </w:p>
              </w:tc>
              <w:tc>
                <w:tcPr>
                  <w:tcW w:w="0" w:type="auto"/>
                  <w:tcBorders>
                    <w:bottom w:val="single" w:color="auto" w:sz="12" w:space="0"/>
                  </w:tcBorders>
                  <w:vAlign w:val="center"/>
                </w:tcPr>
                <w:p w14:paraId="124E06A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outlineLvl w:val="9"/>
                    <w:rPr>
                      <w:rFonts w:hint="default" w:ascii="Times New Roman" w:hAnsi="Times New Roman" w:eastAsia="宋体" w:cs="Times New Roman"/>
                      <w:b/>
                      <w:bCs/>
                      <w:color w:val="auto"/>
                      <w:highlight w:val="none"/>
                      <w:vertAlign w:val="baseline"/>
                      <w:lang w:val="en-US" w:eastAsia="zh-CN"/>
                    </w:rPr>
                  </w:pPr>
                  <w:r>
                    <w:rPr>
                      <w:rFonts w:hint="eastAsia" w:cs="Times New Roman"/>
                      <w:b/>
                      <w:bCs/>
                      <w:color w:val="auto"/>
                      <w:highlight w:val="none"/>
                      <w:vertAlign w:val="baseline"/>
                      <w:lang w:val="en-US" w:eastAsia="zh-CN"/>
                    </w:rPr>
                    <w:t>禁止准入项目</w:t>
                  </w:r>
                </w:p>
              </w:tc>
              <w:tc>
                <w:tcPr>
                  <w:tcW w:w="0" w:type="auto"/>
                  <w:tcBorders>
                    <w:bottom w:val="single" w:color="auto" w:sz="12" w:space="0"/>
                  </w:tcBorders>
                  <w:vAlign w:val="center"/>
                </w:tcPr>
                <w:p w14:paraId="5D88960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outlineLvl w:val="9"/>
                    <w:rPr>
                      <w:rFonts w:hint="default" w:ascii="Times New Roman" w:hAnsi="Times New Roman" w:eastAsia="宋体" w:cs="Times New Roman"/>
                      <w:b/>
                      <w:bCs/>
                      <w:color w:val="auto"/>
                      <w:highlight w:val="none"/>
                      <w:vertAlign w:val="baseline"/>
                      <w:lang w:val="en-US" w:eastAsia="zh-CN"/>
                    </w:rPr>
                  </w:pPr>
                  <w:r>
                    <w:rPr>
                      <w:rFonts w:hint="default" w:ascii="Times New Roman" w:hAnsi="Times New Roman" w:eastAsia="宋体" w:cs="Times New Roman"/>
                      <w:b/>
                      <w:bCs/>
                      <w:color w:val="auto"/>
                      <w:highlight w:val="none"/>
                      <w:vertAlign w:val="baseline"/>
                      <w:lang w:val="en-US" w:eastAsia="zh-CN"/>
                    </w:rPr>
                    <w:t>允许准入项目</w:t>
                  </w:r>
                  <w:r>
                    <w:rPr>
                      <w:rFonts w:hint="eastAsia" w:cs="Times New Roman"/>
                      <w:b/>
                      <w:bCs/>
                      <w:color w:val="auto"/>
                      <w:highlight w:val="none"/>
                      <w:vertAlign w:val="baseline"/>
                      <w:lang w:val="en-US" w:eastAsia="zh-CN"/>
                    </w:rPr>
                    <w:t>的环</w:t>
                  </w:r>
                  <w:r>
                    <w:rPr>
                      <w:rFonts w:hint="default" w:ascii="Times New Roman" w:hAnsi="Times New Roman" w:eastAsia="宋体" w:cs="Times New Roman"/>
                      <w:b/>
                      <w:bCs/>
                      <w:color w:val="auto"/>
                      <w:highlight w:val="none"/>
                      <w:vertAlign w:val="baseline"/>
                      <w:lang w:val="en-US" w:eastAsia="zh-CN"/>
                    </w:rPr>
                    <w:t>境管理要求</w:t>
                  </w:r>
                </w:p>
              </w:tc>
              <w:tc>
                <w:tcPr>
                  <w:tcW w:w="0" w:type="auto"/>
                  <w:tcBorders>
                    <w:bottom w:val="single" w:color="auto" w:sz="12" w:space="0"/>
                  </w:tcBorders>
                  <w:vAlign w:val="center"/>
                </w:tcPr>
                <w:p w14:paraId="2121F3B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outlineLvl w:val="9"/>
                    <w:rPr>
                      <w:rFonts w:hint="default" w:ascii="Times New Roman" w:hAnsi="Times New Roman" w:eastAsia="宋体" w:cs="Times New Roman"/>
                      <w:b/>
                      <w:bCs/>
                      <w:color w:val="auto"/>
                      <w:highlight w:val="none"/>
                      <w:vertAlign w:val="baseline"/>
                      <w:lang w:val="en-US" w:eastAsia="zh-CN"/>
                    </w:rPr>
                  </w:pPr>
                  <w:r>
                    <w:rPr>
                      <w:rFonts w:hint="eastAsia" w:cs="Times New Roman"/>
                      <w:b/>
                      <w:bCs/>
                      <w:color w:val="auto"/>
                      <w:highlight w:val="none"/>
                      <w:vertAlign w:val="baseline"/>
                      <w:lang w:val="en-US" w:eastAsia="zh-CN"/>
                    </w:rPr>
                    <w:t>本项目</w:t>
                  </w:r>
                </w:p>
              </w:tc>
              <w:tc>
                <w:tcPr>
                  <w:tcW w:w="0" w:type="auto"/>
                  <w:tcBorders>
                    <w:bottom w:val="single" w:color="auto" w:sz="12" w:space="0"/>
                  </w:tcBorders>
                  <w:vAlign w:val="center"/>
                </w:tcPr>
                <w:p w14:paraId="637ECE75">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outlineLvl w:val="9"/>
                    <w:rPr>
                      <w:rFonts w:hint="default" w:cs="Times New Roman"/>
                      <w:b/>
                      <w:bCs/>
                      <w:color w:val="auto"/>
                      <w:highlight w:val="none"/>
                      <w:vertAlign w:val="baseline"/>
                      <w:lang w:val="en-US" w:eastAsia="zh-CN"/>
                    </w:rPr>
                  </w:pPr>
                  <w:r>
                    <w:rPr>
                      <w:rFonts w:hint="eastAsia" w:cs="Times New Roman"/>
                      <w:b/>
                      <w:bCs/>
                      <w:color w:val="auto"/>
                      <w:highlight w:val="none"/>
                      <w:vertAlign w:val="baseline"/>
                      <w:lang w:val="en-US" w:eastAsia="zh-CN"/>
                    </w:rPr>
                    <w:t>相符性</w:t>
                  </w:r>
                </w:p>
              </w:tc>
            </w:tr>
            <w:tr w14:paraId="52D2BF7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65" w:hRule="atLeast"/>
                <w:jc w:val="center"/>
              </w:trPr>
              <w:tc>
                <w:tcPr>
                  <w:tcW w:w="0" w:type="auto"/>
                  <w:tcBorders>
                    <w:top w:val="single" w:color="auto" w:sz="12" w:space="0"/>
                    <w:tl2br w:val="nil"/>
                    <w:tr2bl w:val="nil"/>
                  </w:tcBorders>
                  <w:vAlign w:val="center"/>
                </w:tcPr>
                <w:p w14:paraId="27293A6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outlineLvl w:val="9"/>
                    <w:rPr>
                      <w:rFonts w:hint="default" w:ascii="Times New Roman" w:hAnsi="Times New Roman" w:eastAsia="宋体" w:cs="Times New Roman"/>
                      <w:color w:val="auto"/>
                      <w:highlight w:val="none"/>
                      <w:vertAlign w:val="baseline"/>
                      <w:lang w:val="en-US" w:eastAsia="zh-CN"/>
                    </w:rPr>
                  </w:pPr>
                  <w:r>
                    <w:rPr>
                      <w:rFonts w:hint="eastAsia" w:cs="Times New Roman"/>
                      <w:color w:val="auto"/>
                      <w:highlight w:val="none"/>
                      <w:vertAlign w:val="baseline"/>
                      <w:lang w:val="en-US" w:eastAsia="zh-CN"/>
                    </w:rPr>
                    <w:t>金山工业园</w:t>
                  </w:r>
                </w:p>
              </w:tc>
              <w:tc>
                <w:tcPr>
                  <w:tcW w:w="0" w:type="auto"/>
                  <w:tcBorders>
                    <w:top w:val="single" w:color="auto" w:sz="12" w:space="0"/>
                    <w:tl2br w:val="nil"/>
                    <w:tr2bl w:val="nil"/>
                  </w:tcBorders>
                  <w:vAlign w:val="center"/>
                </w:tcPr>
                <w:p w14:paraId="7388C410">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outlineLvl w:val="9"/>
                    <w:rPr>
                      <w:rFonts w:hint="default" w:ascii="Times New Roman" w:hAnsi="Times New Roman" w:eastAsia="宋体" w:cs="Times New Roman"/>
                      <w:color w:val="auto"/>
                      <w:highlight w:val="none"/>
                      <w:vertAlign w:val="baseline"/>
                      <w:lang w:val="en-US" w:eastAsia="zh-CN"/>
                    </w:rPr>
                  </w:pPr>
                  <w:r>
                    <w:rPr>
                      <w:rFonts w:hint="default" w:ascii="Times New Roman" w:hAnsi="Times New Roman" w:eastAsia="宋体" w:cs="Times New Roman"/>
                      <w:color w:val="auto"/>
                      <w:highlight w:val="none"/>
                      <w:vertAlign w:val="baseline"/>
                      <w:lang w:val="en-US" w:eastAsia="zh-CN"/>
                    </w:rPr>
                    <w:t>新型建材、机械电子、有色金属制品</w:t>
                  </w:r>
                </w:p>
              </w:tc>
              <w:tc>
                <w:tcPr>
                  <w:tcW w:w="0" w:type="auto"/>
                  <w:tcBorders>
                    <w:top w:val="single" w:color="auto" w:sz="12" w:space="0"/>
                    <w:tl2br w:val="nil"/>
                    <w:tr2bl w:val="nil"/>
                  </w:tcBorders>
                  <w:vAlign w:val="center"/>
                </w:tcPr>
                <w:p w14:paraId="7FC39D6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outlineLvl w:val="9"/>
                    <w:rPr>
                      <w:rFonts w:hint="default" w:ascii="Times New Roman" w:hAnsi="Times New Roman" w:eastAsia="宋体" w:cs="Times New Roman"/>
                      <w:color w:val="auto"/>
                      <w:highlight w:val="none"/>
                      <w:vertAlign w:val="baseline"/>
                      <w:lang w:val="en-US" w:eastAsia="zh-CN"/>
                    </w:rPr>
                  </w:pPr>
                  <w:r>
                    <w:rPr>
                      <w:rFonts w:hint="eastAsia" w:cs="Times New Roman"/>
                      <w:color w:val="auto"/>
                      <w:highlight w:val="none"/>
                      <w:vertAlign w:val="baseline"/>
                      <w:lang w:val="en-US" w:eastAsia="zh-CN"/>
                    </w:rPr>
                    <w:t>1.</w:t>
                  </w:r>
                  <w:r>
                    <w:rPr>
                      <w:rFonts w:hint="default" w:ascii="Times New Roman" w:hAnsi="Times New Roman" w:eastAsia="宋体" w:cs="Times New Roman"/>
                      <w:color w:val="auto"/>
                      <w:highlight w:val="none"/>
                      <w:vertAlign w:val="baseline"/>
                      <w:lang w:val="en-US" w:eastAsia="zh-CN"/>
                    </w:rPr>
                    <w:t>因区域现状颗粒物（PM10、PM2.5）短期浓度占标率较高，园区应严控区域颗粒物排放，当企业排放的颗粒物（有组织和无组织）小时最大落地浓度占标率达到10%时，应当提出进一步削减颗粒物排放量（排放速率、排放总量）的措施。2、鉴于金山工业园位于乐平市主城区常年主导风向上风向且距离较近，园区应严格管控大气环境风险，限制大气环境风险潜势大于等于</w:t>
                  </w:r>
                  <w:r>
                    <w:rPr>
                      <w:rFonts w:hint="eastAsia" w:cs="Times New Roman"/>
                      <w:color w:val="auto"/>
                      <w:highlight w:val="none"/>
                      <w:vertAlign w:val="baseline"/>
                      <w:lang w:val="en-US" w:eastAsia="zh-CN"/>
                    </w:rPr>
                    <w:t>Ⅲ级</w:t>
                  </w:r>
                  <w:r>
                    <w:rPr>
                      <w:rFonts w:hint="default" w:ascii="Times New Roman" w:hAnsi="Times New Roman" w:eastAsia="宋体" w:cs="Times New Roman"/>
                      <w:color w:val="auto"/>
                      <w:highlight w:val="none"/>
                      <w:vertAlign w:val="baseline"/>
                      <w:lang w:val="en-US" w:eastAsia="zh-CN"/>
                    </w:rPr>
                    <w:t>的项目入驻。</w:t>
                  </w:r>
                </w:p>
              </w:tc>
              <w:tc>
                <w:tcPr>
                  <w:tcW w:w="0" w:type="auto"/>
                  <w:tcBorders>
                    <w:top w:val="single" w:color="auto" w:sz="12" w:space="0"/>
                    <w:tl2br w:val="nil"/>
                    <w:tr2bl w:val="nil"/>
                  </w:tcBorders>
                  <w:vAlign w:val="center"/>
                </w:tcPr>
                <w:p w14:paraId="6CC42F0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outlineLvl w:val="9"/>
                    <w:rPr>
                      <w:rFonts w:hint="default" w:ascii="Times New Roman" w:hAnsi="Times New Roman" w:eastAsia="宋体" w:cs="Times New Roman"/>
                      <w:color w:val="auto"/>
                      <w:highlight w:val="none"/>
                      <w:vertAlign w:val="baseline"/>
                      <w:lang w:val="en-US" w:eastAsia="zh-CN"/>
                    </w:rPr>
                  </w:pPr>
                  <w:r>
                    <w:rPr>
                      <w:rFonts w:hint="eastAsia" w:cs="Times New Roman"/>
                      <w:color w:val="auto"/>
                      <w:highlight w:val="none"/>
                      <w:vertAlign w:val="baseline"/>
                      <w:lang w:val="en-US" w:eastAsia="zh-CN"/>
                    </w:rPr>
                    <w:t>1.</w:t>
                  </w:r>
                  <w:r>
                    <w:rPr>
                      <w:rFonts w:hint="default" w:ascii="Times New Roman" w:hAnsi="Times New Roman" w:eastAsia="宋体" w:cs="Times New Roman"/>
                      <w:color w:val="auto"/>
                      <w:highlight w:val="none"/>
                      <w:vertAlign w:val="baseline"/>
                      <w:lang w:val="en-US" w:eastAsia="zh-CN"/>
                    </w:rPr>
                    <w:t>不得引入化工、火法冶炼等高能耗、高排放项目；2、不得引入燃用煤炭、原油、重油、渣油的项目。3、不得引入废气、废水中排放五类重金属、二噁英类污染因子的项目</w:t>
                  </w:r>
                </w:p>
              </w:tc>
              <w:tc>
                <w:tcPr>
                  <w:tcW w:w="0" w:type="auto"/>
                  <w:tcBorders>
                    <w:top w:val="single" w:color="auto" w:sz="12" w:space="0"/>
                    <w:tl2br w:val="nil"/>
                    <w:tr2bl w:val="nil"/>
                  </w:tcBorders>
                  <w:vAlign w:val="center"/>
                </w:tcPr>
                <w:p w14:paraId="18DD583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outlineLvl w:val="9"/>
                    <w:rPr>
                      <w:rFonts w:hint="default" w:ascii="Times New Roman" w:hAnsi="Times New Roman" w:eastAsia="宋体" w:cs="Times New Roman"/>
                      <w:color w:val="auto"/>
                      <w:highlight w:val="none"/>
                      <w:vertAlign w:val="baseline"/>
                      <w:lang w:val="en-US" w:eastAsia="zh-CN"/>
                    </w:rPr>
                  </w:pPr>
                  <w:r>
                    <w:rPr>
                      <w:rFonts w:hint="eastAsia" w:cs="Times New Roman"/>
                      <w:color w:val="auto"/>
                      <w:highlight w:val="none"/>
                      <w:vertAlign w:val="baseline"/>
                      <w:lang w:val="en-US" w:eastAsia="zh-CN"/>
                    </w:rPr>
                    <w:t>1.</w:t>
                  </w:r>
                  <w:r>
                    <w:rPr>
                      <w:rFonts w:hint="default" w:ascii="Times New Roman" w:hAnsi="Times New Roman" w:eastAsia="宋体" w:cs="Times New Roman"/>
                      <w:color w:val="auto"/>
                      <w:highlight w:val="none"/>
                      <w:vertAlign w:val="baseline"/>
                      <w:lang w:val="en-US" w:eastAsia="zh-CN"/>
                    </w:rPr>
                    <w:t>工业项目应符合产业政策，清洁生产水平达到国内先进水平；2、新增主要污染物排放量的工业项目必须取得排污指标，且需按证排污；3、工业项目排放污染物必须达到国家和地方规定的污染物排放标准</w:t>
                  </w:r>
                </w:p>
              </w:tc>
              <w:tc>
                <w:tcPr>
                  <w:tcW w:w="0" w:type="auto"/>
                  <w:tcBorders>
                    <w:top w:val="single" w:color="auto" w:sz="12" w:space="0"/>
                    <w:tl2br w:val="nil"/>
                    <w:tr2bl w:val="nil"/>
                  </w:tcBorders>
                  <w:vAlign w:val="center"/>
                </w:tcPr>
                <w:p w14:paraId="3D99CC5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outlineLvl w:val="9"/>
                    <w:rPr>
                      <w:rFonts w:hint="default" w:ascii="Times New Roman" w:hAnsi="Times New Roman" w:eastAsia="宋体" w:cs="Times New Roman"/>
                      <w:color w:val="auto"/>
                      <w:highlight w:val="none"/>
                      <w:vertAlign w:val="baseline"/>
                      <w:lang w:val="en-US" w:eastAsia="zh-CN"/>
                    </w:rPr>
                  </w:pPr>
                  <w:r>
                    <w:rPr>
                      <w:rFonts w:hint="eastAsia" w:cs="Times New Roman"/>
                      <w:color w:val="auto"/>
                      <w:highlight w:val="none"/>
                      <w:vertAlign w:val="baseline"/>
                      <w:lang w:val="en-US" w:eastAsia="zh-CN"/>
                    </w:rPr>
                    <w:t>主要生产皮鞋、高跟鞋、注塑鞋制造，属于制鞋业，符合国家产业政策，不属于园区限制和禁止产业。项目有机废气收集后进行有效处理排放，不属于大气环境风险较大的项目。本项目不属于化工、火法冶炼等高能耗、高排放项目，不涉及燃用煤炭、原油、重油、渣油。本项目排放污染物不涉及五类重金属、二噁英类污染因子。本项目排放污染物可达到国家和地方规定的污染物排放标准，污染物排放满足总量管理要求。</w:t>
                  </w:r>
                </w:p>
              </w:tc>
              <w:tc>
                <w:tcPr>
                  <w:tcW w:w="0" w:type="auto"/>
                  <w:tcBorders>
                    <w:top w:val="single" w:color="auto" w:sz="12" w:space="0"/>
                    <w:tl2br w:val="nil"/>
                    <w:tr2bl w:val="nil"/>
                  </w:tcBorders>
                  <w:vAlign w:val="center"/>
                </w:tcPr>
                <w:p w14:paraId="54EE9D8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outlineLvl w:val="9"/>
                    <w:rPr>
                      <w:rFonts w:hint="default" w:ascii="Times New Roman" w:hAnsi="Times New Roman" w:eastAsia="宋体" w:cs="Times New Roman"/>
                      <w:color w:val="auto"/>
                      <w:highlight w:val="none"/>
                      <w:vertAlign w:val="baseline"/>
                      <w:lang w:val="en-US" w:eastAsia="zh-CN"/>
                    </w:rPr>
                  </w:pPr>
                  <w:r>
                    <w:rPr>
                      <w:rFonts w:hint="eastAsia" w:cs="Times New Roman"/>
                      <w:color w:val="auto"/>
                      <w:highlight w:val="none"/>
                      <w:vertAlign w:val="baseline"/>
                      <w:lang w:val="en-US" w:eastAsia="zh-CN"/>
                    </w:rPr>
                    <w:t>符合</w:t>
                  </w:r>
                </w:p>
              </w:tc>
            </w:tr>
          </w:tbl>
          <w:p w14:paraId="52A5C4EB">
            <w:pPr>
              <w:pStyle w:val="8"/>
              <w:keepNext w:val="0"/>
              <w:keepLines w:val="0"/>
              <w:pageBreakBefore w:val="0"/>
              <w:widowControl w:val="0"/>
              <w:suppressLineNumbers w:val="0"/>
              <w:kinsoku/>
              <w:wordWrap/>
              <w:overflowPunct/>
              <w:topLinePunct w:val="0"/>
              <w:bidi w:val="0"/>
              <w:adjustRightInd w:val="0"/>
              <w:spacing w:before="0" w:beforeAutospacing="0" w:after="0" w:afterAutospacing="0" w:line="360" w:lineRule="auto"/>
              <w:ind w:left="0" w:right="0" w:firstLine="480" w:firstLineChars="200"/>
              <w:jc w:val="both"/>
              <w:rPr>
                <w:rFonts w:hint="default" w:ascii="Times New Roman" w:hAnsi="Times New Roman" w:eastAsia="宋体" w:cs="Times New Roman"/>
                <w:color w:val="auto"/>
                <w:spacing w:val="0"/>
                <w:sz w:val="24"/>
                <w:szCs w:val="24"/>
                <w:highlight w:val="none"/>
                <w:lang w:val="en-US" w:eastAsia="zh-CN"/>
              </w:rPr>
            </w:pPr>
            <w:r>
              <w:rPr>
                <w:rFonts w:hint="default" w:ascii="Times New Roman" w:hAnsi="Times New Roman" w:eastAsia="宋体" w:cs="Times New Roman"/>
                <w:color w:val="auto"/>
                <w:spacing w:val="0"/>
                <w:sz w:val="24"/>
                <w:szCs w:val="24"/>
                <w:highlight w:val="none"/>
                <w:lang w:val="en-US" w:eastAsia="zh-CN"/>
              </w:rPr>
              <w:t>本项目</w:t>
            </w:r>
            <w:r>
              <w:rPr>
                <w:rFonts w:hint="default" w:ascii="Times New Roman" w:hAnsi="Times New Roman" w:eastAsia="宋体" w:cs="Times New Roman"/>
                <w:color w:val="auto"/>
                <w:spacing w:val="0"/>
                <w:sz w:val="24"/>
                <w:szCs w:val="24"/>
                <w:highlight w:val="none"/>
                <w:lang w:eastAsia="zh-CN"/>
              </w:rPr>
              <w:t>与规划环评审查意见相符性</w:t>
            </w:r>
            <w:r>
              <w:rPr>
                <w:rFonts w:hint="default" w:ascii="Times New Roman" w:hAnsi="Times New Roman" w:eastAsia="宋体" w:cs="Times New Roman"/>
                <w:color w:val="auto"/>
                <w:spacing w:val="0"/>
                <w:sz w:val="24"/>
                <w:szCs w:val="24"/>
                <w:highlight w:val="none"/>
                <w:lang w:val="en-US" w:eastAsia="zh-CN"/>
              </w:rPr>
              <w:t>分析详见表1-</w:t>
            </w:r>
            <w:r>
              <w:rPr>
                <w:rFonts w:hint="eastAsia" w:cs="Times New Roman"/>
                <w:color w:val="auto"/>
                <w:spacing w:val="0"/>
                <w:sz w:val="24"/>
                <w:szCs w:val="24"/>
                <w:highlight w:val="none"/>
                <w:lang w:val="en-US" w:eastAsia="zh-CN"/>
              </w:rPr>
              <w:t>3</w:t>
            </w:r>
            <w:r>
              <w:rPr>
                <w:rFonts w:hint="default" w:ascii="Times New Roman" w:hAnsi="Times New Roman" w:eastAsia="宋体" w:cs="Times New Roman"/>
                <w:color w:val="auto"/>
                <w:spacing w:val="0"/>
                <w:sz w:val="24"/>
                <w:szCs w:val="24"/>
                <w:highlight w:val="none"/>
                <w:lang w:val="en-US" w:eastAsia="zh-CN"/>
              </w:rPr>
              <w:t>。</w:t>
            </w:r>
          </w:p>
          <w:p w14:paraId="0AEE6C8C">
            <w:pPr>
              <w:pStyle w:val="8"/>
              <w:keepNext w:val="0"/>
              <w:keepLines w:val="0"/>
              <w:suppressLineNumbers w:val="0"/>
              <w:bidi w:val="0"/>
              <w:spacing w:before="0" w:beforeAutospacing="0" w:after="0" w:afterAutospacing="0"/>
              <w:ind w:left="0" w:right="0"/>
              <w:jc w:val="center"/>
              <w:rPr>
                <w:rFonts w:hint="default" w:cs="Times New Roman"/>
                <w:b/>
                <w:bCs/>
                <w:color w:val="auto"/>
                <w:spacing w:val="0"/>
                <w:highlight w:val="none"/>
                <w:lang w:val="en-US" w:eastAsia="zh-CN"/>
              </w:rPr>
            </w:pPr>
            <w:r>
              <w:rPr>
                <w:rFonts w:hint="default" w:ascii="Times New Roman" w:hAnsi="Times New Roman" w:eastAsia="宋体" w:cs="Times New Roman"/>
                <w:b/>
                <w:bCs/>
                <w:color w:val="auto"/>
                <w:spacing w:val="0"/>
                <w:highlight w:val="none"/>
                <w:lang w:val="en-US" w:eastAsia="zh-CN"/>
              </w:rPr>
              <w:t>表1-</w:t>
            </w:r>
            <w:r>
              <w:rPr>
                <w:rFonts w:hint="eastAsia" w:cs="Times New Roman"/>
                <w:b/>
                <w:bCs/>
                <w:color w:val="auto"/>
                <w:spacing w:val="0"/>
                <w:highlight w:val="none"/>
                <w:lang w:val="en-US" w:eastAsia="zh-CN"/>
              </w:rPr>
              <w:t>3</w:t>
            </w:r>
            <w:r>
              <w:rPr>
                <w:rFonts w:hint="default" w:ascii="Times New Roman" w:hAnsi="Times New Roman" w:eastAsia="宋体" w:cs="Times New Roman"/>
                <w:b/>
                <w:bCs/>
                <w:color w:val="auto"/>
                <w:spacing w:val="0"/>
                <w:highlight w:val="none"/>
                <w:lang w:val="en-US" w:eastAsia="zh-CN"/>
              </w:rPr>
              <w:t xml:space="preserve"> </w:t>
            </w:r>
            <w:r>
              <w:rPr>
                <w:rFonts w:hint="eastAsia" w:cs="Times New Roman"/>
                <w:b/>
                <w:bCs/>
                <w:color w:val="auto"/>
                <w:spacing w:val="0"/>
                <w:highlight w:val="none"/>
                <w:lang w:val="en-US" w:eastAsia="zh-CN"/>
              </w:rPr>
              <w:t xml:space="preserve">  本项目</w:t>
            </w:r>
            <w:r>
              <w:rPr>
                <w:rFonts w:hint="default" w:cs="Times New Roman"/>
                <w:b/>
                <w:bCs/>
                <w:color w:val="auto"/>
                <w:spacing w:val="0"/>
                <w:highlight w:val="none"/>
                <w:lang w:val="en-US" w:eastAsia="zh-CN"/>
              </w:rPr>
              <w:t>与规划环评审查意见相符性</w:t>
            </w:r>
            <w:r>
              <w:rPr>
                <w:rFonts w:hint="eastAsia" w:cs="Times New Roman"/>
                <w:b/>
                <w:bCs/>
                <w:color w:val="auto"/>
                <w:spacing w:val="0"/>
                <w:highlight w:val="none"/>
                <w:lang w:val="en-US" w:eastAsia="zh-CN"/>
              </w:rPr>
              <w:t>分析</w:t>
            </w:r>
          </w:p>
          <w:tbl>
            <w:tblPr>
              <w:tblStyle w:val="26"/>
              <w:tblW w:w="4999"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3797"/>
              <w:gridCol w:w="2845"/>
              <w:gridCol w:w="818"/>
            </w:tblGrid>
            <w:tr w14:paraId="05270D0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84" w:hRule="atLeast"/>
                <w:jc w:val="center"/>
              </w:trPr>
              <w:tc>
                <w:tcPr>
                  <w:tcW w:w="2544" w:type="pct"/>
                  <w:tcBorders>
                    <w:bottom w:val="single" w:color="auto" w:sz="12" w:space="0"/>
                  </w:tcBorders>
                  <w:noWrap w:val="0"/>
                  <w:vAlign w:val="center"/>
                </w:tcPr>
                <w:p w14:paraId="37FC74E1">
                  <w:pPr>
                    <w:pStyle w:val="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default" w:ascii="Times New Roman" w:hAnsi="Times New Roman" w:eastAsia="宋体" w:cs="Times New Roman"/>
                      <w:b/>
                      <w:bCs/>
                      <w:color w:val="auto"/>
                      <w:spacing w:val="0"/>
                      <w:highlight w:val="none"/>
                    </w:rPr>
                  </w:pPr>
                  <w:r>
                    <w:rPr>
                      <w:rFonts w:hint="default" w:ascii="Times New Roman" w:hAnsi="Times New Roman" w:eastAsia="宋体" w:cs="Times New Roman"/>
                      <w:b/>
                      <w:bCs/>
                      <w:color w:val="auto"/>
                      <w:spacing w:val="0"/>
                      <w:highlight w:val="none"/>
                    </w:rPr>
                    <w:t>审查意见</w:t>
                  </w:r>
                </w:p>
              </w:tc>
              <w:tc>
                <w:tcPr>
                  <w:tcW w:w="1906" w:type="pct"/>
                  <w:tcBorders>
                    <w:bottom w:val="single" w:color="auto" w:sz="12" w:space="0"/>
                  </w:tcBorders>
                  <w:noWrap w:val="0"/>
                  <w:vAlign w:val="center"/>
                </w:tcPr>
                <w:p w14:paraId="245A2EAE">
                  <w:pPr>
                    <w:pStyle w:val="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default" w:ascii="Times New Roman" w:hAnsi="Times New Roman" w:eastAsia="宋体" w:cs="Times New Roman"/>
                      <w:b/>
                      <w:bCs/>
                      <w:color w:val="auto"/>
                      <w:spacing w:val="0"/>
                      <w:highlight w:val="none"/>
                    </w:rPr>
                  </w:pPr>
                  <w:r>
                    <w:rPr>
                      <w:rFonts w:hint="default" w:ascii="Times New Roman" w:hAnsi="Times New Roman" w:eastAsia="宋体" w:cs="Times New Roman"/>
                      <w:b/>
                      <w:bCs/>
                      <w:color w:val="auto"/>
                      <w:spacing w:val="0"/>
                      <w:highlight w:val="none"/>
                    </w:rPr>
                    <w:t>本项目情况</w:t>
                  </w:r>
                </w:p>
              </w:tc>
              <w:tc>
                <w:tcPr>
                  <w:tcW w:w="548" w:type="pct"/>
                  <w:tcBorders>
                    <w:bottom w:val="single" w:color="auto" w:sz="12" w:space="0"/>
                  </w:tcBorders>
                  <w:noWrap w:val="0"/>
                  <w:vAlign w:val="center"/>
                </w:tcPr>
                <w:p w14:paraId="190E81C2">
                  <w:pPr>
                    <w:pStyle w:val="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default" w:ascii="Times New Roman" w:hAnsi="Times New Roman" w:eastAsia="宋体" w:cs="Times New Roman"/>
                      <w:b/>
                      <w:bCs/>
                      <w:color w:val="auto"/>
                      <w:spacing w:val="0"/>
                      <w:highlight w:val="none"/>
                    </w:rPr>
                  </w:pPr>
                  <w:r>
                    <w:rPr>
                      <w:rFonts w:hint="default" w:ascii="Times New Roman" w:hAnsi="Times New Roman" w:eastAsia="宋体" w:cs="Times New Roman"/>
                      <w:b/>
                      <w:bCs/>
                      <w:color w:val="auto"/>
                      <w:spacing w:val="0"/>
                      <w:highlight w:val="none"/>
                    </w:rPr>
                    <w:t>符合性</w:t>
                  </w:r>
                </w:p>
              </w:tc>
            </w:tr>
            <w:tr w14:paraId="02CCC2F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13" w:hRule="atLeast"/>
                <w:jc w:val="center"/>
              </w:trPr>
              <w:tc>
                <w:tcPr>
                  <w:tcW w:w="2544" w:type="pct"/>
                  <w:tcBorders>
                    <w:top w:val="single" w:color="auto" w:sz="12" w:space="0"/>
                    <w:tl2br w:val="nil"/>
                    <w:tr2bl w:val="nil"/>
                  </w:tcBorders>
                  <w:noWrap w:val="0"/>
                  <w:vAlign w:val="center"/>
                </w:tcPr>
                <w:p w14:paraId="6AED030E">
                  <w:pPr>
                    <w:pStyle w:val="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jc w:val="left"/>
                    <w:textAlignment w:val="baseline"/>
                    <w:rPr>
                      <w:rFonts w:hint="default" w:ascii="Times New Roman" w:hAnsi="Times New Roman" w:eastAsia="宋体" w:cs="Times New Roman"/>
                      <w:color w:val="auto"/>
                      <w:spacing w:val="0"/>
                      <w:highlight w:val="none"/>
                    </w:rPr>
                  </w:pPr>
                  <w:r>
                    <w:rPr>
                      <w:rFonts w:hint="default" w:ascii="Times New Roman" w:hAnsi="Times New Roman" w:eastAsia="宋体" w:cs="Times New Roman"/>
                      <w:color w:val="auto"/>
                      <w:spacing w:val="0"/>
                      <w:highlight w:val="none"/>
                    </w:rPr>
                    <w:t>在乐安河岸线外延1.0km范围内的塔山工业园规划用地应符合《长江保护法》及《江西省长江经济带发展负面清单实施细则》要求。金山工业园位于乐平市中心城区上风向、鸣山工业园位于乐平市和鄱阳县交界处</w:t>
                  </w:r>
                  <w:r>
                    <w:rPr>
                      <w:rFonts w:hint="eastAsia" w:cs="Times New Roman"/>
                      <w:color w:val="auto"/>
                      <w:spacing w:val="0"/>
                      <w:highlight w:val="none"/>
                      <w:lang w:eastAsia="zh-CN"/>
                    </w:rPr>
                    <w:t>，</w:t>
                  </w:r>
                  <w:r>
                    <w:rPr>
                      <w:rFonts w:hint="default" w:ascii="Times New Roman" w:hAnsi="Times New Roman" w:eastAsia="宋体" w:cs="Times New Roman"/>
                      <w:color w:val="auto"/>
                      <w:spacing w:val="0"/>
                      <w:highlight w:val="none"/>
                    </w:rPr>
                    <w:t>废气排放对园区周边敏感点容易造成影响，不宜引进废气量大的产业，限制火法冶炼等高污染、高能耗产业入驻。</w:t>
                  </w:r>
                </w:p>
              </w:tc>
              <w:tc>
                <w:tcPr>
                  <w:tcW w:w="1906" w:type="pct"/>
                  <w:tcBorders>
                    <w:top w:val="single" w:color="auto" w:sz="12" w:space="0"/>
                    <w:tl2br w:val="nil"/>
                    <w:tr2bl w:val="nil"/>
                  </w:tcBorders>
                  <w:noWrap w:val="0"/>
                  <w:vAlign w:val="center"/>
                </w:tcPr>
                <w:p w14:paraId="2673B897">
                  <w:pPr>
                    <w:pStyle w:val="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jc w:val="both"/>
                    <w:textAlignment w:val="baseline"/>
                    <w:rPr>
                      <w:rFonts w:hint="default" w:ascii="Times New Roman" w:hAnsi="Times New Roman" w:eastAsia="宋体" w:cs="Times New Roman"/>
                      <w:color w:val="auto"/>
                      <w:spacing w:val="0"/>
                      <w:highlight w:val="none"/>
                      <w:lang w:val="en-US" w:eastAsia="zh-CN"/>
                    </w:rPr>
                  </w:pPr>
                  <w:r>
                    <w:rPr>
                      <w:rFonts w:hint="eastAsia" w:cs="Times New Roman"/>
                      <w:color w:val="auto"/>
                      <w:spacing w:val="0"/>
                      <w:highlight w:val="none"/>
                      <w:lang w:val="en-US" w:eastAsia="zh-CN"/>
                    </w:rPr>
                    <w:t>本项目位于江西省景德镇市乐平市金山工业园，整体废气排放量较小，本项目主要生产皮鞋、高跟鞋、注塑鞋，不属于火法冶炼等高污染、高能耗产业。</w:t>
                  </w:r>
                </w:p>
              </w:tc>
              <w:tc>
                <w:tcPr>
                  <w:tcW w:w="548" w:type="pct"/>
                  <w:tcBorders>
                    <w:top w:val="single" w:color="auto" w:sz="12" w:space="0"/>
                    <w:tl2br w:val="nil"/>
                    <w:tr2bl w:val="nil"/>
                  </w:tcBorders>
                  <w:noWrap w:val="0"/>
                  <w:vAlign w:val="center"/>
                </w:tcPr>
                <w:p w14:paraId="21A3AAB9">
                  <w:pPr>
                    <w:pStyle w:val="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default" w:ascii="Times New Roman" w:hAnsi="Times New Roman" w:eastAsia="宋体" w:cs="Times New Roman"/>
                      <w:color w:val="auto"/>
                      <w:spacing w:val="0"/>
                      <w:highlight w:val="none"/>
                    </w:rPr>
                  </w:pPr>
                  <w:r>
                    <w:rPr>
                      <w:rFonts w:hint="default" w:ascii="Times New Roman" w:hAnsi="Times New Roman" w:eastAsia="宋体" w:cs="Times New Roman"/>
                      <w:color w:val="auto"/>
                      <w:spacing w:val="0"/>
                      <w:highlight w:val="none"/>
                    </w:rPr>
                    <w:t>符合</w:t>
                  </w:r>
                </w:p>
              </w:tc>
            </w:tr>
            <w:tr w14:paraId="51F7AA0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083" w:hRule="atLeast"/>
                <w:jc w:val="center"/>
              </w:trPr>
              <w:tc>
                <w:tcPr>
                  <w:tcW w:w="2544" w:type="pct"/>
                  <w:tcBorders>
                    <w:tl2br w:val="nil"/>
                    <w:tr2bl w:val="nil"/>
                  </w:tcBorders>
                  <w:noWrap w:val="0"/>
                  <w:vAlign w:val="center"/>
                </w:tcPr>
                <w:p w14:paraId="12D2CEEE">
                  <w:pPr>
                    <w:pStyle w:val="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jc w:val="left"/>
                    <w:textAlignment w:val="baseline"/>
                    <w:rPr>
                      <w:rFonts w:hint="default" w:ascii="Times New Roman" w:hAnsi="Times New Roman" w:eastAsia="宋体" w:cs="Times New Roman"/>
                      <w:color w:val="auto"/>
                      <w:spacing w:val="0"/>
                      <w:highlight w:val="none"/>
                    </w:rPr>
                  </w:pPr>
                  <w:r>
                    <w:rPr>
                      <w:rFonts w:hint="default" w:ascii="Times New Roman" w:hAnsi="Times New Roman" w:eastAsia="宋体" w:cs="Times New Roman"/>
                      <w:color w:val="auto"/>
                      <w:spacing w:val="0"/>
                      <w:highlight w:val="none"/>
                    </w:rPr>
                    <w:t>综合考虑产业之间的相容性，企业布局充分考虑相应的行业规范条件和环境防护距离要求，避免对规划区内及周边居住区的影响。金山园区现状各类工业、商用、居住、学校用地混杂，应合理布局各类规划用地，减少对环境敏感点的影响。规划实施过程中，对与规划产业不相容的现有企业，建议引导其适时搬迁、技改。</w:t>
                  </w:r>
                </w:p>
              </w:tc>
              <w:tc>
                <w:tcPr>
                  <w:tcW w:w="1906" w:type="pct"/>
                  <w:tcBorders>
                    <w:tl2br w:val="nil"/>
                    <w:tr2bl w:val="nil"/>
                  </w:tcBorders>
                  <w:noWrap w:val="0"/>
                  <w:vAlign w:val="center"/>
                </w:tcPr>
                <w:p w14:paraId="0CFD16DF">
                  <w:pPr>
                    <w:pStyle w:val="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jc w:val="both"/>
                    <w:textAlignment w:val="baseline"/>
                    <w:rPr>
                      <w:rFonts w:hint="default" w:ascii="Times New Roman" w:hAnsi="Times New Roman" w:eastAsia="宋体" w:cs="Times New Roman"/>
                      <w:color w:val="auto"/>
                      <w:spacing w:val="0"/>
                      <w:highlight w:val="none"/>
                      <w:lang w:val="en-US"/>
                    </w:rPr>
                  </w:pPr>
                  <w:r>
                    <w:rPr>
                      <w:rFonts w:hint="eastAsia" w:cs="Times New Roman"/>
                      <w:color w:val="auto"/>
                      <w:spacing w:val="0"/>
                      <w:highlight w:val="none"/>
                      <w:lang w:val="en-US" w:eastAsia="zh-CN"/>
                    </w:rPr>
                    <w:t>本项目</w:t>
                  </w:r>
                  <w:r>
                    <w:rPr>
                      <w:rFonts w:hint="default" w:ascii="Times New Roman" w:hAnsi="Times New Roman" w:eastAsia="宋体" w:cs="Times New Roman"/>
                      <w:color w:val="auto"/>
                      <w:spacing w:val="0"/>
                      <w:highlight w:val="none"/>
                      <w:lang w:val="en-US" w:eastAsia="zh-CN"/>
                    </w:rPr>
                    <w:t>主要生产皮鞋、高跟鞋、</w:t>
                  </w:r>
                  <w:r>
                    <w:rPr>
                      <w:rFonts w:hint="eastAsia" w:cs="Times New Roman"/>
                      <w:color w:val="auto"/>
                      <w:spacing w:val="0"/>
                      <w:highlight w:val="none"/>
                      <w:lang w:val="en-US" w:eastAsia="zh-CN"/>
                    </w:rPr>
                    <w:t>注塑</w:t>
                  </w:r>
                  <w:r>
                    <w:rPr>
                      <w:rFonts w:hint="default" w:ascii="Times New Roman" w:hAnsi="Times New Roman" w:eastAsia="宋体" w:cs="Times New Roman"/>
                      <w:color w:val="auto"/>
                      <w:spacing w:val="0"/>
                      <w:highlight w:val="none"/>
                      <w:lang w:val="en-US" w:eastAsia="zh-CN"/>
                    </w:rPr>
                    <w:t>鞋，</w:t>
                  </w:r>
                  <w:r>
                    <w:rPr>
                      <w:rFonts w:hint="eastAsia" w:cs="Times New Roman"/>
                      <w:color w:val="auto"/>
                      <w:spacing w:val="0"/>
                      <w:highlight w:val="none"/>
                      <w:lang w:val="en-US" w:eastAsia="zh-CN"/>
                    </w:rPr>
                    <w:t>不属于园区限制和禁止产业。离本项目较近的敏感点有东南侧79m的摩配小镇配套公寓，采取污染治理措施后对其影响较小。</w:t>
                  </w:r>
                </w:p>
              </w:tc>
              <w:tc>
                <w:tcPr>
                  <w:tcW w:w="548" w:type="pct"/>
                  <w:tcBorders>
                    <w:tl2br w:val="nil"/>
                    <w:tr2bl w:val="nil"/>
                  </w:tcBorders>
                  <w:noWrap w:val="0"/>
                  <w:vAlign w:val="center"/>
                </w:tcPr>
                <w:p w14:paraId="3EE03A9F">
                  <w:pPr>
                    <w:pStyle w:val="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default" w:ascii="Times New Roman" w:hAnsi="Times New Roman" w:eastAsia="宋体" w:cs="Times New Roman"/>
                      <w:color w:val="auto"/>
                      <w:spacing w:val="0"/>
                      <w:highlight w:val="none"/>
                    </w:rPr>
                  </w:pPr>
                  <w:r>
                    <w:rPr>
                      <w:rFonts w:hint="default" w:ascii="Times New Roman" w:hAnsi="Times New Roman" w:eastAsia="宋体" w:cs="Times New Roman"/>
                      <w:color w:val="auto"/>
                      <w:spacing w:val="0"/>
                      <w:highlight w:val="none"/>
                    </w:rPr>
                    <w:t>符合</w:t>
                  </w:r>
                </w:p>
              </w:tc>
            </w:tr>
            <w:tr w14:paraId="2BBC94D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299" w:hRule="atLeast"/>
                <w:jc w:val="center"/>
              </w:trPr>
              <w:tc>
                <w:tcPr>
                  <w:tcW w:w="2544" w:type="pct"/>
                  <w:tcBorders>
                    <w:tl2br w:val="nil"/>
                    <w:tr2bl w:val="nil"/>
                  </w:tcBorders>
                  <w:noWrap w:val="0"/>
                  <w:vAlign w:val="center"/>
                </w:tcPr>
                <w:p w14:paraId="6CFE5109">
                  <w:pPr>
                    <w:pStyle w:val="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jc w:val="left"/>
                    <w:textAlignment w:val="baseline"/>
                    <w:rPr>
                      <w:rFonts w:hint="default" w:ascii="Times New Roman" w:hAnsi="Times New Roman" w:eastAsia="宋体" w:cs="Times New Roman"/>
                      <w:color w:val="auto"/>
                      <w:spacing w:val="0"/>
                      <w:highlight w:val="none"/>
                    </w:rPr>
                  </w:pPr>
                  <w:r>
                    <w:rPr>
                      <w:rFonts w:hint="default" w:ascii="Times New Roman" w:hAnsi="Times New Roman" w:eastAsia="宋体" w:cs="Times New Roman"/>
                      <w:color w:val="auto"/>
                      <w:spacing w:val="0"/>
                      <w:highlight w:val="none"/>
                    </w:rPr>
                    <w:t>为进一步减小废水排放对乐安河水质的影响，规划近期应对塔山污水处理厂提标改造。塔山工业园应完善雨水管网规划，对雨水排口加强监控，并加强园区企业初期雨水收集。金山、鸣山园区应当在规划近期完成区域的集中污水处理厂及其配套管网建设，完善排污口论证相关手续。</w:t>
                  </w:r>
                </w:p>
              </w:tc>
              <w:tc>
                <w:tcPr>
                  <w:tcW w:w="1906" w:type="pct"/>
                  <w:tcBorders>
                    <w:tl2br w:val="nil"/>
                    <w:tr2bl w:val="nil"/>
                  </w:tcBorders>
                  <w:noWrap w:val="0"/>
                  <w:vAlign w:val="center"/>
                </w:tcPr>
                <w:p w14:paraId="758539D6">
                  <w:pPr>
                    <w:pStyle w:val="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jc w:val="both"/>
                    <w:textAlignment w:val="baseline"/>
                    <w:rPr>
                      <w:rFonts w:hint="default" w:ascii="Times New Roman" w:hAnsi="Times New Roman" w:eastAsia="宋体" w:cs="Times New Roman"/>
                      <w:color w:val="auto"/>
                      <w:spacing w:val="0"/>
                      <w:highlight w:val="none"/>
                      <w:lang w:val="en-US" w:eastAsia="zh-CN"/>
                    </w:rPr>
                  </w:pPr>
                  <w:r>
                    <w:rPr>
                      <w:rFonts w:hint="eastAsia" w:cs="Times New Roman"/>
                      <w:color w:val="auto"/>
                      <w:spacing w:val="0"/>
                      <w:highlight w:val="none"/>
                      <w:lang w:val="en-US" w:eastAsia="zh-CN"/>
                    </w:rPr>
                    <w:t>本项目无生产废水外排，生活污水经预处理排入园区污水管网，接入乐平市金山工业区一期污水站处理后排放乐安河。</w:t>
                  </w:r>
                </w:p>
              </w:tc>
              <w:tc>
                <w:tcPr>
                  <w:tcW w:w="548" w:type="pct"/>
                  <w:tcBorders>
                    <w:tl2br w:val="nil"/>
                    <w:tr2bl w:val="nil"/>
                  </w:tcBorders>
                  <w:noWrap w:val="0"/>
                  <w:vAlign w:val="center"/>
                </w:tcPr>
                <w:p w14:paraId="4A58958A">
                  <w:pPr>
                    <w:pStyle w:val="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default" w:ascii="Times New Roman" w:hAnsi="Times New Roman" w:eastAsia="宋体" w:cs="Times New Roman"/>
                      <w:color w:val="auto"/>
                      <w:spacing w:val="0"/>
                      <w:highlight w:val="none"/>
                    </w:rPr>
                  </w:pPr>
                  <w:r>
                    <w:rPr>
                      <w:rFonts w:hint="default" w:ascii="Times New Roman" w:hAnsi="Times New Roman" w:eastAsia="宋体" w:cs="Times New Roman"/>
                      <w:color w:val="auto"/>
                      <w:spacing w:val="0"/>
                      <w:highlight w:val="none"/>
                    </w:rPr>
                    <w:t>符合</w:t>
                  </w:r>
                </w:p>
              </w:tc>
            </w:tr>
          </w:tbl>
          <w:p w14:paraId="17A0BF6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firstLine="480" w:firstLineChars="200"/>
              <w:jc w:val="both"/>
              <w:textAlignment w:val="baseline"/>
              <w:outlineLvl w:val="9"/>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spacing w:val="0"/>
                <w:sz w:val="24"/>
                <w:szCs w:val="24"/>
                <w:highlight w:val="none"/>
              </w:rPr>
              <w:t>综上，本项目满足园区规划环评</w:t>
            </w:r>
            <w:r>
              <w:rPr>
                <w:rFonts w:hint="default" w:ascii="Times New Roman" w:hAnsi="Times New Roman" w:eastAsia="宋体" w:cs="Times New Roman"/>
                <w:color w:val="auto"/>
                <w:spacing w:val="0"/>
                <w:sz w:val="24"/>
                <w:szCs w:val="24"/>
                <w:highlight w:val="none"/>
                <w:lang w:val="en-US" w:eastAsia="zh-CN"/>
              </w:rPr>
              <w:t>及</w:t>
            </w:r>
            <w:r>
              <w:rPr>
                <w:rFonts w:hint="default" w:ascii="Times New Roman" w:hAnsi="Times New Roman" w:eastAsia="宋体" w:cs="Times New Roman"/>
                <w:color w:val="auto"/>
                <w:spacing w:val="0"/>
                <w:sz w:val="24"/>
                <w:szCs w:val="24"/>
                <w:highlight w:val="none"/>
              </w:rPr>
              <w:t>审查意见</w:t>
            </w:r>
            <w:r>
              <w:rPr>
                <w:rFonts w:hint="default" w:ascii="Times New Roman" w:hAnsi="Times New Roman" w:eastAsia="宋体" w:cs="Times New Roman"/>
                <w:color w:val="auto"/>
                <w:spacing w:val="0"/>
                <w:sz w:val="24"/>
                <w:szCs w:val="24"/>
                <w:highlight w:val="none"/>
                <w:lang w:eastAsia="zh-CN"/>
              </w:rPr>
              <w:t>的</w:t>
            </w:r>
            <w:r>
              <w:rPr>
                <w:rFonts w:hint="default" w:ascii="Times New Roman" w:hAnsi="Times New Roman" w:eastAsia="宋体" w:cs="Times New Roman"/>
                <w:color w:val="auto"/>
                <w:spacing w:val="0"/>
                <w:sz w:val="24"/>
                <w:szCs w:val="24"/>
                <w:highlight w:val="none"/>
                <w:lang w:val="en-US" w:eastAsia="zh-CN"/>
              </w:rPr>
              <w:t>准入</w:t>
            </w:r>
            <w:r>
              <w:rPr>
                <w:rFonts w:hint="default" w:ascii="Times New Roman" w:hAnsi="Times New Roman" w:eastAsia="宋体" w:cs="Times New Roman"/>
                <w:color w:val="auto"/>
                <w:spacing w:val="0"/>
                <w:sz w:val="24"/>
                <w:szCs w:val="24"/>
                <w:highlight w:val="none"/>
              </w:rPr>
              <w:t>要求。</w:t>
            </w:r>
          </w:p>
        </w:tc>
      </w:tr>
      <w:tr w14:paraId="0B0509C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041" w:hRule="atLeast"/>
          <w:jc w:val="center"/>
        </w:trPr>
        <w:tc>
          <w:tcPr>
            <w:tcW w:w="2050" w:type="dxa"/>
            <w:vAlign w:val="center"/>
          </w:tcPr>
          <w:p w14:paraId="5EAE0252">
            <w:pPr>
              <w:keepNext w:val="0"/>
              <w:keepLines w:val="0"/>
              <w:suppressLineNumbers w:val="0"/>
              <w:autoSpaceDE w:val="0"/>
              <w:autoSpaceDN w:val="0"/>
              <w:adjustRightInd w:val="0"/>
              <w:snapToGrid w:val="0"/>
              <w:spacing w:before="0" w:beforeAutospacing="0" w:after="0" w:afterAutospacing="0"/>
              <w:ind w:left="0" w:right="0"/>
              <w:jc w:val="center"/>
              <w:rPr>
                <w:rFonts w:hint="default" w:ascii="Times New Roman" w:hAnsi="Times New Roman" w:cs="Times New Roman"/>
                <w:b/>
                <w:bCs/>
                <w:color w:val="auto"/>
                <w:sz w:val="24"/>
                <w:highlight w:val="none"/>
                <w:lang w:val="zh-CN"/>
              </w:rPr>
            </w:pPr>
            <w:r>
              <w:rPr>
                <w:rFonts w:hint="default" w:ascii="Times New Roman" w:hAnsi="Times New Roman" w:cs="Times New Roman"/>
                <w:b/>
                <w:bCs/>
                <w:color w:val="auto"/>
                <w:kern w:val="0"/>
                <w:sz w:val="24"/>
                <w:highlight w:val="none"/>
              </w:rPr>
              <w:t>其他符合性分析</w:t>
            </w:r>
          </w:p>
        </w:tc>
        <w:tc>
          <w:tcPr>
            <w:tcW w:w="6820" w:type="dxa"/>
            <w:gridSpan w:val="3"/>
            <w:vAlign w:val="center"/>
          </w:tcPr>
          <w:p w14:paraId="237EEFE4">
            <w:pPr>
              <w:keepNext w:val="0"/>
              <w:keepLines w:val="0"/>
              <w:pageBreakBefore w:val="0"/>
              <w:widowControl w:val="0"/>
              <w:suppressLineNumbers w:val="0"/>
              <w:kinsoku/>
              <w:wordWrap/>
              <w:overflowPunct/>
              <w:topLinePunct w:val="0"/>
              <w:bidi w:val="0"/>
              <w:adjustRightInd w:val="0"/>
              <w:snapToGrid w:val="0"/>
              <w:spacing w:before="0" w:beforeAutospacing="0" w:after="0" w:afterAutospacing="0" w:line="360" w:lineRule="auto"/>
              <w:ind w:left="0" w:right="0" w:firstLine="482" w:firstLineChars="200"/>
              <w:textAlignment w:val="auto"/>
              <w:rPr>
                <w:rFonts w:hint="default" w:ascii="Times New Roman" w:hAnsi="Times New Roman" w:eastAsia="宋体" w:cs="Times New Roman"/>
                <w:b/>
                <w:bCs/>
                <w:color w:val="auto"/>
                <w:sz w:val="24"/>
                <w:highlight w:val="none"/>
                <w:shd w:val="clear" w:color="auto" w:fill="auto"/>
                <w:lang w:val="en-US" w:eastAsia="zh-CN"/>
              </w:rPr>
            </w:pPr>
            <w:r>
              <w:rPr>
                <w:rFonts w:hint="default" w:ascii="Times New Roman" w:hAnsi="Times New Roman" w:eastAsia="宋体" w:cs="Times New Roman"/>
                <w:b/>
                <w:bCs/>
                <w:color w:val="auto"/>
                <w:sz w:val="24"/>
                <w:highlight w:val="none"/>
                <w:shd w:val="clear" w:color="auto" w:fill="auto"/>
                <w:lang w:val="en-US" w:eastAsia="zh-CN"/>
              </w:rPr>
              <w:t>1、产业政策符合性分析</w:t>
            </w:r>
          </w:p>
          <w:p w14:paraId="63084A50">
            <w:pPr>
              <w:keepNext w:val="0"/>
              <w:keepLines w:val="0"/>
              <w:pageBreakBefore w:val="0"/>
              <w:widowControl w:val="0"/>
              <w:numPr>
                <w:ilvl w:val="0"/>
                <w:numId w:val="0"/>
              </w:numPr>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textAlignment w:val="auto"/>
              <w:rPr>
                <w:rFonts w:hint="default" w:ascii="Times New Roman" w:hAnsi="Times New Roman" w:eastAsia="宋体" w:cs="Times New Roman"/>
                <w:bCs/>
                <w:color w:val="auto"/>
                <w:sz w:val="24"/>
                <w:szCs w:val="24"/>
                <w:highlight w:val="none"/>
                <w:lang w:eastAsia="zh-CN"/>
              </w:rPr>
            </w:pPr>
            <w:r>
              <w:rPr>
                <w:rFonts w:hint="default" w:ascii="Times New Roman" w:hAnsi="Times New Roman" w:cs="Times New Roman"/>
                <w:color w:val="auto"/>
                <w:sz w:val="24"/>
                <w:szCs w:val="24"/>
                <w:highlight w:val="none"/>
                <w:lang w:val="zh-CN"/>
              </w:rPr>
              <w:t>本项目从事</w:t>
            </w:r>
            <w:r>
              <w:rPr>
                <w:rFonts w:hint="eastAsia" w:cs="Times New Roman"/>
                <w:color w:val="auto"/>
                <w:sz w:val="24"/>
                <w:szCs w:val="24"/>
                <w:highlight w:val="none"/>
                <w:lang w:val="zh-CN"/>
              </w:rPr>
              <w:t>皮鞋、高跟鞋、注塑鞋制造</w:t>
            </w:r>
            <w:r>
              <w:rPr>
                <w:rFonts w:hint="default" w:ascii="Times New Roman" w:hAnsi="Times New Roman" w:cs="Times New Roman"/>
                <w:color w:val="auto"/>
                <w:sz w:val="24"/>
                <w:szCs w:val="24"/>
                <w:highlight w:val="none"/>
                <w:lang w:val="zh-CN"/>
              </w:rPr>
              <w:t>，属于制鞋业。根据国家发展和改革委员会《产业结构调整指导目录（2024年本）》，项目不属于其中的鼓励类、限制类、淘汰类，项目属于产业政策中的允许类项目。因此，本项目符合国家相关产业政策要求。</w:t>
            </w:r>
            <w:r>
              <w:rPr>
                <w:rFonts w:hint="default" w:ascii="Times New Roman" w:hAnsi="Times New Roman" w:cs="Times New Roman"/>
                <w:color w:val="auto"/>
                <w:sz w:val="24"/>
                <w:highlight w:val="none"/>
                <w:lang w:val="en-US" w:eastAsia="zh-CN"/>
              </w:rPr>
              <w:t>乐平市发展和改革委员会</w:t>
            </w:r>
            <w:r>
              <w:rPr>
                <w:rFonts w:hint="default" w:ascii="Times New Roman" w:hAnsi="Times New Roman" w:cs="Times New Roman"/>
                <w:color w:val="auto"/>
                <w:sz w:val="24"/>
                <w:szCs w:val="24"/>
                <w:highlight w:val="none"/>
                <w:lang w:val="zh-CN"/>
              </w:rPr>
              <w:t>以统一项目代码</w:t>
            </w:r>
            <w:r>
              <w:rPr>
                <w:rFonts w:hint="eastAsia" w:cs="Times New Roman"/>
                <w:color w:val="auto"/>
                <w:sz w:val="24"/>
                <w:szCs w:val="24"/>
                <w:highlight w:val="none"/>
                <w:lang w:val="en-US" w:eastAsia="zh-CN"/>
              </w:rPr>
              <w:t>2512-360281-04-05-373532</w:t>
            </w:r>
            <w:r>
              <w:rPr>
                <w:rFonts w:hint="default" w:ascii="Times New Roman" w:hAnsi="Times New Roman" w:cs="Times New Roman"/>
                <w:color w:val="auto"/>
                <w:sz w:val="24"/>
                <w:szCs w:val="24"/>
                <w:highlight w:val="none"/>
                <w:lang w:val="zh-CN"/>
              </w:rPr>
              <w:t>对项目予以备案</w:t>
            </w:r>
            <w:r>
              <w:rPr>
                <w:rFonts w:hint="default" w:ascii="Times New Roman" w:hAnsi="Times New Roman" w:cs="Times New Roman"/>
                <w:color w:val="auto"/>
                <w:sz w:val="24"/>
                <w:szCs w:val="24"/>
                <w:highlight w:val="none"/>
                <w:lang w:val="en-US" w:eastAsia="zh-CN"/>
              </w:rPr>
              <w:t>，</w:t>
            </w:r>
            <w:r>
              <w:rPr>
                <w:rFonts w:hint="default" w:ascii="Times New Roman" w:hAnsi="Times New Roman" w:cs="Times New Roman"/>
                <w:color w:val="auto"/>
                <w:sz w:val="24"/>
                <w:szCs w:val="24"/>
                <w:highlight w:val="none"/>
                <w:lang w:val="zh-CN"/>
              </w:rPr>
              <w:t>故本项目符合</w:t>
            </w:r>
            <w:r>
              <w:rPr>
                <w:rFonts w:hint="default" w:ascii="Times New Roman" w:hAnsi="Times New Roman" w:cs="Times New Roman"/>
                <w:color w:val="auto"/>
                <w:sz w:val="24"/>
                <w:szCs w:val="24"/>
                <w:highlight w:val="none"/>
                <w:lang w:val="en-US" w:eastAsia="zh-CN"/>
              </w:rPr>
              <w:t>国家与地方</w:t>
            </w:r>
            <w:r>
              <w:rPr>
                <w:rFonts w:hint="default" w:ascii="Times New Roman" w:hAnsi="Times New Roman" w:cs="Times New Roman"/>
                <w:color w:val="auto"/>
                <w:sz w:val="24"/>
                <w:szCs w:val="24"/>
                <w:highlight w:val="none"/>
                <w:lang w:val="zh-CN"/>
              </w:rPr>
              <w:t>相关产业政策。</w:t>
            </w:r>
          </w:p>
          <w:p w14:paraId="5541E9F7">
            <w:pPr>
              <w:keepNext w:val="0"/>
              <w:keepLines w:val="0"/>
              <w:pageBreakBefore w:val="0"/>
              <w:widowControl w:val="0"/>
              <w:numPr>
                <w:ilvl w:val="0"/>
                <w:numId w:val="0"/>
              </w:numPr>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82" w:firstLineChars="200"/>
              <w:jc w:val="both"/>
              <w:textAlignment w:val="auto"/>
              <w:rPr>
                <w:rFonts w:hint="default" w:ascii="Times New Roman" w:hAnsi="Times New Roman" w:eastAsia="宋体" w:cs="Times New Roman"/>
                <w:b/>
                <w:bCs/>
                <w:color w:val="auto"/>
                <w:spacing w:val="0"/>
                <w:sz w:val="24"/>
                <w:szCs w:val="24"/>
                <w:highlight w:val="none"/>
              </w:rPr>
            </w:pPr>
            <w:r>
              <w:rPr>
                <w:rFonts w:hint="default" w:ascii="Times New Roman" w:hAnsi="Times New Roman" w:eastAsia="宋体" w:cs="Times New Roman"/>
                <w:b/>
                <w:bCs/>
                <w:color w:val="auto"/>
                <w:spacing w:val="0"/>
                <w:kern w:val="2"/>
                <w:sz w:val="24"/>
                <w:szCs w:val="24"/>
                <w:highlight w:val="none"/>
                <w:lang w:val="en-US" w:eastAsia="zh-CN" w:bidi="ar-SA"/>
              </w:rPr>
              <w:t>2、</w:t>
            </w:r>
            <w:r>
              <w:rPr>
                <w:rFonts w:hint="default" w:ascii="Times New Roman" w:hAnsi="Times New Roman" w:eastAsia="宋体" w:cs="Times New Roman"/>
                <w:b/>
                <w:bCs/>
                <w:color w:val="auto"/>
                <w:spacing w:val="0"/>
                <w:sz w:val="24"/>
                <w:szCs w:val="24"/>
                <w:highlight w:val="none"/>
              </w:rPr>
              <w:t>选址可行性分析</w:t>
            </w:r>
          </w:p>
          <w:p w14:paraId="26AD4A51">
            <w:pPr>
              <w:keepNext w:val="0"/>
              <w:keepLines w:val="0"/>
              <w:pageBreakBefore w:val="0"/>
              <w:widowControl w:val="0"/>
              <w:numPr>
                <w:ilvl w:val="0"/>
                <w:numId w:val="0"/>
              </w:numPr>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80" w:firstLineChars="200"/>
              <w:jc w:val="both"/>
              <w:textAlignment w:val="auto"/>
              <w:rPr>
                <w:rFonts w:hint="default" w:ascii="Times New Roman" w:hAnsi="Times New Roman" w:eastAsia="宋体" w:cs="Times New Roman"/>
                <w:color w:val="auto"/>
                <w:spacing w:val="0"/>
                <w:sz w:val="24"/>
                <w:szCs w:val="24"/>
                <w:highlight w:val="none"/>
              </w:rPr>
            </w:pPr>
            <w:r>
              <w:rPr>
                <w:rFonts w:hint="default" w:ascii="Times New Roman" w:hAnsi="Times New Roman" w:eastAsia="宋体" w:cs="Times New Roman"/>
                <w:color w:val="auto"/>
                <w:spacing w:val="0"/>
                <w:sz w:val="24"/>
                <w:szCs w:val="24"/>
                <w:highlight w:val="none"/>
              </w:rPr>
              <w:t>（1）用地性质：本项目位于</w:t>
            </w:r>
            <w:r>
              <w:rPr>
                <w:rFonts w:hint="eastAsia" w:cs="Times New Roman"/>
                <w:color w:val="auto"/>
                <w:spacing w:val="0"/>
                <w:sz w:val="24"/>
                <w:szCs w:val="24"/>
                <w:highlight w:val="none"/>
                <w:lang w:val="en-US" w:eastAsia="zh-CN"/>
              </w:rPr>
              <w:t>江西省景德镇市乐平市金山工业园</w:t>
            </w:r>
            <w:r>
              <w:rPr>
                <w:rFonts w:hint="default" w:ascii="Times New Roman" w:hAnsi="Times New Roman" w:eastAsia="宋体" w:cs="Times New Roman"/>
                <w:color w:val="auto"/>
                <w:spacing w:val="0"/>
                <w:sz w:val="24"/>
                <w:szCs w:val="24"/>
                <w:highlight w:val="none"/>
              </w:rPr>
              <w:t>，根据土地证（附件</w:t>
            </w:r>
            <w:r>
              <w:rPr>
                <w:rFonts w:hint="eastAsia" w:cs="Times New Roman"/>
                <w:color w:val="auto"/>
                <w:spacing w:val="0"/>
                <w:sz w:val="24"/>
                <w:szCs w:val="24"/>
                <w:highlight w:val="none"/>
                <w:lang w:val="en-US" w:eastAsia="zh-CN"/>
              </w:rPr>
              <w:t>4</w:t>
            </w:r>
            <w:r>
              <w:rPr>
                <w:rFonts w:hint="default" w:ascii="Times New Roman" w:hAnsi="Times New Roman" w:eastAsia="宋体" w:cs="Times New Roman"/>
                <w:color w:val="auto"/>
                <w:spacing w:val="0"/>
                <w:sz w:val="24"/>
                <w:szCs w:val="24"/>
                <w:highlight w:val="none"/>
              </w:rPr>
              <w:t>），地块性质为工业用地</w:t>
            </w:r>
            <w:r>
              <w:rPr>
                <w:rFonts w:hint="eastAsia" w:ascii="Times New Roman" w:hAnsi="Times New Roman" w:eastAsia="宋体" w:cs="Times New Roman"/>
                <w:color w:val="auto"/>
                <w:spacing w:val="0"/>
                <w:sz w:val="24"/>
                <w:szCs w:val="24"/>
                <w:highlight w:val="none"/>
                <w:lang w:eastAsia="zh-CN"/>
              </w:rPr>
              <w:t>，</w:t>
            </w:r>
            <w:r>
              <w:rPr>
                <w:rFonts w:hint="default" w:ascii="Times New Roman" w:hAnsi="Times New Roman" w:eastAsia="宋体" w:cs="Times New Roman"/>
                <w:color w:val="auto"/>
                <w:spacing w:val="0"/>
                <w:sz w:val="24"/>
                <w:szCs w:val="24"/>
                <w:highlight w:val="none"/>
              </w:rPr>
              <w:t>因此项目符合用地性质要求。</w:t>
            </w:r>
          </w:p>
          <w:p w14:paraId="0B63372A">
            <w:pPr>
              <w:keepNext w:val="0"/>
              <w:keepLines w:val="0"/>
              <w:pageBreakBefore w:val="0"/>
              <w:widowControl w:val="0"/>
              <w:numPr>
                <w:ilvl w:val="0"/>
                <w:numId w:val="0"/>
              </w:numPr>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80" w:firstLineChars="200"/>
              <w:jc w:val="both"/>
              <w:textAlignment w:val="auto"/>
              <w:rPr>
                <w:rFonts w:hint="default" w:ascii="Times New Roman" w:hAnsi="Times New Roman" w:eastAsia="宋体" w:cs="Times New Roman"/>
                <w:color w:val="auto"/>
                <w:spacing w:val="0"/>
                <w:sz w:val="24"/>
                <w:szCs w:val="24"/>
                <w:highlight w:val="none"/>
              </w:rPr>
            </w:pPr>
            <w:r>
              <w:rPr>
                <w:rFonts w:hint="default" w:ascii="Times New Roman" w:hAnsi="Times New Roman" w:eastAsia="宋体" w:cs="Times New Roman"/>
                <w:color w:val="auto"/>
                <w:spacing w:val="0"/>
                <w:sz w:val="24"/>
                <w:szCs w:val="24"/>
                <w:highlight w:val="none"/>
              </w:rPr>
              <w:t>（2）周边环境相容性：本项目在</w:t>
            </w:r>
            <w:r>
              <w:rPr>
                <w:rFonts w:hint="eastAsia" w:cs="Times New Roman"/>
                <w:color w:val="auto"/>
                <w:spacing w:val="0"/>
                <w:sz w:val="24"/>
                <w:szCs w:val="24"/>
                <w:highlight w:val="none"/>
                <w:lang w:val="en-US" w:eastAsia="zh-CN"/>
              </w:rPr>
              <w:t>江西省景德镇市乐平市金山工业园</w:t>
            </w:r>
            <w:r>
              <w:rPr>
                <w:rFonts w:hint="eastAsia" w:ascii="Times New Roman" w:hAnsi="Times New Roman" w:eastAsia="宋体" w:cs="Times New Roman"/>
                <w:color w:val="auto"/>
                <w:spacing w:val="0"/>
                <w:sz w:val="24"/>
                <w:szCs w:val="24"/>
                <w:highlight w:val="none"/>
                <w:lang w:val="en-US" w:eastAsia="zh-CN"/>
              </w:rPr>
              <w:t>，用地范围属于</w:t>
            </w:r>
            <w:r>
              <w:rPr>
                <w:rFonts w:hint="eastAsia" w:ascii="Times New Roman" w:hAnsi="Times New Roman" w:cs="Times New Roman"/>
                <w:color w:val="auto"/>
                <w:spacing w:val="0"/>
                <w:sz w:val="24"/>
                <w:szCs w:val="24"/>
                <w:highlight w:val="none"/>
                <w:lang w:eastAsia="zh-CN"/>
              </w:rPr>
              <w:t>工业园</w:t>
            </w:r>
            <w:r>
              <w:rPr>
                <w:rFonts w:hint="eastAsia" w:ascii="Times New Roman" w:hAnsi="Times New Roman" w:cs="Times New Roman"/>
                <w:color w:val="auto"/>
                <w:spacing w:val="0"/>
                <w:sz w:val="24"/>
                <w:szCs w:val="24"/>
                <w:highlight w:val="none"/>
                <w:lang w:val="en-US" w:eastAsia="zh-CN"/>
              </w:rPr>
              <w:t>区</w:t>
            </w:r>
            <w:r>
              <w:rPr>
                <w:rFonts w:hint="eastAsia" w:ascii="Times New Roman" w:hAnsi="Times New Roman" w:eastAsia="宋体" w:cs="Times New Roman"/>
                <w:color w:val="auto"/>
                <w:spacing w:val="0"/>
                <w:sz w:val="24"/>
                <w:szCs w:val="24"/>
                <w:highlight w:val="none"/>
                <w:lang w:val="en-US" w:eastAsia="zh-CN"/>
              </w:rPr>
              <w:t>，</w:t>
            </w:r>
            <w:r>
              <w:rPr>
                <w:rFonts w:hint="default" w:ascii="Times New Roman" w:hAnsi="Times New Roman" w:eastAsia="宋体" w:cs="Times New Roman"/>
                <w:color w:val="auto"/>
                <w:spacing w:val="0"/>
                <w:sz w:val="24"/>
                <w:szCs w:val="24"/>
                <w:highlight w:val="none"/>
              </w:rPr>
              <w:t>不属于生活饮用水和地下水补给区、风景名胜区、温泉疗养区、水产养殖区、基本农田保护区、自然保护区等需要特殊保护的区域，周边环境不敏感。根据现场调查来看，</w:t>
            </w:r>
            <w:r>
              <w:rPr>
                <w:rFonts w:hint="eastAsia" w:ascii="Times New Roman" w:hAnsi="Times New Roman" w:cs="Times New Roman"/>
                <w:color w:val="auto"/>
                <w:spacing w:val="0"/>
                <w:sz w:val="24"/>
                <w:szCs w:val="24"/>
                <w:highlight w:val="none"/>
                <w:lang w:val="en-US" w:eastAsia="zh-CN"/>
              </w:rPr>
              <w:t>厂区</w:t>
            </w:r>
            <w:r>
              <w:rPr>
                <w:rFonts w:hint="default" w:ascii="Times New Roman" w:hAnsi="Times New Roman" w:eastAsia="宋体" w:cs="Times New Roman"/>
                <w:color w:val="auto"/>
                <w:spacing w:val="0"/>
                <w:sz w:val="24"/>
                <w:szCs w:val="24"/>
                <w:highlight w:val="none"/>
                <w:lang w:val="en-US" w:eastAsia="zh-CN"/>
              </w:rPr>
              <w:t>东面为江西锦宏印刷有限公司，南面为</w:t>
            </w:r>
            <w:r>
              <w:rPr>
                <w:rFonts w:hint="default" w:ascii="Times New Roman" w:hAnsi="Times New Roman" w:eastAsia="宋体" w:cs="Times New Roman"/>
                <w:color w:val="auto"/>
                <w:spacing w:val="0"/>
                <w:sz w:val="24"/>
                <w:szCs w:val="24"/>
                <w:highlight w:val="none"/>
              </w:rPr>
              <w:t>摩配小镇配套公寓</w:t>
            </w:r>
            <w:r>
              <w:rPr>
                <w:rFonts w:hint="eastAsia" w:ascii="Times New Roman" w:hAnsi="Times New Roman" w:cs="Times New Roman"/>
                <w:color w:val="auto"/>
                <w:spacing w:val="0"/>
                <w:sz w:val="24"/>
                <w:szCs w:val="24"/>
                <w:highlight w:val="none"/>
                <w:lang w:val="en-US" w:eastAsia="zh-CN"/>
              </w:rPr>
              <w:t>，</w:t>
            </w:r>
            <w:r>
              <w:rPr>
                <w:rFonts w:hint="default" w:ascii="Times New Roman" w:hAnsi="Times New Roman" w:eastAsia="宋体" w:cs="Times New Roman"/>
                <w:color w:val="auto"/>
                <w:spacing w:val="0"/>
                <w:sz w:val="24"/>
                <w:szCs w:val="24"/>
                <w:highlight w:val="none"/>
                <w:lang w:val="en-US" w:eastAsia="zh-CN"/>
              </w:rPr>
              <w:t>西面为</w:t>
            </w:r>
            <w:r>
              <w:rPr>
                <w:rFonts w:hint="eastAsia" w:ascii="Times New Roman" w:hAnsi="Times New Roman" w:eastAsia="宋体" w:cs="Times New Roman"/>
                <w:color w:val="auto"/>
                <w:spacing w:val="0"/>
                <w:sz w:val="24"/>
                <w:szCs w:val="24"/>
                <w:highlight w:val="none"/>
                <w:lang w:val="en-US" w:eastAsia="zh-CN"/>
              </w:rPr>
              <w:t>G206国道</w:t>
            </w:r>
            <w:r>
              <w:rPr>
                <w:rFonts w:hint="default" w:ascii="Times New Roman" w:hAnsi="Times New Roman" w:eastAsia="宋体" w:cs="Times New Roman"/>
                <w:color w:val="auto"/>
                <w:spacing w:val="0"/>
                <w:sz w:val="24"/>
                <w:szCs w:val="24"/>
                <w:highlight w:val="none"/>
                <w:lang w:val="en-US" w:eastAsia="zh-CN"/>
              </w:rPr>
              <w:t>，北面为</w:t>
            </w:r>
            <w:r>
              <w:rPr>
                <w:rFonts w:hint="eastAsia" w:cs="Times New Roman"/>
                <w:color w:val="auto"/>
                <w:spacing w:val="0"/>
                <w:sz w:val="24"/>
                <w:szCs w:val="24"/>
                <w:highlight w:val="none"/>
                <w:lang w:val="en-US" w:eastAsia="zh-CN"/>
              </w:rPr>
              <w:t>江西科诗曼新材料科技</w:t>
            </w:r>
            <w:r>
              <w:rPr>
                <w:rFonts w:hint="default" w:ascii="Times New Roman" w:hAnsi="Times New Roman" w:eastAsia="宋体" w:cs="Times New Roman"/>
                <w:color w:val="auto"/>
                <w:spacing w:val="0"/>
                <w:sz w:val="24"/>
                <w:szCs w:val="24"/>
                <w:highlight w:val="none"/>
                <w:lang w:val="en-US" w:eastAsia="zh-CN"/>
              </w:rPr>
              <w:t>有限公司，</w:t>
            </w:r>
            <w:r>
              <w:rPr>
                <w:rFonts w:hint="default" w:ascii="Times New Roman" w:hAnsi="Times New Roman" w:eastAsia="宋体" w:cs="Times New Roman"/>
                <w:color w:val="auto"/>
                <w:spacing w:val="0"/>
                <w:sz w:val="24"/>
                <w:szCs w:val="24"/>
                <w:highlight w:val="none"/>
              </w:rPr>
              <w:t>周边企业均为</w:t>
            </w:r>
            <w:r>
              <w:rPr>
                <w:rFonts w:hint="default" w:ascii="Times New Roman" w:hAnsi="Times New Roman" w:eastAsia="宋体" w:cs="Times New Roman"/>
                <w:color w:val="auto"/>
                <w:spacing w:val="0"/>
                <w:sz w:val="24"/>
                <w:szCs w:val="24"/>
                <w:highlight w:val="none"/>
                <w:lang w:val="en-US" w:eastAsia="zh-CN"/>
              </w:rPr>
              <w:t>金山工业园主导产业</w:t>
            </w:r>
            <w:r>
              <w:rPr>
                <w:rFonts w:hint="default" w:ascii="Times New Roman" w:hAnsi="Times New Roman" w:eastAsia="宋体" w:cs="Times New Roman"/>
                <w:color w:val="auto"/>
                <w:spacing w:val="0"/>
                <w:sz w:val="24"/>
                <w:szCs w:val="24"/>
                <w:highlight w:val="none"/>
              </w:rPr>
              <w:t>，交通便利，故本项目与周边环境兼容性良好。</w:t>
            </w:r>
          </w:p>
          <w:p w14:paraId="19F6314D">
            <w:pPr>
              <w:keepNext w:val="0"/>
              <w:keepLines w:val="0"/>
              <w:pageBreakBefore w:val="0"/>
              <w:widowControl w:val="0"/>
              <w:numPr>
                <w:ilvl w:val="0"/>
                <w:numId w:val="0"/>
              </w:numPr>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80" w:firstLineChars="200"/>
              <w:jc w:val="both"/>
              <w:textAlignment w:val="auto"/>
              <w:rPr>
                <w:rFonts w:hint="default" w:ascii="Times New Roman" w:hAnsi="Times New Roman" w:eastAsia="宋体" w:cs="Times New Roman"/>
                <w:color w:val="auto"/>
                <w:spacing w:val="0"/>
                <w:sz w:val="24"/>
                <w:szCs w:val="24"/>
                <w:highlight w:val="none"/>
              </w:rPr>
            </w:pPr>
            <w:r>
              <w:rPr>
                <w:rFonts w:hint="default" w:ascii="Times New Roman" w:hAnsi="Times New Roman" w:eastAsia="宋体" w:cs="Times New Roman"/>
                <w:color w:val="auto"/>
                <w:spacing w:val="0"/>
                <w:sz w:val="24"/>
                <w:szCs w:val="24"/>
                <w:highlight w:val="none"/>
              </w:rPr>
              <w:t>（3）环境容量</w:t>
            </w:r>
            <w:r>
              <w:rPr>
                <w:rFonts w:hint="eastAsia" w:ascii="Times New Roman" w:hAnsi="Times New Roman" w:eastAsia="宋体" w:cs="Times New Roman"/>
                <w:color w:val="auto"/>
                <w:spacing w:val="0"/>
                <w:sz w:val="24"/>
                <w:szCs w:val="24"/>
                <w:highlight w:val="none"/>
                <w:lang w:eastAsia="zh-CN"/>
              </w:rPr>
              <w:t>：</w:t>
            </w:r>
            <w:r>
              <w:rPr>
                <w:rFonts w:hint="default" w:ascii="Times New Roman" w:hAnsi="Times New Roman" w:eastAsia="宋体" w:cs="Times New Roman"/>
                <w:color w:val="auto"/>
                <w:spacing w:val="0"/>
                <w:sz w:val="24"/>
                <w:szCs w:val="24"/>
                <w:highlight w:val="none"/>
              </w:rPr>
              <w:t>项目所在区域环境质量现状较好，大气、地表水、地下水、土壤等环境满足相应环境功能区划要求，区域有足够的环境容量。</w:t>
            </w:r>
          </w:p>
          <w:p w14:paraId="111B8182">
            <w:pPr>
              <w:keepNext w:val="0"/>
              <w:keepLines w:val="0"/>
              <w:pageBreakBefore w:val="0"/>
              <w:widowControl w:val="0"/>
              <w:numPr>
                <w:ilvl w:val="0"/>
                <w:numId w:val="0"/>
              </w:numPr>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80" w:firstLineChars="200"/>
              <w:jc w:val="both"/>
              <w:textAlignment w:val="auto"/>
              <w:rPr>
                <w:rFonts w:hint="default" w:ascii="Times New Roman" w:hAnsi="Times New Roman" w:eastAsia="宋体" w:cs="Times New Roman"/>
                <w:color w:val="auto"/>
                <w:spacing w:val="0"/>
                <w:sz w:val="24"/>
                <w:szCs w:val="24"/>
                <w:highlight w:val="none"/>
              </w:rPr>
            </w:pPr>
            <w:r>
              <w:rPr>
                <w:rFonts w:hint="default" w:ascii="Times New Roman" w:hAnsi="Times New Roman" w:eastAsia="宋体" w:cs="Times New Roman"/>
                <w:color w:val="auto"/>
                <w:spacing w:val="0"/>
                <w:sz w:val="24"/>
                <w:szCs w:val="24"/>
                <w:highlight w:val="none"/>
              </w:rPr>
              <w:t>（4）环境影响程度</w:t>
            </w:r>
            <w:r>
              <w:rPr>
                <w:rFonts w:hint="eastAsia" w:ascii="Times New Roman" w:hAnsi="Times New Roman" w:eastAsia="宋体" w:cs="Times New Roman"/>
                <w:color w:val="auto"/>
                <w:spacing w:val="0"/>
                <w:sz w:val="24"/>
                <w:szCs w:val="24"/>
                <w:highlight w:val="none"/>
                <w:lang w:eastAsia="zh-CN"/>
              </w:rPr>
              <w:t>：</w:t>
            </w:r>
            <w:r>
              <w:rPr>
                <w:rFonts w:hint="default" w:ascii="Times New Roman" w:hAnsi="Times New Roman" w:eastAsia="宋体" w:cs="Times New Roman"/>
                <w:color w:val="auto"/>
                <w:spacing w:val="0"/>
                <w:sz w:val="24"/>
                <w:szCs w:val="24"/>
                <w:highlight w:val="none"/>
              </w:rPr>
              <w:t>根据工程分析确定的污染物源强，通过大气环境、水环境、声环境及地下水、土壤环境影响分析，说明项目建成后污染物达标排放对区域大气环境、水环境、声环境、地下水和土壤环境影响较小。</w:t>
            </w:r>
          </w:p>
          <w:p w14:paraId="5D954195">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80" w:firstLineChars="200"/>
              <w:jc w:val="both"/>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pacing w:val="0"/>
                <w:sz w:val="24"/>
                <w:szCs w:val="24"/>
                <w:highlight w:val="none"/>
              </w:rPr>
              <w:t>（5）环境可行性</w:t>
            </w:r>
            <w:r>
              <w:rPr>
                <w:rFonts w:hint="eastAsia" w:ascii="Times New Roman" w:hAnsi="Times New Roman" w:eastAsia="宋体" w:cs="Times New Roman"/>
                <w:color w:val="auto"/>
                <w:spacing w:val="0"/>
                <w:sz w:val="24"/>
                <w:szCs w:val="24"/>
                <w:highlight w:val="none"/>
                <w:lang w:eastAsia="zh-CN"/>
              </w:rPr>
              <w:t>：</w:t>
            </w:r>
            <w:r>
              <w:rPr>
                <w:rFonts w:hint="default" w:ascii="Times New Roman" w:hAnsi="Times New Roman" w:eastAsia="宋体" w:cs="Times New Roman"/>
                <w:color w:val="auto"/>
                <w:spacing w:val="0"/>
                <w:sz w:val="24"/>
                <w:szCs w:val="24"/>
                <w:highlight w:val="none"/>
              </w:rPr>
              <w:t>本项目</w:t>
            </w:r>
            <w:r>
              <w:rPr>
                <w:rFonts w:hint="eastAsia" w:ascii="Times New Roman" w:hAnsi="Times New Roman" w:eastAsia="宋体" w:cs="Times New Roman"/>
                <w:color w:val="auto"/>
                <w:spacing w:val="0"/>
                <w:sz w:val="24"/>
                <w:szCs w:val="24"/>
                <w:highlight w:val="none"/>
                <w:lang w:val="en-US" w:eastAsia="zh-CN"/>
              </w:rPr>
              <w:t>位于</w:t>
            </w:r>
            <w:r>
              <w:rPr>
                <w:rFonts w:hint="eastAsia" w:cs="Times New Roman"/>
                <w:color w:val="auto"/>
                <w:spacing w:val="0"/>
                <w:sz w:val="24"/>
                <w:szCs w:val="24"/>
                <w:highlight w:val="none"/>
                <w:lang w:eastAsia="zh-CN"/>
              </w:rPr>
              <w:t>江西省景德镇市乐平市金山工业园</w:t>
            </w:r>
            <w:r>
              <w:rPr>
                <w:rFonts w:hint="default" w:ascii="Times New Roman" w:hAnsi="Times New Roman" w:eastAsia="宋体" w:cs="Times New Roman"/>
                <w:color w:val="auto"/>
                <w:spacing w:val="0"/>
                <w:sz w:val="24"/>
                <w:szCs w:val="24"/>
                <w:highlight w:val="none"/>
              </w:rPr>
              <w:t>，不属于城市居住区、商业区、饮用水源保护区及其他环境敏感区内；项目用地为工业用地，符合</w:t>
            </w:r>
            <w:r>
              <w:rPr>
                <w:rFonts w:hint="default" w:ascii="Times New Roman" w:hAnsi="Times New Roman" w:eastAsia="宋体" w:cs="Times New Roman"/>
                <w:color w:val="auto"/>
                <w:spacing w:val="0"/>
                <w:sz w:val="24"/>
                <w:szCs w:val="24"/>
                <w:highlight w:val="none"/>
                <w:lang w:val="en-US" w:eastAsia="zh-CN"/>
              </w:rPr>
              <w:t>江西乐平工业园区扩区调区规划</w:t>
            </w:r>
            <w:r>
              <w:rPr>
                <w:rFonts w:hint="default" w:ascii="Times New Roman" w:hAnsi="Times New Roman" w:eastAsia="宋体" w:cs="Times New Roman"/>
                <w:color w:val="auto"/>
                <w:spacing w:val="0"/>
                <w:sz w:val="24"/>
                <w:szCs w:val="24"/>
                <w:highlight w:val="none"/>
              </w:rPr>
              <w:t>。综上，本项目选址从环境保护角度来看可行。</w:t>
            </w:r>
          </w:p>
          <w:p w14:paraId="5DF9F685">
            <w:pPr>
              <w:keepNext w:val="0"/>
              <w:keepLines w:val="0"/>
              <w:pageBreakBefore w:val="0"/>
              <w:widowControl w:val="0"/>
              <w:suppressLineNumbers w:val="0"/>
              <w:kinsoku/>
              <w:wordWrap/>
              <w:overflowPunct/>
              <w:topLinePunct w:val="0"/>
              <w:bidi w:val="0"/>
              <w:adjustRightInd w:val="0"/>
              <w:snapToGrid w:val="0"/>
              <w:spacing w:before="0" w:beforeAutospacing="0" w:after="0" w:afterAutospacing="0" w:line="360" w:lineRule="auto"/>
              <w:ind w:left="0" w:right="0" w:firstLine="482" w:firstLineChars="200"/>
              <w:textAlignment w:val="auto"/>
              <w:rPr>
                <w:rFonts w:hint="default" w:ascii="Times New Roman" w:hAnsi="Times New Roman" w:eastAsia="宋体" w:cs="Times New Roman"/>
                <w:b/>
                <w:bCs/>
                <w:color w:val="auto"/>
                <w:sz w:val="24"/>
                <w:highlight w:val="none"/>
                <w:shd w:val="clear" w:color="auto" w:fill="auto"/>
                <w:lang w:val="en-US" w:eastAsia="zh-CN"/>
              </w:rPr>
            </w:pPr>
            <w:r>
              <w:rPr>
                <w:rFonts w:hint="eastAsia" w:cs="Times New Roman"/>
                <w:b/>
                <w:bCs/>
                <w:color w:val="auto"/>
                <w:sz w:val="24"/>
                <w:highlight w:val="none"/>
                <w:shd w:val="clear" w:color="auto" w:fill="auto"/>
                <w:lang w:val="en-US" w:eastAsia="zh-CN"/>
              </w:rPr>
              <w:t>3</w:t>
            </w:r>
            <w:r>
              <w:rPr>
                <w:rFonts w:hint="default" w:ascii="Times New Roman" w:hAnsi="Times New Roman" w:eastAsia="宋体" w:cs="Times New Roman"/>
                <w:b/>
                <w:bCs/>
                <w:color w:val="auto"/>
                <w:sz w:val="24"/>
                <w:highlight w:val="none"/>
                <w:shd w:val="clear" w:color="auto" w:fill="auto"/>
                <w:lang w:val="en-US" w:eastAsia="zh-CN"/>
              </w:rPr>
              <w:t>、景德镇市生态环境分区管控成果动态更新</w:t>
            </w:r>
            <w:r>
              <w:rPr>
                <w:rFonts w:hint="default" w:ascii="Times New Roman" w:hAnsi="Times New Roman" w:eastAsia="宋体" w:cs="Times New Roman"/>
                <w:b/>
                <w:bCs/>
                <w:color w:val="auto"/>
                <w:sz w:val="24"/>
                <w:highlight w:val="none"/>
                <w:lang w:val="en-US" w:eastAsia="zh-CN"/>
              </w:rPr>
              <w:t>相符</w:t>
            </w:r>
            <w:r>
              <w:rPr>
                <w:rFonts w:hint="default" w:ascii="Times New Roman" w:hAnsi="Times New Roman" w:eastAsia="宋体" w:cs="Times New Roman"/>
                <w:b/>
                <w:bCs/>
                <w:color w:val="auto"/>
                <w:sz w:val="24"/>
                <w:highlight w:val="none"/>
              </w:rPr>
              <w:t>性分析</w:t>
            </w:r>
          </w:p>
          <w:p w14:paraId="49EC6603">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80" w:firstLineChars="200"/>
              <w:jc w:val="both"/>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（1）生态保护红线</w:t>
            </w:r>
          </w:p>
          <w:p w14:paraId="3598609F">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80" w:firstLineChars="200"/>
              <w:jc w:val="both"/>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rPr>
              <w:t>本项目位于</w:t>
            </w:r>
            <w:r>
              <w:rPr>
                <w:rFonts w:hint="eastAsia" w:cs="Times New Roman"/>
                <w:color w:val="auto"/>
                <w:sz w:val="24"/>
                <w:szCs w:val="24"/>
                <w:highlight w:val="none"/>
                <w:lang w:val="en-US" w:eastAsia="zh-CN"/>
              </w:rPr>
              <w:t>江西省景德镇市乐平市金山工业园</w:t>
            </w:r>
            <w:r>
              <w:rPr>
                <w:rFonts w:hint="default" w:ascii="Times New Roman" w:hAnsi="Times New Roman" w:eastAsia="宋体" w:cs="Times New Roman"/>
                <w:color w:val="auto"/>
                <w:sz w:val="24"/>
                <w:szCs w:val="24"/>
                <w:highlight w:val="none"/>
              </w:rPr>
              <w:t>，不在当地集中式饮用水源、风景名胜区、自然保护区等生态保护区内，项目不涉及生态红线，符合生态保护红线要求</w:t>
            </w:r>
            <w:r>
              <w:rPr>
                <w:rFonts w:hint="default" w:ascii="Times New Roman" w:hAnsi="Times New Roman" w:cs="Times New Roman"/>
                <w:color w:val="auto"/>
                <w:sz w:val="24"/>
                <w:szCs w:val="24"/>
                <w:highlight w:val="none"/>
                <w:lang w:val="en-US" w:eastAsia="zh-CN"/>
              </w:rPr>
              <w:t>。</w:t>
            </w:r>
          </w:p>
          <w:p w14:paraId="5D42BC6F">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80" w:firstLineChars="200"/>
              <w:jc w:val="both"/>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（2）环境质量底线</w:t>
            </w:r>
          </w:p>
          <w:p w14:paraId="3A8DD167">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80" w:firstLineChars="200"/>
              <w:jc w:val="both"/>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项目所在区域的环境质量底线为：环境空气质量目标为《环境空气质量标准》（GB3095-20</w:t>
            </w:r>
            <w:r>
              <w:rPr>
                <w:rFonts w:hint="eastAsia" w:cs="Times New Roman"/>
                <w:color w:val="auto"/>
                <w:sz w:val="24"/>
                <w:szCs w:val="24"/>
                <w:highlight w:val="none"/>
                <w:lang w:val="en-US" w:eastAsia="zh-CN"/>
              </w:rPr>
              <w:t>26</w:t>
            </w:r>
            <w:r>
              <w:rPr>
                <w:rFonts w:hint="default" w:ascii="Times New Roman" w:hAnsi="Times New Roman" w:eastAsia="宋体" w:cs="Times New Roman"/>
                <w:color w:val="auto"/>
                <w:sz w:val="24"/>
                <w:szCs w:val="24"/>
                <w:highlight w:val="none"/>
              </w:rPr>
              <w:t>）二级；《地表水环境质量标准》（GB3838-2002）Ⅲ类标准</w:t>
            </w:r>
            <w:r>
              <w:rPr>
                <w:rFonts w:hint="eastAsia" w:ascii="Times New Roman" w:hAnsi="Times New Roman"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rPr>
              <w:t>《声环境质量标准》（GB3096-2008）</w:t>
            </w:r>
            <w:r>
              <w:rPr>
                <w:rFonts w:hint="eastAsia" w:cs="Times New Roman"/>
                <w:color w:val="auto"/>
                <w:sz w:val="24"/>
                <w:szCs w:val="24"/>
                <w:highlight w:val="none"/>
                <w:lang w:val="en-US" w:eastAsia="zh-CN"/>
              </w:rPr>
              <w:t>3</w:t>
            </w:r>
            <w:r>
              <w:rPr>
                <w:rFonts w:hint="default" w:ascii="Times New Roman" w:hAnsi="Times New Roman" w:eastAsia="宋体" w:cs="Times New Roman"/>
                <w:color w:val="auto"/>
                <w:sz w:val="24"/>
                <w:szCs w:val="24"/>
                <w:highlight w:val="none"/>
              </w:rPr>
              <w:t>类标准。</w:t>
            </w:r>
          </w:p>
          <w:p w14:paraId="72EEB25C">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80" w:firstLineChars="200"/>
              <w:jc w:val="both"/>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本项目对产生的废水、废气、噪声治理之后均能做到达标排放，固废可做到无害化处置。采取本环评提出的相关防治措施后，本项目排放的污染物不会突破区域环境质量底线。</w:t>
            </w:r>
          </w:p>
          <w:p w14:paraId="2117EA1B">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80" w:firstLineChars="200"/>
              <w:jc w:val="both"/>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（3）资源利用上线</w:t>
            </w:r>
          </w:p>
          <w:p w14:paraId="10EE335A">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80" w:firstLineChars="200"/>
              <w:jc w:val="both"/>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本项目</w:t>
            </w:r>
            <w:r>
              <w:rPr>
                <w:rFonts w:hint="eastAsia" w:cs="Times New Roman"/>
                <w:color w:val="auto"/>
                <w:sz w:val="24"/>
                <w:szCs w:val="24"/>
                <w:highlight w:val="none"/>
                <w:lang w:val="en-US" w:eastAsia="zh-CN"/>
              </w:rPr>
              <w:t>不直接开采自然资源，确保了项目周边的环境容量不会大幅变动。本项目需消耗一定量的水、电、天然气等资源，相对区域资源利用总量来说占比较小项目建设与资源利用上线的要求相符</w:t>
            </w:r>
            <w:r>
              <w:rPr>
                <w:rFonts w:hint="default" w:ascii="Times New Roman" w:hAnsi="Times New Roman" w:eastAsia="宋体" w:cs="Times New Roman"/>
                <w:color w:val="auto"/>
                <w:sz w:val="24"/>
                <w:szCs w:val="24"/>
                <w:highlight w:val="none"/>
              </w:rPr>
              <w:t>。</w:t>
            </w:r>
          </w:p>
          <w:p w14:paraId="3FA9A5A9">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80" w:firstLineChars="200"/>
              <w:jc w:val="both"/>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（4）</w:t>
            </w:r>
            <w:r>
              <w:rPr>
                <w:rFonts w:hint="eastAsia" w:cs="Times New Roman"/>
                <w:color w:val="auto"/>
                <w:sz w:val="24"/>
                <w:szCs w:val="24"/>
                <w:highlight w:val="none"/>
                <w:lang w:val="en-US" w:eastAsia="zh-CN"/>
              </w:rPr>
              <w:t>生态</w:t>
            </w:r>
            <w:r>
              <w:rPr>
                <w:rFonts w:hint="default" w:ascii="Times New Roman" w:hAnsi="Times New Roman" w:eastAsia="宋体" w:cs="Times New Roman"/>
                <w:color w:val="auto"/>
                <w:sz w:val="24"/>
                <w:szCs w:val="24"/>
                <w:highlight w:val="none"/>
              </w:rPr>
              <w:t>环境准入清单</w:t>
            </w:r>
          </w:p>
          <w:p w14:paraId="41033583">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80" w:firstLineChars="200"/>
              <w:textAlignment w:val="auto"/>
              <w:rPr>
                <w:rFonts w:hint="default" w:ascii="Times New Roman" w:hAnsi="Times New Roman" w:cs="Times New Roman"/>
                <w:color w:val="auto"/>
                <w:sz w:val="24"/>
                <w:highlight w:val="none"/>
                <w:lang w:val="zh-CN"/>
              </w:rPr>
            </w:pPr>
            <w:r>
              <w:rPr>
                <w:rFonts w:hint="default" w:ascii="Times New Roman" w:hAnsi="Times New Roman" w:cs="Times New Roman"/>
                <w:color w:val="auto"/>
                <w:sz w:val="24"/>
                <w:highlight w:val="none"/>
                <w:lang w:val="en-US" w:eastAsia="zh-CN"/>
              </w:rPr>
              <w:t>根据</w:t>
            </w:r>
            <w:r>
              <w:rPr>
                <w:rFonts w:hint="default" w:ascii="Times New Roman" w:hAnsi="Times New Roman" w:cs="Times New Roman"/>
                <w:color w:val="auto"/>
                <w:sz w:val="24"/>
                <w:highlight w:val="none"/>
                <w:lang w:val="zh-CN" w:eastAsia="zh-CN"/>
              </w:rPr>
              <w:t>《关于印发景德镇市环境管控单元生态环境准入清单的通知》（景环字〔2021〕17号）</w:t>
            </w:r>
            <w:r>
              <w:rPr>
                <w:rFonts w:hint="eastAsia" w:cs="Times New Roman"/>
                <w:color w:val="auto"/>
                <w:sz w:val="24"/>
                <w:highlight w:val="none"/>
                <w:lang w:val="en-US" w:eastAsia="zh-CN"/>
              </w:rPr>
              <w:t>和景德镇市生态环境总体准入要求动态更新（2023版）</w:t>
            </w:r>
            <w:r>
              <w:rPr>
                <w:rFonts w:hint="default" w:ascii="Times New Roman" w:hAnsi="Times New Roman" w:cs="Times New Roman"/>
                <w:color w:val="auto"/>
                <w:sz w:val="24"/>
                <w:highlight w:val="none"/>
                <w:lang w:val="zh-CN" w:eastAsia="zh-CN"/>
              </w:rPr>
              <w:t>，</w:t>
            </w:r>
            <w:r>
              <w:rPr>
                <w:rFonts w:hint="eastAsia" w:ascii="宋体" w:hAnsi="宋体" w:cs="宋体"/>
                <w:color w:val="auto"/>
                <w:sz w:val="24"/>
                <w:szCs w:val="24"/>
                <w:lang w:val="en-US" w:eastAsia="zh-CN"/>
              </w:rPr>
              <w:t>并</w:t>
            </w:r>
            <w:r>
              <w:rPr>
                <w:rFonts w:hint="default" w:ascii="宋体" w:hAnsi="宋体" w:eastAsia="宋体" w:cs="宋体"/>
                <w:color w:val="auto"/>
                <w:sz w:val="24"/>
                <w:szCs w:val="24"/>
              </w:rPr>
              <w:t>通过江西省生态环境分区管控信息平台查询</w:t>
            </w:r>
            <w:r>
              <w:rPr>
                <w:rFonts w:hint="eastAsia" w:ascii="宋体" w:hAnsi="宋体" w:cs="宋体"/>
                <w:color w:val="auto"/>
                <w:sz w:val="24"/>
                <w:szCs w:val="24"/>
                <w:lang w:eastAsia="zh-CN"/>
              </w:rPr>
              <w:t>（</w:t>
            </w:r>
            <w:r>
              <w:rPr>
                <w:rFonts w:hint="eastAsia" w:ascii="宋体" w:hAnsi="宋体" w:cs="宋体"/>
                <w:color w:val="auto"/>
                <w:sz w:val="24"/>
                <w:szCs w:val="24"/>
                <w:lang w:val="en-US" w:eastAsia="zh-CN"/>
              </w:rPr>
              <w:t>附图</w:t>
            </w:r>
            <w:r>
              <w:rPr>
                <w:rFonts w:hint="eastAsia" w:ascii="Times New Roman" w:hAnsi="Times New Roman" w:cs="宋体"/>
                <w:color w:val="auto"/>
                <w:sz w:val="24"/>
                <w:szCs w:val="24"/>
                <w:lang w:val="en-US" w:eastAsia="zh-CN"/>
              </w:rPr>
              <w:t>1</w:t>
            </w:r>
            <w:r>
              <w:rPr>
                <w:rFonts w:hint="eastAsia" w:cs="宋体"/>
                <w:color w:val="auto"/>
                <w:sz w:val="24"/>
                <w:szCs w:val="24"/>
                <w:lang w:val="en-US" w:eastAsia="zh-CN"/>
              </w:rPr>
              <w:t>5</w:t>
            </w:r>
            <w:r>
              <w:rPr>
                <w:rFonts w:hint="eastAsia" w:ascii="宋体" w:hAnsi="宋体" w:cs="宋体"/>
                <w:color w:val="auto"/>
                <w:sz w:val="24"/>
                <w:szCs w:val="24"/>
                <w:lang w:eastAsia="zh-CN"/>
              </w:rPr>
              <w:t>），</w:t>
            </w:r>
            <w:r>
              <w:rPr>
                <w:rFonts w:hint="default" w:ascii="宋体" w:hAnsi="宋体" w:eastAsia="宋体" w:cs="宋体"/>
                <w:color w:val="auto"/>
                <w:sz w:val="24"/>
                <w:szCs w:val="24"/>
              </w:rPr>
              <w:t>项目所在区域</w:t>
            </w:r>
            <w:r>
              <w:rPr>
                <w:rFonts w:hint="default" w:ascii="Times New Roman" w:hAnsi="Times New Roman" w:cs="Times New Roman"/>
                <w:color w:val="auto"/>
                <w:sz w:val="24"/>
                <w:szCs w:val="24"/>
                <w:lang w:bidi="ar"/>
              </w:rPr>
              <w:t>属于</w:t>
            </w:r>
            <w:r>
              <w:rPr>
                <w:rFonts w:hint="eastAsia" w:ascii="Times New Roman" w:hAnsi="Times New Roman" w:cs="Times New Roman"/>
                <w:color w:val="auto"/>
                <w:sz w:val="24"/>
                <w:szCs w:val="24"/>
                <w:lang w:val="en-US" w:eastAsia="zh-CN" w:bidi="ar"/>
              </w:rPr>
              <w:t>景德镇市乐平</w:t>
            </w:r>
            <w:r>
              <w:rPr>
                <w:rFonts w:hint="default" w:ascii="Times New Roman" w:hAnsi="Times New Roman" w:cs="Times New Roman"/>
                <w:color w:val="auto"/>
                <w:sz w:val="24"/>
                <w:szCs w:val="24"/>
                <w:lang w:bidi="ar"/>
              </w:rPr>
              <w:t>市</w:t>
            </w:r>
            <w:r>
              <w:rPr>
                <w:rFonts w:hint="eastAsia" w:ascii="Times New Roman" w:hAnsi="Times New Roman" w:cs="Times New Roman"/>
                <w:color w:val="auto"/>
                <w:sz w:val="24"/>
                <w:szCs w:val="24"/>
                <w:lang w:val="en-US" w:eastAsia="zh-CN" w:bidi="ar"/>
              </w:rPr>
              <w:t>重点</w:t>
            </w:r>
            <w:r>
              <w:rPr>
                <w:rFonts w:hint="default" w:ascii="Times New Roman" w:hAnsi="Times New Roman" w:cs="Times New Roman"/>
                <w:color w:val="auto"/>
                <w:sz w:val="24"/>
                <w:szCs w:val="24"/>
                <w:lang w:bidi="ar"/>
              </w:rPr>
              <w:t>管控单元</w:t>
            </w:r>
            <w:r>
              <w:rPr>
                <w:rFonts w:hint="eastAsia" w:ascii="Times New Roman" w:hAnsi="Times New Roman" w:cs="Times New Roman"/>
                <w:color w:val="auto"/>
                <w:sz w:val="24"/>
                <w:szCs w:val="24"/>
                <w:lang w:val="en-US" w:eastAsia="zh-CN" w:bidi="ar"/>
              </w:rPr>
              <w:t>1，</w:t>
            </w:r>
            <w:r>
              <w:rPr>
                <w:rFonts w:hint="eastAsia" w:cs="Times New Roman"/>
                <w:color w:val="auto"/>
                <w:sz w:val="24"/>
                <w:highlight w:val="none"/>
                <w:lang w:val="en-US" w:eastAsia="zh-CN"/>
              </w:rPr>
              <w:t>本项目与景德镇市生态环境总体准入要求及动态更新相符性分析见表1-4</w:t>
            </w:r>
            <w:r>
              <w:rPr>
                <w:rFonts w:hint="default" w:ascii="Times New Roman" w:hAnsi="Times New Roman" w:cs="Times New Roman"/>
                <w:color w:val="auto"/>
                <w:sz w:val="24"/>
                <w:highlight w:val="none"/>
                <w:lang w:val="zh-CN"/>
              </w:rPr>
              <w:t>。</w:t>
            </w:r>
          </w:p>
          <w:p w14:paraId="690F29D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
                <w:color w:val="auto"/>
                <w:kern w:val="0"/>
                <w:highlight w:val="none"/>
                <w:lang w:val="en-US" w:eastAsia="zh-CN"/>
              </w:rPr>
            </w:pPr>
            <w:r>
              <w:rPr>
                <w:rFonts w:hint="eastAsia" w:ascii="Times New Roman" w:hAnsi="Times New Roman" w:eastAsia="宋体" w:cs="Times New Roman"/>
                <w:b/>
                <w:color w:val="auto"/>
                <w:kern w:val="0"/>
                <w:highlight w:val="none"/>
                <w:lang w:val="en-US" w:eastAsia="zh-CN"/>
              </w:rPr>
              <w:t>表1-4 与景德镇市生态环境总体准入要求及动态更新</w:t>
            </w:r>
            <w:r>
              <w:rPr>
                <w:rFonts w:hint="eastAsia" w:cs="Times New Roman"/>
                <w:b/>
                <w:color w:val="auto"/>
                <w:kern w:val="0"/>
                <w:highlight w:val="none"/>
                <w:lang w:val="en-US" w:eastAsia="zh-CN"/>
              </w:rPr>
              <w:t>（2023版）</w:t>
            </w:r>
            <w:r>
              <w:rPr>
                <w:rFonts w:hint="eastAsia" w:ascii="Times New Roman" w:hAnsi="Times New Roman" w:eastAsia="宋体" w:cs="Times New Roman"/>
                <w:b/>
                <w:color w:val="auto"/>
                <w:kern w:val="0"/>
                <w:highlight w:val="none"/>
                <w:lang w:val="en-US" w:eastAsia="zh-CN"/>
              </w:rPr>
              <w:t>相符性分析表</w:t>
            </w:r>
          </w:p>
          <w:tbl>
            <w:tblPr>
              <w:tblStyle w:val="27"/>
              <w:tblW w:w="0" w:type="auto"/>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854"/>
              <w:gridCol w:w="734"/>
              <w:gridCol w:w="540"/>
              <w:gridCol w:w="2517"/>
              <w:gridCol w:w="1743"/>
              <w:gridCol w:w="1061"/>
            </w:tblGrid>
            <w:tr w14:paraId="31614CA7">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54" w:type="dxa"/>
                  <w:tcBorders>
                    <w:top w:val="single" w:color="auto" w:sz="12" w:space="0"/>
                    <w:bottom w:val="single" w:color="auto" w:sz="12" w:space="0"/>
                  </w:tcBorders>
                  <w:vAlign w:val="center"/>
                </w:tcPr>
                <w:p w14:paraId="3635463E">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default" w:eastAsia="宋体" w:cs="Times New Roman"/>
                      <w:b/>
                      <w:bCs/>
                      <w:color w:val="auto"/>
                      <w:szCs w:val="22"/>
                      <w:highlight w:val="none"/>
                      <w:lang w:val="en-US" w:eastAsia="zh-CN"/>
                    </w:rPr>
                  </w:pPr>
                  <w:r>
                    <w:rPr>
                      <w:rStyle w:val="91"/>
                      <w:rFonts w:hint="eastAsia" w:eastAsia="宋体" w:cs="Times New Roman"/>
                      <w:b/>
                      <w:bCs/>
                      <w:color w:val="auto"/>
                      <w:szCs w:val="22"/>
                      <w:highlight w:val="none"/>
                      <w:lang w:val="en-US" w:eastAsia="zh-CN"/>
                    </w:rPr>
                    <w:t>维度</w:t>
                  </w:r>
                </w:p>
              </w:tc>
              <w:tc>
                <w:tcPr>
                  <w:tcW w:w="734" w:type="dxa"/>
                  <w:tcBorders>
                    <w:top w:val="single" w:color="auto" w:sz="12" w:space="0"/>
                    <w:bottom w:val="single" w:color="auto" w:sz="12" w:space="0"/>
                  </w:tcBorders>
                  <w:vAlign w:val="center"/>
                </w:tcPr>
                <w:p w14:paraId="65E252C2">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default" w:eastAsia="宋体" w:cs="Times New Roman"/>
                      <w:b/>
                      <w:bCs/>
                      <w:color w:val="auto"/>
                      <w:szCs w:val="22"/>
                      <w:highlight w:val="none"/>
                    </w:rPr>
                  </w:pPr>
                  <w:r>
                    <w:rPr>
                      <w:rStyle w:val="91"/>
                      <w:rFonts w:hint="default" w:eastAsia="宋体" w:cs="Times New Roman"/>
                      <w:b/>
                      <w:bCs/>
                      <w:color w:val="auto"/>
                      <w:szCs w:val="22"/>
                      <w:highlight w:val="none"/>
                    </w:rPr>
                    <w:t>清单编制要求</w:t>
                  </w:r>
                </w:p>
              </w:tc>
              <w:tc>
                <w:tcPr>
                  <w:tcW w:w="540" w:type="dxa"/>
                  <w:tcBorders>
                    <w:top w:val="single" w:color="auto" w:sz="12" w:space="0"/>
                    <w:bottom w:val="single" w:color="auto" w:sz="12" w:space="0"/>
                  </w:tcBorders>
                  <w:vAlign w:val="center"/>
                </w:tcPr>
                <w:p w14:paraId="0208B8B0">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default" w:eastAsia="宋体" w:cs="Times New Roman"/>
                      <w:b/>
                      <w:bCs/>
                      <w:color w:val="auto"/>
                      <w:szCs w:val="22"/>
                      <w:highlight w:val="none"/>
                    </w:rPr>
                  </w:pPr>
                  <w:r>
                    <w:rPr>
                      <w:rStyle w:val="91"/>
                      <w:rFonts w:hint="default" w:eastAsia="宋体" w:cs="Times New Roman"/>
                      <w:b/>
                      <w:bCs/>
                      <w:color w:val="auto"/>
                      <w:szCs w:val="22"/>
                      <w:highlight w:val="none"/>
                    </w:rPr>
                    <w:t>序号</w:t>
                  </w:r>
                </w:p>
              </w:tc>
              <w:tc>
                <w:tcPr>
                  <w:tcW w:w="2517" w:type="dxa"/>
                  <w:tcBorders>
                    <w:top w:val="single" w:color="auto" w:sz="12" w:space="0"/>
                    <w:bottom w:val="single" w:color="auto" w:sz="12" w:space="0"/>
                  </w:tcBorders>
                  <w:vAlign w:val="center"/>
                </w:tcPr>
                <w:p w14:paraId="68A26DC7">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default" w:eastAsia="宋体" w:cs="Times New Roman"/>
                      <w:b/>
                      <w:bCs/>
                      <w:color w:val="auto"/>
                      <w:szCs w:val="22"/>
                      <w:highlight w:val="none"/>
                      <w:lang w:val="en-US"/>
                    </w:rPr>
                  </w:pPr>
                  <w:r>
                    <w:rPr>
                      <w:rStyle w:val="91"/>
                      <w:rFonts w:hint="eastAsia" w:cs="Times New Roman"/>
                      <w:b/>
                      <w:bCs/>
                      <w:color w:val="auto"/>
                      <w:szCs w:val="22"/>
                      <w:highlight w:val="none"/>
                      <w:lang w:val="en-US"/>
                    </w:rPr>
                    <w:t>准入要求</w:t>
                  </w:r>
                </w:p>
              </w:tc>
              <w:tc>
                <w:tcPr>
                  <w:tcW w:w="1743" w:type="dxa"/>
                  <w:tcBorders>
                    <w:top w:val="single" w:color="auto" w:sz="12" w:space="0"/>
                    <w:bottom w:val="single" w:color="auto" w:sz="12" w:space="0"/>
                  </w:tcBorders>
                  <w:vAlign w:val="center"/>
                </w:tcPr>
                <w:p w14:paraId="510F977C">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eastAsia" w:eastAsia="宋体" w:cs="Times New Roman"/>
                      <w:b/>
                      <w:bCs/>
                      <w:color w:val="auto"/>
                      <w:szCs w:val="22"/>
                      <w:highlight w:val="none"/>
                      <w:lang w:val="en-US" w:eastAsia="zh-CN"/>
                    </w:rPr>
                  </w:pPr>
                  <w:r>
                    <w:rPr>
                      <w:rStyle w:val="91"/>
                      <w:rFonts w:hint="eastAsia" w:eastAsia="宋体" w:cs="Times New Roman"/>
                      <w:b/>
                      <w:bCs/>
                      <w:color w:val="auto"/>
                      <w:szCs w:val="22"/>
                      <w:highlight w:val="none"/>
                      <w:lang w:val="en-US" w:eastAsia="zh-CN"/>
                    </w:rPr>
                    <w:t>本项目</w:t>
                  </w:r>
                </w:p>
              </w:tc>
              <w:tc>
                <w:tcPr>
                  <w:tcW w:w="1061" w:type="dxa"/>
                  <w:tcBorders>
                    <w:top w:val="single" w:color="auto" w:sz="12" w:space="0"/>
                    <w:bottom w:val="single" w:color="auto" w:sz="12" w:space="0"/>
                  </w:tcBorders>
                  <w:vAlign w:val="center"/>
                </w:tcPr>
                <w:p w14:paraId="39661EFE">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eastAsia" w:eastAsia="宋体" w:cs="Times New Roman"/>
                      <w:b/>
                      <w:bCs/>
                      <w:color w:val="auto"/>
                      <w:szCs w:val="22"/>
                      <w:highlight w:val="none"/>
                      <w:lang w:val="en-US" w:eastAsia="zh-CN"/>
                    </w:rPr>
                  </w:pPr>
                  <w:r>
                    <w:rPr>
                      <w:rStyle w:val="91"/>
                      <w:rFonts w:hint="eastAsia" w:eastAsia="宋体" w:cs="Times New Roman"/>
                      <w:b/>
                      <w:bCs/>
                      <w:color w:val="auto"/>
                      <w:szCs w:val="22"/>
                      <w:highlight w:val="none"/>
                      <w:lang w:val="en-US" w:eastAsia="zh-CN"/>
                    </w:rPr>
                    <w:t>相符性</w:t>
                  </w:r>
                </w:p>
              </w:tc>
            </w:tr>
            <w:tr w14:paraId="6A488F29">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54" w:type="dxa"/>
                  <w:vMerge w:val="restart"/>
                  <w:tcBorders>
                    <w:top w:val="single" w:color="auto" w:sz="12" w:space="0"/>
                    <w:tl2br w:val="nil"/>
                    <w:tr2bl w:val="nil"/>
                  </w:tcBorders>
                  <w:vAlign w:val="center"/>
                </w:tcPr>
                <w:p w14:paraId="3D0A28FD">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eastAsia" w:eastAsia="宋体" w:cs="Times New Roman"/>
                      <w:color w:val="auto"/>
                      <w:szCs w:val="22"/>
                      <w:highlight w:val="none"/>
                      <w:lang w:val="en-US" w:eastAsia="zh-CN"/>
                    </w:rPr>
                  </w:pPr>
                  <w:r>
                    <w:rPr>
                      <w:rStyle w:val="91"/>
                      <w:rFonts w:hint="eastAsia" w:eastAsia="宋体" w:cs="Times New Roman"/>
                      <w:color w:val="auto"/>
                      <w:szCs w:val="22"/>
                      <w:highlight w:val="none"/>
                      <w:lang w:val="en-US" w:eastAsia="zh-CN"/>
                    </w:rPr>
                    <w:t>空间布局约束</w:t>
                  </w:r>
                </w:p>
              </w:tc>
              <w:tc>
                <w:tcPr>
                  <w:tcW w:w="734" w:type="dxa"/>
                  <w:vMerge w:val="restart"/>
                  <w:tcBorders>
                    <w:top w:val="single" w:color="auto" w:sz="12" w:space="0"/>
                    <w:tl2br w:val="nil"/>
                    <w:tr2bl w:val="nil"/>
                  </w:tcBorders>
                  <w:vAlign w:val="center"/>
                </w:tcPr>
                <w:p w14:paraId="0AC1B5E1">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default" w:eastAsia="宋体" w:cs="Times New Roman"/>
                      <w:b w:val="0"/>
                      <w:bCs w:val="0"/>
                      <w:color w:val="auto"/>
                      <w:szCs w:val="22"/>
                      <w:highlight w:val="none"/>
                    </w:rPr>
                  </w:pPr>
                  <w:r>
                    <w:rPr>
                      <w:rStyle w:val="91"/>
                      <w:rFonts w:hint="default" w:eastAsia="宋体" w:cs="Times New Roman"/>
                      <w:b w:val="0"/>
                      <w:bCs w:val="0"/>
                      <w:color w:val="auto"/>
                      <w:szCs w:val="22"/>
                      <w:highlight w:val="none"/>
                    </w:rPr>
                    <w:t>禁止开发建设活动的要求</w:t>
                  </w:r>
                </w:p>
              </w:tc>
              <w:tc>
                <w:tcPr>
                  <w:tcW w:w="540" w:type="dxa"/>
                  <w:tcBorders>
                    <w:top w:val="single" w:color="auto" w:sz="12" w:space="0"/>
                    <w:tl2br w:val="nil"/>
                    <w:tr2bl w:val="nil"/>
                  </w:tcBorders>
                  <w:vAlign w:val="center"/>
                </w:tcPr>
                <w:p w14:paraId="5074814C">
                  <w:pPr>
                    <w:keepNext w:val="0"/>
                    <w:keepLines w:val="0"/>
                    <w:widowControl/>
                    <w:suppressLineNumbers w:val="0"/>
                    <w:spacing w:before="0" w:beforeAutospacing="0" w:after="0" w:afterAutospacing="0"/>
                    <w:ind w:left="0" w:right="0"/>
                    <w:jc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olor w:val="auto"/>
                      <w:kern w:val="0"/>
                      <w:szCs w:val="21"/>
                    </w:rPr>
                    <w:t>1</w:t>
                  </w:r>
                </w:p>
              </w:tc>
              <w:tc>
                <w:tcPr>
                  <w:tcW w:w="2517" w:type="dxa"/>
                  <w:tcBorders>
                    <w:top w:val="single" w:color="auto" w:sz="12" w:space="0"/>
                    <w:tl2br w:val="nil"/>
                    <w:tr2bl w:val="nil"/>
                  </w:tcBorders>
                  <w:vAlign w:val="center"/>
                </w:tcPr>
                <w:p w14:paraId="5BF2E44A">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both"/>
                    <w:textAlignment w:val="auto"/>
                    <w:rPr>
                      <w:rStyle w:val="91"/>
                      <w:rFonts w:hint="default" w:eastAsia="宋体" w:cs="Times New Roman"/>
                      <w:b w:val="0"/>
                      <w:bCs w:val="0"/>
                      <w:color w:val="auto"/>
                      <w:szCs w:val="22"/>
                      <w:highlight w:val="none"/>
                      <w:lang w:val="en-US" w:eastAsia="zh-CN"/>
                    </w:rPr>
                  </w:pPr>
                  <w:r>
                    <w:rPr>
                      <w:rStyle w:val="91"/>
                      <w:rFonts w:hint="eastAsia" w:eastAsia="宋体" w:cs="Times New Roman"/>
                      <w:b w:val="0"/>
                      <w:bCs w:val="0"/>
                      <w:color w:val="auto"/>
                      <w:szCs w:val="22"/>
                      <w:highlight w:val="none"/>
                    </w:rPr>
                    <w:t>禁止商业性采伐生态公益林。</w:t>
                  </w:r>
                </w:p>
              </w:tc>
              <w:tc>
                <w:tcPr>
                  <w:tcW w:w="1743" w:type="dxa"/>
                  <w:tcBorders>
                    <w:top w:val="single" w:color="auto" w:sz="12" w:space="0"/>
                    <w:tl2br w:val="nil"/>
                    <w:tr2bl w:val="nil"/>
                  </w:tcBorders>
                  <w:vAlign w:val="center"/>
                </w:tcPr>
                <w:p w14:paraId="1DDC74B0">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both"/>
                    <w:textAlignment w:val="auto"/>
                    <w:rPr>
                      <w:rStyle w:val="91"/>
                      <w:rFonts w:hint="default" w:eastAsia="宋体" w:cs="Times New Roman"/>
                      <w:color w:val="auto"/>
                      <w:szCs w:val="22"/>
                      <w:highlight w:val="none"/>
                      <w:lang w:val="en-US" w:eastAsia="zh-CN"/>
                    </w:rPr>
                  </w:pPr>
                  <w:r>
                    <w:rPr>
                      <w:rStyle w:val="91"/>
                      <w:rFonts w:hint="eastAsia" w:cs="Times New Roman"/>
                      <w:color w:val="auto"/>
                      <w:szCs w:val="22"/>
                      <w:highlight w:val="none"/>
                      <w:lang w:val="en-US" w:eastAsia="zh-CN"/>
                    </w:rPr>
                    <w:t>本项目不涉及商业性采伐生态公益林。</w:t>
                  </w:r>
                </w:p>
              </w:tc>
              <w:tc>
                <w:tcPr>
                  <w:tcW w:w="1061" w:type="dxa"/>
                  <w:tcBorders>
                    <w:top w:val="single" w:color="auto" w:sz="12" w:space="0"/>
                    <w:tl2br w:val="nil"/>
                    <w:tr2bl w:val="nil"/>
                  </w:tcBorders>
                  <w:vAlign w:val="center"/>
                </w:tcPr>
                <w:p w14:paraId="21AA2F91">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default" w:eastAsia="宋体" w:cs="Times New Roman"/>
                      <w:color w:val="auto"/>
                      <w:szCs w:val="22"/>
                      <w:highlight w:val="none"/>
                      <w:lang w:val="en-US" w:eastAsia="zh-CN"/>
                    </w:rPr>
                  </w:pPr>
                  <w:r>
                    <w:rPr>
                      <w:rStyle w:val="91"/>
                      <w:rFonts w:hint="eastAsia" w:cs="Times New Roman"/>
                      <w:color w:val="auto"/>
                      <w:szCs w:val="22"/>
                      <w:highlight w:val="none"/>
                      <w:lang w:val="en-US" w:eastAsia="zh-CN"/>
                    </w:rPr>
                    <w:t>符合</w:t>
                  </w:r>
                </w:p>
              </w:tc>
            </w:tr>
            <w:tr w14:paraId="0553CA8A">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54" w:type="dxa"/>
                  <w:vMerge w:val="continue"/>
                  <w:tcBorders>
                    <w:tl2br w:val="nil"/>
                    <w:tr2bl w:val="nil"/>
                  </w:tcBorders>
                  <w:vAlign w:val="center"/>
                </w:tcPr>
                <w:p w14:paraId="486DC6A7">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eastAsia" w:eastAsia="宋体" w:cs="Times New Roman"/>
                      <w:color w:val="auto"/>
                      <w:szCs w:val="22"/>
                      <w:highlight w:val="none"/>
                      <w:lang w:val="en-US" w:eastAsia="zh-CN"/>
                    </w:rPr>
                  </w:pPr>
                </w:p>
              </w:tc>
              <w:tc>
                <w:tcPr>
                  <w:tcW w:w="734" w:type="dxa"/>
                  <w:vMerge w:val="continue"/>
                  <w:tcBorders>
                    <w:tl2br w:val="nil"/>
                    <w:tr2bl w:val="nil"/>
                  </w:tcBorders>
                  <w:vAlign w:val="center"/>
                </w:tcPr>
                <w:p w14:paraId="13689D8D">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default" w:eastAsia="宋体" w:cs="Times New Roman"/>
                      <w:color w:val="auto"/>
                      <w:szCs w:val="22"/>
                      <w:highlight w:val="none"/>
                    </w:rPr>
                  </w:pPr>
                </w:p>
              </w:tc>
              <w:tc>
                <w:tcPr>
                  <w:tcW w:w="540" w:type="dxa"/>
                  <w:tcBorders>
                    <w:tl2br w:val="nil"/>
                    <w:tr2bl w:val="nil"/>
                  </w:tcBorders>
                  <w:vAlign w:val="center"/>
                </w:tcPr>
                <w:p w14:paraId="0073031F">
                  <w:pPr>
                    <w:keepNext w:val="0"/>
                    <w:keepLines w:val="0"/>
                    <w:widowControl/>
                    <w:suppressLineNumbers w:val="0"/>
                    <w:spacing w:before="0" w:beforeAutospacing="0" w:after="0" w:afterAutospacing="0"/>
                    <w:ind w:left="0" w:right="0"/>
                    <w:jc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olor w:val="auto"/>
                      <w:kern w:val="0"/>
                      <w:szCs w:val="21"/>
                    </w:rPr>
                    <w:t>2</w:t>
                  </w:r>
                </w:p>
              </w:tc>
              <w:tc>
                <w:tcPr>
                  <w:tcW w:w="2517" w:type="dxa"/>
                  <w:tcBorders>
                    <w:tl2br w:val="nil"/>
                    <w:tr2bl w:val="nil"/>
                  </w:tcBorders>
                  <w:vAlign w:val="center"/>
                </w:tcPr>
                <w:p w14:paraId="57A7B565">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both"/>
                    <w:textAlignment w:val="auto"/>
                    <w:rPr>
                      <w:rStyle w:val="91"/>
                      <w:rFonts w:hint="default" w:eastAsia="宋体" w:cs="Times New Roman"/>
                      <w:b w:val="0"/>
                      <w:bCs w:val="0"/>
                      <w:color w:val="auto"/>
                      <w:szCs w:val="22"/>
                      <w:highlight w:val="none"/>
                      <w:lang w:val="en-US" w:eastAsia="zh-CN"/>
                    </w:rPr>
                  </w:pPr>
                  <w:r>
                    <w:rPr>
                      <w:rStyle w:val="91"/>
                      <w:rFonts w:hint="eastAsia" w:eastAsia="宋体" w:cs="Times New Roman"/>
                      <w:b w:val="0"/>
                      <w:bCs w:val="0"/>
                      <w:color w:val="auto"/>
                      <w:szCs w:val="22"/>
                      <w:highlight w:val="none"/>
                    </w:rPr>
                    <w:t>全面取缔河湖水库网箱养殖，禁止湖泊水库投放无机肥、有机肥和生物复合肥养殖。</w:t>
                  </w:r>
                </w:p>
              </w:tc>
              <w:tc>
                <w:tcPr>
                  <w:tcW w:w="1743" w:type="dxa"/>
                  <w:tcBorders>
                    <w:tl2br w:val="nil"/>
                    <w:tr2bl w:val="nil"/>
                  </w:tcBorders>
                  <w:vAlign w:val="center"/>
                </w:tcPr>
                <w:p w14:paraId="17B32720">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both"/>
                    <w:textAlignment w:val="auto"/>
                    <w:rPr>
                      <w:rStyle w:val="91"/>
                      <w:rFonts w:hint="default" w:eastAsia="宋体" w:cs="Times New Roman"/>
                      <w:color w:val="auto"/>
                      <w:szCs w:val="22"/>
                      <w:highlight w:val="none"/>
                      <w:lang w:val="en-US" w:eastAsia="zh-CN"/>
                    </w:rPr>
                  </w:pPr>
                  <w:r>
                    <w:rPr>
                      <w:rStyle w:val="91"/>
                      <w:rFonts w:hint="eastAsia" w:cs="Times New Roman"/>
                      <w:color w:val="auto"/>
                      <w:szCs w:val="22"/>
                      <w:highlight w:val="none"/>
                      <w:lang w:val="en-US" w:eastAsia="zh-CN"/>
                    </w:rPr>
                    <w:t>本项目不涉及河湖水库网箱养殖。</w:t>
                  </w:r>
                </w:p>
              </w:tc>
              <w:tc>
                <w:tcPr>
                  <w:tcW w:w="1061" w:type="dxa"/>
                  <w:tcBorders>
                    <w:tl2br w:val="nil"/>
                    <w:tr2bl w:val="nil"/>
                  </w:tcBorders>
                  <w:vAlign w:val="center"/>
                </w:tcPr>
                <w:p w14:paraId="1D9370DF">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eastAsia" w:eastAsia="宋体" w:cs="Times New Roman"/>
                      <w:color w:val="auto"/>
                      <w:szCs w:val="22"/>
                      <w:highlight w:val="none"/>
                      <w:lang w:val="en-US" w:eastAsia="zh-CN"/>
                    </w:rPr>
                  </w:pPr>
                  <w:r>
                    <w:rPr>
                      <w:rStyle w:val="91"/>
                      <w:rFonts w:hint="eastAsia" w:cs="Times New Roman"/>
                      <w:color w:val="auto"/>
                      <w:szCs w:val="22"/>
                      <w:highlight w:val="none"/>
                      <w:lang w:val="en-US" w:eastAsia="zh-CN"/>
                    </w:rPr>
                    <w:t>符合</w:t>
                  </w:r>
                </w:p>
              </w:tc>
            </w:tr>
            <w:tr w14:paraId="66B7DF09">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54" w:type="dxa"/>
                  <w:vMerge w:val="continue"/>
                  <w:tcBorders>
                    <w:tl2br w:val="nil"/>
                    <w:tr2bl w:val="nil"/>
                  </w:tcBorders>
                  <w:vAlign w:val="center"/>
                </w:tcPr>
                <w:p w14:paraId="036F6D5D">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eastAsia" w:eastAsia="宋体" w:cs="Times New Roman"/>
                      <w:color w:val="auto"/>
                      <w:szCs w:val="22"/>
                      <w:highlight w:val="none"/>
                      <w:lang w:val="en-US" w:eastAsia="zh-CN"/>
                    </w:rPr>
                  </w:pPr>
                </w:p>
              </w:tc>
              <w:tc>
                <w:tcPr>
                  <w:tcW w:w="734" w:type="dxa"/>
                  <w:vMerge w:val="continue"/>
                  <w:tcBorders>
                    <w:tl2br w:val="nil"/>
                    <w:tr2bl w:val="nil"/>
                  </w:tcBorders>
                  <w:vAlign w:val="center"/>
                </w:tcPr>
                <w:p w14:paraId="55929D5E">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default" w:eastAsia="宋体" w:cs="Times New Roman"/>
                      <w:color w:val="auto"/>
                      <w:szCs w:val="22"/>
                      <w:highlight w:val="none"/>
                    </w:rPr>
                  </w:pPr>
                </w:p>
              </w:tc>
              <w:tc>
                <w:tcPr>
                  <w:tcW w:w="540" w:type="dxa"/>
                  <w:tcBorders>
                    <w:tl2br w:val="nil"/>
                    <w:tr2bl w:val="nil"/>
                  </w:tcBorders>
                  <w:vAlign w:val="center"/>
                </w:tcPr>
                <w:p w14:paraId="44DB0B45">
                  <w:pPr>
                    <w:keepNext w:val="0"/>
                    <w:keepLines w:val="0"/>
                    <w:widowControl/>
                    <w:suppressLineNumbers w:val="0"/>
                    <w:spacing w:before="0" w:beforeAutospacing="0" w:after="0" w:afterAutospacing="0"/>
                    <w:ind w:left="0" w:right="0"/>
                    <w:jc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olor w:val="auto"/>
                      <w:kern w:val="0"/>
                      <w:szCs w:val="21"/>
                    </w:rPr>
                    <w:t>3</w:t>
                  </w:r>
                </w:p>
              </w:tc>
              <w:tc>
                <w:tcPr>
                  <w:tcW w:w="2517" w:type="dxa"/>
                  <w:tcBorders>
                    <w:tl2br w:val="nil"/>
                    <w:tr2bl w:val="nil"/>
                  </w:tcBorders>
                  <w:vAlign w:val="center"/>
                </w:tcPr>
                <w:p w14:paraId="629B58EE">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both"/>
                    <w:textAlignment w:val="auto"/>
                    <w:rPr>
                      <w:rStyle w:val="91"/>
                      <w:rFonts w:hint="default" w:eastAsia="宋体" w:cs="Times New Roman"/>
                      <w:b w:val="0"/>
                      <w:bCs w:val="0"/>
                      <w:color w:val="auto"/>
                      <w:szCs w:val="22"/>
                      <w:highlight w:val="none"/>
                      <w:lang w:val="en-US" w:eastAsia="zh-CN"/>
                    </w:rPr>
                  </w:pPr>
                  <w:r>
                    <w:rPr>
                      <w:rStyle w:val="91"/>
                      <w:rFonts w:hint="eastAsia" w:eastAsia="宋体" w:cs="Times New Roman"/>
                      <w:b w:val="0"/>
                      <w:bCs w:val="0"/>
                      <w:color w:val="auto"/>
                      <w:szCs w:val="22"/>
                      <w:highlight w:val="none"/>
                    </w:rPr>
                    <w:t>禁止在居民区、学校、医疗和养老机构等周边新建有色金属冶炼、焦化等行业企业。</w:t>
                  </w:r>
                </w:p>
              </w:tc>
              <w:tc>
                <w:tcPr>
                  <w:tcW w:w="1743" w:type="dxa"/>
                  <w:tcBorders>
                    <w:tl2br w:val="nil"/>
                    <w:tr2bl w:val="nil"/>
                  </w:tcBorders>
                  <w:vAlign w:val="center"/>
                </w:tcPr>
                <w:p w14:paraId="7A43329B">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both"/>
                    <w:textAlignment w:val="auto"/>
                    <w:rPr>
                      <w:rStyle w:val="91"/>
                      <w:rFonts w:hint="default" w:eastAsia="宋体" w:cs="Times New Roman"/>
                      <w:color w:val="auto"/>
                      <w:szCs w:val="22"/>
                      <w:highlight w:val="none"/>
                      <w:lang w:val="en-US" w:eastAsia="zh-CN"/>
                    </w:rPr>
                  </w:pPr>
                  <w:r>
                    <w:rPr>
                      <w:rStyle w:val="91"/>
                      <w:rFonts w:hint="eastAsia" w:cs="Times New Roman"/>
                      <w:color w:val="auto"/>
                      <w:szCs w:val="22"/>
                      <w:highlight w:val="none"/>
                      <w:lang w:val="en-US" w:eastAsia="zh-CN"/>
                    </w:rPr>
                    <w:t>本项目不涉及有色金属冶炼、焦化等行业。</w:t>
                  </w:r>
                </w:p>
              </w:tc>
              <w:tc>
                <w:tcPr>
                  <w:tcW w:w="1061" w:type="dxa"/>
                  <w:tcBorders>
                    <w:tl2br w:val="nil"/>
                    <w:tr2bl w:val="nil"/>
                  </w:tcBorders>
                  <w:vAlign w:val="center"/>
                </w:tcPr>
                <w:p w14:paraId="0EF7573B">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eastAsia" w:eastAsia="宋体" w:cs="Times New Roman"/>
                      <w:color w:val="auto"/>
                      <w:szCs w:val="22"/>
                      <w:highlight w:val="none"/>
                      <w:lang w:val="en-US" w:eastAsia="zh-CN"/>
                    </w:rPr>
                  </w:pPr>
                  <w:r>
                    <w:rPr>
                      <w:rStyle w:val="91"/>
                      <w:rFonts w:hint="eastAsia" w:cs="Times New Roman"/>
                      <w:color w:val="auto"/>
                      <w:szCs w:val="22"/>
                      <w:highlight w:val="none"/>
                      <w:lang w:val="en-US" w:eastAsia="zh-CN"/>
                    </w:rPr>
                    <w:t>符合</w:t>
                  </w:r>
                </w:p>
              </w:tc>
            </w:tr>
            <w:tr w14:paraId="5F12DC77">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54" w:type="dxa"/>
                  <w:vMerge w:val="continue"/>
                  <w:tcBorders>
                    <w:tl2br w:val="nil"/>
                    <w:tr2bl w:val="nil"/>
                  </w:tcBorders>
                  <w:vAlign w:val="center"/>
                </w:tcPr>
                <w:p w14:paraId="0EB0F00F">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eastAsia" w:eastAsia="宋体" w:cs="Times New Roman"/>
                      <w:color w:val="auto"/>
                      <w:szCs w:val="22"/>
                      <w:highlight w:val="none"/>
                      <w:lang w:val="en-US" w:eastAsia="zh-CN"/>
                    </w:rPr>
                  </w:pPr>
                </w:p>
              </w:tc>
              <w:tc>
                <w:tcPr>
                  <w:tcW w:w="734" w:type="dxa"/>
                  <w:vMerge w:val="continue"/>
                  <w:tcBorders>
                    <w:tl2br w:val="nil"/>
                    <w:tr2bl w:val="nil"/>
                  </w:tcBorders>
                  <w:vAlign w:val="center"/>
                </w:tcPr>
                <w:p w14:paraId="76C2EB2E">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default" w:eastAsia="宋体" w:cs="Times New Roman"/>
                      <w:color w:val="auto"/>
                      <w:szCs w:val="22"/>
                      <w:highlight w:val="none"/>
                    </w:rPr>
                  </w:pPr>
                </w:p>
              </w:tc>
              <w:tc>
                <w:tcPr>
                  <w:tcW w:w="540" w:type="dxa"/>
                  <w:tcBorders>
                    <w:tl2br w:val="nil"/>
                    <w:tr2bl w:val="nil"/>
                  </w:tcBorders>
                  <w:vAlign w:val="center"/>
                </w:tcPr>
                <w:p w14:paraId="507BA786">
                  <w:pPr>
                    <w:keepNext w:val="0"/>
                    <w:keepLines w:val="0"/>
                    <w:widowControl/>
                    <w:suppressLineNumbers w:val="0"/>
                    <w:spacing w:before="0" w:beforeAutospacing="0" w:after="0" w:afterAutospacing="0"/>
                    <w:ind w:left="0" w:right="0"/>
                    <w:jc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olor w:val="auto"/>
                      <w:kern w:val="0"/>
                      <w:szCs w:val="21"/>
                    </w:rPr>
                    <w:t>4</w:t>
                  </w:r>
                </w:p>
              </w:tc>
              <w:tc>
                <w:tcPr>
                  <w:tcW w:w="2517" w:type="dxa"/>
                  <w:tcBorders>
                    <w:tl2br w:val="nil"/>
                    <w:tr2bl w:val="nil"/>
                  </w:tcBorders>
                  <w:vAlign w:val="center"/>
                </w:tcPr>
                <w:p w14:paraId="5B84F569">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both"/>
                    <w:textAlignment w:val="auto"/>
                    <w:rPr>
                      <w:rStyle w:val="91"/>
                      <w:rFonts w:hint="default" w:eastAsia="宋体" w:cs="Times New Roman"/>
                      <w:b w:val="0"/>
                      <w:bCs w:val="0"/>
                      <w:color w:val="auto"/>
                      <w:szCs w:val="22"/>
                      <w:highlight w:val="none"/>
                      <w:lang w:val="en-US" w:eastAsia="zh-CN"/>
                    </w:rPr>
                  </w:pPr>
                  <w:r>
                    <w:rPr>
                      <w:rStyle w:val="91"/>
                      <w:rFonts w:hint="eastAsia" w:eastAsia="宋体" w:cs="Times New Roman"/>
                      <w:b w:val="0"/>
                      <w:bCs w:val="0"/>
                      <w:color w:val="auto"/>
                      <w:szCs w:val="22"/>
                      <w:highlight w:val="none"/>
                    </w:rPr>
                    <w:t>禁止在重要生态功能区、土壤环境质量超标区域、土壤污染事故频发区域、昌江源头保护区新建、改建、扩建增加对土壤产生污染的项目</w:t>
                  </w:r>
                </w:p>
              </w:tc>
              <w:tc>
                <w:tcPr>
                  <w:tcW w:w="1743" w:type="dxa"/>
                  <w:tcBorders>
                    <w:tl2br w:val="nil"/>
                    <w:tr2bl w:val="nil"/>
                  </w:tcBorders>
                  <w:vAlign w:val="center"/>
                </w:tcPr>
                <w:p w14:paraId="093B6A9A">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both"/>
                    <w:textAlignment w:val="auto"/>
                    <w:rPr>
                      <w:rStyle w:val="91"/>
                      <w:rFonts w:hint="default" w:eastAsia="宋体" w:cs="Times New Roman"/>
                      <w:color w:val="auto"/>
                      <w:szCs w:val="22"/>
                      <w:highlight w:val="none"/>
                      <w:lang w:val="en-US" w:eastAsia="zh-CN"/>
                    </w:rPr>
                  </w:pPr>
                  <w:r>
                    <w:rPr>
                      <w:rStyle w:val="91"/>
                      <w:rFonts w:hint="eastAsia" w:cs="Times New Roman"/>
                      <w:color w:val="auto"/>
                      <w:szCs w:val="22"/>
                      <w:highlight w:val="none"/>
                      <w:lang w:val="en-US" w:eastAsia="zh-CN"/>
                    </w:rPr>
                    <w:t>本项目不在重要生态功能区、土壤环境质量超标区域、土壤污染事故频发区域、昌江源头保护区，本项目不属于对土壤产生污染的项目。</w:t>
                  </w:r>
                </w:p>
              </w:tc>
              <w:tc>
                <w:tcPr>
                  <w:tcW w:w="1061" w:type="dxa"/>
                  <w:tcBorders>
                    <w:tl2br w:val="nil"/>
                    <w:tr2bl w:val="nil"/>
                  </w:tcBorders>
                  <w:vAlign w:val="center"/>
                </w:tcPr>
                <w:p w14:paraId="7C4A8AA2">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eastAsia" w:eastAsia="宋体" w:cs="Times New Roman"/>
                      <w:color w:val="auto"/>
                      <w:szCs w:val="22"/>
                      <w:highlight w:val="none"/>
                      <w:lang w:val="en-US" w:eastAsia="zh-CN"/>
                    </w:rPr>
                  </w:pPr>
                  <w:r>
                    <w:rPr>
                      <w:rStyle w:val="91"/>
                      <w:rFonts w:hint="eastAsia" w:cs="Times New Roman"/>
                      <w:color w:val="auto"/>
                      <w:szCs w:val="22"/>
                      <w:highlight w:val="none"/>
                      <w:lang w:val="en-US" w:eastAsia="zh-CN"/>
                    </w:rPr>
                    <w:t>符合</w:t>
                  </w:r>
                </w:p>
              </w:tc>
            </w:tr>
            <w:tr w14:paraId="0BD984BA">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54" w:type="dxa"/>
                  <w:vMerge w:val="continue"/>
                  <w:tcBorders>
                    <w:tl2br w:val="nil"/>
                    <w:tr2bl w:val="nil"/>
                  </w:tcBorders>
                  <w:vAlign w:val="center"/>
                </w:tcPr>
                <w:p w14:paraId="32680ED1">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eastAsia" w:eastAsia="宋体" w:cs="Times New Roman"/>
                      <w:color w:val="auto"/>
                      <w:szCs w:val="22"/>
                      <w:highlight w:val="none"/>
                      <w:lang w:val="en-US" w:eastAsia="zh-CN"/>
                    </w:rPr>
                  </w:pPr>
                </w:p>
              </w:tc>
              <w:tc>
                <w:tcPr>
                  <w:tcW w:w="734" w:type="dxa"/>
                  <w:vMerge w:val="continue"/>
                  <w:tcBorders>
                    <w:tl2br w:val="nil"/>
                    <w:tr2bl w:val="nil"/>
                  </w:tcBorders>
                  <w:vAlign w:val="center"/>
                </w:tcPr>
                <w:p w14:paraId="5F0FF931">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default" w:eastAsia="宋体" w:cs="Times New Roman"/>
                      <w:color w:val="auto"/>
                      <w:szCs w:val="22"/>
                      <w:highlight w:val="none"/>
                    </w:rPr>
                  </w:pPr>
                </w:p>
              </w:tc>
              <w:tc>
                <w:tcPr>
                  <w:tcW w:w="540" w:type="dxa"/>
                  <w:tcBorders>
                    <w:tl2br w:val="nil"/>
                    <w:tr2bl w:val="nil"/>
                  </w:tcBorders>
                  <w:vAlign w:val="center"/>
                </w:tcPr>
                <w:p w14:paraId="51EFD7C5">
                  <w:pPr>
                    <w:keepNext w:val="0"/>
                    <w:keepLines w:val="0"/>
                    <w:widowControl/>
                    <w:suppressLineNumbers w:val="0"/>
                    <w:spacing w:before="0" w:beforeAutospacing="0" w:after="0" w:afterAutospacing="0"/>
                    <w:ind w:left="0" w:right="0"/>
                    <w:jc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olor w:val="auto"/>
                      <w:kern w:val="0"/>
                      <w:szCs w:val="21"/>
                    </w:rPr>
                    <w:t>5</w:t>
                  </w:r>
                </w:p>
              </w:tc>
              <w:tc>
                <w:tcPr>
                  <w:tcW w:w="2517" w:type="dxa"/>
                  <w:tcBorders>
                    <w:tl2br w:val="nil"/>
                    <w:tr2bl w:val="nil"/>
                  </w:tcBorders>
                  <w:vAlign w:val="center"/>
                </w:tcPr>
                <w:p w14:paraId="77F71779">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both"/>
                    <w:textAlignment w:val="auto"/>
                    <w:rPr>
                      <w:rStyle w:val="91"/>
                      <w:rFonts w:hint="default" w:eastAsia="宋体" w:cs="Times New Roman"/>
                      <w:b w:val="0"/>
                      <w:bCs w:val="0"/>
                      <w:color w:val="auto"/>
                      <w:szCs w:val="22"/>
                      <w:highlight w:val="none"/>
                      <w:lang w:val="en-US" w:eastAsia="zh-CN"/>
                    </w:rPr>
                  </w:pPr>
                  <w:r>
                    <w:rPr>
                      <w:rStyle w:val="91"/>
                      <w:rFonts w:hint="eastAsia" w:eastAsia="宋体" w:cs="Times New Roman"/>
                      <w:b w:val="0"/>
                      <w:bCs w:val="0"/>
                      <w:color w:val="auto"/>
                      <w:szCs w:val="22"/>
                      <w:highlight w:val="none"/>
                    </w:rPr>
                    <w:t>禁止新建落后产能或产能严重过剩行业的建设项目。</w:t>
                  </w:r>
                </w:p>
              </w:tc>
              <w:tc>
                <w:tcPr>
                  <w:tcW w:w="1743" w:type="dxa"/>
                  <w:tcBorders>
                    <w:tl2br w:val="nil"/>
                    <w:tr2bl w:val="nil"/>
                  </w:tcBorders>
                  <w:vAlign w:val="center"/>
                </w:tcPr>
                <w:p w14:paraId="46A87263">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both"/>
                    <w:textAlignment w:val="auto"/>
                    <w:rPr>
                      <w:rStyle w:val="91"/>
                      <w:rFonts w:hint="default" w:eastAsia="宋体" w:cs="Times New Roman"/>
                      <w:color w:val="auto"/>
                      <w:szCs w:val="22"/>
                      <w:highlight w:val="none"/>
                      <w:lang w:val="en-US" w:eastAsia="zh-CN"/>
                    </w:rPr>
                  </w:pPr>
                  <w:r>
                    <w:rPr>
                      <w:rStyle w:val="91"/>
                      <w:rFonts w:hint="eastAsia" w:cs="Times New Roman"/>
                      <w:color w:val="auto"/>
                      <w:szCs w:val="22"/>
                      <w:highlight w:val="none"/>
                      <w:lang w:val="en-US" w:eastAsia="zh-CN"/>
                    </w:rPr>
                    <w:t>本项目不属于落后产能或产能严重过剩行业的项目。</w:t>
                  </w:r>
                </w:p>
              </w:tc>
              <w:tc>
                <w:tcPr>
                  <w:tcW w:w="1061" w:type="dxa"/>
                  <w:tcBorders>
                    <w:tl2br w:val="nil"/>
                    <w:tr2bl w:val="nil"/>
                  </w:tcBorders>
                  <w:vAlign w:val="center"/>
                </w:tcPr>
                <w:p w14:paraId="49440CB4">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eastAsia" w:eastAsia="宋体" w:cs="Times New Roman"/>
                      <w:color w:val="auto"/>
                      <w:szCs w:val="22"/>
                      <w:highlight w:val="none"/>
                      <w:lang w:val="en-US" w:eastAsia="zh-CN"/>
                    </w:rPr>
                  </w:pPr>
                  <w:r>
                    <w:rPr>
                      <w:rStyle w:val="91"/>
                      <w:rFonts w:hint="eastAsia" w:cs="Times New Roman"/>
                      <w:color w:val="auto"/>
                      <w:szCs w:val="22"/>
                      <w:highlight w:val="none"/>
                      <w:lang w:val="en-US" w:eastAsia="zh-CN"/>
                    </w:rPr>
                    <w:t>符合</w:t>
                  </w:r>
                </w:p>
              </w:tc>
            </w:tr>
            <w:tr w14:paraId="7E17D18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54" w:type="dxa"/>
                  <w:vMerge w:val="continue"/>
                  <w:tcBorders>
                    <w:tl2br w:val="nil"/>
                    <w:tr2bl w:val="nil"/>
                  </w:tcBorders>
                  <w:vAlign w:val="center"/>
                </w:tcPr>
                <w:p w14:paraId="5A7598D5">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eastAsia" w:eastAsia="宋体" w:cs="Times New Roman"/>
                      <w:color w:val="auto"/>
                      <w:szCs w:val="22"/>
                      <w:highlight w:val="none"/>
                      <w:lang w:val="en-US" w:eastAsia="zh-CN"/>
                    </w:rPr>
                  </w:pPr>
                </w:p>
              </w:tc>
              <w:tc>
                <w:tcPr>
                  <w:tcW w:w="734" w:type="dxa"/>
                  <w:vMerge w:val="continue"/>
                  <w:tcBorders>
                    <w:tl2br w:val="nil"/>
                    <w:tr2bl w:val="nil"/>
                  </w:tcBorders>
                  <w:vAlign w:val="center"/>
                </w:tcPr>
                <w:p w14:paraId="26645BEE">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default" w:eastAsia="宋体" w:cs="Times New Roman"/>
                      <w:color w:val="auto"/>
                      <w:szCs w:val="22"/>
                      <w:highlight w:val="none"/>
                    </w:rPr>
                  </w:pPr>
                </w:p>
              </w:tc>
              <w:tc>
                <w:tcPr>
                  <w:tcW w:w="540" w:type="dxa"/>
                  <w:tcBorders>
                    <w:tl2br w:val="nil"/>
                    <w:tr2bl w:val="nil"/>
                  </w:tcBorders>
                  <w:vAlign w:val="center"/>
                </w:tcPr>
                <w:p w14:paraId="7F515660">
                  <w:pPr>
                    <w:keepNext w:val="0"/>
                    <w:keepLines w:val="0"/>
                    <w:widowControl/>
                    <w:suppressLineNumbers w:val="0"/>
                    <w:spacing w:before="0" w:beforeAutospacing="0" w:after="0" w:afterAutospacing="0"/>
                    <w:ind w:left="0" w:right="0"/>
                    <w:jc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olor w:val="auto"/>
                      <w:kern w:val="0"/>
                      <w:szCs w:val="21"/>
                    </w:rPr>
                    <w:t>6</w:t>
                  </w:r>
                </w:p>
              </w:tc>
              <w:tc>
                <w:tcPr>
                  <w:tcW w:w="2517" w:type="dxa"/>
                  <w:tcBorders>
                    <w:tl2br w:val="nil"/>
                    <w:tr2bl w:val="nil"/>
                  </w:tcBorders>
                  <w:vAlign w:val="center"/>
                </w:tcPr>
                <w:p w14:paraId="0C834318">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both"/>
                    <w:textAlignment w:val="auto"/>
                    <w:rPr>
                      <w:rStyle w:val="91"/>
                      <w:rFonts w:hint="default" w:eastAsia="宋体" w:cs="Times New Roman"/>
                      <w:b w:val="0"/>
                      <w:bCs w:val="0"/>
                      <w:color w:val="auto"/>
                      <w:szCs w:val="22"/>
                      <w:highlight w:val="none"/>
                      <w:lang w:val="en-US" w:eastAsia="zh-CN"/>
                    </w:rPr>
                  </w:pPr>
                  <w:r>
                    <w:rPr>
                      <w:rStyle w:val="91"/>
                      <w:rFonts w:hint="eastAsia" w:eastAsia="宋体" w:cs="Times New Roman"/>
                      <w:b w:val="0"/>
                      <w:bCs w:val="0"/>
                      <w:color w:val="auto"/>
                      <w:szCs w:val="22"/>
                      <w:highlight w:val="none"/>
                    </w:rPr>
                    <w:t>禁止饶河（昌江）源头区发展规模化畜禽养殖。</w:t>
                  </w:r>
                </w:p>
              </w:tc>
              <w:tc>
                <w:tcPr>
                  <w:tcW w:w="1743" w:type="dxa"/>
                  <w:tcBorders>
                    <w:tl2br w:val="nil"/>
                    <w:tr2bl w:val="nil"/>
                  </w:tcBorders>
                  <w:vAlign w:val="center"/>
                </w:tcPr>
                <w:p w14:paraId="19A40390">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both"/>
                    <w:textAlignment w:val="auto"/>
                    <w:rPr>
                      <w:rStyle w:val="91"/>
                      <w:rFonts w:hint="default" w:eastAsia="宋体" w:cs="Times New Roman"/>
                      <w:color w:val="auto"/>
                      <w:szCs w:val="22"/>
                      <w:highlight w:val="none"/>
                      <w:lang w:val="en-US" w:eastAsia="zh-CN"/>
                    </w:rPr>
                  </w:pPr>
                  <w:r>
                    <w:rPr>
                      <w:rStyle w:val="91"/>
                      <w:rFonts w:hint="eastAsia" w:cs="Times New Roman"/>
                      <w:color w:val="auto"/>
                      <w:szCs w:val="22"/>
                      <w:highlight w:val="none"/>
                      <w:lang w:val="en-US" w:eastAsia="zh-CN"/>
                    </w:rPr>
                    <w:t>本项目不涉及规模化畜禽养殖。</w:t>
                  </w:r>
                </w:p>
              </w:tc>
              <w:tc>
                <w:tcPr>
                  <w:tcW w:w="1061" w:type="dxa"/>
                  <w:tcBorders>
                    <w:tl2br w:val="nil"/>
                    <w:tr2bl w:val="nil"/>
                  </w:tcBorders>
                  <w:vAlign w:val="center"/>
                </w:tcPr>
                <w:p w14:paraId="69E92D06">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eastAsia" w:eastAsia="宋体" w:cs="Times New Roman"/>
                      <w:color w:val="auto"/>
                      <w:szCs w:val="22"/>
                      <w:highlight w:val="none"/>
                      <w:lang w:val="en-US" w:eastAsia="zh-CN"/>
                    </w:rPr>
                  </w:pPr>
                  <w:r>
                    <w:rPr>
                      <w:rStyle w:val="91"/>
                      <w:rFonts w:hint="eastAsia" w:cs="Times New Roman"/>
                      <w:color w:val="auto"/>
                      <w:szCs w:val="22"/>
                      <w:highlight w:val="none"/>
                      <w:lang w:val="en-US" w:eastAsia="zh-CN"/>
                    </w:rPr>
                    <w:t>符合</w:t>
                  </w:r>
                </w:p>
              </w:tc>
            </w:tr>
            <w:tr w14:paraId="0E7367DD">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54" w:type="dxa"/>
                  <w:vMerge w:val="continue"/>
                  <w:tcBorders>
                    <w:tl2br w:val="nil"/>
                    <w:tr2bl w:val="nil"/>
                  </w:tcBorders>
                  <w:vAlign w:val="center"/>
                </w:tcPr>
                <w:p w14:paraId="18A8A40C">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eastAsia" w:eastAsia="宋体" w:cs="Times New Roman"/>
                      <w:color w:val="auto"/>
                      <w:szCs w:val="22"/>
                      <w:highlight w:val="none"/>
                      <w:lang w:val="en-US" w:eastAsia="zh-CN"/>
                    </w:rPr>
                  </w:pPr>
                </w:p>
              </w:tc>
              <w:tc>
                <w:tcPr>
                  <w:tcW w:w="734" w:type="dxa"/>
                  <w:vMerge w:val="continue"/>
                  <w:tcBorders>
                    <w:tl2br w:val="nil"/>
                    <w:tr2bl w:val="nil"/>
                  </w:tcBorders>
                  <w:vAlign w:val="center"/>
                </w:tcPr>
                <w:p w14:paraId="4F6376FB">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default" w:eastAsia="宋体" w:cs="Times New Roman"/>
                      <w:color w:val="auto"/>
                      <w:szCs w:val="22"/>
                      <w:highlight w:val="none"/>
                    </w:rPr>
                  </w:pPr>
                </w:p>
              </w:tc>
              <w:tc>
                <w:tcPr>
                  <w:tcW w:w="540" w:type="dxa"/>
                  <w:tcBorders>
                    <w:tl2br w:val="nil"/>
                    <w:tr2bl w:val="nil"/>
                  </w:tcBorders>
                  <w:vAlign w:val="center"/>
                </w:tcPr>
                <w:p w14:paraId="2F4EFC31">
                  <w:pPr>
                    <w:keepNext w:val="0"/>
                    <w:keepLines w:val="0"/>
                    <w:widowControl/>
                    <w:suppressLineNumbers w:val="0"/>
                    <w:spacing w:before="0" w:beforeAutospacing="0" w:after="0" w:afterAutospacing="0"/>
                    <w:ind w:left="0" w:right="0"/>
                    <w:jc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olor w:val="auto"/>
                      <w:kern w:val="0"/>
                      <w:szCs w:val="21"/>
                    </w:rPr>
                    <w:t>7</w:t>
                  </w:r>
                </w:p>
              </w:tc>
              <w:tc>
                <w:tcPr>
                  <w:tcW w:w="2517" w:type="dxa"/>
                  <w:tcBorders>
                    <w:tl2br w:val="nil"/>
                    <w:tr2bl w:val="nil"/>
                  </w:tcBorders>
                  <w:vAlign w:val="center"/>
                </w:tcPr>
                <w:p w14:paraId="67758883">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both"/>
                    <w:textAlignment w:val="auto"/>
                    <w:rPr>
                      <w:rStyle w:val="91"/>
                      <w:rFonts w:hint="default" w:eastAsia="宋体" w:cs="Times New Roman"/>
                      <w:b w:val="0"/>
                      <w:bCs w:val="0"/>
                      <w:color w:val="auto"/>
                      <w:szCs w:val="22"/>
                      <w:highlight w:val="none"/>
                      <w:lang w:val="en-US" w:eastAsia="zh-CN"/>
                    </w:rPr>
                  </w:pPr>
                  <w:r>
                    <w:rPr>
                      <w:rStyle w:val="91"/>
                      <w:rFonts w:hint="eastAsia" w:eastAsia="宋体" w:cs="Times New Roman"/>
                      <w:b w:val="0"/>
                      <w:bCs w:val="0"/>
                      <w:color w:val="auto"/>
                      <w:szCs w:val="22"/>
                      <w:highlight w:val="none"/>
                    </w:rPr>
                    <w:t>禁止新建、扩建废轮胎、废塑料、废铝塑、废电子电器产品、废电池等重污染废旧物资综合利用项目。</w:t>
                  </w:r>
                </w:p>
              </w:tc>
              <w:tc>
                <w:tcPr>
                  <w:tcW w:w="1743" w:type="dxa"/>
                  <w:tcBorders>
                    <w:tl2br w:val="nil"/>
                    <w:tr2bl w:val="nil"/>
                  </w:tcBorders>
                  <w:vAlign w:val="center"/>
                </w:tcPr>
                <w:p w14:paraId="7E84B0C1">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both"/>
                    <w:textAlignment w:val="auto"/>
                    <w:rPr>
                      <w:rStyle w:val="91"/>
                      <w:rFonts w:hint="default" w:eastAsia="宋体" w:cs="Times New Roman"/>
                      <w:color w:val="auto"/>
                      <w:szCs w:val="22"/>
                      <w:highlight w:val="none"/>
                      <w:lang w:val="en-US" w:eastAsia="zh-CN"/>
                    </w:rPr>
                  </w:pPr>
                  <w:r>
                    <w:rPr>
                      <w:rStyle w:val="91"/>
                      <w:rFonts w:hint="eastAsia" w:cs="Times New Roman"/>
                      <w:color w:val="auto"/>
                      <w:szCs w:val="22"/>
                      <w:highlight w:val="none"/>
                      <w:lang w:val="en-US" w:eastAsia="zh-CN"/>
                    </w:rPr>
                    <w:t>本项目不属于废轮胎、废塑料、废铝塑、废电子电器产品、废电池等重污染废旧物资综合利用项目。</w:t>
                  </w:r>
                </w:p>
              </w:tc>
              <w:tc>
                <w:tcPr>
                  <w:tcW w:w="1061" w:type="dxa"/>
                  <w:tcBorders>
                    <w:tl2br w:val="nil"/>
                    <w:tr2bl w:val="nil"/>
                  </w:tcBorders>
                  <w:vAlign w:val="center"/>
                </w:tcPr>
                <w:p w14:paraId="35009CB9">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eastAsia" w:eastAsia="宋体" w:cs="Times New Roman"/>
                      <w:color w:val="auto"/>
                      <w:szCs w:val="22"/>
                      <w:highlight w:val="none"/>
                      <w:lang w:val="en-US" w:eastAsia="zh-CN"/>
                    </w:rPr>
                  </w:pPr>
                  <w:r>
                    <w:rPr>
                      <w:rStyle w:val="91"/>
                      <w:rFonts w:hint="eastAsia" w:cs="Times New Roman"/>
                      <w:color w:val="auto"/>
                      <w:szCs w:val="22"/>
                      <w:highlight w:val="none"/>
                      <w:lang w:val="en-US" w:eastAsia="zh-CN"/>
                    </w:rPr>
                    <w:t>符合</w:t>
                  </w:r>
                </w:p>
              </w:tc>
            </w:tr>
            <w:tr w14:paraId="3D322807">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54" w:type="dxa"/>
                  <w:vMerge w:val="continue"/>
                  <w:tcBorders>
                    <w:tl2br w:val="nil"/>
                    <w:tr2bl w:val="nil"/>
                  </w:tcBorders>
                  <w:vAlign w:val="center"/>
                </w:tcPr>
                <w:p w14:paraId="441D8D82">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eastAsia" w:eastAsia="宋体" w:cs="Times New Roman"/>
                      <w:color w:val="auto"/>
                      <w:szCs w:val="22"/>
                      <w:highlight w:val="none"/>
                      <w:lang w:val="en-US" w:eastAsia="zh-CN"/>
                    </w:rPr>
                  </w:pPr>
                </w:p>
              </w:tc>
              <w:tc>
                <w:tcPr>
                  <w:tcW w:w="734" w:type="dxa"/>
                  <w:vMerge w:val="continue"/>
                  <w:tcBorders>
                    <w:tl2br w:val="nil"/>
                    <w:tr2bl w:val="nil"/>
                  </w:tcBorders>
                  <w:vAlign w:val="center"/>
                </w:tcPr>
                <w:p w14:paraId="231CC802">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default" w:eastAsia="宋体" w:cs="Times New Roman"/>
                      <w:color w:val="auto"/>
                      <w:szCs w:val="22"/>
                      <w:highlight w:val="none"/>
                    </w:rPr>
                  </w:pPr>
                </w:p>
              </w:tc>
              <w:tc>
                <w:tcPr>
                  <w:tcW w:w="540" w:type="dxa"/>
                  <w:tcBorders>
                    <w:tl2br w:val="nil"/>
                    <w:tr2bl w:val="nil"/>
                  </w:tcBorders>
                  <w:vAlign w:val="center"/>
                </w:tcPr>
                <w:p w14:paraId="31B82265">
                  <w:pPr>
                    <w:keepNext w:val="0"/>
                    <w:keepLines w:val="0"/>
                    <w:widowControl/>
                    <w:suppressLineNumbers w:val="0"/>
                    <w:spacing w:before="0" w:beforeAutospacing="0" w:after="0" w:afterAutospacing="0"/>
                    <w:ind w:left="0" w:right="0"/>
                    <w:jc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olor w:val="auto"/>
                      <w:kern w:val="0"/>
                      <w:szCs w:val="21"/>
                    </w:rPr>
                    <w:t>8</w:t>
                  </w:r>
                </w:p>
              </w:tc>
              <w:tc>
                <w:tcPr>
                  <w:tcW w:w="2517" w:type="dxa"/>
                  <w:tcBorders>
                    <w:tl2br w:val="nil"/>
                    <w:tr2bl w:val="nil"/>
                  </w:tcBorders>
                  <w:vAlign w:val="center"/>
                </w:tcPr>
                <w:p w14:paraId="51447D48">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both"/>
                    <w:textAlignment w:val="auto"/>
                    <w:rPr>
                      <w:rStyle w:val="91"/>
                      <w:rFonts w:hint="default" w:eastAsia="宋体" w:cs="Times New Roman"/>
                      <w:b w:val="0"/>
                      <w:bCs w:val="0"/>
                      <w:color w:val="auto"/>
                      <w:szCs w:val="22"/>
                      <w:highlight w:val="none"/>
                      <w:lang w:val="en-US" w:eastAsia="zh-CN"/>
                    </w:rPr>
                  </w:pPr>
                  <w:r>
                    <w:rPr>
                      <w:rStyle w:val="91"/>
                      <w:rFonts w:hint="eastAsia" w:eastAsia="宋体" w:cs="Times New Roman"/>
                      <w:b w:val="0"/>
                      <w:bCs w:val="0"/>
                      <w:color w:val="auto"/>
                      <w:szCs w:val="22"/>
                      <w:highlight w:val="none"/>
                    </w:rPr>
                    <w:t>禁止侵占自然湿地等水源涵养空间，已侵占的限期予以恢复。</w:t>
                  </w:r>
                </w:p>
              </w:tc>
              <w:tc>
                <w:tcPr>
                  <w:tcW w:w="1743" w:type="dxa"/>
                  <w:tcBorders>
                    <w:tl2br w:val="nil"/>
                    <w:tr2bl w:val="nil"/>
                  </w:tcBorders>
                  <w:vAlign w:val="center"/>
                </w:tcPr>
                <w:p w14:paraId="7E567CFD">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both"/>
                    <w:textAlignment w:val="auto"/>
                    <w:rPr>
                      <w:rStyle w:val="91"/>
                      <w:rFonts w:hint="default" w:eastAsia="宋体" w:cs="Times New Roman"/>
                      <w:color w:val="auto"/>
                      <w:szCs w:val="22"/>
                      <w:highlight w:val="none"/>
                      <w:lang w:val="en-US" w:eastAsia="zh-CN"/>
                    </w:rPr>
                  </w:pPr>
                  <w:r>
                    <w:rPr>
                      <w:rStyle w:val="91"/>
                      <w:rFonts w:hint="eastAsia" w:cs="Times New Roman"/>
                      <w:color w:val="auto"/>
                      <w:szCs w:val="22"/>
                      <w:highlight w:val="none"/>
                      <w:lang w:val="en-US" w:eastAsia="zh-CN"/>
                    </w:rPr>
                    <w:t>本项目不涉及自然湿地等水源涵养空间。</w:t>
                  </w:r>
                </w:p>
              </w:tc>
              <w:tc>
                <w:tcPr>
                  <w:tcW w:w="1061" w:type="dxa"/>
                  <w:tcBorders>
                    <w:tl2br w:val="nil"/>
                    <w:tr2bl w:val="nil"/>
                  </w:tcBorders>
                  <w:vAlign w:val="center"/>
                </w:tcPr>
                <w:p w14:paraId="0FC43BED">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eastAsia" w:eastAsia="宋体" w:cs="Times New Roman"/>
                      <w:color w:val="auto"/>
                      <w:szCs w:val="22"/>
                      <w:highlight w:val="none"/>
                      <w:lang w:val="en-US" w:eastAsia="zh-CN"/>
                    </w:rPr>
                  </w:pPr>
                  <w:r>
                    <w:rPr>
                      <w:rStyle w:val="91"/>
                      <w:rFonts w:hint="eastAsia" w:cs="Times New Roman"/>
                      <w:color w:val="auto"/>
                      <w:szCs w:val="22"/>
                      <w:highlight w:val="none"/>
                      <w:lang w:val="en-US" w:eastAsia="zh-CN"/>
                    </w:rPr>
                    <w:t>符合</w:t>
                  </w:r>
                </w:p>
              </w:tc>
            </w:tr>
            <w:tr w14:paraId="7B062BD8">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54" w:type="dxa"/>
                  <w:vMerge w:val="continue"/>
                  <w:tcBorders>
                    <w:tl2br w:val="nil"/>
                    <w:tr2bl w:val="nil"/>
                  </w:tcBorders>
                  <w:vAlign w:val="center"/>
                </w:tcPr>
                <w:p w14:paraId="23779013">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eastAsia" w:eastAsia="宋体" w:cs="Times New Roman"/>
                      <w:color w:val="auto"/>
                      <w:szCs w:val="22"/>
                      <w:highlight w:val="none"/>
                      <w:lang w:val="en-US" w:eastAsia="zh-CN"/>
                    </w:rPr>
                  </w:pPr>
                </w:p>
              </w:tc>
              <w:tc>
                <w:tcPr>
                  <w:tcW w:w="734" w:type="dxa"/>
                  <w:vMerge w:val="restart"/>
                  <w:tcBorders>
                    <w:tl2br w:val="nil"/>
                    <w:tr2bl w:val="nil"/>
                  </w:tcBorders>
                  <w:vAlign w:val="center"/>
                </w:tcPr>
                <w:p w14:paraId="6E242561">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default" w:eastAsia="宋体" w:cs="Times New Roman"/>
                      <w:color w:val="auto"/>
                      <w:szCs w:val="22"/>
                      <w:highlight w:val="none"/>
                    </w:rPr>
                  </w:pPr>
                  <w:r>
                    <w:rPr>
                      <w:rStyle w:val="91"/>
                      <w:rFonts w:hint="default" w:eastAsia="宋体" w:cs="Times New Roman"/>
                      <w:color w:val="auto"/>
                      <w:szCs w:val="22"/>
                      <w:highlight w:val="none"/>
                    </w:rPr>
                    <w:t>限制开发建设活动的要求</w:t>
                  </w:r>
                </w:p>
              </w:tc>
              <w:tc>
                <w:tcPr>
                  <w:tcW w:w="540" w:type="dxa"/>
                  <w:tcBorders>
                    <w:tl2br w:val="nil"/>
                    <w:tr2bl w:val="nil"/>
                  </w:tcBorders>
                  <w:vAlign w:val="center"/>
                </w:tcPr>
                <w:p w14:paraId="0C90BC78">
                  <w:pPr>
                    <w:keepNext w:val="0"/>
                    <w:keepLines w:val="0"/>
                    <w:widowControl/>
                    <w:suppressLineNumbers w:val="0"/>
                    <w:spacing w:before="0" w:beforeAutospacing="0" w:after="0" w:afterAutospacing="0"/>
                    <w:ind w:left="0" w:right="0"/>
                    <w:jc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olor w:val="auto"/>
                      <w:kern w:val="0"/>
                      <w:szCs w:val="21"/>
                    </w:rPr>
                    <w:t>9</w:t>
                  </w:r>
                </w:p>
              </w:tc>
              <w:tc>
                <w:tcPr>
                  <w:tcW w:w="2517" w:type="dxa"/>
                  <w:tcBorders>
                    <w:tl2br w:val="nil"/>
                    <w:tr2bl w:val="nil"/>
                  </w:tcBorders>
                  <w:vAlign w:val="center"/>
                </w:tcPr>
                <w:p w14:paraId="7E085F18">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both"/>
                    <w:textAlignment w:val="auto"/>
                    <w:rPr>
                      <w:rStyle w:val="91"/>
                      <w:rFonts w:hint="default" w:eastAsia="宋体" w:cs="Times New Roman"/>
                      <w:b w:val="0"/>
                      <w:bCs w:val="0"/>
                      <w:color w:val="auto"/>
                      <w:szCs w:val="22"/>
                      <w:highlight w:val="none"/>
                      <w:lang w:val="en-US" w:eastAsia="zh-CN"/>
                    </w:rPr>
                  </w:pPr>
                  <w:r>
                    <w:rPr>
                      <w:rStyle w:val="91"/>
                      <w:rFonts w:hint="eastAsia" w:eastAsia="宋体" w:cs="Times New Roman"/>
                      <w:b w:val="0"/>
                      <w:bCs w:val="0"/>
                      <w:color w:val="auto"/>
                      <w:szCs w:val="22"/>
                      <w:highlight w:val="none"/>
                    </w:rPr>
                    <w:t>昌江、乐安河干流5公里范围内不再新布局重化工园区，1公里范围内不得新上化工、造纸、印染、制革、冶炼等重污染项目；不得新建、改建、扩建《产业结构调整指导目录》中限制类和淘汰类项目。</w:t>
                  </w:r>
                </w:p>
              </w:tc>
              <w:tc>
                <w:tcPr>
                  <w:tcW w:w="1743" w:type="dxa"/>
                  <w:tcBorders>
                    <w:tl2br w:val="nil"/>
                    <w:tr2bl w:val="nil"/>
                  </w:tcBorders>
                  <w:vAlign w:val="center"/>
                </w:tcPr>
                <w:p w14:paraId="385814BC">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both"/>
                    <w:textAlignment w:val="auto"/>
                    <w:rPr>
                      <w:rStyle w:val="91"/>
                      <w:rFonts w:hint="default" w:eastAsia="宋体" w:cs="Times New Roman"/>
                      <w:color w:val="auto"/>
                      <w:szCs w:val="22"/>
                      <w:highlight w:val="none"/>
                      <w:lang w:val="en-US" w:eastAsia="zh-CN"/>
                    </w:rPr>
                  </w:pPr>
                  <w:r>
                    <w:rPr>
                      <w:rStyle w:val="91"/>
                      <w:rFonts w:hint="eastAsia" w:cs="Times New Roman"/>
                      <w:color w:val="auto"/>
                      <w:szCs w:val="22"/>
                      <w:highlight w:val="none"/>
                      <w:lang w:val="en-US" w:eastAsia="zh-CN"/>
                    </w:rPr>
                    <w:t>本项目不属于化工、造纸、印染、制革、冶炼等重污染项目，不属于《产业结构调整指导目录》中限制类和淘汰类项目。</w:t>
                  </w:r>
                </w:p>
              </w:tc>
              <w:tc>
                <w:tcPr>
                  <w:tcW w:w="1061" w:type="dxa"/>
                  <w:tcBorders>
                    <w:tl2br w:val="nil"/>
                    <w:tr2bl w:val="nil"/>
                  </w:tcBorders>
                  <w:vAlign w:val="center"/>
                </w:tcPr>
                <w:p w14:paraId="7A273DEB">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eastAsia" w:eastAsia="宋体" w:cs="Times New Roman"/>
                      <w:color w:val="auto"/>
                      <w:szCs w:val="22"/>
                      <w:highlight w:val="none"/>
                      <w:lang w:val="en-US" w:eastAsia="zh-CN"/>
                    </w:rPr>
                  </w:pPr>
                  <w:r>
                    <w:rPr>
                      <w:rStyle w:val="91"/>
                      <w:rFonts w:hint="eastAsia" w:cs="Times New Roman"/>
                      <w:color w:val="auto"/>
                      <w:szCs w:val="22"/>
                      <w:highlight w:val="none"/>
                      <w:lang w:val="en-US" w:eastAsia="zh-CN"/>
                    </w:rPr>
                    <w:t>符合</w:t>
                  </w:r>
                </w:p>
              </w:tc>
            </w:tr>
            <w:tr w14:paraId="3C5985C8">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54" w:type="dxa"/>
                  <w:vMerge w:val="continue"/>
                  <w:tcBorders>
                    <w:tl2br w:val="nil"/>
                    <w:tr2bl w:val="nil"/>
                  </w:tcBorders>
                  <w:vAlign w:val="center"/>
                </w:tcPr>
                <w:p w14:paraId="72A42ECF">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eastAsia" w:eastAsia="宋体" w:cs="Times New Roman"/>
                      <w:color w:val="auto"/>
                      <w:szCs w:val="22"/>
                      <w:highlight w:val="none"/>
                      <w:lang w:val="en-US" w:eastAsia="zh-CN"/>
                    </w:rPr>
                  </w:pPr>
                </w:p>
              </w:tc>
              <w:tc>
                <w:tcPr>
                  <w:tcW w:w="734" w:type="dxa"/>
                  <w:vMerge w:val="continue"/>
                  <w:tcBorders>
                    <w:tl2br w:val="nil"/>
                    <w:tr2bl w:val="nil"/>
                  </w:tcBorders>
                  <w:vAlign w:val="center"/>
                </w:tcPr>
                <w:p w14:paraId="0F158C3A">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default" w:eastAsia="宋体" w:cs="Times New Roman"/>
                      <w:color w:val="auto"/>
                      <w:szCs w:val="22"/>
                      <w:highlight w:val="none"/>
                    </w:rPr>
                  </w:pPr>
                </w:p>
              </w:tc>
              <w:tc>
                <w:tcPr>
                  <w:tcW w:w="540" w:type="dxa"/>
                  <w:tcBorders>
                    <w:tl2br w:val="nil"/>
                    <w:tr2bl w:val="nil"/>
                  </w:tcBorders>
                  <w:vAlign w:val="center"/>
                </w:tcPr>
                <w:p w14:paraId="0D54A3CC">
                  <w:pPr>
                    <w:keepNext w:val="0"/>
                    <w:keepLines w:val="0"/>
                    <w:widowControl/>
                    <w:suppressLineNumbers w:val="0"/>
                    <w:spacing w:before="0" w:beforeAutospacing="0" w:after="0" w:afterAutospacing="0"/>
                    <w:ind w:left="0" w:right="0"/>
                    <w:jc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olor w:val="auto"/>
                      <w:kern w:val="0"/>
                      <w:szCs w:val="21"/>
                    </w:rPr>
                    <w:t>10</w:t>
                  </w:r>
                </w:p>
              </w:tc>
              <w:tc>
                <w:tcPr>
                  <w:tcW w:w="2517" w:type="dxa"/>
                  <w:tcBorders>
                    <w:tl2br w:val="nil"/>
                    <w:tr2bl w:val="nil"/>
                  </w:tcBorders>
                  <w:vAlign w:val="center"/>
                </w:tcPr>
                <w:p w14:paraId="21BF1BCD">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both"/>
                    <w:textAlignment w:val="auto"/>
                    <w:rPr>
                      <w:rStyle w:val="91"/>
                      <w:rFonts w:hint="default" w:eastAsia="宋体" w:cs="Times New Roman"/>
                      <w:b w:val="0"/>
                      <w:bCs w:val="0"/>
                      <w:color w:val="auto"/>
                      <w:szCs w:val="22"/>
                      <w:highlight w:val="none"/>
                      <w:lang w:val="en-US" w:eastAsia="zh-CN"/>
                    </w:rPr>
                  </w:pPr>
                  <w:r>
                    <w:rPr>
                      <w:rStyle w:val="91"/>
                      <w:rFonts w:hint="eastAsia" w:eastAsia="宋体" w:cs="Times New Roman"/>
                      <w:b w:val="0"/>
                      <w:bCs w:val="0"/>
                      <w:color w:val="auto"/>
                      <w:szCs w:val="22"/>
                      <w:highlight w:val="none"/>
                    </w:rPr>
                    <w:t>严把高耗能高排放项目准入关，坚决遏制高耗能高排放项目盲目发展。</w:t>
                  </w:r>
                </w:p>
              </w:tc>
              <w:tc>
                <w:tcPr>
                  <w:tcW w:w="1743" w:type="dxa"/>
                  <w:tcBorders>
                    <w:tl2br w:val="nil"/>
                    <w:tr2bl w:val="nil"/>
                  </w:tcBorders>
                  <w:vAlign w:val="center"/>
                </w:tcPr>
                <w:p w14:paraId="2F8AC5CC">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both"/>
                    <w:textAlignment w:val="auto"/>
                    <w:rPr>
                      <w:rStyle w:val="91"/>
                      <w:rFonts w:hint="default" w:eastAsia="宋体" w:cs="Times New Roman"/>
                      <w:color w:val="auto"/>
                      <w:szCs w:val="22"/>
                      <w:highlight w:val="none"/>
                      <w:lang w:val="en-US" w:eastAsia="zh-CN"/>
                    </w:rPr>
                  </w:pPr>
                  <w:r>
                    <w:rPr>
                      <w:rStyle w:val="91"/>
                      <w:rFonts w:hint="eastAsia" w:cs="Times New Roman"/>
                      <w:color w:val="auto"/>
                      <w:szCs w:val="22"/>
                      <w:highlight w:val="none"/>
                      <w:lang w:val="en-US" w:eastAsia="zh-CN"/>
                    </w:rPr>
                    <w:t>本项目不属于高耗能高排放项目。</w:t>
                  </w:r>
                </w:p>
              </w:tc>
              <w:tc>
                <w:tcPr>
                  <w:tcW w:w="1061" w:type="dxa"/>
                  <w:tcBorders>
                    <w:tl2br w:val="nil"/>
                    <w:tr2bl w:val="nil"/>
                  </w:tcBorders>
                  <w:vAlign w:val="center"/>
                </w:tcPr>
                <w:p w14:paraId="0DB42564">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eastAsia" w:eastAsia="宋体" w:cs="Times New Roman"/>
                      <w:color w:val="auto"/>
                      <w:szCs w:val="22"/>
                      <w:highlight w:val="none"/>
                      <w:lang w:val="en-US" w:eastAsia="zh-CN"/>
                    </w:rPr>
                  </w:pPr>
                  <w:r>
                    <w:rPr>
                      <w:rStyle w:val="91"/>
                      <w:rFonts w:hint="eastAsia" w:cs="Times New Roman"/>
                      <w:color w:val="auto"/>
                      <w:szCs w:val="22"/>
                      <w:highlight w:val="none"/>
                      <w:lang w:val="en-US" w:eastAsia="zh-CN"/>
                    </w:rPr>
                    <w:t>符合</w:t>
                  </w:r>
                </w:p>
              </w:tc>
            </w:tr>
            <w:tr w14:paraId="1A81AD3A">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54" w:type="dxa"/>
                  <w:vMerge w:val="continue"/>
                  <w:tcBorders>
                    <w:tl2br w:val="nil"/>
                    <w:tr2bl w:val="nil"/>
                  </w:tcBorders>
                  <w:vAlign w:val="center"/>
                </w:tcPr>
                <w:p w14:paraId="0BBBEF02">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eastAsia" w:eastAsia="宋体" w:cs="Times New Roman"/>
                      <w:color w:val="auto"/>
                      <w:szCs w:val="22"/>
                      <w:highlight w:val="none"/>
                      <w:lang w:val="en-US" w:eastAsia="zh-CN"/>
                    </w:rPr>
                  </w:pPr>
                </w:p>
              </w:tc>
              <w:tc>
                <w:tcPr>
                  <w:tcW w:w="734" w:type="dxa"/>
                  <w:vMerge w:val="continue"/>
                  <w:tcBorders>
                    <w:tl2br w:val="nil"/>
                    <w:tr2bl w:val="nil"/>
                  </w:tcBorders>
                  <w:vAlign w:val="center"/>
                </w:tcPr>
                <w:p w14:paraId="6DF58EF0">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default" w:eastAsia="宋体" w:cs="Times New Roman"/>
                      <w:color w:val="auto"/>
                      <w:szCs w:val="22"/>
                      <w:highlight w:val="none"/>
                    </w:rPr>
                  </w:pPr>
                </w:p>
              </w:tc>
              <w:tc>
                <w:tcPr>
                  <w:tcW w:w="540" w:type="dxa"/>
                  <w:tcBorders>
                    <w:tl2br w:val="nil"/>
                    <w:tr2bl w:val="nil"/>
                  </w:tcBorders>
                  <w:vAlign w:val="center"/>
                </w:tcPr>
                <w:p w14:paraId="43EAA10D">
                  <w:pPr>
                    <w:keepNext w:val="0"/>
                    <w:keepLines w:val="0"/>
                    <w:widowControl/>
                    <w:suppressLineNumbers w:val="0"/>
                    <w:spacing w:before="0" w:beforeAutospacing="0" w:after="0" w:afterAutospacing="0"/>
                    <w:ind w:left="0" w:right="0"/>
                    <w:jc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olor w:val="auto"/>
                      <w:kern w:val="0"/>
                      <w:szCs w:val="21"/>
                    </w:rPr>
                    <w:t>11</w:t>
                  </w:r>
                </w:p>
              </w:tc>
              <w:tc>
                <w:tcPr>
                  <w:tcW w:w="2517" w:type="dxa"/>
                  <w:tcBorders>
                    <w:tl2br w:val="nil"/>
                    <w:tr2bl w:val="nil"/>
                  </w:tcBorders>
                  <w:vAlign w:val="center"/>
                </w:tcPr>
                <w:p w14:paraId="4B25D0A2">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both"/>
                    <w:textAlignment w:val="auto"/>
                    <w:rPr>
                      <w:rStyle w:val="91"/>
                      <w:rFonts w:hint="default" w:eastAsia="宋体" w:cs="Times New Roman"/>
                      <w:b w:val="0"/>
                      <w:bCs w:val="0"/>
                      <w:color w:val="auto"/>
                      <w:szCs w:val="22"/>
                      <w:highlight w:val="none"/>
                      <w:lang w:val="en-US" w:eastAsia="zh-CN"/>
                    </w:rPr>
                  </w:pPr>
                  <w:r>
                    <w:rPr>
                      <w:rStyle w:val="91"/>
                      <w:rFonts w:hint="eastAsia" w:eastAsia="宋体" w:cs="Times New Roman"/>
                      <w:b w:val="0"/>
                      <w:bCs w:val="0"/>
                      <w:color w:val="auto"/>
                      <w:szCs w:val="22"/>
                      <w:highlight w:val="none"/>
                    </w:rPr>
                    <w:t>严格控制有色金属冶炼、石油加工、化工、焦化、电镀、印染、制革等行业企业准入，准入企业必须进入相应园区。</w:t>
                  </w:r>
                </w:p>
              </w:tc>
              <w:tc>
                <w:tcPr>
                  <w:tcW w:w="1743" w:type="dxa"/>
                  <w:tcBorders>
                    <w:tl2br w:val="nil"/>
                    <w:tr2bl w:val="nil"/>
                  </w:tcBorders>
                  <w:vAlign w:val="center"/>
                </w:tcPr>
                <w:p w14:paraId="1A73A23E">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both"/>
                    <w:textAlignment w:val="auto"/>
                    <w:rPr>
                      <w:rStyle w:val="91"/>
                      <w:rFonts w:hint="default" w:eastAsia="宋体" w:cs="Times New Roman"/>
                      <w:color w:val="auto"/>
                      <w:szCs w:val="22"/>
                      <w:highlight w:val="none"/>
                      <w:lang w:val="en-US" w:eastAsia="zh-CN"/>
                    </w:rPr>
                  </w:pPr>
                  <w:r>
                    <w:rPr>
                      <w:rStyle w:val="91"/>
                      <w:rFonts w:hint="eastAsia" w:cs="Times New Roman"/>
                      <w:color w:val="auto"/>
                      <w:szCs w:val="22"/>
                      <w:highlight w:val="none"/>
                      <w:lang w:val="en-US" w:eastAsia="zh-CN"/>
                    </w:rPr>
                    <w:t>本项目不属于有色金属冶炼、石油加工、化工、焦化、电镀、印染、制革等行业。</w:t>
                  </w:r>
                </w:p>
              </w:tc>
              <w:tc>
                <w:tcPr>
                  <w:tcW w:w="1061" w:type="dxa"/>
                  <w:tcBorders>
                    <w:tl2br w:val="nil"/>
                    <w:tr2bl w:val="nil"/>
                  </w:tcBorders>
                  <w:vAlign w:val="center"/>
                </w:tcPr>
                <w:p w14:paraId="2A45131F">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eastAsia" w:eastAsia="宋体" w:cs="Times New Roman"/>
                      <w:color w:val="auto"/>
                      <w:szCs w:val="22"/>
                      <w:highlight w:val="none"/>
                      <w:lang w:val="en-US" w:eastAsia="zh-CN"/>
                    </w:rPr>
                  </w:pPr>
                  <w:r>
                    <w:rPr>
                      <w:rStyle w:val="91"/>
                      <w:rFonts w:hint="eastAsia" w:cs="Times New Roman"/>
                      <w:color w:val="auto"/>
                      <w:szCs w:val="22"/>
                      <w:highlight w:val="none"/>
                      <w:lang w:val="en-US" w:eastAsia="zh-CN"/>
                    </w:rPr>
                    <w:t>符合</w:t>
                  </w:r>
                </w:p>
              </w:tc>
            </w:tr>
            <w:tr w14:paraId="05483768">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54" w:type="dxa"/>
                  <w:vMerge w:val="continue"/>
                  <w:tcBorders>
                    <w:tl2br w:val="nil"/>
                    <w:tr2bl w:val="nil"/>
                  </w:tcBorders>
                  <w:vAlign w:val="center"/>
                </w:tcPr>
                <w:p w14:paraId="0C031EE6">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eastAsia" w:eastAsia="宋体" w:cs="Times New Roman"/>
                      <w:color w:val="auto"/>
                      <w:szCs w:val="22"/>
                      <w:highlight w:val="none"/>
                      <w:lang w:val="en-US" w:eastAsia="zh-CN"/>
                    </w:rPr>
                  </w:pPr>
                </w:p>
              </w:tc>
              <w:tc>
                <w:tcPr>
                  <w:tcW w:w="734" w:type="dxa"/>
                  <w:vMerge w:val="continue"/>
                  <w:tcBorders>
                    <w:tl2br w:val="nil"/>
                    <w:tr2bl w:val="nil"/>
                  </w:tcBorders>
                  <w:vAlign w:val="center"/>
                </w:tcPr>
                <w:p w14:paraId="4A578237">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default" w:eastAsia="宋体" w:cs="Times New Roman"/>
                      <w:color w:val="auto"/>
                      <w:szCs w:val="22"/>
                      <w:highlight w:val="none"/>
                    </w:rPr>
                  </w:pPr>
                </w:p>
              </w:tc>
              <w:tc>
                <w:tcPr>
                  <w:tcW w:w="540" w:type="dxa"/>
                  <w:tcBorders>
                    <w:tl2br w:val="nil"/>
                    <w:tr2bl w:val="nil"/>
                  </w:tcBorders>
                  <w:vAlign w:val="center"/>
                </w:tcPr>
                <w:p w14:paraId="780C13C3">
                  <w:pPr>
                    <w:keepNext w:val="0"/>
                    <w:keepLines w:val="0"/>
                    <w:widowControl/>
                    <w:suppressLineNumbers w:val="0"/>
                    <w:spacing w:before="0" w:beforeAutospacing="0" w:after="0" w:afterAutospacing="0"/>
                    <w:ind w:left="0" w:right="0"/>
                    <w:jc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olor w:val="auto"/>
                      <w:kern w:val="0"/>
                      <w:szCs w:val="21"/>
                    </w:rPr>
                    <w:t>12</w:t>
                  </w:r>
                </w:p>
              </w:tc>
              <w:tc>
                <w:tcPr>
                  <w:tcW w:w="2517" w:type="dxa"/>
                  <w:tcBorders>
                    <w:tl2br w:val="nil"/>
                    <w:tr2bl w:val="nil"/>
                  </w:tcBorders>
                  <w:vAlign w:val="center"/>
                </w:tcPr>
                <w:p w14:paraId="3E5EF007">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both"/>
                    <w:textAlignment w:val="auto"/>
                    <w:rPr>
                      <w:rStyle w:val="91"/>
                      <w:rFonts w:hint="default" w:eastAsia="宋体" w:cs="Times New Roman"/>
                      <w:b w:val="0"/>
                      <w:bCs w:val="0"/>
                      <w:color w:val="auto"/>
                      <w:szCs w:val="22"/>
                      <w:highlight w:val="none"/>
                      <w:lang w:val="en-US" w:eastAsia="zh-CN"/>
                    </w:rPr>
                  </w:pPr>
                  <w:r>
                    <w:rPr>
                      <w:rStyle w:val="91"/>
                      <w:rFonts w:hint="eastAsia" w:eastAsia="宋体" w:cs="Times New Roman"/>
                      <w:b w:val="0"/>
                      <w:bCs w:val="0"/>
                      <w:color w:val="auto"/>
                      <w:szCs w:val="22"/>
                      <w:highlight w:val="none"/>
                    </w:rPr>
                    <w:t>强化燃煤锅炉废气精细管控，巩固燃煤锅炉整治成效，不再审批35蒸吨/小时及以下燃煤锅炉。</w:t>
                  </w:r>
                </w:p>
              </w:tc>
              <w:tc>
                <w:tcPr>
                  <w:tcW w:w="1743" w:type="dxa"/>
                  <w:tcBorders>
                    <w:tl2br w:val="nil"/>
                    <w:tr2bl w:val="nil"/>
                  </w:tcBorders>
                  <w:vAlign w:val="center"/>
                </w:tcPr>
                <w:p w14:paraId="64E1C0DB">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both"/>
                    <w:textAlignment w:val="auto"/>
                    <w:rPr>
                      <w:rStyle w:val="91"/>
                      <w:rFonts w:hint="default" w:eastAsia="宋体" w:cs="Times New Roman"/>
                      <w:color w:val="auto"/>
                      <w:szCs w:val="22"/>
                      <w:highlight w:val="none"/>
                      <w:lang w:val="en-US" w:eastAsia="zh-CN"/>
                    </w:rPr>
                  </w:pPr>
                  <w:r>
                    <w:rPr>
                      <w:rStyle w:val="91"/>
                      <w:rFonts w:hint="eastAsia" w:cs="Times New Roman"/>
                      <w:color w:val="auto"/>
                      <w:szCs w:val="22"/>
                      <w:highlight w:val="none"/>
                      <w:lang w:val="en-US" w:eastAsia="zh-CN"/>
                    </w:rPr>
                    <w:t>本项目不涉及燃煤锅炉。</w:t>
                  </w:r>
                </w:p>
              </w:tc>
              <w:tc>
                <w:tcPr>
                  <w:tcW w:w="1061" w:type="dxa"/>
                  <w:tcBorders>
                    <w:tl2br w:val="nil"/>
                    <w:tr2bl w:val="nil"/>
                  </w:tcBorders>
                  <w:vAlign w:val="center"/>
                </w:tcPr>
                <w:p w14:paraId="27B9699E">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eastAsia" w:eastAsia="宋体" w:cs="Times New Roman"/>
                      <w:color w:val="auto"/>
                      <w:szCs w:val="22"/>
                      <w:highlight w:val="none"/>
                      <w:lang w:val="en-US" w:eastAsia="zh-CN"/>
                    </w:rPr>
                  </w:pPr>
                  <w:r>
                    <w:rPr>
                      <w:rStyle w:val="91"/>
                      <w:rFonts w:hint="eastAsia" w:cs="Times New Roman"/>
                      <w:color w:val="auto"/>
                      <w:szCs w:val="22"/>
                      <w:highlight w:val="none"/>
                      <w:lang w:val="en-US" w:eastAsia="zh-CN"/>
                    </w:rPr>
                    <w:t>符合</w:t>
                  </w:r>
                </w:p>
              </w:tc>
            </w:tr>
            <w:tr w14:paraId="3791BBEB">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54" w:type="dxa"/>
                  <w:vMerge w:val="continue"/>
                  <w:tcBorders>
                    <w:tl2br w:val="nil"/>
                    <w:tr2bl w:val="nil"/>
                  </w:tcBorders>
                  <w:vAlign w:val="center"/>
                </w:tcPr>
                <w:p w14:paraId="450EF4B1">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eastAsia" w:eastAsia="宋体" w:cs="Times New Roman"/>
                      <w:color w:val="auto"/>
                      <w:szCs w:val="22"/>
                      <w:highlight w:val="none"/>
                      <w:lang w:val="en-US" w:eastAsia="zh-CN"/>
                    </w:rPr>
                  </w:pPr>
                </w:p>
              </w:tc>
              <w:tc>
                <w:tcPr>
                  <w:tcW w:w="734" w:type="dxa"/>
                  <w:vMerge w:val="continue"/>
                  <w:tcBorders>
                    <w:tl2br w:val="nil"/>
                    <w:tr2bl w:val="nil"/>
                  </w:tcBorders>
                  <w:vAlign w:val="center"/>
                </w:tcPr>
                <w:p w14:paraId="210F1426">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default" w:eastAsia="宋体" w:cs="Times New Roman"/>
                      <w:color w:val="auto"/>
                      <w:szCs w:val="22"/>
                      <w:highlight w:val="none"/>
                    </w:rPr>
                  </w:pPr>
                </w:p>
              </w:tc>
              <w:tc>
                <w:tcPr>
                  <w:tcW w:w="540" w:type="dxa"/>
                  <w:tcBorders>
                    <w:tl2br w:val="nil"/>
                    <w:tr2bl w:val="nil"/>
                  </w:tcBorders>
                  <w:vAlign w:val="center"/>
                </w:tcPr>
                <w:p w14:paraId="500FC339">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default" w:eastAsia="宋体" w:cs="Times New Roman"/>
                      <w:color w:val="auto"/>
                      <w:szCs w:val="22"/>
                      <w:highlight w:val="none"/>
                      <w:lang w:val="en-US"/>
                    </w:rPr>
                  </w:pPr>
                  <w:r>
                    <w:rPr>
                      <w:rStyle w:val="91"/>
                      <w:rFonts w:hint="eastAsia" w:cs="Times New Roman"/>
                      <w:color w:val="auto"/>
                      <w:szCs w:val="22"/>
                      <w:highlight w:val="none"/>
                      <w:lang w:val="en-US"/>
                    </w:rPr>
                    <w:t>13</w:t>
                  </w:r>
                </w:p>
              </w:tc>
              <w:tc>
                <w:tcPr>
                  <w:tcW w:w="2517" w:type="dxa"/>
                  <w:tcBorders>
                    <w:tl2br w:val="nil"/>
                    <w:tr2bl w:val="nil"/>
                  </w:tcBorders>
                  <w:vAlign w:val="center"/>
                </w:tcPr>
                <w:p w14:paraId="7A48EA0D">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both"/>
                    <w:textAlignment w:val="auto"/>
                    <w:rPr>
                      <w:rStyle w:val="91"/>
                      <w:rFonts w:hint="default" w:eastAsia="宋体" w:cs="Times New Roman"/>
                      <w:color w:val="auto"/>
                      <w:szCs w:val="22"/>
                      <w:highlight w:val="none"/>
                    </w:rPr>
                  </w:pPr>
                  <w:r>
                    <w:rPr>
                      <w:rStyle w:val="91"/>
                      <w:rFonts w:hint="default" w:eastAsia="宋体" w:cs="Times New Roman"/>
                      <w:color w:val="auto"/>
                      <w:szCs w:val="22"/>
                      <w:highlight w:val="none"/>
                    </w:rPr>
                    <w:t>限养区内畜禽养殖规模实行严格限制，不得新建和扩建畜禽养殖场。</w:t>
                  </w:r>
                </w:p>
              </w:tc>
              <w:tc>
                <w:tcPr>
                  <w:tcW w:w="1743" w:type="dxa"/>
                  <w:tcBorders>
                    <w:tl2br w:val="nil"/>
                    <w:tr2bl w:val="nil"/>
                  </w:tcBorders>
                  <w:vAlign w:val="center"/>
                </w:tcPr>
                <w:p w14:paraId="441AAEC9">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both"/>
                    <w:textAlignment w:val="auto"/>
                    <w:rPr>
                      <w:rStyle w:val="91"/>
                      <w:rFonts w:hint="default" w:eastAsia="宋体" w:cs="Times New Roman"/>
                      <w:color w:val="auto"/>
                      <w:szCs w:val="22"/>
                      <w:highlight w:val="none"/>
                      <w:lang w:val="en-US" w:eastAsia="zh-CN"/>
                    </w:rPr>
                  </w:pPr>
                  <w:r>
                    <w:rPr>
                      <w:rStyle w:val="91"/>
                      <w:rFonts w:hint="eastAsia" w:cs="Times New Roman"/>
                      <w:color w:val="auto"/>
                      <w:szCs w:val="22"/>
                      <w:highlight w:val="none"/>
                      <w:lang w:val="en-US" w:eastAsia="zh-CN"/>
                    </w:rPr>
                    <w:t>本项目不涉及畜禽养殖。</w:t>
                  </w:r>
                </w:p>
              </w:tc>
              <w:tc>
                <w:tcPr>
                  <w:tcW w:w="1061" w:type="dxa"/>
                  <w:tcBorders>
                    <w:tl2br w:val="nil"/>
                    <w:tr2bl w:val="nil"/>
                  </w:tcBorders>
                  <w:vAlign w:val="center"/>
                </w:tcPr>
                <w:p w14:paraId="0F23863C">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eastAsia" w:eastAsia="宋体" w:cs="Times New Roman"/>
                      <w:color w:val="auto"/>
                      <w:szCs w:val="22"/>
                      <w:highlight w:val="none"/>
                      <w:lang w:val="en-US" w:eastAsia="zh-CN"/>
                    </w:rPr>
                  </w:pPr>
                  <w:r>
                    <w:rPr>
                      <w:rStyle w:val="91"/>
                      <w:rFonts w:hint="eastAsia" w:cs="Times New Roman"/>
                      <w:color w:val="auto"/>
                      <w:szCs w:val="22"/>
                      <w:highlight w:val="none"/>
                      <w:lang w:val="en-US" w:eastAsia="zh-CN"/>
                    </w:rPr>
                    <w:t>符合</w:t>
                  </w:r>
                </w:p>
              </w:tc>
            </w:tr>
            <w:tr w14:paraId="7ECED84F">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54" w:type="dxa"/>
                  <w:vMerge w:val="continue"/>
                  <w:tcBorders>
                    <w:tl2br w:val="nil"/>
                    <w:tr2bl w:val="nil"/>
                  </w:tcBorders>
                  <w:vAlign w:val="center"/>
                </w:tcPr>
                <w:p w14:paraId="1389EFEC">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eastAsia" w:eastAsia="宋体" w:cs="Times New Roman"/>
                      <w:color w:val="auto"/>
                      <w:szCs w:val="22"/>
                      <w:highlight w:val="none"/>
                      <w:lang w:val="en-US" w:eastAsia="zh-CN"/>
                    </w:rPr>
                  </w:pPr>
                </w:p>
              </w:tc>
              <w:tc>
                <w:tcPr>
                  <w:tcW w:w="734" w:type="dxa"/>
                  <w:vMerge w:val="restart"/>
                  <w:tcBorders>
                    <w:tl2br w:val="nil"/>
                    <w:tr2bl w:val="nil"/>
                  </w:tcBorders>
                  <w:vAlign w:val="center"/>
                </w:tcPr>
                <w:p w14:paraId="1A4D2481">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default" w:eastAsia="宋体" w:cs="Times New Roman"/>
                      <w:color w:val="auto"/>
                      <w:szCs w:val="22"/>
                      <w:highlight w:val="none"/>
                    </w:rPr>
                  </w:pPr>
                  <w:r>
                    <w:rPr>
                      <w:rStyle w:val="91"/>
                      <w:rFonts w:hint="default" w:eastAsia="宋体" w:cs="Times New Roman"/>
                      <w:color w:val="auto"/>
                      <w:szCs w:val="22"/>
                      <w:highlight w:val="none"/>
                    </w:rPr>
                    <w:t>不符合空间布局要求活动的退出要求</w:t>
                  </w:r>
                </w:p>
              </w:tc>
              <w:tc>
                <w:tcPr>
                  <w:tcW w:w="540" w:type="dxa"/>
                  <w:tcBorders>
                    <w:tl2br w:val="nil"/>
                    <w:tr2bl w:val="nil"/>
                  </w:tcBorders>
                  <w:vAlign w:val="center"/>
                </w:tcPr>
                <w:p w14:paraId="23C0FCC8">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default" w:eastAsia="宋体" w:cs="Times New Roman"/>
                      <w:color w:val="auto"/>
                      <w:szCs w:val="22"/>
                      <w:highlight w:val="none"/>
                      <w:lang w:val="en-US"/>
                    </w:rPr>
                  </w:pPr>
                  <w:r>
                    <w:rPr>
                      <w:rStyle w:val="91"/>
                      <w:rFonts w:hint="eastAsia" w:cs="Times New Roman"/>
                      <w:color w:val="auto"/>
                      <w:szCs w:val="22"/>
                      <w:highlight w:val="none"/>
                      <w:lang w:val="en-US"/>
                    </w:rPr>
                    <w:t>14</w:t>
                  </w:r>
                </w:p>
              </w:tc>
              <w:tc>
                <w:tcPr>
                  <w:tcW w:w="2517" w:type="dxa"/>
                  <w:tcBorders>
                    <w:tl2br w:val="nil"/>
                    <w:tr2bl w:val="nil"/>
                  </w:tcBorders>
                  <w:vAlign w:val="center"/>
                </w:tcPr>
                <w:p w14:paraId="55CDFDB5">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both"/>
                    <w:textAlignment w:val="auto"/>
                    <w:rPr>
                      <w:rStyle w:val="91"/>
                      <w:rFonts w:hint="default" w:eastAsia="宋体" w:cs="Times New Roman"/>
                      <w:color w:val="auto"/>
                      <w:szCs w:val="22"/>
                      <w:highlight w:val="none"/>
                    </w:rPr>
                  </w:pPr>
                  <w:r>
                    <w:rPr>
                      <w:rStyle w:val="91"/>
                      <w:rFonts w:hint="default" w:eastAsia="宋体" w:cs="Times New Roman"/>
                      <w:color w:val="auto"/>
                      <w:szCs w:val="22"/>
                      <w:highlight w:val="none"/>
                    </w:rPr>
                    <w:t>对饮用水源保护区内小（2）型及以上水库，禁止使用无机肥、有机肥、生物复合肥等进行养殖，积极推行人放天养；禁止在饮用水源保护区内新建、改建、扩建排放污染物的建设项目，已建成的排放污染物建设项目，由县级以上人民政府责令拆除或者关闭。对非饮用水源区小（2）型及以上水库，禁止使用无机肥、有机肥、生物复合肥等进行养殖；库区内畜禽养殖场、养殖小区应当及时收集、贮存、清运畜禽粪便、污水等，采取防渗漏雨和防恶臭等措施，防止粪便和污水渗漏、外溢。</w:t>
                  </w:r>
                </w:p>
              </w:tc>
              <w:tc>
                <w:tcPr>
                  <w:tcW w:w="1743" w:type="dxa"/>
                  <w:tcBorders>
                    <w:tl2br w:val="nil"/>
                    <w:tr2bl w:val="nil"/>
                  </w:tcBorders>
                  <w:vAlign w:val="center"/>
                </w:tcPr>
                <w:p w14:paraId="67EDD313">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both"/>
                    <w:textAlignment w:val="auto"/>
                    <w:rPr>
                      <w:rStyle w:val="91"/>
                      <w:rFonts w:hint="default" w:eastAsia="宋体" w:cs="Times New Roman"/>
                      <w:color w:val="auto"/>
                      <w:szCs w:val="22"/>
                      <w:highlight w:val="none"/>
                      <w:lang w:val="en-US" w:eastAsia="zh-CN"/>
                    </w:rPr>
                  </w:pPr>
                  <w:r>
                    <w:rPr>
                      <w:rStyle w:val="91"/>
                      <w:rFonts w:hint="eastAsia" w:cs="Times New Roman"/>
                      <w:color w:val="auto"/>
                      <w:szCs w:val="22"/>
                      <w:highlight w:val="none"/>
                      <w:lang w:val="en-US" w:eastAsia="zh-CN"/>
                    </w:rPr>
                    <w:t>本项目不涉及养殖，不使用无机肥、有机肥、生物复合肥等。</w:t>
                  </w:r>
                </w:p>
              </w:tc>
              <w:tc>
                <w:tcPr>
                  <w:tcW w:w="1061" w:type="dxa"/>
                  <w:tcBorders>
                    <w:tl2br w:val="nil"/>
                    <w:tr2bl w:val="nil"/>
                  </w:tcBorders>
                  <w:vAlign w:val="center"/>
                </w:tcPr>
                <w:p w14:paraId="1B7D2858">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eastAsia" w:eastAsia="宋体" w:cs="Times New Roman"/>
                      <w:color w:val="auto"/>
                      <w:szCs w:val="22"/>
                      <w:highlight w:val="none"/>
                      <w:lang w:val="en-US" w:eastAsia="zh-CN"/>
                    </w:rPr>
                  </w:pPr>
                  <w:r>
                    <w:rPr>
                      <w:rStyle w:val="91"/>
                      <w:rFonts w:hint="eastAsia" w:cs="Times New Roman"/>
                      <w:color w:val="auto"/>
                      <w:szCs w:val="22"/>
                      <w:highlight w:val="none"/>
                      <w:lang w:val="en-US" w:eastAsia="zh-CN"/>
                    </w:rPr>
                    <w:t>符合</w:t>
                  </w:r>
                </w:p>
              </w:tc>
            </w:tr>
            <w:tr w14:paraId="09401E4B">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54" w:type="dxa"/>
                  <w:vMerge w:val="continue"/>
                  <w:tcBorders>
                    <w:tl2br w:val="nil"/>
                    <w:tr2bl w:val="nil"/>
                  </w:tcBorders>
                  <w:vAlign w:val="center"/>
                </w:tcPr>
                <w:p w14:paraId="2CACADA6">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eastAsia" w:eastAsia="宋体" w:cs="Times New Roman"/>
                      <w:color w:val="auto"/>
                      <w:szCs w:val="22"/>
                      <w:highlight w:val="none"/>
                      <w:lang w:val="en-US" w:eastAsia="zh-CN"/>
                    </w:rPr>
                  </w:pPr>
                </w:p>
              </w:tc>
              <w:tc>
                <w:tcPr>
                  <w:tcW w:w="734" w:type="dxa"/>
                  <w:vMerge w:val="continue"/>
                  <w:tcBorders>
                    <w:tl2br w:val="nil"/>
                    <w:tr2bl w:val="nil"/>
                  </w:tcBorders>
                  <w:vAlign w:val="center"/>
                </w:tcPr>
                <w:p w14:paraId="307EC6EA">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default" w:eastAsia="宋体" w:cs="Times New Roman"/>
                      <w:color w:val="auto"/>
                      <w:szCs w:val="22"/>
                      <w:highlight w:val="none"/>
                    </w:rPr>
                  </w:pPr>
                </w:p>
              </w:tc>
              <w:tc>
                <w:tcPr>
                  <w:tcW w:w="540" w:type="dxa"/>
                  <w:tcBorders>
                    <w:tl2br w:val="nil"/>
                    <w:tr2bl w:val="nil"/>
                  </w:tcBorders>
                  <w:vAlign w:val="center"/>
                </w:tcPr>
                <w:p w14:paraId="4868ED9E">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default" w:eastAsia="宋体" w:cs="Times New Roman"/>
                      <w:color w:val="auto"/>
                      <w:szCs w:val="22"/>
                      <w:highlight w:val="none"/>
                      <w:lang w:val="en-US"/>
                    </w:rPr>
                  </w:pPr>
                  <w:r>
                    <w:rPr>
                      <w:rStyle w:val="91"/>
                      <w:rFonts w:hint="eastAsia" w:cs="Times New Roman"/>
                      <w:color w:val="auto"/>
                      <w:szCs w:val="22"/>
                      <w:highlight w:val="none"/>
                      <w:lang w:val="en-US"/>
                    </w:rPr>
                    <w:t>15</w:t>
                  </w:r>
                </w:p>
              </w:tc>
              <w:tc>
                <w:tcPr>
                  <w:tcW w:w="2517" w:type="dxa"/>
                  <w:tcBorders>
                    <w:tl2br w:val="nil"/>
                    <w:tr2bl w:val="nil"/>
                  </w:tcBorders>
                  <w:vAlign w:val="center"/>
                </w:tcPr>
                <w:p w14:paraId="7A98AFB9">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both"/>
                    <w:textAlignment w:val="auto"/>
                    <w:rPr>
                      <w:rStyle w:val="91"/>
                      <w:rFonts w:hint="default" w:eastAsia="宋体" w:cs="Times New Roman"/>
                      <w:color w:val="auto"/>
                      <w:szCs w:val="22"/>
                      <w:highlight w:val="none"/>
                    </w:rPr>
                  </w:pPr>
                  <w:r>
                    <w:rPr>
                      <w:rStyle w:val="91"/>
                      <w:rFonts w:hint="default" w:eastAsia="宋体" w:cs="Times New Roman"/>
                      <w:color w:val="auto"/>
                      <w:szCs w:val="22"/>
                      <w:highlight w:val="none"/>
                    </w:rPr>
                    <w:t>加快淘汰落后低效产能，巩固煤炭去产能成果。</w:t>
                  </w:r>
                </w:p>
              </w:tc>
              <w:tc>
                <w:tcPr>
                  <w:tcW w:w="1743" w:type="dxa"/>
                  <w:tcBorders>
                    <w:tl2br w:val="nil"/>
                    <w:tr2bl w:val="nil"/>
                  </w:tcBorders>
                  <w:vAlign w:val="center"/>
                </w:tcPr>
                <w:p w14:paraId="7A445F07">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both"/>
                    <w:textAlignment w:val="auto"/>
                    <w:rPr>
                      <w:rStyle w:val="91"/>
                      <w:rFonts w:hint="default" w:eastAsia="宋体" w:cs="Times New Roman"/>
                      <w:color w:val="auto"/>
                      <w:szCs w:val="22"/>
                      <w:highlight w:val="none"/>
                      <w:lang w:val="en-US" w:eastAsia="zh-CN"/>
                    </w:rPr>
                  </w:pPr>
                  <w:r>
                    <w:rPr>
                      <w:rStyle w:val="91"/>
                      <w:rFonts w:hint="eastAsia" w:cs="Times New Roman"/>
                      <w:color w:val="auto"/>
                      <w:szCs w:val="22"/>
                      <w:highlight w:val="none"/>
                      <w:lang w:val="en-US" w:eastAsia="zh-CN"/>
                    </w:rPr>
                    <w:t>本项目不使用煤炭。</w:t>
                  </w:r>
                </w:p>
              </w:tc>
              <w:tc>
                <w:tcPr>
                  <w:tcW w:w="1061" w:type="dxa"/>
                  <w:tcBorders>
                    <w:tl2br w:val="nil"/>
                    <w:tr2bl w:val="nil"/>
                  </w:tcBorders>
                  <w:vAlign w:val="center"/>
                </w:tcPr>
                <w:p w14:paraId="40C5BAC4">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eastAsia" w:eastAsia="宋体" w:cs="Times New Roman"/>
                      <w:color w:val="auto"/>
                      <w:szCs w:val="22"/>
                      <w:highlight w:val="none"/>
                      <w:lang w:val="en-US" w:eastAsia="zh-CN"/>
                    </w:rPr>
                  </w:pPr>
                  <w:r>
                    <w:rPr>
                      <w:rStyle w:val="91"/>
                      <w:rFonts w:hint="eastAsia" w:cs="Times New Roman"/>
                      <w:color w:val="auto"/>
                      <w:szCs w:val="22"/>
                      <w:highlight w:val="none"/>
                      <w:lang w:val="en-US" w:eastAsia="zh-CN"/>
                    </w:rPr>
                    <w:t>符合</w:t>
                  </w:r>
                </w:p>
              </w:tc>
            </w:tr>
            <w:tr w14:paraId="4B8653E1">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54" w:type="dxa"/>
                  <w:vMerge w:val="restart"/>
                  <w:tcBorders>
                    <w:tl2br w:val="nil"/>
                    <w:tr2bl w:val="nil"/>
                  </w:tcBorders>
                  <w:vAlign w:val="center"/>
                </w:tcPr>
                <w:p w14:paraId="0B28E475">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default" w:eastAsia="宋体" w:cs="Times New Roman"/>
                      <w:color w:val="auto"/>
                      <w:szCs w:val="22"/>
                      <w:highlight w:val="none"/>
                      <w:lang w:val="en-US" w:eastAsia="zh-CN"/>
                    </w:rPr>
                  </w:pPr>
                  <w:r>
                    <w:rPr>
                      <w:rStyle w:val="91"/>
                      <w:rFonts w:hint="eastAsia" w:cs="Times New Roman"/>
                      <w:color w:val="auto"/>
                      <w:szCs w:val="22"/>
                      <w:highlight w:val="none"/>
                      <w:lang w:val="en-US" w:eastAsia="zh-CN"/>
                    </w:rPr>
                    <w:t>污染物排放管控</w:t>
                  </w:r>
                </w:p>
              </w:tc>
              <w:tc>
                <w:tcPr>
                  <w:tcW w:w="734" w:type="dxa"/>
                  <w:tcBorders>
                    <w:tl2br w:val="nil"/>
                    <w:tr2bl w:val="nil"/>
                  </w:tcBorders>
                  <w:vAlign w:val="center"/>
                </w:tcPr>
                <w:p w14:paraId="71645D5A">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default" w:eastAsia="宋体" w:cs="Times New Roman"/>
                      <w:color w:val="auto"/>
                      <w:szCs w:val="22"/>
                      <w:highlight w:val="none"/>
                    </w:rPr>
                  </w:pPr>
                  <w:r>
                    <w:rPr>
                      <w:rStyle w:val="91"/>
                      <w:rFonts w:hint="default" w:eastAsia="宋体" w:cs="Times New Roman"/>
                      <w:color w:val="auto"/>
                      <w:szCs w:val="22"/>
                      <w:highlight w:val="none"/>
                    </w:rPr>
                    <w:t>允许排放量要求</w:t>
                  </w:r>
                </w:p>
              </w:tc>
              <w:tc>
                <w:tcPr>
                  <w:tcW w:w="540" w:type="dxa"/>
                  <w:tcBorders>
                    <w:tl2br w:val="nil"/>
                    <w:tr2bl w:val="nil"/>
                  </w:tcBorders>
                  <w:vAlign w:val="center"/>
                </w:tcPr>
                <w:p w14:paraId="6A9547CE">
                  <w:pPr>
                    <w:keepNext w:val="0"/>
                    <w:keepLines w:val="0"/>
                    <w:widowControl/>
                    <w:suppressLineNumbers w:val="0"/>
                    <w:spacing w:before="0" w:beforeAutospacing="0" w:after="0" w:afterAutospacing="0"/>
                    <w:ind w:left="0" w:right="0"/>
                    <w:jc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olor w:val="auto"/>
                      <w:kern w:val="0"/>
                      <w:szCs w:val="21"/>
                    </w:rPr>
                    <w:t>16</w:t>
                  </w:r>
                </w:p>
              </w:tc>
              <w:tc>
                <w:tcPr>
                  <w:tcW w:w="2517" w:type="dxa"/>
                  <w:tcBorders>
                    <w:tl2br w:val="nil"/>
                    <w:tr2bl w:val="nil"/>
                  </w:tcBorders>
                  <w:vAlign w:val="center"/>
                </w:tcPr>
                <w:p w14:paraId="110D2811">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both"/>
                    <w:textAlignment w:val="auto"/>
                    <w:rPr>
                      <w:rStyle w:val="91"/>
                      <w:rFonts w:hint="default" w:eastAsia="宋体" w:cs="Times New Roman"/>
                      <w:color w:val="auto"/>
                      <w:szCs w:val="22"/>
                      <w:highlight w:val="none"/>
                    </w:rPr>
                  </w:pPr>
                  <w:r>
                    <w:rPr>
                      <w:rStyle w:val="91"/>
                      <w:rFonts w:hint="default" w:eastAsia="宋体" w:cs="Times New Roman"/>
                      <w:color w:val="auto"/>
                      <w:szCs w:val="22"/>
                      <w:highlight w:val="none"/>
                    </w:rPr>
                    <w:t>到2025年，重点工程氮氧化物排放量减少695吨、挥发性有机物排放量减少470吨、COD排放量减少3372吨、氨氮排放量减少233吨</w:t>
                  </w:r>
                </w:p>
              </w:tc>
              <w:tc>
                <w:tcPr>
                  <w:tcW w:w="1743" w:type="dxa"/>
                  <w:tcBorders>
                    <w:tl2br w:val="nil"/>
                    <w:tr2bl w:val="nil"/>
                  </w:tcBorders>
                  <w:vAlign w:val="center"/>
                </w:tcPr>
                <w:p w14:paraId="19D68D59">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both"/>
                    <w:textAlignment w:val="auto"/>
                    <w:rPr>
                      <w:rStyle w:val="91"/>
                      <w:rFonts w:hint="default" w:eastAsia="宋体" w:cs="Times New Roman"/>
                      <w:color w:val="auto"/>
                      <w:szCs w:val="22"/>
                      <w:highlight w:val="none"/>
                      <w:lang w:val="en-US" w:eastAsia="zh-CN"/>
                    </w:rPr>
                  </w:pPr>
                  <w:r>
                    <w:rPr>
                      <w:rStyle w:val="91"/>
                      <w:rFonts w:hint="eastAsia" w:cs="Times New Roman"/>
                      <w:color w:val="auto"/>
                      <w:szCs w:val="22"/>
                      <w:highlight w:val="none"/>
                      <w:lang w:val="en-US" w:eastAsia="zh-CN"/>
                    </w:rPr>
                    <w:t>本项目挥发性有机物、COD、氨氮排放满足总量管理。</w:t>
                  </w:r>
                </w:p>
              </w:tc>
              <w:tc>
                <w:tcPr>
                  <w:tcW w:w="1061" w:type="dxa"/>
                  <w:tcBorders>
                    <w:tl2br w:val="nil"/>
                    <w:tr2bl w:val="nil"/>
                  </w:tcBorders>
                  <w:vAlign w:val="center"/>
                </w:tcPr>
                <w:p w14:paraId="4D2F69AD">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eastAsia" w:eastAsia="宋体" w:cs="Times New Roman"/>
                      <w:color w:val="auto"/>
                      <w:szCs w:val="22"/>
                      <w:highlight w:val="none"/>
                      <w:lang w:val="en-US" w:eastAsia="zh-CN"/>
                    </w:rPr>
                  </w:pPr>
                  <w:r>
                    <w:rPr>
                      <w:rStyle w:val="91"/>
                      <w:rFonts w:hint="eastAsia" w:cs="Times New Roman"/>
                      <w:color w:val="auto"/>
                      <w:szCs w:val="22"/>
                      <w:highlight w:val="none"/>
                      <w:lang w:val="en-US" w:eastAsia="zh-CN"/>
                    </w:rPr>
                    <w:t>符合</w:t>
                  </w:r>
                </w:p>
              </w:tc>
            </w:tr>
            <w:tr w14:paraId="63BDDCDC">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54" w:type="dxa"/>
                  <w:vMerge w:val="continue"/>
                  <w:tcBorders>
                    <w:tl2br w:val="nil"/>
                    <w:tr2bl w:val="nil"/>
                  </w:tcBorders>
                  <w:vAlign w:val="center"/>
                </w:tcPr>
                <w:p w14:paraId="3630BE64">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eastAsia" w:eastAsia="宋体" w:cs="Times New Roman"/>
                      <w:color w:val="auto"/>
                      <w:szCs w:val="22"/>
                      <w:highlight w:val="none"/>
                      <w:lang w:val="en-US" w:eastAsia="zh-CN"/>
                    </w:rPr>
                  </w:pPr>
                </w:p>
              </w:tc>
              <w:tc>
                <w:tcPr>
                  <w:tcW w:w="734" w:type="dxa"/>
                  <w:vMerge w:val="restart"/>
                  <w:tcBorders>
                    <w:tl2br w:val="nil"/>
                    <w:tr2bl w:val="nil"/>
                  </w:tcBorders>
                  <w:vAlign w:val="center"/>
                </w:tcPr>
                <w:p w14:paraId="596A147E">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default" w:eastAsia="宋体" w:cs="Times New Roman"/>
                      <w:color w:val="auto"/>
                      <w:szCs w:val="22"/>
                      <w:highlight w:val="none"/>
                    </w:rPr>
                  </w:pPr>
                  <w:r>
                    <w:rPr>
                      <w:rStyle w:val="91"/>
                      <w:rFonts w:hint="default" w:eastAsia="宋体" w:cs="Times New Roman"/>
                      <w:color w:val="auto"/>
                      <w:szCs w:val="22"/>
                      <w:highlight w:val="none"/>
                    </w:rPr>
                    <w:t>现有源提标升级改造</w:t>
                  </w:r>
                </w:p>
              </w:tc>
              <w:tc>
                <w:tcPr>
                  <w:tcW w:w="540" w:type="dxa"/>
                  <w:tcBorders>
                    <w:tl2br w:val="nil"/>
                    <w:tr2bl w:val="nil"/>
                  </w:tcBorders>
                  <w:vAlign w:val="center"/>
                </w:tcPr>
                <w:p w14:paraId="46E0C8EA">
                  <w:pPr>
                    <w:keepNext w:val="0"/>
                    <w:keepLines w:val="0"/>
                    <w:widowControl/>
                    <w:suppressLineNumbers w:val="0"/>
                    <w:spacing w:before="0" w:beforeAutospacing="0" w:after="0" w:afterAutospacing="0"/>
                    <w:ind w:left="0" w:right="0"/>
                    <w:jc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olor w:val="auto"/>
                      <w:kern w:val="0"/>
                      <w:szCs w:val="21"/>
                    </w:rPr>
                    <w:t>17</w:t>
                  </w:r>
                </w:p>
              </w:tc>
              <w:tc>
                <w:tcPr>
                  <w:tcW w:w="2517" w:type="dxa"/>
                  <w:tcBorders>
                    <w:tl2br w:val="nil"/>
                    <w:tr2bl w:val="nil"/>
                  </w:tcBorders>
                  <w:vAlign w:val="center"/>
                </w:tcPr>
                <w:p w14:paraId="0491E206">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both"/>
                    <w:textAlignment w:val="auto"/>
                    <w:rPr>
                      <w:rStyle w:val="91"/>
                      <w:rFonts w:hint="default" w:eastAsia="宋体" w:cs="Times New Roman"/>
                      <w:color w:val="auto"/>
                      <w:szCs w:val="22"/>
                      <w:highlight w:val="none"/>
                    </w:rPr>
                  </w:pPr>
                  <w:r>
                    <w:rPr>
                      <w:rStyle w:val="91"/>
                      <w:rFonts w:hint="default" w:eastAsia="宋体" w:cs="Times New Roman"/>
                      <w:color w:val="auto"/>
                      <w:szCs w:val="22"/>
                      <w:highlight w:val="none"/>
                    </w:rPr>
                    <w:t>推进重点行业超低排放改造，65蒸吨/小时以上的燃煤锅炉（含电力）全面实现超低排放，完成水泥、焦化行业全流程超低排放。推动陶瓷、石灰、玻璃、无机化工等行业炉窑实施清洁能源替代。</w:t>
                  </w:r>
                </w:p>
              </w:tc>
              <w:tc>
                <w:tcPr>
                  <w:tcW w:w="1743" w:type="dxa"/>
                  <w:tcBorders>
                    <w:tl2br w:val="nil"/>
                    <w:tr2bl w:val="nil"/>
                  </w:tcBorders>
                  <w:vAlign w:val="center"/>
                </w:tcPr>
                <w:p w14:paraId="12375605">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both"/>
                    <w:textAlignment w:val="auto"/>
                    <w:rPr>
                      <w:rStyle w:val="91"/>
                      <w:rFonts w:hint="default" w:eastAsia="宋体" w:cs="Times New Roman"/>
                      <w:color w:val="auto"/>
                      <w:szCs w:val="22"/>
                      <w:highlight w:val="none"/>
                      <w:lang w:val="en-US" w:eastAsia="zh-CN"/>
                    </w:rPr>
                  </w:pPr>
                  <w:r>
                    <w:rPr>
                      <w:rStyle w:val="91"/>
                      <w:rFonts w:hint="eastAsia" w:cs="Times New Roman"/>
                      <w:color w:val="auto"/>
                      <w:szCs w:val="22"/>
                      <w:highlight w:val="none"/>
                      <w:lang w:val="en-US" w:eastAsia="zh-CN"/>
                    </w:rPr>
                    <w:t>本项目不涉及燃煤锅炉。</w:t>
                  </w:r>
                </w:p>
              </w:tc>
              <w:tc>
                <w:tcPr>
                  <w:tcW w:w="1061" w:type="dxa"/>
                  <w:tcBorders>
                    <w:tl2br w:val="nil"/>
                    <w:tr2bl w:val="nil"/>
                  </w:tcBorders>
                  <w:vAlign w:val="center"/>
                </w:tcPr>
                <w:p w14:paraId="71D6A3BB">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eastAsia" w:eastAsia="宋体" w:cs="Times New Roman"/>
                      <w:color w:val="auto"/>
                      <w:szCs w:val="22"/>
                      <w:highlight w:val="none"/>
                      <w:lang w:val="en-US" w:eastAsia="zh-CN"/>
                    </w:rPr>
                  </w:pPr>
                  <w:r>
                    <w:rPr>
                      <w:rStyle w:val="91"/>
                      <w:rFonts w:hint="eastAsia" w:cs="Times New Roman"/>
                      <w:color w:val="auto"/>
                      <w:szCs w:val="22"/>
                      <w:highlight w:val="none"/>
                      <w:lang w:val="en-US" w:eastAsia="zh-CN"/>
                    </w:rPr>
                    <w:t>符合</w:t>
                  </w:r>
                </w:p>
              </w:tc>
            </w:tr>
            <w:tr w14:paraId="0F4410F5">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54" w:type="dxa"/>
                  <w:vMerge w:val="continue"/>
                  <w:tcBorders>
                    <w:tl2br w:val="nil"/>
                    <w:tr2bl w:val="nil"/>
                  </w:tcBorders>
                  <w:vAlign w:val="center"/>
                </w:tcPr>
                <w:p w14:paraId="702AB294">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eastAsia" w:eastAsia="宋体" w:cs="Times New Roman"/>
                      <w:color w:val="auto"/>
                      <w:szCs w:val="22"/>
                      <w:highlight w:val="none"/>
                      <w:lang w:val="en-US" w:eastAsia="zh-CN"/>
                    </w:rPr>
                  </w:pPr>
                </w:p>
              </w:tc>
              <w:tc>
                <w:tcPr>
                  <w:tcW w:w="734" w:type="dxa"/>
                  <w:vMerge w:val="continue"/>
                  <w:tcBorders>
                    <w:tl2br w:val="nil"/>
                    <w:tr2bl w:val="nil"/>
                  </w:tcBorders>
                  <w:vAlign w:val="center"/>
                </w:tcPr>
                <w:p w14:paraId="6B580BAF">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default" w:eastAsia="宋体" w:cs="Times New Roman"/>
                      <w:color w:val="auto"/>
                      <w:szCs w:val="22"/>
                      <w:highlight w:val="none"/>
                    </w:rPr>
                  </w:pPr>
                </w:p>
              </w:tc>
              <w:tc>
                <w:tcPr>
                  <w:tcW w:w="540" w:type="dxa"/>
                  <w:tcBorders>
                    <w:tl2br w:val="nil"/>
                    <w:tr2bl w:val="nil"/>
                  </w:tcBorders>
                  <w:vAlign w:val="center"/>
                </w:tcPr>
                <w:p w14:paraId="289D8137">
                  <w:pPr>
                    <w:keepNext w:val="0"/>
                    <w:keepLines w:val="0"/>
                    <w:widowControl/>
                    <w:suppressLineNumbers w:val="0"/>
                    <w:spacing w:before="0" w:beforeAutospacing="0" w:after="0" w:afterAutospacing="0"/>
                    <w:ind w:left="0" w:right="0"/>
                    <w:jc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olor w:val="auto"/>
                      <w:kern w:val="0"/>
                      <w:szCs w:val="21"/>
                    </w:rPr>
                    <w:t>18</w:t>
                  </w:r>
                </w:p>
              </w:tc>
              <w:tc>
                <w:tcPr>
                  <w:tcW w:w="2517" w:type="dxa"/>
                  <w:tcBorders>
                    <w:tl2br w:val="nil"/>
                    <w:tr2bl w:val="nil"/>
                  </w:tcBorders>
                  <w:vAlign w:val="center"/>
                </w:tcPr>
                <w:p w14:paraId="59138CE5">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both"/>
                    <w:textAlignment w:val="auto"/>
                    <w:rPr>
                      <w:rStyle w:val="91"/>
                      <w:rFonts w:hint="default" w:eastAsia="宋体" w:cs="Times New Roman"/>
                      <w:color w:val="auto"/>
                      <w:szCs w:val="22"/>
                      <w:highlight w:val="none"/>
                    </w:rPr>
                  </w:pPr>
                  <w:r>
                    <w:rPr>
                      <w:rStyle w:val="91"/>
                      <w:rFonts w:hint="default" w:eastAsia="宋体" w:cs="Times New Roman"/>
                      <w:color w:val="auto"/>
                      <w:szCs w:val="22"/>
                      <w:highlight w:val="none"/>
                    </w:rPr>
                    <w:t>持续推进重点区域重金属减排，严格重点区域涉重金属建设项目环境准入，新（改、扩）建涉重金属重点行业建设项目必须遵循</w:t>
                  </w:r>
                  <w:r>
                    <w:rPr>
                      <w:rStyle w:val="91"/>
                      <w:rFonts w:hint="eastAsia" w:eastAsia="宋体" w:cs="Times New Roman"/>
                      <w:color w:val="auto"/>
                      <w:szCs w:val="22"/>
                      <w:highlight w:val="none"/>
                    </w:rPr>
                    <w:t>“</w:t>
                  </w:r>
                  <w:r>
                    <w:rPr>
                      <w:rStyle w:val="91"/>
                      <w:rFonts w:hint="default" w:eastAsia="宋体" w:cs="Times New Roman"/>
                      <w:color w:val="auto"/>
                      <w:szCs w:val="22"/>
                      <w:highlight w:val="none"/>
                    </w:rPr>
                    <w:t>减量置换</w:t>
                  </w:r>
                  <w:r>
                    <w:rPr>
                      <w:rStyle w:val="91"/>
                      <w:rFonts w:hint="eastAsia" w:eastAsia="宋体" w:cs="Times New Roman"/>
                      <w:color w:val="auto"/>
                      <w:szCs w:val="22"/>
                      <w:highlight w:val="none"/>
                    </w:rPr>
                    <w:t>”</w:t>
                  </w:r>
                  <w:r>
                    <w:rPr>
                      <w:rStyle w:val="91"/>
                      <w:rFonts w:hint="default" w:eastAsia="宋体" w:cs="Times New Roman"/>
                      <w:color w:val="auto"/>
                      <w:szCs w:val="22"/>
                      <w:highlight w:val="none"/>
                    </w:rPr>
                    <w:t>或</w:t>
                  </w:r>
                  <w:r>
                    <w:rPr>
                      <w:rStyle w:val="91"/>
                      <w:rFonts w:hint="eastAsia" w:eastAsia="宋体" w:cs="Times New Roman"/>
                      <w:color w:val="auto"/>
                      <w:szCs w:val="22"/>
                      <w:highlight w:val="none"/>
                    </w:rPr>
                    <w:t>“</w:t>
                  </w:r>
                  <w:r>
                    <w:rPr>
                      <w:rStyle w:val="91"/>
                      <w:rFonts w:hint="default" w:eastAsia="宋体" w:cs="Times New Roman"/>
                      <w:color w:val="auto"/>
                      <w:szCs w:val="22"/>
                      <w:highlight w:val="none"/>
                    </w:rPr>
                    <w:t>等量替换</w:t>
                  </w:r>
                  <w:r>
                    <w:rPr>
                      <w:rStyle w:val="91"/>
                      <w:rFonts w:hint="eastAsia" w:eastAsia="宋体" w:cs="Times New Roman"/>
                      <w:color w:val="auto"/>
                      <w:szCs w:val="22"/>
                      <w:highlight w:val="none"/>
                    </w:rPr>
                    <w:t>”</w:t>
                  </w:r>
                  <w:r>
                    <w:rPr>
                      <w:rStyle w:val="91"/>
                      <w:rFonts w:hint="default" w:eastAsia="宋体" w:cs="Times New Roman"/>
                      <w:color w:val="auto"/>
                      <w:szCs w:val="22"/>
                      <w:highlight w:val="none"/>
                    </w:rPr>
                    <w:t>原则，开展重金属污染综合治理，完成重点行业重点重金属污染物减排目标任务。</w:t>
                  </w:r>
                </w:p>
              </w:tc>
              <w:tc>
                <w:tcPr>
                  <w:tcW w:w="1743" w:type="dxa"/>
                  <w:tcBorders>
                    <w:tl2br w:val="nil"/>
                    <w:tr2bl w:val="nil"/>
                  </w:tcBorders>
                  <w:vAlign w:val="center"/>
                </w:tcPr>
                <w:p w14:paraId="381E59C6">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both"/>
                    <w:textAlignment w:val="auto"/>
                    <w:rPr>
                      <w:rStyle w:val="91"/>
                      <w:rFonts w:hint="default" w:eastAsia="宋体" w:cs="Times New Roman"/>
                      <w:color w:val="auto"/>
                      <w:szCs w:val="22"/>
                      <w:highlight w:val="none"/>
                      <w:lang w:val="en-US" w:eastAsia="zh-CN"/>
                    </w:rPr>
                  </w:pPr>
                  <w:r>
                    <w:rPr>
                      <w:rStyle w:val="91"/>
                      <w:rFonts w:hint="eastAsia" w:cs="Times New Roman"/>
                      <w:color w:val="auto"/>
                      <w:szCs w:val="22"/>
                      <w:highlight w:val="none"/>
                      <w:lang w:val="en-US" w:eastAsia="zh-CN"/>
                    </w:rPr>
                    <w:t>本项目不涉及重金属排放。</w:t>
                  </w:r>
                </w:p>
              </w:tc>
              <w:tc>
                <w:tcPr>
                  <w:tcW w:w="1061" w:type="dxa"/>
                  <w:tcBorders>
                    <w:tl2br w:val="nil"/>
                    <w:tr2bl w:val="nil"/>
                  </w:tcBorders>
                  <w:vAlign w:val="center"/>
                </w:tcPr>
                <w:p w14:paraId="7C72C36C">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eastAsia" w:eastAsia="宋体" w:cs="Times New Roman"/>
                      <w:color w:val="auto"/>
                      <w:szCs w:val="22"/>
                      <w:highlight w:val="none"/>
                      <w:lang w:val="en-US" w:eastAsia="zh-CN"/>
                    </w:rPr>
                  </w:pPr>
                  <w:r>
                    <w:rPr>
                      <w:rStyle w:val="91"/>
                      <w:rFonts w:hint="eastAsia" w:cs="Times New Roman"/>
                      <w:color w:val="auto"/>
                      <w:szCs w:val="22"/>
                      <w:highlight w:val="none"/>
                      <w:lang w:val="en-US" w:eastAsia="zh-CN"/>
                    </w:rPr>
                    <w:t>符合</w:t>
                  </w:r>
                </w:p>
              </w:tc>
            </w:tr>
            <w:tr w14:paraId="397420A6">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54" w:type="dxa"/>
                  <w:vMerge w:val="continue"/>
                  <w:tcBorders>
                    <w:tl2br w:val="nil"/>
                    <w:tr2bl w:val="nil"/>
                  </w:tcBorders>
                  <w:vAlign w:val="center"/>
                </w:tcPr>
                <w:p w14:paraId="15EF5878">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eastAsia" w:eastAsia="宋体" w:cs="Times New Roman"/>
                      <w:color w:val="auto"/>
                      <w:szCs w:val="22"/>
                      <w:highlight w:val="none"/>
                      <w:lang w:val="en-US" w:eastAsia="zh-CN"/>
                    </w:rPr>
                  </w:pPr>
                </w:p>
              </w:tc>
              <w:tc>
                <w:tcPr>
                  <w:tcW w:w="734" w:type="dxa"/>
                  <w:vMerge w:val="continue"/>
                  <w:tcBorders>
                    <w:tl2br w:val="nil"/>
                    <w:tr2bl w:val="nil"/>
                  </w:tcBorders>
                  <w:vAlign w:val="center"/>
                </w:tcPr>
                <w:p w14:paraId="11E745C3">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default" w:eastAsia="宋体" w:cs="Times New Roman"/>
                      <w:color w:val="auto"/>
                      <w:szCs w:val="22"/>
                      <w:highlight w:val="none"/>
                    </w:rPr>
                  </w:pPr>
                </w:p>
              </w:tc>
              <w:tc>
                <w:tcPr>
                  <w:tcW w:w="540" w:type="dxa"/>
                  <w:tcBorders>
                    <w:tl2br w:val="nil"/>
                    <w:tr2bl w:val="nil"/>
                  </w:tcBorders>
                  <w:vAlign w:val="center"/>
                </w:tcPr>
                <w:p w14:paraId="218F4EC2">
                  <w:pPr>
                    <w:keepNext w:val="0"/>
                    <w:keepLines w:val="0"/>
                    <w:widowControl/>
                    <w:suppressLineNumbers w:val="0"/>
                    <w:spacing w:before="0" w:beforeAutospacing="0" w:after="0" w:afterAutospacing="0"/>
                    <w:ind w:left="0" w:right="0"/>
                    <w:jc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olor w:val="auto"/>
                      <w:kern w:val="0"/>
                      <w:szCs w:val="21"/>
                    </w:rPr>
                    <w:t>19</w:t>
                  </w:r>
                </w:p>
              </w:tc>
              <w:tc>
                <w:tcPr>
                  <w:tcW w:w="2517" w:type="dxa"/>
                  <w:tcBorders>
                    <w:tl2br w:val="nil"/>
                    <w:tr2bl w:val="nil"/>
                  </w:tcBorders>
                  <w:vAlign w:val="center"/>
                </w:tcPr>
                <w:p w14:paraId="56DBF448">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both"/>
                    <w:textAlignment w:val="auto"/>
                    <w:rPr>
                      <w:rStyle w:val="91"/>
                      <w:rFonts w:hint="default" w:eastAsia="宋体" w:cs="Times New Roman"/>
                      <w:color w:val="auto"/>
                      <w:szCs w:val="22"/>
                      <w:highlight w:val="none"/>
                    </w:rPr>
                  </w:pPr>
                  <w:r>
                    <w:rPr>
                      <w:rStyle w:val="91"/>
                      <w:rFonts w:hint="default" w:eastAsia="宋体" w:cs="Times New Roman"/>
                      <w:color w:val="auto"/>
                      <w:szCs w:val="22"/>
                      <w:highlight w:val="none"/>
                    </w:rPr>
                    <w:t>深化消耗臭氧层物质和氢氟碳化物环境管理。</w:t>
                  </w:r>
                </w:p>
              </w:tc>
              <w:tc>
                <w:tcPr>
                  <w:tcW w:w="1743" w:type="dxa"/>
                  <w:tcBorders>
                    <w:tl2br w:val="nil"/>
                    <w:tr2bl w:val="nil"/>
                  </w:tcBorders>
                  <w:vAlign w:val="center"/>
                </w:tcPr>
                <w:p w14:paraId="5477E387">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both"/>
                    <w:textAlignment w:val="auto"/>
                    <w:rPr>
                      <w:rStyle w:val="91"/>
                      <w:rFonts w:hint="default" w:eastAsia="宋体" w:cs="Times New Roman"/>
                      <w:color w:val="auto"/>
                      <w:szCs w:val="22"/>
                      <w:highlight w:val="none"/>
                      <w:lang w:val="en-US" w:eastAsia="zh-CN"/>
                    </w:rPr>
                  </w:pPr>
                  <w:r>
                    <w:rPr>
                      <w:rStyle w:val="91"/>
                      <w:rFonts w:hint="eastAsia" w:cs="Times New Roman"/>
                      <w:color w:val="auto"/>
                      <w:szCs w:val="22"/>
                      <w:highlight w:val="none"/>
                      <w:lang w:val="en-US" w:eastAsia="zh-CN"/>
                    </w:rPr>
                    <w:t>本项目不涉及臭氧层物质和氢氟碳化物排放。</w:t>
                  </w:r>
                </w:p>
              </w:tc>
              <w:tc>
                <w:tcPr>
                  <w:tcW w:w="1061" w:type="dxa"/>
                  <w:tcBorders>
                    <w:tl2br w:val="nil"/>
                    <w:tr2bl w:val="nil"/>
                  </w:tcBorders>
                  <w:vAlign w:val="center"/>
                </w:tcPr>
                <w:p w14:paraId="33704131">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eastAsia" w:eastAsia="宋体" w:cs="Times New Roman"/>
                      <w:color w:val="auto"/>
                      <w:szCs w:val="22"/>
                      <w:highlight w:val="none"/>
                      <w:lang w:val="en-US" w:eastAsia="zh-CN"/>
                    </w:rPr>
                  </w:pPr>
                  <w:r>
                    <w:rPr>
                      <w:rStyle w:val="91"/>
                      <w:rFonts w:hint="eastAsia" w:cs="Times New Roman"/>
                      <w:color w:val="auto"/>
                      <w:szCs w:val="22"/>
                      <w:highlight w:val="none"/>
                      <w:lang w:val="en-US" w:eastAsia="zh-CN"/>
                    </w:rPr>
                    <w:t>符合</w:t>
                  </w:r>
                </w:p>
              </w:tc>
            </w:tr>
            <w:tr w14:paraId="682E85C5">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54" w:type="dxa"/>
                  <w:vMerge w:val="continue"/>
                  <w:tcBorders>
                    <w:tl2br w:val="nil"/>
                    <w:tr2bl w:val="nil"/>
                  </w:tcBorders>
                  <w:vAlign w:val="center"/>
                </w:tcPr>
                <w:p w14:paraId="709D0C47">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eastAsia" w:eastAsia="宋体" w:cs="Times New Roman"/>
                      <w:color w:val="auto"/>
                      <w:szCs w:val="22"/>
                      <w:highlight w:val="none"/>
                      <w:lang w:val="en-US" w:eastAsia="zh-CN"/>
                    </w:rPr>
                  </w:pPr>
                </w:p>
              </w:tc>
              <w:tc>
                <w:tcPr>
                  <w:tcW w:w="734" w:type="dxa"/>
                  <w:vMerge w:val="continue"/>
                  <w:tcBorders>
                    <w:tl2br w:val="nil"/>
                    <w:tr2bl w:val="nil"/>
                  </w:tcBorders>
                  <w:vAlign w:val="center"/>
                </w:tcPr>
                <w:p w14:paraId="224C1074">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default" w:eastAsia="宋体" w:cs="Times New Roman"/>
                      <w:color w:val="auto"/>
                      <w:szCs w:val="22"/>
                      <w:highlight w:val="none"/>
                    </w:rPr>
                  </w:pPr>
                </w:p>
              </w:tc>
              <w:tc>
                <w:tcPr>
                  <w:tcW w:w="540" w:type="dxa"/>
                  <w:tcBorders>
                    <w:tl2br w:val="nil"/>
                    <w:tr2bl w:val="nil"/>
                  </w:tcBorders>
                  <w:vAlign w:val="center"/>
                </w:tcPr>
                <w:p w14:paraId="656D2425">
                  <w:pPr>
                    <w:keepNext w:val="0"/>
                    <w:keepLines w:val="0"/>
                    <w:widowControl/>
                    <w:suppressLineNumbers w:val="0"/>
                    <w:spacing w:before="0" w:beforeAutospacing="0" w:after="0" w:afterAutospacing="0"/>
                    <w:ind w:left="0" w:right="0"/>
                    <w:jc w:val="center"/>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olor w:val="auto"/>
                      <w:kern w:val="0"/>
                      <w:szCs w:val="21"/>
                    </w:rPr>
                    <w:t>20</w:t>
                  </w:r>
                </w:p>
              </w:tc>
              <w:tc>
                <w:tcPr>
                  <w:tcW w:w="2517" w:type="dxa"/>
                  <w:tcBorders>
                    <w:tl2br w:val="nil"/>
                    <w:tr2bl w:val="nil"/>
                  </w:tcBorders>
                  <w:vAlign w:val="center"/>
                </w:tcPr>
                <w:p w14:paraId="25E36010">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both"/>
                    <w:textAlignment w:val="auto"/>
                    <w:rPr>
                      <w:rStyle w:val="91"/>
                      <w:rFonts w:hint="default" w:eastAsia="宋体" w:cs="Times New Roman"/>
                      <w:color w:val="auto"/>
                      <w:szCs w:val="22"/>
                      <w:highlight w:val="none"/>
                    </w:rPr>
                  </w:pPr>
                  <w:r>
                    <w:rPr>
                      <w:rStyle w:val="91"/>
                      <w:rFonts w:hint="default" w:eastAsia="宋体" w:cs="Times New Roman"/>
                      <w:color w:val="auto"/>
                      <w:szCs w:val="22"/>
                      <w:highlight w:val="none"/>
                    </w:rPr>
                    <w:t>对焦化、水泥、医药化工、石化等重点行业进行清洁生产审核，针对节能减排关键领域和薄弱环节，采用先进适用清洁生产技术、工艺和装备，实施清洁生产技术改造。</w:t>
                  </w:r>
                </w:p>
              </w:tc>
              <w:tc>
                <w:tcPr>
                  <w:tcW w:w="1743" w:type="dxa"/>
                  <w:tcBorders>
                    <w:tl2br w:val="nil"/>
                    <w:tr2bl w:val="nil"/>
                  </w:tcBorders>
                  <w:vAlign w:val="center"/>
                </w:tcPr>
                <w:p w14:paraId="75330A56">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both"/>
                    <w:textAlignment w:val="auto"/>
                    <w:rPr>
                      <w:rStyle w:val="91"/>
                      <w:rFonts w:hint="default" w:eastAsia="宋体" w:cs="Times New Roman"/>
                      <w:color w:val="auto"/>
                      <w:szCs w:val="22"/>
                      <w:highlight w:val="none"/>
                      <w:lang w:val="en-US" w:eastAsia="zh-CN"/>
                    </w:rPr>
                  </w:pPr>
                  <w:r>
                    <w:rPr>
                      <w:rStyle w:val="91"/>
                      <w:rFonts w:hint="eastAsia" w:cs="Times New Roman"/>
                      <w:color w:val="auto"/>
                      <w:szCs w:val="22"/>
                      <w:highlight w:val="none"/>
                      <w:lang w:val="en-US" w:eastAsia="zh-CN"/>
                    </w:rPr>
                    <w:t>本项目不属于焦化、水泥、医药化工、石化等重点行业。</w:t>
                  </w:r>
                </w:p>
              </w:tc>
              <w:tc>
                <w:tcPr>
                  <w:tcW w:w="1061" w:type="dxa"/>
                  <w:tcBorders>
                    <w:tl2br w:val="nil"/>
                    <w:tr2bl w:val="nil"/>
                  </w:tcBorders>
                  <w:vAlign w:val="center"/>
                </w:tcPr>
                <w:p w14:paraId="4CBF80E4">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eastAsia" w:eastAsia="宋体" w:cs="Times New Roman"/>
                      <w:color w:val="auto"/>
                      <w:szCs w:val="22"/>
                      <w:highlight w:val="none"/>
                      <w:lang w:val="en-US" w:eastAsia="zh-CN"/>
                    </w:rPr>
                  </w:pPr>
                  <w:r>
                    <w:rPr>
                      <w:rStyle w:val="91"/>
                      <w:rFonts w:hint="eastAsia" w:cs="Times New Roman"/>
                      <w:color w:val="auto"/>
                      <w:szCs w:val="22"/>
                      <w:highlight w:val="none"/>
                      <w:lang w:val="en-US" w:eastAsia="zh-CN"/>
                    </w:rPr>
                    <w:t>符合</w:t>
                  </w:r>
                </w:p>
              </w:tc>
            </w:tr>
            <w:tr w14:paraId="506B17E2">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54" w:type="dxa"/>
                  <w:tcBorders>
                    <w:tl2br w:val="nil"/>
                    <w:tr2bl w:val="nil"/>
                  </w:tcBorders>
                  <w:vAlign w:val="center"/>
                </w:tcPr>
                <w:p w14:paraId="52304D50">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eastAsia" w:eastAsia="宋体" w:cs="Times New Roman"/>
                      <w:color w:val="auto"/>
                      <w:szCs w:val="22"/>
                      <w:highlight w:val="none"/>
                      <w:lang w:val="en-US" w:eastAsia="zh-CN"/>
                    </w:rPr>
                  </w:pPr>
                  <w:r>
                    <w:rPr>
                      <w:rStyle w:val="91"/>
                      <w:rFonts w:hint="eastAsia" w:eastAsia="宋体" w:cs="Times New Roman"/>
                      <w:color w:val="auto"/>
                      <w:szCs w:val="22"/>
                      <w:highlight w:val="none"/>
                      <w:lang w:val="en-US" w:eastAsia="zh-CN"/>
                    </w:rPr>
                    <w:t>环境风险防控</w:t>
                  </w:r>
                </w:p>
              </w:tc>
              <w:tc>
                <w:tcPr>
                  <w:tcW w:w="734" w:type="dxa"/>
                  <w:tcBorders>
                    <w:tl2br w:val="nil"/>
                    <w:tr2bl w:val="nil"/>
                  </w:tcBorders>
                  <w:vAlign w:val="center"/>
                </w:tcPr>
                <w:p w14:paraId="0AD3201C">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default" w:eastAsia="宋体" w:cs="Times New Roman"/>
                      <w:color w:val="auto"/>
                      <w:szCs w:val="22"/>
                      <w:highlight w:val="none"/>
                    </w:rPr>
                  </w:pPr>
                  <w:r>
                    <w:rPr>
                      <w:rStyle w:val="91"/>
                      <w:rFonts w:hint="default" w:eastAsia="宋体" w:cs="Times New Roman"/>
                      <w:color w:val="auto"/>
                      <w:szCs w:val="22"/>
                      <w:highlight w:val="none"/>
                    </w:rPr>
                    <w:t>联防联控要求</w:t>
                  </w:r>
                </w:p>
              </w:tc>
              <w:tc>
                <w:tcPr>
                  <w:tcW w:w="540" w:type="dxa"/>
                  <w:tcBorders>
                    <w:tl2br w:val="nil"/>
                    <w:tr2bl w:val="nil"/>
                  </w:tcBorders>
                  <w:vAlign w:val="center"/>
                </w:tcPr>
                <w:p w14:paraId="5B664DF1">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default" w:eastAsia="宋体" w:cs="Times New Roman"/>
                      <w:color w:val="auto"/>
                      <w:szCs w:val="22"/>
                      <w:highlight w:val="none"/>
                      <w:lang w:val="en-US"/>
                    </w:rPr>
                  </w:pPr>
                  <w:r>
                    <w:rPr>
                      <w:rStyle w:val="91"/>
                      <w:rFonts w:hint="eastAsia" w:cs="Times New Roman"/>
                      <w:color w:val="auto"/>
                      <w:szCs w:val="22"/>
                      <w:highlight w:val="none"/>
                      <w:lang w:val="en-US"/>
                    </w:rPr>
                    <w:t>21</w:t>
                  </w:r>
                </w:p>
              </w:tc>
              <w:tc>
                <w:tcPr>
                  <w:tcW w:w="2517" w:type="dxa"/>
                  <w:tcBorders>
                    <w:tl2br w:val="nil"/>
                    <w:tr2bl w:val="nil"/>
                  </w:tcBorders>
                  <w:vAlign w:val="center"/>
                </w:tcPr>
                <w:p w14:paraId="3809E12C">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both"/>
                    <w:textAlignment w:val="auto"/>
                    <w:rPr>
                      <w:rStyle w:val="91"/>
                      <w:rFonts w:hint="default" w:eastAsia="宋体" w:cs="Times New Roman"/>
                      <w:color w:val="auto"/>
                      <w:szCs w:val="22"/>
                      <w:highlight w:val="none"/>
                    </w:rPr>
                  </w:pPr>
                  <w:r>
                    <w:rPr>
                      <w:rStyle w:val="91"/>
                      <w:rFonts w:hint="default" w:eastAsia="宋体" w:cs="Times New Roman"/>
                      <w:color w:val="auto"/>
                      <w:szCs w:val="22"/>
                      <w:highlight w:val="none"/>
                    </w:rPr>
                    <w:t>完善大气污染防治综合治理体系，持续开展部门联防联控，加强与周边有关城市的联防联控。建立健全跨流域上下游突发水污染事件联防联控机制，加强研判预警、拦污控污、信息通报、协同处置、纠纷调处、基础保障等工作，防范重大生态环境风险。</w:t>
                  </w:r>
                </w:p>
              </w:tc>
              <w:tc>
                <w:tcPr>
                  <w:tcW w:w="1743" w:type="dxa"/>
                  <w:tcBorders>
                    <w:tl2br w:val="nil"/>
                    <w:tr2bl w:val="nil"/>
                  </w:tcBorders>
                  <w:vAlign w:val="center"/>
                </w:tcPr>
                <w:p w14:paraId="74505FBB">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both"/>
                    <w:textAlignment w:val="auto"/>
                    <w:rPr>
                      <w:rStyle w:val="91"/>
                      <w:rFonts w:hint="default" w:eastAsia="宋体" w:cs="Times New Roman"/>
                      <w:color w:val="auto"/>
                      <w:szCs w:val="22"/>
                      <w:highlight w:val="none"/>
                      <w:lang w:val="en-US" w:eastAsia="zh-CN"/>
                    </w:rPr>
                  </w:pPr>
                  <w:r>
                    <w:rPr>
                      <w:rStyle w:val="91"/>
                      <w:rFonts w:hint="eastAsia" w:cs="Times New Roman"/>
                      <w:color w:val="auto"/>
                      <w:szCs w:val="22"/>
                      <w:highlight w:val="none"/>
                      <w:lang w:val="en-US" w:eastAsia="zh-CN"/>
                    </w:rPr>
                    <w:t>本项目满足大气污染防治综合治理体系要求。</w:t>
                  </w:r>
                </w:p>
              </w:tc>
              <w:tc>
                <w:tcPr>
                  <w:tcW w:w="1061" w:type="dxa"/>
                  <w:tcBorders>
                    <w:tl2br w:val="nil"/>
                    <w:tr2bl w:val="nil"/>
                  </w:tcBorders>
                  <w:vAlign w:val="center"/>
                </w:tcPr>
                <w:p w14:paraId="7CCF2B33">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eastAsia" w:eastAsia="宋体" w:cs="Times New Roman"/>
                      <w:color w:val="auto"/>
                      <w:szCs w:val="22"/>
                      <w:highlight w:val="none"/>
                      <w:lang w:val="en-US" w:eastAsia="zh-CN"/>
                    </w:rPr>
                  </w:pPr>
                  <w:r>
                    <w:rPr>
                      <w:rStyle w:val="91"/>
                      <w:rFonts w:hint="eastAsia" w:cs="Times New Roman"/>
                      <w:color w:val="auto"/>
                      <w:szCs w:val="22"/>
                      <w:highlight w:val="none"/>
                      <w:lang w:val="en-US" w:eastAsia="zh-CN"/>
                    </w:rPr>
                    <w:t>符合</w:t>
                  </w:r>
                </w:p>
              </w:tc>
            </w:tr>
            <w:tr w14:paraId="2E1F36C5">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54" w:type="dxa"/>
                  <w:vMerge w:val="restart"/>
                  <w:vAlign w:val="center"/>
                </w:tcPr>
                <w:p w14:paraId="6E779E93">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eastAsia" w:eastAsia="宋体" w:cs="Times New Roman"/>
                      <w:color w:val="auto"/>
                      <w:szCs w:val="22"/>
                      <w:highlight w:val="none"/>
                      <w:lang w:val="en-US" w:eastAsia="zh-CN"/>
                    </w:rPr>
                  </w:pPr>
                  <w:r>
                    <w:rPr>
                      <w:rStyle w:val="91"/>
                      <w:rFonts w:hint="eastAsia" w:eastAsia="宋体" w:cs="Times New Roman"/>
                      <w:color w:val="auto"/>
                      <w:szCs w:val="22"/>
                      <w:highlight w:val="none"/>
                      <w:lang w:val="en-US" w:eastAsia="zh-CN"/>
                    </w:rPr>
                    <w:t>资源利用效率要求</w:t>
                  </w:r>
                </w:p>
              </w:tc>
              <w:tc>
                <w:tcPr>
                  <w:tcW w:w="734" w:type="dxa"/>
                  <w:vAlign w:val="center"/>
                </w:tcPr>
                <w:p w14:paraId="2A2F8F2C">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default" w:eastAsia="宋体" w:cs="Times New Roman"/>
                      <w:color w:val="auto"/>
                      <w:szCs w:val="22"/>
                      <w:highlight w:val="none"/>
                    </w:rPr>
                  </w:pPr>
                  <w:r>
                    <w:rPr>
                      <w:rStyle w:val="91"/>
                      <w:rFonts w:hint="default" w:eastAsia="宋体" w:cs="Times New Roman"/>
                      <w:color w:val="auto"/>
                      <w:szCs w:val="22"/>
                      <w:highlight w:val="none"/>
                    </w:rPr>
                    <w:t>水资源利用总量要求</w:t>
                  </w:r>
                </w:p>
              </w:tc>
              <w:tc>
                <w:tcPr>
                  <w:tcW w:w="540" w:type="dxa"/>
                  <w:vAlign w:val="center"/>
                </w:tcPr>
                <w:p w14:paraId="4703C7FA">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default" w:eastAsia="宋体" w:cs="Times New Roman"/>
                      <w:color w:val="auto"/>
                      <w:szCs w:val="22"/>
                      <w:highlight w:val="none"/>
                      <w:lang w:val="en-US"/>
                    </w:rPr>
                  </w:pPr>
                  <w:r>
                    <w:rPr>
                      <w:rStyle w:val="91"/>
                      <w:rFonts w:hint="eastAsia" w:cs="Times New Roman"/>
                      <w:color w:val="auto"/>
                      <w:szCs w:val="22"/>
                      <w:highlight w:val="none"/>
                      <w:lang w:val="en-US"/>
                    </w:rPr>
                    <w:t>22</w:t>
                  </w:r>
                </w:p>
              </w:tc>
              <w:tc>
                <w:tcPr>
                  <w:tcW w:w="2517" w:type="dxa"/>
                  <w:vAlign w:val="center"/>
                </w:tcPr>
                <w:p w14:paraId="3F9EB2C7">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both"/>
                    <w:textAlignment w:val="auto"/>
                    <w:rPr>
                      <w:rStyle w:val="91"/>
                      <w:rFonts w:hint="default" w:eastAsia="宋体" w:cs="Times New Roman"/>
                      <w:color w:val="auto"/>
                      <w:szCs w:val="22"/>
                      <w:highlight w:val="none"/>
                    </w:rPr>
                  </w:pPr>
                  <w:r>
                    <w:rPr>
                      <w:rStyle w:val="91"/>
                      <w:rFonts w:hint="default" w:eastAsia="宋体" w:cs="Times New Roman"/>
                      <w:color w:val="auto"/>
                      <w:szCs w:val="22"/>
                      <w:highlight w:val="none"/>
                    </w:rPr>
                    <w:t>到2025年，全市用水总量控制在9.27亿立方米以内，万元工业增加值用水量比2020年下降20%，农田灌溉水有效利用系数0.522</w:t>
                  </w:r>
                  <w:r>
                    <w:rPr>
                      <w:rStyle w:val="91"/>
                      <w:rFonts w:hint="eastAsia" w:cs="Times New Roman"/>
                      <w:color w:val="auto"/>
                      <w:szCs w:val="22"/>
                      <w:highlight w:val="none"/>
                    </w:rPr>
                    <w:t>。</w:t>
                  </w:r>
                </w:p>
              </w:tc>
              <w:tc>
                <w:tcPr>
                  <w:tcW w:w="1743" w:type="dxa"/>
                  <w:vAlign w:val="center"/>
                </w:tcPr>
                <w:p w14:paraId="4875229E">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both"/>
                    <w:textAlignment w:val="auto"/>
                    <w:rPr>
                      <w:rStyle w:val="91"/>
                      <w:rFonts w:hint="default" w:eastAsia="宋体" w:cs="Times New Roman"/>
                      <w:color w:val="auto"/>
                      <w:szCs w:val="22"/>
                      <w:highlight w:val="none"/>
                      <w:lang w:val="en-US" w:eastAsia="zh-CN"/>
                    </w:rPr>
                  </w:pPr>
                  <w:r>
                    <w:rPr>
                      <w:rStyle w:val="91"/>
                      <w:rFonts w:hint="eastAsia" w:cs="Times New Roman"/>
                      <w:color w:val="auto"/>
                      <w:szCs w:val="22"/>
                      <w:highlight w:val="none"/>
                      <w:lang w:val="en-US" w:eastAsia="zh-CN"/>
                    </w:rPr>
                    <w:t>本项目有生产和生活用水需求，用水量占全市用水总量比例较小。</w:t>
                  </w:r>
                </w:p>
              </w:tc>
              <w:tc>
                <w:tcPr>
                  <w:tcW w:w="1061" w:type="dxa"/>
                  <w:vAlign w:val="center"/>
                </w:tcPr>
                <w:p w14:paraId="1535A2FC">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eastAsia" w:eastAsia="宋体" w:cs="Times New Roman"/>
                      <w:color w:val="auto"/>
                      <w:szCs w:val="22"/>
                      <w:highlight w:val="none"/>
                      <w:lang w:val="en-US" w:eastAsia="zh-CN"/>
                    </w:rPr>
                  </w:pPr>
                  <w:r>
                    <w:rPr>
                      <w:rStyle w:val="91"/>
                      <w:rFonts w:hint="eastAsia" w:cs="Times New Roman"/>
                      <w:color w:val="auto"/>
                      <w:szCs w:val="22"/>
                      <w:highlight w:val="none"/>
                      <w:lang w:val="en-US" w:eastAsia="zh-CN"/>
                    </w:rPr>
                    <w:t>符合</w:t>
                  </w:r>
                </w:p>
              </w:tc>
            </w:tr>
            <w:tr w14:paraId="2D646D8F">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54" w:type="dxa"/>
                  <w:vMerge w:val="continue"/>
                  <w:vAlign w:val="center"/>
                </w:tcPr>
                <w:p w14:paraId="751128E8">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eastAsia" w:eastAsia="宋体" w:cs="Times New Roman"/>
                      <w:color w:val="auto"/>
                      <w:szCs w:val="22"/>
                      <w:highlight w:val="none"/>
                      <w:lang w:val="en-US" w:eastAsia="zh-CN"/>
                    </w:rPr>
                  </w:pPr>
                </w:p>
              </w:tc>
              <w:tc>
                <w:tcPr>
                  <w:tcW w:w="734" w:type="dxa"/>
                  <w:vAlign w:val="center"/>
                </w:tcPr>
                <w:p w14:paraId="1F4001EE">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default" w:eastAsia="宋体" w:cs="Times New Roman"/>
                      <w:color w:val="auto"/>
                      <w:szCs w:val="22"/>
                      <w:highlight w:val="none"/>
                    </w:rPr>
                  </w:pPr>
                  <w:r>
                    <w:rPr>
                      <w:rStyle w:val="91"/>
                      <w:rFonts w:hint="default" w:eastAsia="宋体" w:cs="Times New Roman"/>
                      <w:color w:val="auto"/>
                      <w:szCs w:val="22"/>
                      <w:highlight w:val="none"/>
                    </w:rPr>
                    <w:t>地下水开采要求</w:t>
                  </w:r>
                </w:p>
              </w:tc>
              <w:tc>
                <w:tcPr>
                  <w:tcW w:w="540" w:type="dxa"/>
                  <w:vAlign w:val="center"/>
                </w:tcPr>
                <w:p w14:paraId="24657FDD">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default" w:eastAsia="宋体" w:cs="Times New Roman"/>
                      <w:color w:val="auto"/>
                      <w:szCs w:val="22"/>
                      <w:highlight w:val="none"/>
                    </w:rPr>
                  </w:pPr>
                  <w:r>
                    <w:rPr>
                      <w:rStyle w:val="91"/>
                      <w:rFonts w:hint="default" w:eastAsia="宋体" w:cs="Times New Roman"/>
                      <w:color w:val="auto"/>
                      <w:szCs w:val="22"/>
                      <w:highlight w:val="none"/>
                    </w:rPr>
                    <w:t>23</w:t>
                  </w:r>
                </w:p>
              </w:tc>
              <w:tc>
                <w:tcPr>
                  <w:tcW w:w="2517" w:type="dxa"/>
                  <w:vAlign w:val="center"/>
                </w:tcPr>
                <w:p w14:paraId="10D99612">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both"/>
                    <w:textAlignment w:val="auto"/>
                    <w:rPr>
                      <w:rStyle w:val="91"/>
                      <w:rFonts w:hint="default" w:eastAsia="宋体" w:cs="Times New Roman"/>
                      <w:color w:val="auto"/>
                      <w:szCs w:val="22"/>
                      <w:highlight w:val="none"/>
                    </w:rPr>
                  </w:pPr>
                  <w:r>
                    <w:rPr>
                      <w:rStyle w:val="91"/>
                      <w:rFonts w:hint="default" w:eastAsia="宋体" w:cs="Times New Roman"/>
                      <w:color w:val="auto"/>
                      <w:szCs w:val="22"/>
                      <w:highlight w:val="none"/>
                    </w:rPr>
                    <w:t>在地下水超采区，禁止农业、工业建设项目和服务业新增取用地下水，并逐步削减超采量，实现地下水采补平衡；严禁在城市自来水管网覆盖范围内打井取水，对原有自备水井要限期关闭。</w:t>
                  </w:r>
                </w:p>
              </w:tc>
              <w:tc>
                <w:tcPr>
                  <w:tcW w:w="1743" w:type="dxa"/>
                  <w:vAlign w:val="center"/>
                </w:tcPr>
                <w:p w14:paraId="2A1354B8">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both"/>
                    <w:textAlignment w:val="auto"/>
                    <w:rPr>
                      <w:rStyle w:val="91"/>
                      <w:rFonts w:hint="default" w:eastAsia="宋体" w:cs="Times New Roman"/>
                      <w:color w:val="auto"/>
                      <w:szCs w:val="22"/>
                      <w:highlight w:val="none"/>
                      <w:lang w:val="en-US" w:eastAsia="zh-CN"/>
                    </w:rPr>
                  </w:pPr>
                  <w:r>
                    <w:rPr>
                      <w:rStyle w:val="91"/>
                      <w:rFonts w:hint="eastAsia" w:cs="Times New Roman"/>
                      <w:color w:val="auto"/>
                      <w:szCs w:val="22"/>
                      <w:highlight w:val="none"/>
                      <w:lang w:val="en-US" w:eastAsia="zh-CN"/>
                    </w:rPr>
                    <w:t>本项目不涉及地下水开采，不涉及打井取水</w:t>
                  </w:r>
                </w:p>
              </w:tc>
              <w:tc>
                <w:tcPr>
                  <w:tcW w:w="1061" w:type="dxa"/>
                  <w:vAlign w:val="center"/>
                </w:tcPr>
                <w:p w14:paraId="33B13419">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eastAsia" w:eastAsia="宋体" w:cs="Times New Roman"/>
                      <w:color w:val="auto"/>
                      <w:szCs w:val="22"/>
                      <w:highlight w:val="none"/>
                      <w:lang w:val="en-US" w:eastAsia="zh-CN"/>
                    </w:rPr>
                  </w:pPr>
                  <w:r>
                    <w:rPr>
                      <w:rStyle w:val="91"/>
                      <w:rFonts w:hint="eastAsia" w:cs="Times New Roman"/>
                      <w:color w:val="auto"/>
                      <w:szCs w:val="22"/>
                      <w:highlight w:val="none"/>
                      <w:lang w:val="en-US" w:eastAsia="zh-CN"/>
                    </w:rPr>
                    <w:t>符合</w:t>
                  </w:r>
                </w:p>
              </w:tc>
            </w:tr>
            <w:tr w14:paraId="199CCE63">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54" w:type="dxa"/>
                  <w:vMerge w:val="continue"/>
                  <w:vAlign w:val="center"/>
                </w:tcPr>
                <w:p w14:paraId="3E99104B">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eastAsia" w:eastAsia="宋体" w:cs="Times New Roman"/>
                      <w:color w:val="auto"/>
                      <w:szCs w:val="22"/>
                      <w:highlight w:val="none"/>
                      <w:lang w:val="en-US" w:eastAsia="zh-CN"/>
                    </w:rPr>
                  </w:pPr>
                </w:p>
              </w:tc>
              <w:tc>
                <w:tcPr>
                  <w:tcW w:w="734" w:type="dxa"/>
                  <w:vAlign w:val="center"/>
                </w:tcPr>
                <w:p w14:paraId="52A992E7">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default" w:eastAsia="宋体" w:cs="Times New Roman"/>
                      <w:color w:val="auto"/>
                      <w:szCs w:val="22"/>
                      <w:highlight w:val="none"/>
                    </w:rPr>
                  </w:pPr>
                  <w:r>
                    <w:rPr>
                      <w:rStyle w:val="91"/>
                      <w:rFonts w:hint="default" w:eastAsia="宋体" w:cs="Times New Roman"/>
                      <w:color w:val="auto"/>
                      <w:szCs w:val="22"/>
                      <w:highlight w:val="none"/>
                    </w:rPr>
                    <w:t>能源利用总量及效率要求</w:t>
                  </w:r>
                </w:p>
              </w:tc>
              <w:tc>
                <w:tcPr>
                  <w:tcW w:w="540" w:type="dxa"/>
                  <w:vAlign w:val="center"/>
                </w:tcPr>
                <w:p w14:paraId="338462C8">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default" w:eastAsia="宋体" w:cs="Times New Roman"/>
                      <w:color w:val="auto"/>
                      <w:szCs w:val="22"/>
                      <w:highlight w:val="none"/>
                      <w:lang w:val="en-US"/>
                    </w:rPr>
                  </w:pPr>
                  <w:r>
                    <w:rPr>
                      <w:rStyle w:val="91"/>
                      <w:rFonts w:hint="eastAsia" w:cs="Times New Roman"/>
                      <w:color w:val="auto"/>
                      <w:szCs w:val="22"/>
                      <w:highlight w:val="none"/>
                      <w:lang w:val="en-US"/>
                    </w:rPr>
                    <w:t>24</w:t>
                  </w:r>
                </w:p>
              </w:tc>
              <w:tc>
                <w:tcPr>
                  <w:tcW w:w="2517" w:type="dxa"/>
                  <w:vAlign w:val="center"/>
                </w:tcPr>
                <w:p w14:paraId="3B5965F4">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both"/>
                    <w:textAlignment w:val="auto"/>
                    <w:rPr>
                      <w:rStyle w:val="91"/>
                      <w:rFonts w:hint="default" w:eastAsia="宋体" w:cs="Times New Roman"/>
                      <w:color w:val="auto"/>
                      <w:szCs w:val="22"/>
                      <w:highlight w:val="none"/>
                    </w:rPr>
                  </w:pPr>
                  <w:r>
                    <w:rPr>
                      <w:rStyle w:val="91"/>
                      <w:rFonts w:hint="default" w:eastAsia="宋体" w:cs="Times New Roman"/>
                      <w:color w:val="auto"/>
                      <w:szCs w:val="22"/>
                      <w:highlight w:val="none"/>
                    </w:rPr>
                    <w:t>大力发展可再生能源，到2025年，力争全市非化石能源占一次能源消费比重达20%以上。到2025年，全市单位地区生产总值能耗较2020年降低16.5%。</w:t>
                  </w:r>
                </w:p>
              </w:tc>
              <w:tc>
                <w:tcPr>
                  <w:tcW w:w="1743" w:type="dxa"/>
                  <w:vAlign w:val="center"/>
                </w:tcPr>
                <w:p w14:paraId="40ABDD4D">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default" w:eastAsia="宋体" w:cs="Times New Roman"/>
                      <w:color w:val="auto"/>
                      <w:szCs w:val="22"/>
                      <w:highlight w:val="none"/>
                      <w:lang w:val="en-US" w:eastAsia="zh-CN"/>
                    </w:rPr>
                  </w:pPr>
                  <w:r>
                    <w:rPr>
                      <w:rStyle w:val="91"/>
                      <w:rFonts w:hint="eastAsia" w:cs="Times New Roman"/>
                      <w:color w:val="auto"/>
                      <w:szCs w:val="22"/>
                      <w:highlight w:val="none"/>
                      <w:lang w:val="en-US" w:eastAsia="zh-CN"/>
                    </w:rPr>
                    <w:t>/</w:t>
                  </w:r>
                </w:p>
              </w:tc>
              <w:tc>
                <w:tcPr>
                  <w:tcW w:w="1061" w:type="dxa"/>
                  <w:vAlign w:val="center"/>
                </w:tcPr>
                <w:p w14:paraId="55B548ED">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default" w:eastAsia="宋体" w:cs="Times New Roman"/>
                      <w:color w:val="auto"/>
                      <w:szCs w:val="22"/>
                      <w:highlight w:val="none"/>
                      <w:lang w:val="en-US" w:eastAsia="zh-CN"/>
                    </w:rPr>
                  </w:pPr>
                  <w:r>
                    <w:rPr>
                      <w:rStyle w:val="91"/>
                      <w:rFonts w:hint="eastAsia" w:cs="Times New Roman"/>
                      <w:color w:val="auto"/>
                      <w:szCs w:val="22"/>
                      <w:highlight w:val="none"/>
                      <w:lang w:val="en-US" w:eastAsia="zh-CN"/>
                    </w:rPr>
                    <w:t>/</w:t>
                  </w:r>
                </w:p>
              </w:tc>
            </w:tr>
            <w:tr w14:paraId="7AF096C5">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54" w:type="dxa"/>
                  <w:vMerge w:val="continue"/>
                  <w:tcBorders>
                    <w:bottom w:val="single" w:color="auto" w:sz="12" w:space="0"/>
                  </w:tcBorders>
                  <w:vAlign w:val="center"/>
                </w:tcPr>
                <w:p w14:paraId="7B68C08D">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eastAsia" w:eastAsia="宋体" w:cs="Times New Roman"/>
                      <w:color w:val="auto"/>
                      <w:szCs w:val="22"/>
                      <w:highlight w:val="none"/>
                      <w:lang w:val="en-US" w:eastAsia="zh-CN"/>
                    </w:rPr>
                  </w:pPr>
                </w:p>
              </w:tc>
              <w:tc>
                <w:tcPr>
                  <w:tcW w:w="734" w:type="dxa"/>
                  <w:tcBorders>
                    <w:bottom w:val="single" w:color="auto" w:sz="12" w:space="0"/>
                  </w:tcBorders>
                  <w:vAlign w:val="center"/>
                </w:tcPr>
                <w:p w14:paraId="77AAED5A">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default" w:eastAsia="宋体" w:cs="Times New Roman"/>
                      <w:color w:val="auto"/>
                      <w:szCs w:val="22"/>
                      <w:highlight w:val="none"/>
                    </w:rPr>
                  </w:pPr>
                  <w:r>
                    <w:rPr>
                      <w:rStyle w:val="91"/>
                      <w:rFonts w:hint="default" w:eastAsia="宋体" w:cs="Times New Roman"/>
                      <w:color w:val="auto"/>
                      <w:szCs w:val="22"/>
                      <w:highlight w:val="none"/>
                    </w:rPr>
                    <w:t>禁燃区要求</w:t>
                  </w:r>
                </w:p>
              </w:tc>
              <w:tc>
                <w:tcPr>
                  <w:tcW w:w="540" w:type="dxa"/>
                  <w:tcBorders>
                    <w:bottom w:val="single" w:color="auto" w:sz="12" w:space="0"/>
                  </w:tcBorders>
                  <w:vAlign w:val="center"/>
                </w:tcPr>
                <w:p w14:paraId="7DA41AE2">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default" w:eastAsia="宋体" w:cs="Times New Roman"/>
                      <w:color w:val="auto"/>
                      <w:szCs w:val="22"/>
                      <w:highlight w:val="none"/>
                    </w:rPr>
                  </w:pPr>
                  <w:r>
                    <w:rPr>
                      <w:rStyle w:val="91"/>
                      <w:rFonts w:hint="default" w:eastAsia="宋体" w:cs="Times New Roman"/>
                      <w:color w:val="auto"/>
                      <w:szCs w:val="22"/>
                      <w:highlight w:val="none"/>
                    </w:rPr>
                    <w:t>25</w:t>
                  </w:r>
                </w:p>
              </w:tc>
              <w:tc>
                <w:tcPr>
                  <w:tcW w:w="2517" w:type="dxa"/>
                  <w:tcBorders>
                    <w:bottom w:val="single" w:color="auto" w:sz="12" w:space="0"/>
                  </w:tcBorders>
                  <w:vAlign w:val="center"/>
                </w:tcPr>
                <w:p w14:paraId="5841C3F6">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both"/>
                    <w:textAlignment w:val="auto"/>
                    <w:rPr>
                      <w:rStyle w:val="91"/>
                      <w:rFonts w:hint="default" w:eastAsia="宋体" w:cs="Times New Roman"/>
                      <w:color w:val="auto"/>
                      <w:szCs w:val="22"/>
                      <w:highlight w:val="none"/>
                    </w:rPr>
                  </w:pPr>
                  <w:r>
                    <w:rPr>
                      <w:rStyle w:val="91"/>
                      <w:rFonts w:hint="default" w:eastAsia="宋体" w:cs="Times New Roman"/>
                      <w:color w:val="auto"/>
                      <w:szCs w:val="22"/>
                      <w:highlight w:val="none"/>
                    </w:rPr>
                    <w:t>禁止在高污染燃料禁燃区内使用、销售高污染燃料，禁止新（改、扩）建高污染燃料燃用设施。除发电厂燃煤锅炉（含自备电厂）外，禁燃区范</w:t>
                  </w:r>
                  <w:r>
                    <w:rPr>
                      <w:rStyle w:val="91"/>
                      <w:rFonts w:hint="eastAsia" w:cs="Times New Roman"/>
                      <w:color w:val="auto"/>
                      <w:szCs w:val="22"/>
                      <w:highlight w:val="none"/>
                    </w:rPr>
                    <w:t>围内</w:t>
                  </w:r>
                  <w:r>
                    <w:rPr>
                      <w:rStyle w:val="91"/>
                      <w:rFonts w:hint="default" w:eastAsia="宋体" w:cs="Times New Roman"/>
                      <w:color w:val="auto"/>
                      <w:szCs w:val="22"/>
                      <w:highlight w:val="none"/>
                    </w:rPr>
                    <w:t>现有燃煤设施全部予以拆除或进行清洁能源改造；发电厂燃煤锅炉（含自备电厂）排放的大气污染物实现超低排放要求。</w:t>
                  </w:r>
                </w:p>
              </w:tc>
              <w:tc>
                <w:tcPr>
                  <w:tcW w:w="1743" w:type="dxa"/>
                  <w:tcBorders>
                    <w:bottom w:val="single" w:color="auto" w:sz="12" w:space="0"/>
                  </w:tcBorders>
                  <w:vAlign w:val="center"/>
                </w:tcPr>
                <w:p w14:paraId="6AF3B241">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both"/>
                    <w:textAlignment w:val="auto"/>
                    <w:rPr>
                      <w:rStyle w:val="91"/>
                      <w:rFonts w:hint="default" w:eastAsia="宋体" w:cs="Times New Roman"/>
                      <w:color w:val="auto"/>
                      <w:szCs w:val="22"/>
                      <w:highlight w:val="none"/>
                      <w:lang w:val="en-US" w:eastAsia="zh-CN"/>
                    </w:rPr>
                  </w:pPr>
                  <w:r>
                    <w:rPr>
                      <w:rStyle w:val="91"/>
                      <w:rFonts w:hint="eastAsia" w:cs="Times New Roman"/>
                      <w:color w:val="auto"/>
                      <w:szCs w:val="22"/>
                      <w:highlight w:val="none"/>
                      <w:lang w:val="en-US" w:eastAsia="zh-CN"/>
                    </w:rPr>
                    <w:t>本项目不使用高污染燃料。</w:t>
                  </w:r>
                </w:p>
              </w:tc>
              <w:tc>
                <w:tcPr>
                  <w:tcW w:w="1061" w:type="dxa"/>
                  <w:tcBorders>
                    <w:bottom w:val="single" w:color="auto" w:sz="12" w:space="0"/>
                  </w:tcBorders>
                  <w:vAlign w:val="center"/>
                </w:tcPr>
                <w:p w14:paraId="2D27251E">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auto"/>
                    <w:rPr>
                      <w:rStyle w:val="91"/>
                      <w:rFonts w:hint="eastAsia" w:eastAsia="宋体" w:cs="Times New Roman"/>
                      <w:color w:val="auto"/>
                      <w:szCs w:val="22"/>
                      <w:highlight w:val="none"/>
                      <w:lang w:val="en-US" w:eastAsia="zh-CN"/>
                    </w:rPr>
                  </w:pPr>
                  <w:r>
                    <w:rPr>
                      <w:rStyle w:val="91"/>
                      <w:rFonts w:hint="eastAsia" w:eastAsia="宋体" w:cs="Times New Roman"/>
                      <w:color w:val="auto"/>
                      <w:szCs w:val="22"/>
                      <w:highlight w:val="none"/>
                      <w:lang w:val="en-US" w:eastAsia="zh-CN"/>
                    </w:rPr>
                    <w:t>符合</w:t>
                  </w:r>
                </w:p>
              </w:tc>
            </w:tr>
          </w:tbl>
          <w:p w14:paraId="7C3AC9A7">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80" w:firstLineChars="200"/>
              <w:jc w:val="both"/>
              <w:textAlignment w:val="auto"/>
              <w:rPr>
                <w:rFonts w:hint="default" w:ascii="Times New Roman" w:hAnsi="Times New Roman" w:eastAsia="宋体" w:cs="Times New Roman"/>
                <w:color w:val="auto"/>
                <w:kern w:val="0"/>
                <w:sz w:val="24"/>
                <w:szCs w:val="24"/>
                <w:highlight w:val="none"/>
                <w:lang w:val="en-US" w:eastAsia="zh-CN"/>
              </w:rPr>
            </w:pPr>
            <w:r>
              <w:rPr>
                <w:rFonts w:hint="default" w:ascii="Times New Roman" w:hAnsi="Times New Roman" w:cs="Times New Roman"/>
                <w:color w:val="auto"/>
                <w:sz w:val="24"/>
                <w:highlight w:val="none"/>
                <w:lang w:val="zh-CN"/>
              </w:rPr>
              <w:t>本项目与</w:t>
            </w:r>
            <w:r>
              <w:rPr>
                <w:rFonts w:hint="eastAsia" w:cs="Times New Roman"/>
                <w:color w:val="auto"/>
                <w:sz w:val="24"/>
                <w:highlight w:val="none"/>
                <w:lang w:val="en-US" w:eastAsia="zh-CN"/>
              </w:rPr>
              <w:t>乐平</w:t>
            </w:r>
            <w:r>
              <w:rPr>
                <w:rFonts w:hint="default" w:ascii="Times New Roman" w:hAnsi="Times New Roman" w:cs="Times New Roman"/>
                <w:color w:val="auto"/>
                <w:sz w:val="24"/>
                <w:highlight w:val="none"/>
                <w:lang w:val="en-US" w:eastAsia="zh-CN"/>
              </w:rPr>
              <w:t>市环境管控单元准入清单</w:t>
            </w:r>
            <w:r>
              <w:rPr>
                <w:rFonts w:hint="default" w:ascii="Times New Roman" w:hAnsi="Times New Roman" w:cs="Times New Roman"/>
                <w:color w:val="auto"/>
                <w:sz w:val="24"/>
                <w:highlight w:val="none"/>
                <w:lang w:val="zh-CN"/>
              </w:rPr>
              <w:t>相符性分析详见表</w:t>
            </w:r>
            <w:r>
              <w:rPr>
                <w:rFonts w:hint="default" w:ascii="Times New Roman" w:hAnsi="Times New Roman" w:cs="Times New Roman"/>
                <w:color w:val="auto"/>
                <w:sz w:val="24"/>
                <w:highlight w:val="none"/>
              </w:rPr>
              <w:t>1-</w:t>
            </w:r>
            <w:r>
              <w:rPr>
                <w:rFonts w:hint="eastAsia" w:cs="Times New Roman"/>
                <w:color w:val="auto"/>
                <w:sz w:val="24"/>
                <w:highlight w:val="none"/>
                <w:lang w:val="en-US" w:eastAsia="zh-CN"/>
              </w:rPr>
              <w:t>5</w:t>
            </w:r>
            <w:r>
              <w:rPr>
                <w:rFonts w:hint="default" w:ascii="Times New Roman" w:hAnsi="Times New Roman" w:cs="Times New Roman"/>
                <w:color w:val="auto"/>
                <w:sz w:val="24"/>
                <w:highlight w:val="none"/>
              </w:rPr>
              <w:t>。</w:t>
            </w:r>
          </w:p>
          <w:p w14:paraId="568680F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
                <w:color w:val="auto"/>
                <w:kern w:val="0"/>
                <w:highlight w:val="none"/>
              </w:rPr>
            </w:pPr>
            <w:r>
              <w:rPr>
                <w:rFonts w:hint="default" w:ascii="Times New Roman" w:hAnsi="Times New Roman" w:eastAsia="宋体" w:cs="Times New Roman"/>
                <w:b/>
                <w:color w:val="auto"/>
                <w:kern w:val="0"/>
                <w:highlight w:val="none"/>
              </w:rPr>
              <w:t>表</w:t>
            </w:r>
            <w:r>
              <w:rPr>
                <w:rFonts w:hint="default" w:ascii="Times New Roman" w:hAnsi="Times New Roman" w:eastAsia="宋体" w:cs="Times New Roman"/>
                <w:b/>
                <w:color w:val="auto"/>
                <w:kern w:val="0"/>
                <w:highlight w:val="none"/>
                <w:lang w:val="en-US" w:eastAsia="zh-CN"/>
              </w:rPr>
              <w:t>1-</w:t>
            </w:r>
            <w:r>
              <w:rPr>
                <w:rFonts w:hint="eastAsia" w:cs="Times New Roman"/>
                <w:b/>
                <w:color w:val="auto"/>
                <w:kern w:val="0"/>
                <w:highlight w:val="none"/>
                <w:lang w:val="en-US" w:eastAsia="zh-CN"/>
              </w:rPr>
              <w:t>5</w:t>
            </w:r>
            <w:r>
              <w:rPr>
                <w:rFonts w:hint="default" w:ascii="Times New Roman" w:hAnsi="Times New Roman" w:eastAsia="宋体" w:cs="Times New Roman"/>
                <w:b/>
                <w:color w:val="auto"/>
                <w:kern w:val="0"/>
                <w:highlight w:val="none"/>
              </w:rPr>
              <w:t xml:space="preserve"> </w:t>
            </w:r>
            <w:r>
              <w:rPr>
                <w:rFonts w:hint="default" w:ascii="Times New Roman" w:hAnsi="Times New Roman" w:eastAsia="宋体" w:cs="Times New Roman"/>
                <w:b/>
                <w:color w:val="auto"/>
                <w:kern w:val="0"/>
                <w:highlight w:val="none"/>
                <w:lang w:val="en-US" w:eastAsia="zh-CN"/>
              </w:rPr>
              <w:t xml:space="preserve"> </w:t>
            </w:r>
            <w:r>
              <w:rPr>
                <w:rFonts w:hint="default" w:ascii="Times New Roman" w:hAnsi="Times New Roman" w:eastAsia="宋体" w:cs="Times New Roman"/>
                <w:b/>
                <w:color w:val="auto"/>
                <w:kern w:val="0"/>
                <w:highlight w:val="none"/>
              </w:rPr>
              <w:t>与</w:t>
            </w:r>
            <w:r>
              <w:rPr>
                <w:rFonts w:hint="default" w:ascii="Times New Roman" w:hAnsi="Times New Roman" w:eastAsia="宋体" w:cs="Times New Roman"/>
                <w:b/>
                <w:color w:val="auto"/>
                <w:kern w:val="0"/>
                <w:highlight w:val="none"/>
                <w:lang w:val="en-US" w:eastAsia="zh-CN"/>
              </w:rPr>
              <w:t>乐平</w:t>
            </w:r>
            <w:r>
              <w:rPr>
                <w:rFonts w:hint="default" w:ascii="Times New Roman" w:hAnsi="Times New Roman" w:eastAsia="宋体" w:cs="Times New Roman"/>
                <w:b/>
                <w:color w:val="auto"/>
                <w:kern w:val="0"/>
                <w:highlight w:val="none"/>
              </w:rPr>
              <w:t>市环境管控单元准入清单</w:t>
            </w:r>
            <w:r>
              <w:rPr>
                <w:rFonts w:hint="default" w:ascii="Times New Roman" w:hAnsi="Times New Roman" w:eastAsia="宋体" w:cs="Times New Roman"/>
                <w:b/>
                <w:color w:val="auto"/>
                <w:kern w:val="21"/>
                <w:szCs w:val="21"/>
                <w:highlight w:val="none"/>
                <w:lang w:val="en-US" w:eastAsia="zh-CN"/>
              </w:rPr>
              <w:t>相符性分析表</w:t>
            </w:r>
          </w:p>
          <w:tbl>
            <w:tblPr>
              <w:tblStyle w:val="26"/>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57" w:type="dxa"/>
                <w:bottom w:w="0" w:type="dxa"/>
                <w:right w:w="57" w:type="dxa"/>
              </w:tblCellMar>
            </w:tblPr>
            <w:tblGrid>
              <w:gridCol w:w="680"/>
              <w:gridCol w:w="628"/>
              <w:gridCol w:w="245"/>
              <w:gridCol w:w="873"/>
              <w:gridCol w:w="2384"/>
              <w:gridCol w:w="1726"/>
              <w:gridCol w:w="922"/>
            </w:tblGrid>
            <w:tr w14:paraId="7D79EA4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456" w:type="pct"/>
                  <w:tcBorders>
                    <w:tl2br w:val="nil"/>
                    <w:tr2bl w:val="nil"/>
                  </w:tcBorders>
                  <w:noWrap w:val="0"/>
                  <w:vAlign w:val="center"/>
                </w:tcPr>
                <w:p w14:paraId="4BD6B5C1">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维度</w:t>
                  </w:r>
                </w:p>
              </w:tc>
              <w:tc>
                <w:tcPr>
                  <w:tcW w:w="1170" w:type="pct"/>
                  <w:gridSpan w:val="3"/>
                  <w:tcBorders>
                    <w:tl2br w:val="nil"/>
                    <w:tr2bl w:val="nil"/>
                  </w:tcBorders>
                  <w:noWrap w:val="0"/>
                  <w:vAlign w:val="center"/>
                </w:tcPr>
                <w:p w14:paraId="067F6F3D">
                  <w:pPr>
                    <w:pStyle w:val="8"/>
                    <w:keepNext w:val="0"/>
                    <w:keepLines w:val="0"/>
                    <w:pageBreakBefore w:val="0"/>
                    <w:widowControl w:val="0"/>
                    <w:suppressLineNumbers w:val="0"/>
                    <w:kinsoku/>
                    <w:wordWrap/>
                    <w:overflowPunct/>
                    <w:topLinePunct w:val="0"/>
                    <w:bidi w:val="0"/>
                    <w:adjustRightInd w:val="0"/>
                    <w:snapToGrid/>
                    <w:spacing w:before="0" w:beforeAutospacing="0" w:after="0" w:afterAutospacing="0" w:line="240" w:lineRule="auto"/>
                    <w:ind w:left="0" w:right="0" w:firstLine="0" w:firstLineChars="0"/>
                    <w:jc w:val="center"/>
                    <w:rPr>
                      <w:rFonts w:hint="default" w:ascii="Times New Roman" w:hAnsi="Times New Roman" w:eastAsia="宋体" w:cs="Times New Roman"/>
                      <w:b/>
                      <w:bCs/>
                      <w:color w:val="auto"/>
                      <w:kern w:val="0"/>
                      <w:sz w:val="21"/>
                      <w:szCs w:val="21"/>
                      <w:highlight w:val="none"/>
                      <w:lang w:bidi="ar"/>
                    </w:rPr>
                  </w:pPr>
                  <w:r>
                    <w:rPr>
                      <w:rFonts w:hint="default" w:ascii="Times New Roman" w:hAnsi="Times New Roman" w:eastAsia="宋体" w:cs="Times New Roman"/>
                      <w:b/>
                      <w:bCs/>
                      <w:color w:val="auto"/>
                      <w:sz w:val="21"/>
                      <w:szCs w:val="21"/>
                      <w:highlight w:val="none"/>
                      <w:lang w:val="en-US" w:eastAsia="zh-CN"/>
                    </w:rPr>
                    <w:t>清单编制要求</w:t>
                  </w:r>
                </w:p>
              </w:tc>
              <w:tc>
                <w:tcPr>
                  <w:tcW w:w="1598" w:type="pct"/>
                  <w:tcBorders>
                    <w:tl2br w:val="nil"/>
                    <w:tr2bl w:val="nil"/>
                  </w:tcBorders>
                  <w:noWrap w:val="0"/>
                  <w:vAlign w:val="center"/>
                </w:tcPr>
                <w:p w14:paraId="63B66F5D">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kern w:val="0"/>
                      <w:sz w:val="21"/>
                      <w:szCs w:val="21"/>
                      <w:highlight w:val="none"/>
                      <w:lang w:bidi="ar"/>
                    </w:rPr>
                    <w:t>管控措施</w:t>
                  </w:r>
                </w:p>
              </w:tc>
              <w:tc>
                <w:tcPr>
                  <w:tcW w:w="1157" w:type="pct"/>
                  <w:tcBorders>
                    <w:tl2br w:val="nil"/>
                    <w:tr2bl w:val="nil"/>
                  </w:tcBorders>
                  <w:noWrap w:val="0"/>
                  <w:vAlign w:val="center"/>
                </w:tcPr>
                <w:p w14:paraId="63EDCD54">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本项目</w:t>
                  </w:r>
                </w:p>
              </w:tc>
              <w:tc>
                <w:tcPr>
                  <w:tcW w:w="617" w:type="pct"/>
                  <w:tcBorders>
                    <w:tl2br w:val="nil"/>
                    <w:tr2bl w:val="nil"/>
                  </w:tcBorders>
                  <w:noWrap w:val="0"/>
                  <w:vAlign w:val="center"/>
                </w:tcPr>
                <w:p w14:paraId="497D61B9">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color w:val="auto"/>
                      <w:sz w:val="21"/>
                      <w:szCs w:val="21"/>
                      <w:highlight w:val="none"/>
                      <w:lang w:val="en-US" w:eastAsia="zh-CN"/>
                    </w:rPr>
                  </w:pPr>
                  <w:r>
                    <w:rPr>
                      <w:rFonts w:hint="default" w:ascii="Times New Roman" w:hAnsi="Times New Roman" w:eastAsia="宋体" w:cs="Times New Roman"/>
                      <w:b/>
                      <w:bCs/>
                      <w:color w:val="auto"/>
                      <w:sz w:val="21"/>
                      <w:szCs w:val="21"/>
                      <w:highlight w:val="none"/>
                      <w:lang w:val="en-US" w:eastAsia="zh-CN"/>
                    </w:rPr>
                    <w:t>相符性</w:t>
                  </w:r>
                </w:p>
              </w:tc>
            </w:tr>
            <w:tr w14:paraId="21B7A06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1626" w:type="pct"/>
                  <w:gridSpan w:val="4"/>
                  <w:tcBorders>
                    <w:tl2br w:val="nil"/>
                    <w:tr2bl w:val="nil"/>
                  </w:tcBorders>
                  <w:noWrap w:val="0"/>
                  <w:vAlign w:val="center"/>
                </w:tcPr>
                <w:p w14:paraId="52F1679F">
                  <w:pPr>
                    <w:pStyle w:val="90"/>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Style w:val="91"/>
                      <w:rFonts w:hint="default" w:ascii="Times New Roman" w:hAnsi="Times New Roman" w:eastAsia="宋体" w:cs="Times New Roman"/>
                      <w:color w:val="auto"/>
                      <w:sz w:val="21"/>
                      <w:szCs w:val="21"/>
                      <w:highlight w:val="none"/>
                    </w:rPr>
                    <w:t>环境管控单元编码</w:t>
                  </w:r>
                </w:p>
              </w:tc>
              <w:tc>
                <w:tcPr>
                  <w:tcW w:w="3373" w:type="pct"/>
                  <w:gridSpan w:val="3"/>
                  <w:tcBorders>
                    <w:tl2br w:val="nil"/>
                    <w:tr2bl w:val="nil"/>
                  </w:tcBorders>
                  <w:noWrap w:val="0"/>
                  <w:vAlign w:val="center"/>
                </w:tcPr>
                <w:p w14:paraId="677481B0">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Style w:val="91"/>
                      <w:rFonts w:hint="default" w:ascii="Times New Roman" w:hAnsi="Times New Roman" w:eastAsia="宋体" w:cs="Times New Roman"/>
                      <w:color w:val="auto"/>
                      <w:sz w:val="21"/>
                      <w:szCs w:val="21"/>
                      <w:highlight w:val="none"/>
                    </w:rPr>
                    <w:t>ZH36028120001</w:t>
                  </w:r>
                </w:p>
              </w:tc>
            </w:tr>
            <w:tr w14:paraId="11A5F4A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1626" w:type="pct"/>
                  <w:gridSpan w:val="4"/>
                  <w:tcBorders>
                    <w:tl2br w:val="nil"/>
                    <w:tr2bl w:val="nil"/>
                  </w:tcBorders>
                  <w:noWrap w:val="0"/>
                  <w:vAlign w:val="center"/>
                </w:tcPr>
                <w:p w14:paraId="5EB728C1">
                  <w:pPr>
                    <w:pStyle w:val="90"/>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Style w:val="91"/>
                      <w:rFonts w:hint="default" w:ascii="Times New Roman" w:hAnsi="Times New Roman" w:eastAsia="宋体" w:cs="Times New Roman"/>
                      <w:color w:val="auto"/>
                      <w:sz w:val="21"/>
                      <w:szCs w:val="21"/>
                      <w:highlight w:val="none"/>
                    </w:rPr>
                    <w:t>环境管控单元名称</w:t>
                  </w:r>
                </w:p>
              </w:tc>
              <w:tc>
                <w:tcPr>
                  <w:tcW w:w="3373" w:type="pct"/>
                  <w:gridSpan w:val="3"/>
                  <w:tcBorders>
                    <w:tl2br w:val="nil"/>
                    <w:tr2bl w:val="nil"/>
                  </w:tcBorders>
                  <w:noWrap w:val="0"/>
                  <w:vAlign w:val="center"/>
                </w:tcPr>
                <w:p w14:paraId="5BD6E1D6">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Style w:val="91"/>
                      <w:rFonts w:hint="default" w:ascii="Times New Roman" w:hAnsi="Times New Roman" w:eastAsia="宋体" w:cs="Times New Roman"/>
                      <w:color w:val="auto"/>
                      <w:sz w:val="21"/>
                      <w:szCs w:val="21"/>
                      <w:highlight w:val="none"/>
                    </w:rPr>
                    <w:t>江西省景德镇市乐平市重点管控单元1</w:t>
                  </w:r>
                </w:p>
              </w:tc>
            </w:tr>
            <w:tr w14:paraId="709009A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1626" w:type="pct"/>
                  <w:gridSpan w:val="4"/>
                  <w:tcBorders>
                    <w:tl2br w:val="nil"/>
                    <w:tr2bl w:val="nil"/>
                  </w:tcBorders>
                  <w:noWrap w:val="0"/>
                  <w:vAlign w:val="center"/>
                </w:tcPr>
                <w:p w14:paraId="102900DB">
                  <w:pPr>
                    <w:pStyle w:val="90"/>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Style w:val="91"/>
                      <w:rFonts w:hint="default" w:ascii="Times New Roman" w:hAnsi="Times New Roman" w:eastAsia="宋体" w:cs="Times New Roman"/>
                      <w:color w:val="auto"/>
                      <w:sz w:val="21"/>
                      <w:szCs w:val="21"/>
                      <w:highlight w:val="none"/>
                    </w:rPr>
                    <w:t>范围</w:t>
                  </w:r>
                </w:p>
              </w:tc>
              <w:tc>
                <w:tcPr>
                  <w:tcW w:w="3373" w:type="pct"/>
                  <w:gridSpan w:val="3"/>
                  <w:tcBorders>
                    <w:tl2br w:val="nil"/>
                    <w:tr2bl w:val="nil"/>
                  </w:tcBorders>
                  <w:noWrap w:val="0"/>
                  <w:vAlign w:val="center"/>
                </w:tcPr>
                <w:p w14:paraId="112E1DE4">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Style w:val="91"/>
                      <w:rFonts w:hint="default" w:ascii="Times New Roman" w:hAnsi="Times New Roman" w:eastAsia="宋体" w:cs="Times New Roman"/>
                      <w:color w:val="auto"/>
                      <w:sz w:val="21"/>
                      <w:szCs w:val="21"/>
                      <w:highlight w:val="none"/>
                    </w:rPr>
                    <w:t>乐平工业园金山工业园区、乐平工业园鸣山工业园区、乐平工业园塔前工业小区区、乐平工业园塔山工业园区</w:t>
                  </w:r>
                </w:p>
              </w:tc>
            </w:tr>
            <w:tr w14:paraId="5FEE865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1626" w:type="pct"/>
                  <w:gridSpan w:val="4"/>
                  <w:tcBorders>
                    <w:tl2br w:val="nil"/>
                    <w:tr2bl w:val="nil"/>
                  </w:tcBorders>
                  <w:noWrap w:val="0"/>
                  <w:vAlign w:val="center"/>
                </w:tcPr>
                <w:p w14:paraId="73F14778">
                  <w:pPr>
                    <w:pStyle w:val="90"/>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Style w:val="91"/>
                      <w:rFonts w:hint="default" w:ascii="Times New Roman" w:hAnsi="Times New Roman" w:eastAsia="宋体" w:cs="Times New Roman"/>
                      <w:color w:val="auto"/>
                      <w:sz w:val="21"/>
                      <w:szCs w:val="21"/>
                      <w:highlight w:val="none"/>
                    </w:rPr>
                    <w:t>管控单元分类</w:t>
                  </w:r>
                </w:p>
              </w:tc>
              <w:tc>
                <w:tcPr>
                  <w:tcW w:w="3373" w:type="pct"/>
                  <w:gridSpan w:val="3"/>
                  <w:tcBorders>
                    <w:tl2br w:val="nil"/>
                    <w:tr2bl w:val="nil"/>
                  </w:tcBorders>
                  <w:noWrap w:val="0"/>
                  <w:vAlign w:val="center"/>
                </w:tcPr>
                <w:p w14:paraId="3EFC4E24">
                  <w:pPr>
                    <w:pStyle w:val="90"/>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Style w:val="91"/>
                      <w:rFonts w:hint="default" w:ascii="Times New Roman" w:hAnsi="Times New Roman" w:eastAsia="宋体" w:cs="Times New Roman"/>
                      <w:color w:val="auto"/>
                      <w:sz w:val="21"/>
                      <w:szCs w:val="21"/>
                      <w:highlight w:val="none"/>
                    </w:rPr>
                    <w:t>重点管控单元</w:t>
                  </w:r>
                </w:p>
              </w:tc>
            </w:tr>
            <w:tr w14:paraId="7830478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456" w:type="pct"/>
                  <w:vMerge w:val="restart"/>
                  <w:tcBorders>
                    <w:tl2br w:val="nil"/>
                    <w:tr2bl w:val="nil"/>
                  </w:tcBorders>
                  <w:noWrap w:val="0"/>
                  <w:vAlign w:val="center"/>
                </w:tcPr>
                <w:p w14:paraId="6D1E3EAC">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空间布局约束</w:t>
                  </w:r>
                </w:p>
              </w:tc>
              <w:tc>
                <w:tcPr>
                  <w:tcW w:w="1170" w:type="pct"/>
                  <w:gridSpan w:val="3"/>
                  <w:tcBorders>
                    <w:tl2br w:val="nil"/>
                    <w:tr2bl w:val="nil"/>
                  </w:tcBorders>
                  <w:noWrap w:val="0"/>
                  <w:vAlign w:val="center"/>
                </w:tcPr>
                <w:p w14:paraId="0AA42AE6">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禁止开发建设活动的要求</w:t>
                  </w:r>
                </w:p>
              </w:tc>
              <w:tc>
                <w:tcPr>
                  <w:tcW w:w="1598" w:type="pct"/>
                  <w:tcBorders>
                    <w:tl2br w:val="nil"/>
                    <w:tr2bl w:val="nil"/>
                  </w:tcBorders>
                  <w:noWrap w:val="0"/>
                  <w:vAlign w:val="center"/>
                </w:tcPr>
                <w:p w14:paraId="03D84CD7">
                  <w:pPr>
                    <w:keepNext w:val="0"/>
                    <w:keepLines w:val="0"/>
                    <w:widowControl/>
                    <w:suppressLineNumbers w:val="0"/>
                    <w:spacing w:before="0" w:beforeAutospacing="0" w:after="0" w:afterAutospacing="0"/>
                    <w:ind w:left="0" w:right="0"/>
                    <w:jc w:val="both"/>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禁止新建落后产能或产能严重过剩行业的建设项目。</w:t>
                  </w:r>
                </w:p>
              </w:tc>
              <w:tc>
                <w:tcPr>
                  <w:tcW w:w="1157" w:type="pct"/>
                  <w:tcBorders>
                    <w:tl2br w:val="nil"/>
                    <w:tr2bl w:val="nil"/>
                  </w:tcBorders>
                  <w:noWrap w:val="0"/>
                  <w:vAlign w:val="center"/>
                </w:tcPr>
                <w:p w14:paraId="7A3667BF">
                  <w:pPr>
                    <w:pStyle w:val="90"/>
                    <w:keepNext w:val="0"/>
                    <w:keepLines w:val="0"/>
                    <w:suppressLineNumbers w:val="0"/>
                    <w:spacing w:before="0" w:beforeAutospacing="0" w:after="0" w:afterAutospacing="0"/>
                    <w:ind w:left="0" w:right="0"/>
                    <w:jc w:val="left"/>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本项目不属于落后产能或产能严重过剩行业的建设项目</w:t>
                  </w:r>
                </w:p>
              </w:tc>
              <w:tc>
                <w:tcPr>
                  <w:tcW w:w="617" w:type="pct"/>
                  <w:tcBorders>
                    <w:tl2br w:val="nil"/>
                    <w:tr2bl w:val="nil"/>
                  </w:tcBorders>
                  <w:noWrap w:val="0"/>
                  <w:vAlign w:val="center"/>
                </w:tcPr>
                <w:p w14:paraId="46CC0295">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符合</w:t>
                  </w:r>
                </w:p>
              </w:tc>
            </w:tr>
            <w:tr w14:paraId="76AEF28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456" w:type="pct"/>
                  <w:vMerge w:val="continue"/>
                  <w:tcBorders>
                    <w:tl2br w:val="nil"/>
                    <w:tr2bl w:val="nil"/>
                  </w:tcBorders>
                  <w:noWrap w:val="0"/>
                  <w:vAlign w:val="center"/>
                </w:tcPr>
                <w:p w14:paraId="45585A4C">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p>
              </w:tc>
              <w:tc>
                <w:tcPr>
                  <w:tcW w:w="1170" w:type="pct"/>
                  <w:gridSpan w:val="3"/>
                  <w:tcBorders>
                    <w:tl2br w:val="nil"/>
                    <w:tr2bl w:val="nil"/>
                  </w:tcBorders>
                  <w:noWrap w:val="0"/>
                  <w:vAlign w:val="center"/>
                </w:tcPr>
                <w:p w14:paraId="48D7D960">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限制开发建设活动的要求</w:t>
                  </w:r>
                </w:p>
              </w:tc>
              <w:tc>
                <w:tcPr>
                  <w:tcW w:w="1598" w:type="pct"/>
                  <w:tcBorders>
                    <w:tl2br w:val="nil"/>
                    <w:tr2bl w:val="nil"/>
                  </w:tcBorders>
                  <w:noWrap w:val="0"/>
                  <w:vAlign w:val="center"/>
                </w:tcPr>
                <w:p w14:paraId="7BB185F5">
                  <w:pPr>
                    <w:keepNext w:val="0"/>
                    <w:keepLines w:val="0"/>
                    <w:widowControl/>
                    <w:suppressLineNumbers w:val="0"/>
                    <w:spacing w:before="0" w:beforeAutospacing="0" w:after="0" w:afterAutospacing="0"/>
                    <w:ind w:left="0" w:right="0"/>
                    <w:jc w:val="both"/>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严格限制落后产能或产能严重过剩行业项目改扩建。</w:t>
                  </w:r>
                </w:p>
              </w:tc>
              <w:tc>
                <w:tcPr>
                  <w:tcW w:w="1157" w:type="pct"/>
                  <w:tcBorders>
                    <w:tl2br w:val="nil"/>
                    <w:tr2bl w:val="nil"/>
                  </w:tcBorders>
                  <w:noWrap w:val="0"/>
                  <w:vAlign w:val="center"/>
                </w:tcPr>
                <w:p w14:paraId="48C27E7D">
                  <w:pPr>
                    <w:pStyle w:val="10"/>
                    <w:keepNext w:val="0"/>
                    <w:keepLines w:val="0"/>
                    <w:suppressLineNumbers w:val="0"/>
                    <w:spacing w:before="0" w:beforeAutospacing="0" w:after="0" w:afterAutospacing="0"/>
                    <w:ind w:left="0" w:right="0"/>
                    <w:jc w:val="left"/>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本项目不属于落后产能或产能严重过剩行业的建设项目</w:t>
                  </w:r>
                </w:p>
              </w:tc>
              <w:tc>
                <w:tcPr>
                  <w:tcW w:w="617" w:type="pct"/>
                  <w:tcBorders>
                    <w:tl2br w:val="nil"/>
                    <w:tr2bl w:val="nil"/>
                  </w:tcBorders>
                  <w:noWrap w:val="0"/>
                  <w:vAlign w:val="center"/>
                </w:tcPr>
                <w:p w14:paraId="706AC129">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符合</w:t>
                  </w:r>
                </w:p>
              </w:tc>
            </w:tr>
            <w:tr w14:paraId="7A71B19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456" w:type="pct"/>
                  <w:vMerge w:val="continue"/>
                  <w:tcBorders>
                    <w:tl2br w:val="nil"/>
                    <w:tr2bl w:val="nil"/>
                  </w:tcBorders>
                  <w:noWrap w:val="0"/>
                  <w:vAlign w:val="center"/>
                </w:tcPr>
                <w:p w14:paraId="028A8399">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p>
              </w:tc>
              <w:tc>
                <w:tcPr>
                  <w:tcW w:w="1170" w:type="pct"/>
                  <w:gridSpan w:val="3"/>
                  <w:tcBorders>
                    <w:tl2br w:val="nil"/>
                    <w:tr2bl w:val="nil"/>
                  </w:tcBorders>
                  <w:noWrap w:val="0"/>
                  <w:vAlign w:val="center"/>
                </w:tcPr>
                <w:p w14:paraId="5599CD28">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允许开发建设活动的要求</w:t>
                  </w:r>
                </w:p>
              </w:tc>
              <w:tc>
                <w:tcPr>
                  <w:tcW w:w="1598" w:type="pct"/>
                  <w:tcBorders>
                    <w:tl2br w:val="nil"/>
                    <w:tr2bl w:val="nil"/>
                  </w:tcBorders>
                  <w:noWrap w:val="0"/>
                  <w:vAlign w:val="center"/>
                </w:tcPr>
                <w:p w14:paraId="7E454374">
                  <w:pPr>
                    <w:keepNext w:val="0"/>
                    <w:keepLines w:val="0"/>
                    <w:widowControl/>
                    <w:suppressLineNumbers w:val="0"/>
                    <w:spacing w:before="0" w:beforeAutospacing="0" w:after="0" w:afterAutospacing="0"/>
                    <w:ind w:left="0" w:right="0"/>
                    <w:jc w:val="both"/>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符合园区国土空间规划、产业布局、主导产业及配套产业类型的项目。</w:t>
                  </w:r>
                </w:p>
              </w:tc>
              <w:tc>
                <w:tcPr>
                  <w:tcW w:w="1157" w:type="pct"/>
                  <w:tcBorders>
                    <w:tl2br w:val="nil"/>
                    <w:tr2bl w:val="nil"/>
                  </w:tcBorders>
                  <w:noWrap w:val="0"/>
                  <w:vAlign w:val="center"/>
                </w:tcPr>
                <w:p w14:paraId="0BB1571B">
                  <w:pPr>
                    <w:pStyle w:val="90"/>
                    <w:keepNext w:val="0"/>
                    <w:keepLines w:val="0"/>
                    <w:suppressLineNumbers w:val="0"/>
                    <w:spacing w:before="0" w:beforeAutospacing="0" w:after="0" w:afterAutospacing="0"/>
                    <w:ind w:left="0" w:right="0"/>
                    <w:jc w:val="left"/>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本项目主要生产光学玻璃配件，不属于园区限制和禁止产业</w:t>
                  </w:r>
                </w:p>
              </w:tc>
              <w:tc>
                <w:tcPr>
                  <w:tcW w:w="617" w:type="pct"/>
                  <w:tcBorders>
                    <w:tl2br w:val="nil"/>
                    <w:tr2bl w:val="nil"/>
                  </w:tcBorders>
                  <w:noWrap w:val="0"/>
                  <w:vAlign w:val="center"/>
                </w:tcPr>
                <w:p w14:paraId="3579C692">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符合</w:t>
                  </w:r>
                </w:p>
              </w:tc>
            </w:tr>
            <w:tr w14:paraId="410004F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456" w:type="pct"/>
                  <w:vMerge w:val="continue"/>
                  <w:tcBorders>
                    <w:tl2br w:val="nil"/>
                    <w:tr2bl w:val="nil"/>
                  </w:tcBorders>
                  <w:noWrap w:val="0"/>
                  <w:vAlign w:val="center"/>
                </w:tcPr>
                <w:p w14:paraId="5E132A8A">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p>
              </w:tc>
              <w:tc>
                <w:tcPr>
                  <w:tcW w:w="1170" w:type="pct"/>
                  <w:gridSpan w:val="3"/>
                  <w:tcBorders>
                    <w:tl2br w:val="nil"/>
                    <w:tr2bl w:val="nil"/>
                  </w:tcBorders>
                  <w:noWrap w:val="0"/>
                  <w:vAlign w:val="center"/>
                </w:tcPr>
                <w:p w14:paraId="2ED208D7">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不符合空间布局要求活动的退出要求</w:t>
                  </w:r>
                </w:p>
              </w:tc>
              <w:tc>
                <w:tcPr>
                  <w:tcW w:w="1598" w:type="pct"/>
                  <w:tcBorders>
                    <w:tl2br w:val="nil"/>
                    <w:tr2bl w:val="nil"/>
                  </w:tcBorders>
                  <w:noWrap w:val="0"/>
                  <w:vAlign w:val="center"/>
                </w:tcPr>
                <w:p w14:paraId="59C82CBD">
                  <w:pPr>
                    <w:keepNext w:val="0"/>
                    <w:keepLines w:val="0"/>
                    <w:widowControl/>
                    <w:suppressLineNumbers w:val="0"/>
                    <w:spacing w:before="0" w:beforeAutospacing="0" w:after="0" w:afterAutospacing="0"/>
                    <w:ind w:left="0" w:right="0"/>
                    <w:jc w:val="both"/>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现有不符合园区国土空间规划、产业布局要求的项目应限期退出或关停。</w:t>
                  </w:r>
                </w:p>
              </w:tc>
              <w:tc>
                <w:tcPr>
                  <w:tcW w:w="1157" w:type="pct"/>
                  <w:tcBorders>
                    <w:tl2br w:val="nil"/>
                    <w:tr2bl w:val="nil"/>
                  </w:tcBorders>
                  <w:noWrap w:val="0"/>
                  <w:vAlign w:val="center"/>
                </w:tcPr>
                <w:p w14:paraId="0793592A">
                  <w:pPr>
                    <w:pStyle w:val="90"/>
                    <w:keepNext w:val="0"/>
                    <w:keepLines w:val="0"/>
                    <w:suppressLineNumbers w:val="0"/>
                    <w:spacing w:before="0" w:beforeAutospacing="0" w:after="0" w:afterAutospacing="0"/>
                    <w:ind w:left="0" w:right="0"/>
                    <w:jc w:val="left"/>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本项目不属于不符合园区国土空间规划、产业布局要求的项目</w:t>
                  </w:r>
                </w:p>
              </w:tc>
              <w:tc>
                <w:tcPr>
                  <w:tcW w:w="617" w:type="pct"/>
                  <w:tcBorders>
                    <w:tl2br w:val="nil"/>
                    <w:tr2bl w:val="nil"/>
                  </w:tcBorders>
                  <w:noWrap w:val="0"/>
                  <w:vAlign w:val="center"/>
                </w:tcPr>
                <w:p w14:paraId="62B271F8">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符合</w:t>
                  </w:r>
                </w:p>
              </w:tc>
            </w:tr>
            <w:tr w14:paraId="6F3C759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456" w:type="pct"/>
                  <w:vMerge w:val="continue"/>
                  <w:tcBorders>
                    <w:tl2br w:val="nil"/>
                    <w:tr2bl w:val="nil"/>
                  </w:tcBorders>
                  <w:noWrap w:val="0"/>
                  <w:vAlign w:val="center"/>
                </w:tcPr>
                <w:p w14:paraId="4B564CBD">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p>
              </w:tc>
              <w:tc>
                <w:tcPr>
                  <w:tcW w:w="1170" w:type="pct"/>
                  <w:gridSpan w:val="3"/>
                  <w:tcBorders>
                    <w:tl2br w:val="nil"/>
                    <w:tr2bl w:val="nil"/>
                  </w:tcBorders>
                  <w:noWrap w:val="0"/>
                  <w:vAlign w:val="center"/>
                </w:tcPr>
                <w:p w14:paraId="46F0C311">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其他空间布局约束要求</w:t>
                  </w:r>
                </w:p>
              </w:tc>
              <w:tc>
                <w:tcPr>
                  <w:tcW w:w="1598" w:type="pct"/>
                  <w:tcBorders>
                    <w:tl2br w:val="nil"/>
                    <w:tr2bl w:val="nil"/>
                  </w:tcBorders>
                  <w:noWrap w:val="0"/>
                  <w:vAlign w:val="center"/>
                </w:tcPr>
                <w:p w14:paraId="1857EB74">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w:t>
                  </w:r>
                </w:p>
              </w:tc>
              <w:tc>
                <w:tcPr>
                  <w:tcW w:w="1157" w:type="pct"/>
                  <w:tcBorders>
                    <w:tl2br w:val="nil"/>
                    <w:tr2bl w:val="nil"/>
                  </w:tcBorders>
                  <w:noWrap w:val="0"/>
                  <w:vAlign w:val="center"/>
                </w:tcPr>
                <w:p w14:paraId="0D4B4827">
                  <w:pPr>
                    <w:pStyle w:val="90"/>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w:t>
                  </w:r>
                </w:p>
              </w:tc>
              <w:tc>
                <w:tcPr>
                  <w:tcW w:w="617" w:type="pct"/>
                  <w:tcBorders>
                    <w:tl2br w:val="nil"/>
                    <w:tr2bl w:val="nil"/>
                  </w:tcBorders>
                  <w:noWrap w:val="0"/>
                  <w:vAlign w:val="center"/>
                </w:tcPr>
                <w:p w14:paraId="3E50F997">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w:t>
                  </w:r>
                </w:p>
              </w:tc>
            </w:tr>
            <w:tr w14:paraId="2A83FF3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456" w:type="pct"/>
                  <w:vMerge w:val="restart"/>
                  <w:tcBorders>
                    <w:tl2br w:val="nil"/>
                    <w:tr2bl w:val="nil"/>
                  </w:tcBorders>
                  <w:noWrap w:val="0"/>
                  <w:vAlign w:val="center"/>
                </w:tcPr>
                <w:p w14:paraId="29FE195B">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污染物排放管控</w:t>
                  </w:r>
                </w:p>
              </w:tc>
              <w:tc>
                <w:tcPr>
                  <w:tcW w:w="1170" w:type="pct"/>
                  <w:gridSpan w:val="3"/>
                  <w:tcBorders>
                    <w:tl2br w:val="nil"/>
                    <w:tr2bl w:val="nil"/>
                  </w:tcBorders>
                  <w:noWrap w:val="0"/>
                  <w:vAlign w:val="center"/>
                </w:tcPr>
                <w:p w14:paraId="467DC1D0">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现有源提标升级改造</w:t>
                  </w:r>
                </w:p>
              </w:tc>
              <w:tc>
                <w:tcPr>
                  <w:tcW w:w="1598" w:type="pct"/>
                  <w:tcBorders>
                    <w:tl2br w:val="nil"/>
                    <w:tr2bl w:val="nil"/>
                  </w:tcBorders>
                  <w:noWrap w:val="0"/>
                  <w:vAlign w:val="center"/>
                </w:tcPr>
                <w:p w14:paraId="509C6929">
                  <w:pPr>
                    <w:keepNext w:val="0"/>
                    <w:keepLines w:val="0"/>
                    <w:suppressLineNumbers w:val="0"/>
                    <w:spacing w:before="0" w:beforeAutospacing="0" w:after="0" w:afterAutospacing="0"/>
                    <w:ind w:left="0" w:right="0"/>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现有未达标排放企业应限期提标改造，达到相应的国家及地方污染物排放标准和总量控制要求。</w:t>
                  </w:r>
                </w:p>
              </w:tc>
              <w:tc>
                <w:tcPr>
                  <w:tcW w:w="1157" w:type="pct"/>
                  <w:tcBorders>
                    <w:tl2br w:val="nil"/>
                    <w:tr2bl w:val="nil"/>
                  </w:tcBorders>
                  <w:noWrap w:val="0"/>
                  <w:vAlign w:val="center"/>
                </w:tcPr>
                <w:p w14:paraId="0E6680D8">
                  <w:pPr>
                    <w:pStyle w:val="90"/>
                    <w:keepNext w:val="0"/>
                    <w:keepLines w:val="0"/>
                    <w:suppressLineNumbers w:val="0"/>
                    <w:spacing w:before="0" w:beforeAutospacing="0" w:after="0" w:afterAutospacing="0"/>
                    <w:ind w:left="0" w:right="0"/>
                    <w:jc w:val="left"/>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本项目属于新建项目，可以达到相应的国家及地方污染物排放标准和总量控制要求</w:t>
                  </w:r>
                </w:p>
              </w:tc>
              <w:tc>
                <w:tcPr>
                  <w:tcW w:w="617" w:type="pct"/>
                  <w:tcBorders>
                    <w:tl2br w:val="nil"/>
                    <w:tr2bl w:val="nil"/>
                  </w:tcBorders>
                  <w:noWrap w:val="0"/>
                  <w:vAlign w:val="center"/>
                </w:tcPr>
                <w:p w14:paraId="1B808D76">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符合</w:t>
                  </w:r>
                </w:p>
              </w:tc>
            </w:tr>
            <w:tr w14:paraId="52AAE18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456" w:type="pct"/>
                  <w:vMerge w:val="continue"/>
                  <w:tcBorders>
                    <w:tl2br w:val="nil"/>
                    <w:tr2bl w:val="nil"/>
                  </w:tcBorders>
                  <w:noWrap w:val="0"/>
                  <w:vAlign w:val="center"/>
                </w:tcPr>
                <w:p w14:paraId="5793E7EB">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p>
              </w:tc>
              <w:tc>
                <w:tcPr>
                  <w:tcW w:w="1170" w:type="pct"/>
                  <w:gridSpan w:val="3"/>
                  <w:tcBorders>
                    <w:tl2br w:val="nil"/>
                    <w:tr2bl w:val="nil"/>
                  </w:tcBorders>
                  <w:noWrap w:val="0"/>
                  <w:vAlign w:val="center"/>
                </w:tcPr>
                <w:p w14:paraId="203F77D7">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新增源等量或倍量替代</w:t>
                  </w:r>
                </w:p>
              </w:tc>
              <w:tc>
                <w:tcPr>
                  <w:tcW w:w="1598" w:type="pct"/>
                  <w:tcBorders>
                    <w:tl2br w:val="nil"/>
                    <w:tr2bl w:val="nil"/>
                  </w:tcBorders>
                  <w:noWrap w:val="0"/>
                  <w:vAlign w:val="center"/>
                </w:tcPr>
                <w:p w14:paraId="3768E49F">
                  <w:pPr>
                    <w:keepNext w:val="0"/>
                    <w:keepLines w:val="0"/>
                    <w:suppressLineNumbers w:val="0"/>
                    <w:spacing w:before="0" w:beforeAutospacing="0" w:after="0" w:afterAutospacing="0"/>
                    <w:ind w:left="0" w:right="0"/>
                    <w:rPr>
                      <w:rFonts w:hint="eastAsia"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所在区域、流域控制单元环境质量未达到标准的，新建水污染物排放、大气污染物排放的项目应等量或倍量替代</w:t>
                  </w:r>
                  <w:r>
                    <w:rPr>
                      <w:rFonts w:hint="eastAsia" w:cs="Times New Roman"/>
                      <w:color w:val="auto"/>
                      <w:sz w:val="21"/>
                      <w:szCs w:val="21"/>
                      <w:lang w:eastAsia="zh-CN"/>
                    </w:rPr>
                    <w:t>。</w:t>
                  </w:r>
                </w:p>
              </w:tc>
              <w:tc>
                <w:tcPr>
                  <w:tcW w:w="1157" w:type="pct"/>
                  <w:tcBorders>
                    <w:tl2br w:val="nil"/>
                    <w:tr2bl w:val="nil"/>
                  </w:tcBorders>
                  <w:noWrap w:val="0"/>
                  <w:vAlign w:val="center"/>
                </w:tcPr>
                <w:p w14:paraId="3639FE4C">
                  <w:pPr>
                    <w:keepNext w:val="0"/>
                    <w:keepLines w:val="0"/>
                    <w:suppressLineNumbers w:val="0"/>
                    <w:spacing w:before="0" w:beforeAutospacing="0" w:after="0" w:afterAutospacing="0"/>
                    <w:ind w:left="0" w:right="0"/>
                    <w:jc w:val="left"/>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本项目所在区域为环境质量达标区</w:t>
                  </w:r>
                </w:p>
              </w:tc>
              <w:tc>
                <w:tcPr>
                  <w:tcW w:w="617" w:type="pct"/>
                  <w:tcBorders>
                    <w:tl2br w:val="nil"/>
                    <w:tr2bl w:val="nil"/>
                  </w:tcBorders>
                  <w:noWrap w:val="0"/>
                  <w:vAlign w:val="center"/>
                </w:tcPr>
                <w:p w14:paraId="4BB1CEC5">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符合</w:t>
                  </w:r>
                </w:p>
              </w:tc>
            </w:tr>
            <w:tr w14:paraId="133A745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456" w:type="pct"/>
                  <w:vMerge w:val="continue"/>
                  <w:tcBorders>
                    <w:tl2br w:val="nil"/>
                    <w:tr2bl w:val="nil"/>
                  </w:tcBorders>
                  <w:noWrap w:val="0"/>
                  <w:vAlign w:val="center"/>
                </w:tcPr>
                <w:p w14:paraId="2E0806D2">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p>
              </w:tc>
              <w:tc>
                <w:tcPr>
                  <w:tcW w:w="1170" w:type="pct"/>
                  <w:gridSpan w:val="3"/>
                  <w:tcBorders>
                    <w:tl2br w:val="nil"/>
                    <w:tr2bl w:val="nil"/>
                  </w:tcBorders>
                  <w:noWrap w:val="0"/>
                  <w:vAlign w:val="center"/>
                </w:tcPr>
                <w:p w14:paraId="3EEAB113">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新增源排放标准限值</w:t>
                  </w:r>
                </w:p>
              </w:tc>
              <w:tc>
                <w:tcPr>
                  <w:tcW w:w="1598" w:type="pct"/>
                  <w:tcBorders>
                    <w:tl2br w:val="nil"/>
                    <w:tr2bl w:val="nil"/>
                  </w:tcBorders>
                  <w:noWrap w:val="0"/>
                  <w:vAlign w:val="center"/>
                </w:tcPr>
                <w:p w14:paraId="30929B59">
                  <w:pPr>
                    <w:keepNext w:val="0"/>
                    <w:keepLines w:val="0"/>
                    <w:suppressLineNumbers w:val="0"/>
                    <w:spacing w:before="0" w:beforeAutospacing="0" w:after="0" w:afterAutospacing="0"/>
                    <w:ind w:left="0" w:right="0"/>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新建有污染物排放的项目，其污染物排放应达到国家或地方规定的排放限值（含特别排放限值）要求。</w:t>
                  </w:r>
                </w:p>
              </w:tc>
              <w:tc>
                <w:tcPr>
                  <w:tcW w:w="1157" w:type="pct"/>
                  <w:tcBorders>
                    <w:tl2br w:val="nil"/>
                    <w:tr2bl w:val="nil"/>
                  </w:tcBorders>
                  <w:noWrap w:val="0"/>
                  <w:vAlign w:val="center"/>
                </w:tcPr>
                <w:p w14:paraId="549F56C5">
                  <w:pPr>
                    <w:keepNext w:val="0"/>
                    <w:keepLines w:val="0"/>
                    <w:suppressLineNumbers w:val="0"/>
                    <w:spacing w:before="0" w:beforeAutospacing="0" w:after="0" w:afterAutospacing="0"/>
                    <w:ind w:left="0" w:right="0"/>
                    <w:jc w:val="left"/>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本项目污染物排放可达到国家和地方规定的排放限值</w:t>
                  </w:r>
                </w:p>
              </w:tc>
              <w:tc>
                <w:tcPr>
                  <w:tcW w:w="617" w:type="pct"/>
                  <w:tcBorders>
                    <w:tl2br w:val="nil"/>
                    <w:tr2bl w:val="nil"/>
                  </w:tcBorders>
                  <w:noWrap w:val="0"/>
                  <w:vAlign w:val="center"/>
                </w:tcPr>
                <w:p w14:paraId="2F247FF1">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符合</w:t>
                  </w:r>
                </w:p>
              </w:tc>
            </w:tr>
            <w:tr w14:paraId="6582373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456" w:type="pct"/>
                  <w:vMerge w:val="continue"/>
                  <w:tcBorders>
                    <w:tl2br w:val="nil"/>
                    <w:tr2bl w:val="nil"/>
                  </w:tcBorders>
                  <w:noWrap w:val="0"/>
                  <w:vAlign w:val="center"/>
                </w:tcPr>
                <w:p w14:paraId="0F9D5701">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p>
              </w:tc>
              <w:tc>
                <w:tcPr>
                  <w:tcW w:w="1170" w:type="pct"/>
                  <w:gridSpan w:val="3"/>
                  <w:tcBorders>
                    <w:tl2br w:val="nil"/>
                    <w:tr2bl w:val="nil"/>
                  </w:tcBorders>
                  <w:noWrap w:val="0"/>
                  <w:vAlign w:val="center"/>
                </w:tcPr>
                <w:p w14:paraId="1113D8F0">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污染物排放绩效水平准入要求</w:t>
                  </w:r>
                </w:p>
              </w:tc>
              <w:tc>
                <w:tcPr>
                  <w:tcW w:w="1598" w:type="pct"/>
                  <w:tcBorders>
                    <w:tl2br w:val="nil"/>
                    <w:tr2bl w:val="nil"/>
                  </w:tcBorders>
                  <w:noWrap w:val="0"/>
                  <w:vAlign w:val="center"/>
                </w:tcPr>
                <w:p w14:paraId="796E88BE">
                  <w:pPr>
                    <w:keepNext w:val="0"/>
                    <w:keepLines w:val="0"/>
                    <w:suppressLineNumbers w:val="0"/>
                    <w:spacing w:before="0" w:beforeAutospacing="0" w:after="0" w:afterAutospacing="0"/>
                    <w:ind w:left="0" w:right="0"/>
                    <w:rPr>
                      <w:rFonts w:hint="eastAsia"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污染物排放应达到相应的国家及地方污染物排放标准和总量控制要求</w:t>
                  </w:r>
                  <w:r>
                    <w:rPr>
                      <w:rFonts w:hint="eastAsia" w:cs="Times New Roman"/>
                      <w:color w:val="auto"/>
                      <w:sz w:val="21"/>
                      <w:szCs w:val="21"/>
                      <w:lang w:eastAsia="zh-CN"/>
                    </w:rPr>
                    <w:t>。</w:t>
                  </w:r>
                </w:p>
              </w:tc>
              <w:tc>
                <w:tcPr>
                  <w:tcW w:w="1157" w:type="pct"/>
                  <w:tcBorders>
                    <w:tl2br w:val="nil"/>
                    <w:tr2bl w:val="nil"/>
                  </w:tcBorders>
                  <w:noWrap w:val="0"/>
                  <w:vAlign w:val="center"/>
                </w:tcPr>
                <w:p w14:paraId="534EEC46">
                  <w:pPr>
                    <w:keepNext w:val="0"/>
                    <w:keepLines w:val="0"/>
                    <w:suppressLineNumbers w:val="0"/>
                    <w:spacing w:before="0" w:beforeAutospacing="0" w:after="0" w:afterAutospacing="0"/>
                    <w:ind w:left="0" w:right="0"/>
                    <w:jc w:val="left"/>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本项目</w:t>
                  </w:r>
                  <w:r>
                    <w:rPr>
                      <w:rFonts w:hint="eastAsia" w:ascii="Times New Roman" w:hAnsi="Times New Roman" w:eastAsia="宋体" w:cs="Times New Roman"/>
                      <w:color w:val="auto"/>
                      <w:kern w:val="2"/>
                      <w:sz w:val="21"/>
                      <w:szCs w:val="21"/>
                      <w:highlight w:val="none"/>
                      <w:lang w:val="en-US" w:eastAsia="zh-CN" w:bidi="ar-SA"/>
                    </w:rPr>
                    <w:t>污染物</w:t>
                  </w:r>
                  <w:r>
                    <w:rPr>
                      <w:rFonts w:hint="default" w:ascii="Times New Roman" w:hAnsi="Times New Roman" w:eastAsia="宋体" w:cs="Times New Roman"/>
                      <w:color w:val="auto"/>
                      <w:kern w:val="2"/>
                      <w:sz w:val="21"/>
                      <w:szCs w:val="21"/>
                      <w:highlight w:val="none"/>
                      <w:lang w:val="en-US" w:eastAsia="zh-CN" w:bidi="ar-SA"/>
                    </w:rPr>
                    <w:t>排放可达到国家和地方</w:t>
                  </w:r>
                  <w:r>
                    <w:rPr>
                      <w:rFonts w:hint="eastAsia" w:ascii="Times New Roman" w:hAnsi="Times New Roman" w:eastAsia="宋体" w:cs="Times New Roman"/>
                      <w:color w:val="auto"/>
                      <w:kern w:val="2"/>
                      <w:sz w:val="21"/>
                      <w:szCs w:val="21"/>
                      <w:highlight w:val="none"/>
                      <w:lang w:val="en-US" w:eastAsia="zh-CN" w:bidi="ar-SA"/>
                    </w:rPr>
                    <w:t>污染物排放标准，满足总量控制要求</w:t>
                  </w:r>
                </w:p>
              </w:tc>
              <w:tc>
                <w:tcPr>
                  <w:tcW w:w="617" w:type="pct"/>
                  <w:tcBorders>
                    <w:tl2br w:val="nil"/>
                    <w:tr2bl w:val="nil"/>
                  </w:tcBorders>
                  <w:noWrap w:val="0"/>
                  <w:vAlign w:val="center"/>
                </w:tcPr>
                <w:p w14:paraId="717EC5B1">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符合</w:t>
                  </w:r>
                </w:p>
              </w:tc>
            </w:tr>
            <w:tr w14:paraId="2F656F0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456" w:type="pct"/>
                  <w:vMerge w:val="continue"/>
                  <w:tcBorders>
                    <w:tl2br w:val="nil"/>
                    <w:tr2bl w:val="nil"/>
                  </w:tcBorders>
                  <w:noWrap w:val="0"/>
                  <w:vAlign w:val="center"/>
                </w:tcPr>
                <w:p w14:paraId="73FDD9FE">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p>
              </w:tc>
              <w:tc>
                <w:tcPr>
                  <w:tcW w:w="1170" w:type="pct"/>
                  <w:gridSpan w:val="3"/>
                  <w:tcBorders>
                    <w:tl2br w:val="nil"/>
                    <w:tr2bl w:val="nil"/>
                  </w:tcBorders>
                  <w:noWrap w:val="0"/>
                  <w:vAlign w:val="center"/>
                </w:tcPr>
                <w:p w14:paraId="741448B9">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其他污染物排放管控要求</w:t>
                  </w:r>
                </w:p>
              </w:tc>
              <w:tc>
                <w:tcPr>
                  <w:tcW w:w="1598" w:type="pct"/>
                  <w:tcBorders>
                    <w:tl2br w:val="nil"/>
                    <w:tr2bl w:val="nil"/>
                  </w:tcBorders>
                  <w:noWrap w:val="0"/>
                  <w:vAlign w:val="center"/>
                </w:tcPr>
                <w:p w14:paraId="192C245B">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1157" w:type="pct"/>
                  <w:tcBorders>
                    <w:tl2br w:val="nil"/>
                    <w:tr2bl w:val="nil"/>
                  </w:tcBorders>
                  <w:noWrap w:val="0"/>
                  <w:vAlign w:val="center"/>
                </w:tcPr>
                <w:p w14:paraId="76F403E6">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w:t>
                  </w:r>
                </w:p>
              </w:tc>
              <w:tc>
                <w:tcPr>
                  <w:tcW w:w="617" w:type="pct"/>
                  <w:tcBorders>
                    <w:tl2br w:val="nil"/>
                    <w:tr2bl w:val="nil"/>
                  </w:tcBorders>
                  <w:noWrap w:val="0"/>
                  <w:vAlign w:val="center"/>
                </w:tcPr>
                <w:p w14:paraId="3AFDF997">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w:t>
                  </w:r>
                </w:p>
              </w:tc>
            </w:tr>
            <w:tr w14:paraId="0151064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456" w:type="pct"/>
                  <w:vMerge w:val="restart"/>
                  <w:tcBorders>
                    <w:tl2br w:val="nil"/>
                    <w:tr2bl w:val="nil"/>
                  </w:tcBorders>
                  <w:noWrap w:val="0"/>
                  <w:vAlign w:val="center"/>
                </w:tcPr>
                <w:p w14:paraId="59775385">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环境风险防控</w:t>
                  </w:r>
                </w:p>
              </w:tc>
              <w:tc>
                <w:tcPr>
                  <w:tcW w:w="421" w:type="pct"/>
                  <w:vMerge w:val="restart"/>
                  <w:tcBorders>
                    <w:tl2br w:val="nil"/>
                    <w:tr2bl w:val="nil"/>
                  </w:tcBorders>
                  <w:noWrap w:val="0"/>
                  <w:vAlign w:val="center"/>
                </w:tcPr>
                <w:p w14:paraId="20E249BF">
                  <w:pPr>
                    <w:keepNext w:val="0"/>
                    <w:keepLines w:val="0"/>
                    <w:widowControl/>
                    <w:suppressLineNumbers w:val="0"/>
                    <w:spacing w:before="0" w:beforeAutospacing="0" w:after="0" w:afterAutospacing="0"/>
                    <w:ind w:left="0" w:right="0"/>
                    <w:jc w:val="both"/>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用地环境风险防控要求</w:t>
                  </w:r>
                </w:p>
              </w:tc>
              <w:tc>
                <w:tcPr>
                  <w:tcW w:w="748" w:type="pct"/>
                  <w:gridSpan w:val="2"/>
                  <w:tcBorders>
                    <w:tl2br w:val="nil"/>
                    <w:tr2bl w:val="nil"/>
                  </w:tcBorders>
                  <w:noWrap w:val="0"/>
                  <w:vAlign w:val="center"/>
                </w:tcPr>
                <w:p w14:paraId="0D420387">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严格管控类农用地管控要求</w:t>
                  </w:r>
                </w:p>
              </w:tc>
              <w:tc>
                <w:tcPr>
                  <w:tcW w:w="1598" w:type="pct"/>
                  <w:tcBorders>
                    <w:tl2br w:val="nil"/>
                    <w:tr2bl w:val="nil"/>
                  </w:tcBorders>
                  <w:noWrap w:val="0"/>
                  <w:vAlign w:val="center"/>
                </w:tcPr>
                <w:p w14:paraId="79A411BD">
                  <w:pPr>
                    <w:pStyle w:val="90"/>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w:t>
                  </w:r>
                </w:p>
              </w:tc>
              <w:tc>
                <w:tcPr>
                  <w:tcW w:w="1157" w:type="pct"/>
                  <w:tcBorders>
                    <w:tl2br w:val="nil"/>
                    <w:tr2bl w:val="nil"/>
                  </w:tcBorders>
                  <w:noWrap w:val="0"/>
                  <w:vAlign w:val="center"/>
                </w:tcPr>
                <w:p w14:paraId="63BE23CC">
                  <w:pPr>
                    <w:pStyle w:val="90"/>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w:t>
                  </w:r>
                </w:p>
              </w:tc>
              <w:tc>
                <w:tcPr>
                  <w:tcW w:w="617" w:type="pct"/>
                  <w:tcBorders>
                    <w:tl2br w:val="nil"/>
                    <w:tr2bl w:val="nil"/>
                  </w:tcBorders>
                  <w:noWrap w:val="0"/>
                  <w:vAlign w:val="center"/>
                </w:tcPr>
                <w:p w14:paraId="4C0BA55A">
                  <w:pPr>
                    <w:pStyle w:val="90"/>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kern w:val="2"/>
                      <w:sz w:val="21"/>
                      <w:szCs w:val="21"/>
                      <w:highlight w:val="none"/>
                      <w:lang w:val="en-US" w:eastAsia="zh-CN" w:bidi="ar-SA"/>
                    </w:rPr>
                    <w:t>/</w:t>
                  </w:r>
                </w:p>
              </w:tc>
            </w:tr>
            <w:tr w14:paraId="382BD7D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456" w:type="pct"/>
                  <w:vMerge w:val="continue"/>
                  <w:tcBorders>
                    <w:tl2br w:val="nil"/>
                    <w:tr2bl w:val="nil"/>
                  </w:tcBorders>
                  <w:noWrap w:val="0"/>
                  <w:vAlign w:val="center"/>
                </w:tcPr>
                <w:p w14:paraId="35E301B1">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p>
              </w:tc>
              <w:tc>
                <w:tcPr>
                  <w:tcW w:w="421" w:type="pct"/>
                  <w:vMerge w:val="continue"/>
                  <w:tcBorders>
                    <w:tl2br w:val="nil"/>
                    <w:tr2bl w:val="nil"/>
                  </w:tcBorders>
                  <w:noWrap w:val="0"/>
                  <w:vAlign w:val="center"/>
                </w:tcPr>
                <w:p w14:paraId="19A31D72">
                  <w:pPr>
                    <w:keepNext w:val="0"/>
                    <w:keepLines w:val="0"/>
                    <w:widowControl/>
                    <w:suppressLineNumbers w:val="0"/>
                    <w:spacing w:before="0" w:beforeAutospacing="0" w:after="0" w:afterAutospacing="0"/>
                    <w:ind w:left="0" w:right="0"/>
                    <w:jc w:val="both"/>
                    <w:rPr>
                      <w:rFonts w:hint="default" w:ascii="Times New Roman" w:hAnsi="Times New Roman" w:eastAsia="宋体" w:cs="Times New Roman"/>
                      <w:color w:val="auto"/>
                      <w:kern w:val="2"/>
                      <w:sz w:val="21"/>
                      <w:szCs w:val="21"/>
                      <w:highlight w:val="none"/>
                      <w:lang w:val="en-US" w:eastAsia="zh-CN" w:bidi="ar-SA"/>
                    </w:rPr>
                  </w:pPr>
                </w:p>
              </w:tc>
              <w:tc>
                <w:tcPr>
                  <w:tcW w:w="748" w:type="pct"/>
                  <w:gridSpan w:val="2"/>
                  <w:tcBorders>
                    <w:tl2br w:val="nil"/>
                    <w:tr2bl w:val="nil"/>
                  </w:tcBorders>
                  <w:noWrap w:val="0"/>
                  <w:vAlign w:val="center"/>
                </w:tcPr>
                <w:p w14:paraId="28E4590B">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安全利用类农用地管控要求</w:t>
                  </w:r>
                </w:p>
              </w:tc>
              <w:tc>
                <w:tcPr>
                  <w:tcW w:w="1598" w:type="pct"/>
                  <w:tcBorders>
                    <w:tl2br w:val="nil"/>
                    <w:tr2bl w:val="nil"/>
                  </w:tcBorders>
                  <w:noWrap w:val="0"/>
                  <w:vAlign w:val="center"/>
                </w:tcPr>
                <w:p w14:paraId="218CD1FA">
                  <w:pPr>
                    <w:pStyle w:val="90"/>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w:t>
                  </w:r>
                </w:p>
              </w:tc>
              <w:tc>
                <w:tcPr>
                  <w:tcW w:w="1157" w:type="pct"/>
                  <w:tcBorders>
                    <w:tl2br w:val="nil"/>
                    <w:tr2bl w:val="nil"/>
                  </w:tcBorders>
                  <w:noWrap w:val="0"/>
                  <w:vAlign w:val="center"/>
                </w:tcPr>
                <w:p w14:paraId="14177550">
                  <w:pPr>
                    <w:pStyle w:val="90"/>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w:t>
                  </w:r>
                </w:p>
              </w:tc>
              <w:tc>
                <w:tcPr>
                  <w:tcW w:w="617" w:type="pct"/>
                  <w:tcBorders>
                    <w:tl2br w:val="nil"/>
                    <w:tr2bl w:val="nil"/>
                  </w:tcBorders>
                  <w:noWrap w:val="0"/>
                  <w:vAlign w:val="center"/>
                </w:tcPr>
                <w:p w14:paraId="5271EC88">
                  <w:pPr>
                    <w:pStyle w:val="90"/>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kern w:val="0"/>
                      <w:sz w:val="21"/>
                      <w:szCs w:val="21"/>
                      <w:highlight w:val="none"/>
                      <w:lang w:val="en-US" w:eastAsia="zh-CN" w:bidi="ar-SA"/>
                    </w:rPr>
                    <w:t>/</w:t>
                  </w:r>
                </w:p>
              </w:tc>
            </w:tr>
            <w:tr w14:paraId="3EACA42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456" w:type="pct"/>
                  <w:vMerge w:val="continue"/>
                  <w:tcBorders>
                    <w:tl2br w:val="nil"/>
                    <w:tr2bl w:val="nil"/>
                  </w:tcBorders>
                  <w:noWrap w:val="0"/>
                  <w:vAlign w:val="center"/>
                </w:tcPr>
                <w:p w14:paraId="54D8C5D0">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p>
              </w:tc>
              <w:tc>
                <w:tcPr>
                  <w:tcW w:w="421" w:type="pct"/>
                  <w:vMerge w:val="continue"/>
                  <w:tcBorders>
                    <w:tl2br w:val="nil"/>
                    <w:tr2bl w:val="nil"/>
                  </w:tcBorders>
                  <w:noWrap w:val="0"/>
                  <w:vAlign w:val="center"/>
                </w:tcPr>
                <w:p w14:paraId="2769303A">
                  <w:pPr>
                    <w:keepNext w:val="0"/>
                    <w:keepLines w:val="0"/>
                    <w:widowControl/>
                    <w:suppressLineNumbers w:val="0"/>
                    <w:spacing w:before="0" w:beforeAutospacing="0" w:after="0" w:afterAutospacing="0"/>
                    <w:ind w:left="0" w:right="0"/>
                    <w:jc w:val="both"/>
                    <w:rPr>
                      <w:rFonts w:hint="default" w:ascii="Times New Roman" w:hAnsi="Times New Roman" w:eastAsia="宋体" w:cs="Times New Roman"/>
                      <w:color w:val="auto"/>
                      <w:kern w:val="2"/>
                      <w:sz w:val="21"/>
                      <w:szCs w:val="21"/>
                      <w:highlight w:val="none"/>
                      <w:lang w:val="en-US" w:eastAsia="zh-CN" w:bidi="ar-SA"/>
                    </w:rPr>
                  </w:pPr>
                </w:p>
              </w:tc>
              <w:tc>
                <w:tcPr>
                  <w:tcW w:w="748" w:type="pct"/>
                  <w:gridSpan w:val="2"/>
                  <w:tcBorders>
                    <w:tl2br w:val="nil"/>
                    <w:tr2bl w:val="nil"/>
                  </w:tcBorders>
                  <w:noWrap w:val="0"/>
                  <w:vAlign w:val="center"/>
                </w:tcPr>
                <w:p w14:paraId="4125E5F0">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污染地块管控要求</w:t>
                  </w:r>
                </w:p>
              </w:tc>
              <w:tc>
                <w:tcPr>
                  <w:tcW w:w="1598" w:type="pct"/>
                  <w:tcBorders>
                    <w:tl2br w:val="nil"/>
                    <w:tr2bl w:val="nil"/>
                  </w:tcBorders>
                  <w:noWrap w:val="0"/>
                  <w:vAlign w:val="center"/>
                </w:tcPr>
                <w:p w14:paraId="5230F96C">
                  <w:pPr>
                    <w:pStyle w:val="90"/>
                    <w:keepNext w:val="0"/>
                    <w:keepLines w:val="0"/>
                    <w:suppressLineNumbers w:val="0"/>
                    <w:spacing w:before="0" w:beforeAutospacing="0" w:after="0" w:afterAutospacing="0"/>
                    <w:ind w:left="0" w:right="0"/>
                    <w:jc w:val="left"/>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已污染地块，应当依法开展土壤污染状况调查、治理与修复，符合相应规划用地土壤环境质量要求后，方可进入用地程序。</w:t>
                  </w:r>
                </w:p>
              </w:tc>
              <w:tc>
                <w:tcPr>
                  <w:tcW w:w="1157" w:type="pct"/>
                  <w:tcBorders>
                    <w:tl2br w:val="nil"/>
                    <w:tr2bl w:val="nil"/>
                  </w:tcBorders>
                  <w:noWrap w:val="0"/>
                  <w:vAlign w:val="center"/>
                </w:tcPr>
                <w:p w14:paraId="20DC2603">
                  <w:pPr>
                    <w:keepNext w:val="0"/>
                    <w:keepLines w:val="0"/>
                    <w:suppressLineNumbers w:val="0"/>
                    <w:spacing w:before="0" w:beforeAutospacing="0" w:after="0" w:afterAutospacing="0"/>
                    <w:ind w:left="0" w:right="0"/>
                    <w:jc w:val="left"/>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本项目不属于污染地块</w:t>
                  </w:r>
                  <w:r>
                    <w:rPr>
                      <w:rFonts w:hint="eastAsia" w:cs="Times New Roman"/>
                      <w:color w:val="auto"/>
                      <w:kern w:val="2"/>
                      <w:sz w:val="21"/>
                      <w:szCs w:val="21"/>
                      <w:highlight w:val="none"/>
                      <w:lang w:val="en-US" w:eastAsia="zh-CN" w:bidi="ar-SA"/>
                    </w:rPr>
                    <w:t>。</w:t>
                  </w:r>
                </w:p>
              </w:tc>
              <w:tc>
                <w:tcPr>
                  <w:tcW w:w="617" w:type="pct"/>
                  <w:tcBorders>
                    <w:tl2br w:val="nil"/>
                    <w:tr2bl w:val="nil"/>
                  </w:tcBorders>
                  <w:noWrap w:val="0"/>
                  <w:vAlign w:val="center"/>
                </w:tcPr>
                <w:p w14:paraId="092131BE">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符合</w:t>
                  </w:r>
                </w:p>
              </w:tc>
            </w:tr>
            <w:tr w14:paraId="4F17EA7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456" w:type="pct"/>
                  <w:vMerge w:val="continue"/>
                  <w:tcBorders>
                    <w:tl2br w:val="nil"/>
                    <w:tr2bl w:val="nil"/>
                  </w:tcBorders>
                  <w:noWrap w:val="0"/>
                  <w:vAlign w:val="center"/>
                </w:tcPr>
                <w:p w14:paraId="0965C84F">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p>
              </w:tc>
              <w:tc>
                <w:tcPr>
                  <w:tcW w:w="1170" w:type="pct"/>
                  <w:gridSpan w:val="3"/>
                  <w:tcBorders>
                    <w:tl2br w:val="nil"/>
                    <w:tr2bl w:val="nil"/>
                  </w:tcBorders>
                  <w:noWrap w:val="0"/>
                  <w:vAlign w:val="center"/>
                </w:tcPr>
                <w:p w14:paraId="58CAB277">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园区环境风险防控要求</w:t>
                  </w:r>
                </w:p>
              </w:tc>
              <w:tc>
                <w:tcPr>
                  <w:tcW w:w="1598" w:type="pct"/>
                  <w:tcBorders>
                    <w:tl2br w:val="nil"/>
                    <w:tr2bl w:val="nil"/>
                  </w:tcBorders>
                  <w:noWrap w:val="0"/>
                  <w:vAlign w:val="center"/>
                </w:tcPr>
                <w:p w14:paraId="425752ED">
                  <w:pPr>
                    <w:pStyle w:val="90"/>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w:t>
                  </w:r>
                </w:p>
              </w:tc>
              <w:tc>
                <w:tcPr>
                  <w:tcW w:w="1157" w:type="pct"/>
                  <w:tcBorders>
                    <w:tl2br w:val="nil"/>
                    <w:tr2bl w:val="nil"/>
                  </w:tcBorders>
                  <w:noWrap w:val="0"/>
                  <w:vAlign w:val="center"/>
                </w:tcPr>
                <w:p w14:paraId="6D60B73F">
                  <w:pPr>
                    <w:pStyle w:val="90"/>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w:t>
                  </w:r>
                </w:p>
              </w:tc>
              <w:tc>
                <w:tcPr>
                  <w:tcW w:w="617" w:type="pct"/>
                  <w:tcBorders>
                    <w:tl2br w:val="nil"/>
                    <w:tr2bl w:val="nil"/>
                  </w:tcBorders>
                  <w:noWrap w:val="0"/>
                  <w:vAlign w:val="center"/>
                </w:tcPr>
                <w:p w14:paraId="3484C82D">
                  <w:pPr>
                    <w:pStyle w:val="90"/>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kern w:val="2"/>
                      <w:sz w:val="21"/>
                      <w:szCs w:val="21"/>
                      <w:highlight w:val="none"/>
                      <w:lang w:val="en-US" w:eastAsia="zh-CN" w:bidi="ar-SA"/>
                    </w:rPr>
                    <w:t>/</w:t>
                  </w:r>
                </w:p>
              </w:tc>
            </w:tr>
            <w:tr w14:paraId="7ABAE3B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456" w:type="pct"/>
                  <w:vMerge w:val="continue"/>
                  <w:tcBorders>
                    <w:tl2br w:val="nil"/>
                    <w:tr2bl w:val="nil"/>
                  </w:tcBorders>
                  <w:noWrap w:val="0"/>
                  <w:vAlign w:val="center"/>
                </w:tcPr>
                <w:p w14:paraId="3BD1A0A5">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p>
              </w:tc>
              <w:tc>
                <w:tcPr>
                  <w:tcW w:w="1170" w:type="pct"/>
                  <w:gridSpan w:val="3"/>
                  <w:tcBorders>
                    <w:tl2br w:val="nil"/>
                    <w:tr2bl w:val="nil"/>
                  </w:tcBorders>
                  <w:noWrap w:val="0"/>
                  <w:vAlign w:val="center"/>
                </w:tcPr>
                <w:p w14:paraId="09FAF1BD">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企业环境风险防控要求</w:t>
                  </w:r>
                </w:p>
              </w:tc>
              <w:tc>
                <w:tcPr>
                  <w:tcW w:w="1598" w:type="pct"/>
                  <w:tcBorders>
                    <w:tl2br w:val="nil"/>
                    <w:tr2bl w:val="nil"/>
                  </w:tcBorders>
                  <w:noWrap w:val="0"/>
                  <w:vAlign w:val="center"/>
                </w:tcPr>
                <w:p w14:paraId="256720E2">
                  <w:pPr>
                    <w:pStyle w:val="90"/>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w:t>
                  </w:r>
                </w:p>
              </w:tc>
              <w:tc>
                <w:tcPr>
                  <w:tcW w:w="1157" w:type="pct"/>
                  <w:tcBorders>
                    <w:tl2br w:val="nil"/>
                    <w:tr2bl w:val="nil"/>
                  </w:tcBorders>
                  <w:noWrap w:val="0"/>
                  <w:vAlign w:val="center"/>
                </w:tcPr>
                <w:p w14:paraId="0571D6DD">
                  <w:pPr>
                    <w:pStyle w:val="90"/>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w:t>
                  </w:r>
                </w:p>
              </w:tc>
              <w:tc>
                <w:tcPr>
                  <w:tcW w:w="617" w:type="pct"/>
                  <w:tcBorders>
                    <w:tl2br w:val="nil"/>
                    <w:tr2bl w:val="nil"/>
                  </w:tcBorders>
                  <w:noWrap w:val="0"/>
                  <w:vAlign w:val="center"/>
                </w:tcPr>
                <w:p w14:paraId="058BA9E8">
                  <w:pPr>
                    <w:pStyle w:val="90"/>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kern w:val="0"/>
                      <w:sz w:val="21"/>
                      <w:szCs w:val="21"/>
                      <w:highlight w:val="none"/>
                      <w:lang w:val="en-US" w:eastAsia="zh-CN" w:bidi="ar-SA"/>
                    </w:rPr>
                    <w:t>/</w:t>
                  </w:r>
                </w:p>
              </w:tc>
            </w:tr>
            <w:tr w14:paraId="33EA7B9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456" w:type="pct"/>
                  <w:vMerge w:val="continue"/>
                  <w:tcBorders>
                    <w:tl2br w:val="nil"/>
                    <w:tr2bl w:val="nil"/>
                  </w:tcBorders>
                  <w:noWrap w:val="0"/>
                  <w:vAlign w:val="center"/>
                </w:tcPr>
                <w:p w14:paraId="22C7AD84">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p>
              </w:tc>
              <w:tc>
                <w:tcPr>
                  <w:tcW w:w="1170" w:type="pct"/>
                  <w:gridSpan w:val="3"/>
                  <w:tcBorders>
                    <w:tl2br w:val="nil"/>
                    <w:tr2bl w:val="nil"/>
                  </w:tcBorders>
                  <w:noWrap w:val="0"/>
                  <w:vAlign w:val="center"/>
                </w:tcPr>
                <w:p w14:paraId="0B147248">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其他环境风险防控要求</w:t>
                  </w:r>
                </w:p>
              </w:tc>
              <w:tc>
                <w:tcPr>
                  <w:tcW w:w="1598" w:type="pct"/>
                  <w:tcBorders>
                    <w:tl2br w:val="nil"/>
                    <w:tr2bl w:val="nil"/>
                  </w:tcBorders>
                  <w:noWrap w:val="0"/>
                  <w:vAlign w:val="center"/>
                </w:tcPr>
                <w:p w14:paraId="60052C52">
                  <w:pPr>
                    <w:pStyle w:val="90"/>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w:t>
                  </w:r>
                </w:p>
              </w:tc>
              <w:tc>
                <w:tcPr>
                  <w:tcW w:w="1157" w:type="pct"/>
                  <w:tcBorders>
                    <w:tl2br w:val="nil"/>
                    <w:tr2bl w:val="nil"/>
                  </w:tcBorders>
                  <w:noWrap w:val="0"/>
                  <w:vAlign w:val="center"/>
                </w:tcPr>
                <w:p w14:paraId="642FC560">
                  <w:pPr>
                    <w:pStyle w:val="90"/>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w:t>
                  </w:r>
                </w:p>
              </w:tc>
              <w:tc>
                <w:tcPr>
                  <w:tcW w:w="617" w:type="pct"/>
                  <w:tcBorders>
                    <w:tl2br w:val="nil"/>
                    <w:tr2bl w:val="nil"/>
                  </w:tcBorders>
                  <w:noWrap w:val="0"/>
                  <w:vAlign w:val="center"/>
                </w:tcPr>
                <w:p w14:paraId="7AD29A3B">
                  <w:pPr>
                    <w:pStyle w:val="90"/>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kern w:val="2"/>
                      <w:sz w:val="21"/>
                      <w:szCs w:val="21"/>
                      <w:highlight w:val="none"/>
                      <w:lang w:val="en-US" w:eastAsia="zh-CN" w:bidi="ar-SA"/>
                    </w:rPr>
                    <w:t>/</w:t>
                  </w:r>
                </w:p>
              </w:tc>
            </w:tr>
            <w:tr w14:paraId="71B1CAC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456" w:type="pct"/>
                  <w:vMerge w:val="restart"/>
                  <w:tcBorders>
                    <w:tl2br w:val="nil"/>
                    <w:tr2bl w:val="nil"/>
                  </w:tcBorders>
                  <w:noWrap w:val="0"/>
                  <w:vAlign w:val="center"/>
                </w:tcPr>
                <w:p w14:paraId="02EC162E">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资源利用效率要求</w:t>
                  </w:r>
                </w:p>
              </w:tc>
              <w:tc>
                <w:tcPr>
                  <w:tcW w:w="1170" w:type="pct"/>
                  <w:gridSpan w:val="3"/>
                  <w:tcBorders>
                    <w:tl2br w:val="nil"/>
                    <w:tr2bl w:val="nil"/>
                  </w:tcBorders>
                  <w:noWrap w:val="0"/>
                  <w:vAlign w:val="center"/>
                </w:tcPr>
                <w:p w14:paraId="375694A6">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水资源利用效率要求</w:t>
                  </w:r>
                </w:p>
              </w:tc>
              <w:tc>
                <w:tcPr>
                  <w:tcW w:w="1598" w:type="pct"/>
                  <w:tcBorders>
                    <w:tl2br w:val="nil"/>
                    <w:tr2bl w:val="nil"/>
                  </w:tcBorders>
                  <w:noWrap w:val="0"/>
                  <w:vAlign w:val="center"/>
                </w:tcPr>
                <w:p w14:paraId="6B70BA17">
                  <w:pPr>
                    <w:pStyle w:val="90"/>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w:t>
                  </w:r>
                </w:p>
              </w:tc>
              <w:tc>
                <w:tcPr>
                  <w:tcW w:w="1157" w:type="pct"/>
                  <w:tcBorders>
                    <w:tl2br w:val="nil"/>
                    <w:tr2bl w:val="nil"/>
                  </w:tcBorders>
                  <w:noWrap w:val="0"/>
                  <w:vAlign w:val="center"/>
                </w:tcPr>
                <w:p w14:paraId="6C447F17">
                  <w:pPr>
                    <w:pStyle w:val="90"/>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w:t>
                  </w:r>
                </w:p>
              </w:tc>
              <w:tc>
                <w:tcPr>
                  <w:tcW w:w="617" w:type="pct"/>
                  <w:tcBorders>
                    <w:tl2br w:val="nil"/>
                    <w:tr2bl w:val="nil"/>
                  </w:tcBorders>
                  <w:noWrap w:val="0"/>
                  <w:vAlign w:val="center"/>
                </w:tcPr>
                <w:p w14:paraId="48AC9EA1">
                  <w:pPr>
                    <w:pStyle w:val="90"/>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rPr>
                  </w:pPr>
                  <w:r>
                    <w:rPr>
                      <w:rFonts w:hint="eastAsia" w:ascii="Times New Roman" w:hAnsi="Times New Roman" w:eastAsia="宋体" w:cs="Times New Roman"/>
                      <w:color w:val="auto"/>
                      <w:kern w:val="0"/>
                      <w:sz w:val="21"/>
                      <w:szCs w:val="21"/>
                      <w:highlight w:val="none"/>
                      <w:lang w:val="en-US" w:eastAsia="zh-CN" w:bidi="ar-SA"/>
                    </w:rPr>
                    <w:t>/</w:t>
                  </w:r>
                </w:p>
              </w:tc>
            </w:tr>
            <w:tr w14:paraId="401C822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456" w:type="pct"/>
                  <w:vMerge w:val="continue"/>
                  <w:tcBorders>
                    <w:tl2br w:val="nil"/>
                    <w:tr2bl w:val="nil"/>
                  </w:tcBorders>
                  <w:noWrap w:val="0"/>
                  <w:vAlign w:val="center"/>
                </w:tcPr>
                <w:p w14:paraId="7FBC1376">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p>
              </w:tc>
              <w:tc>
                <w:tcPr>
                  <w:tcW w:w="1170" w:type="pct"/>
                  <w:gridSpan w:val="3"/>
                  <w:tcBorders>
                    <w:tl2br w:val="nil"/>
                    <w:tr2bl w:val="nil"/>
                  </w:tcBorders>
                  <w:noWrap w:val="0"/>
                  <w:vAlign w:val="center"/>
                </w:tcPr>
                <w:p w14:paraId="715446D1">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地下水开采要求</w:t>
                  </w:r>
                </w:p>
              </w:tc>
              <w:tc>
                <w:tcPr>
                  <w:tcW w:w="1598" w:type="pct"/>
                  <w:tcBorders>
                    <w:tl2br w:val="nil"/>
                    <w:tr2bl w:val="nil"/>
                  </w:tcBorders>
                  <w:noWrap w:val="0"/>
                  <w:vAlign w:val="center"/>
                </w:tcPr>
                <w:p w14:paraId="7C8F83F7">
                  <w:pPr>
                    <w:pStyle w:val="90"/>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w:t>
                  </w:r>
                </w:p>
              </w:tc>
              <w:tc>
                <w:tcPr>
                  <w:tcW w:w="1157" w:type="pct"/>
                  <w:tcBorders>
                    <w:tl2br w:val="nil"/>
                    <w:tr2bl w:val="nil"/>
                  </w:tcBorders>
                  <w:noWrap w:val="0"/>
                  <w:vAlign w:val="center"/>
                </w:tcPr>
                <w:p w14:paraId="2ED25C5D">
                  <w:pPr>
                    <w:pStyle w:val="90"/>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w:t>
                  </w:r>
                </w:p>
              </w:tc>
              <w:tc>
                <w:tcPr>
                  <w:tcW w:w="617" w:type="pct"/>
                  <w:tcBorders>
                    <w:tl2br w:val="nil"/>
                    <w:tr2bl w:val="nil"/>
                  </w:tcBorders>
                  <w:noWrap w:val="0"/>
                  <w:vAlign w:val="center"/>
                </w:tcPr>
                <w:p w14:paraId="47DEC0BC">
                  <w:pPr>
                    <w:pStyle w:val="90"/>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kern w:val="2"/>
                      <w:sz w:val="21"/>
                      <w:szCs w:val="21"/>
                      <w:highlight w:val="none"/>
                      <w:lang w:val="en-US" w:eastAsia="zh-CN" w:bidi="ar-SA"/>
                    </w:rPr>
                    <w:t>/</w:t>
                  </w:r>
                </w:p>
              </w:tc>
            </w:tr>
            <w:tr w14:paraId="11F1459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456" w:type="pct"/>
                  <w:vMerge w:val="continue"/>
                  <w:tcBorders>
                    <w:tl2br w:val="nil"/>
                    <w:tr2bl w:val="nil"/>
                  </w:tcBorders>
                  <w:noWrap w:val="0"/>
                  <w:vAlign w:val="center"/>
                </w:tcPr>
                <w:p w14:paraId="34FD3F9F">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p>
              </w:tc>
              <w:tc>
                <w:tcPr>
                  <w:tcW w:w="1170" w:type="pct"/>
                  <w:gridSpan w:val="3"/>
                  <w:tcBorders>
                    <w:tl2br w:val="nil"/>
                    <w:tr2bl w:val="nil"/>
                  </w:tcBorders>
                  <w:noWrap w:val="0"/>
                  <w:vAlign w:val="center"/>
                </w:tcPr>
                <w:p w14:paraId="7DAA8302">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能源利用效率要求</w:t>
                  </w:r>
                </w:p>
              </w:tc>
              <w:tc>
                <w:tcPr>
                  <w:tcW w:w="1598" w:type="pct"/>
                  <w:tcBorders>
                    <w:tl2br w:val="nil"/>
                    <w:tr2bl w:val="nil"/>
                  </w:tcBorders>
                  <w:noWrap w:val="0"/>
                  <w:vAlign w:val="center"/>
                </w:tcPr>
                <w:p w14:paraId="0AF1088B">
                  <w:pPr>
                    <w:pStyle w:val="90"/>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w:t>
                  </w:r>
                </w:p>
              </w:tc>
              <w:tc>
                <w:tcPr>
                  <w:tcW w:w="1157" w:type="pct"/>
                  <w:tcBorders>
                    <w:tl2br w:val="nil"/>
                    <w:tr2bl w:val="nil"/>
                  </w:tcBorders>
                  <w:noWrap w:val="0"/>
                  <w:vAlign w:val="center"/>
                </w:tcPr>
                <w:p w14:paraId="5F0549D1">
                  <w:pPr>
                    <w:pStyle w:val="90"/>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w:t>
                  </w:r>
                </w:p>
              </w:tc>
              <w:tc>
                <w:tcPr>
                  <w:tcW w:w="617" w:type="pct"/>
                  <w:tcBorders>
                    <w:tl2br w:val="nil"/>
                    <w:tr2bl w:val="nil"/>
                  </w:tcBorders>
                  <w:noWrap w:val="0"/>
                  <w:vAlign w:val="center"/>
                </w:tcPr>
                <w:p w14:paraId="40670D1F">
                  <w:pPr>
                    <w:pStyle w:val="90"/>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kern w:val="0"/>
                      <w:sz w:val="21"/>
                      <w:szCs w:val="21"/>
                      <w:highlight w:val="none"/>
                      <w:lang w:val="en-US" w:eastAsia="zh-CN" w:bidi="ar-SA"/>
                    </w:rPr>
                    <w:t>/</w:t>
                  </w:r>
                </w:p>
              </w:tc>
            </w:tr>
            <w:tr w14:paraId="76ACFFF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456" w:type="pct"/>
                  <w:vMerge w:val="continue"/>
                  <w:tcBorders>
                    <w:tl2br w:val="nil"/>
                    <w:tr2bl w:val="nil"/>
                  </w:tcBorders>
                  <w:noWrap w:val="0"/>
                  <w:vAlign w:val="center"/>
                </w:tcPr>
                <w:p w14:paraId="55BCFF4D">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p>
              </w:tc>
              <w:tc>
                <w:tcPr>
                  <w:tcW w:w="1170" w:type="pct"/>
                  <w:gridSpan w:val="3"/>
                  <w:tcBorders>
                    <w:tl2br w:val="nil"/>
                    <w:tr2bl w:val="nil"/>
                  </w:tcBorders>
                  <w:noWrap w:val="0"/>
                  <w:vAlign w:val="center"/>
                </w:tcPr>
                <w:p w14:paraId="26DE9029">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其他资源利用效率要求</w:t>
                  </w:r>
                </w:p>
              </w:tc>
              <w:tc>
                <w:tcPr>
                  <w:tcW w:w="1598" w:type="pct"/>
                  <w:tcBorders>
                    <w:tl2br w:val="nil"/>
                    <w:tr2bl w:val="nil"/>
                  </w:tcBorders>
                  <w:noWrap w:val="0"/>
                  <w:vAlign w:val="center"/>
                </w:tcPr>
                <w:p w14:paraId="1BFB07B8">
                  <w:pPr>
                    <w:pStyle w:val="90"/>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w:t>
                  </w:r>
                </w:p>
              </w:tc>
              <w:tc>
                <w:tcPr>
                  <w:tcW w:w="1157" w:type="pct"/>
                  <w:tcBorders>
                    <w:tl2br w:val="nil"/>
                    <w:tr2bl w:val="nil"/>
                  </w:tcBorders>
                  <w:noWrap w:val="0"/>
                  <w:vAlign w:val="center"/>
                </w:tcPr>
                <w:p w14:paraId="349E2EA0">
                  <w:pPr>
                    <w:pStyle w:val="90"/>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w:t>
                  </w:r>
                </w:p>
              </w:tc>
              <w:tc>
                <w:tcPr>
                  <w:tcW w:w="617" w:type="pct"/>
                  <w:tcBorders>
                    <w:tl2br w:val="nil"/>
                    <w:tr2bl w:val="nil"/>
                  </w:tcBorders>
                  <w:noWrap w:val="0"/>
                  <w:vAlign w:val="center"/>
                </w:tcPr>
                <w:p w14:paraId="4EC73D34">
                  <w:pPr>
                    <w:pStyle w:val="90"/>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kern w:val="2"/>
                      <w:sz w:val="21"/>
                      <w:szCs w:val="21"/>
                      <w:highlight w:val="none"/>
                      <w:lang w:val="en-US" w:eastAsia="zh-CN" w:bidi="ar-SA"/>
                    </w:rPr>
                    <w:t>/</w:t>
                  </w:r>
                </w:p>
              </w:tc>
            </w:tr>
            <w:tr w14:paraId="1C7BCB7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456" w:type="pct"/>
                  <w:vMerge w:val="continue"/>
                  <w:tcBorders>
                    <w:tl2br w:val="nil"/>
                    <w:tr2bl w:val="nil"/>
                  </w:tcBorders>
                  <w:noWrap w:val="0"/>
                  <w:vAlign w:val="center"/>
                </w:tcPr>
                <w:p w14:paraId="38D561A6">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p>
              </w:tc>
              <w:tc>
                <w:tcPr>
                  <w:tcW w:w="585" w:type="pct"/>
                  <w:gridSpan w:val="2"/>
                  <w:tcBorders>
                    <w:tl2br w:val="nil"/>
                    <w:tr2bl w:val="nil"/>
                  </w:tcBorders>
                  <w:noWrap w:val="0"/>
                  <w:vAlign w:val="center"/>
                </w:tcPr>
                <w:p w14:paraId="3D9F5954">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水资源利用效率要求</w:t>
                  </w:r>
                </w:p>
              </w:tc>
              <w:tc>
                <w:tcPr>
                  <w:tcW w:w="585" w:type="pct"/>
                  <w:tcBorders>
                    <w:tl2br w:val="nil"/>
                    <w:tr2bl w:val="nil"/>
                  </w:tcBorders>
                  <w:noWrap w:val="0"/>
                  <w:vAlign w:val="center"/>
                </w:tcPr>
                <w:p w14:paraId="68E42032">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园区工业用水重复利用率限值（%）</w:t>
                  </w:r>
                </w:p>
              </w:tc>
              <w:tc>
                <w:tcPr>
                  <w:tcW w:w="1598" w:type="pct"/>
                  <w:tcBorders>
                    <w:tl2br w:val="nil"/>
                    <w:tr2bl w:val="nil"/>
                  </w:tcBorders>
                  <w:noWrap w:val="0"/>
                  <w:vAlign w:val="center"/>
                </w:tcPr>
                <w:p w14:paraId="3915CB1D">
                  <w:pPr>
                    <w:keepNext w:val="0"/>
                    <w:keepLines w:val="0"/>
                    <w:suppressLineNumbers w:val="0"/>
                    <w:spacing w:before="0" w:beforeAutospacing="0" w:after="0" w:afterAutospacing="0"/>
                    <w:ind w:left="0" w:right="0"/>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园区工业用水重复利用率不得低于行业清洁生产国内先进水平。</w:t>
                  </w:r>
                </w:p>
              </w:tc>
              <w:tc>
                <w:tcPr>
                  <w:tcW w:w="1157" w:type="pct"/>
                  <w:tcBorders>
                    <w:tl2br w:val="nil"/>
                    <w:tr2bl w:val="nil"/>
                  </w:tcBorders>
                  <w:noWrap w:val="0"/>
                  <w:vAlign w:val="center"/>
                </w:tcPr>
                <w:p w14:paraId="4B12464C">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w:t>
                  </w:r>
                </w:p>
              </w:tc>
              <w:tc>
                <w:tcPr>
                  <w:tcW w:w="617" w:type="pct"/>
                  <w:tcBorders>
                    <w:tl2br w:val="nil"/>
                    <w:tr2bl w:val="nil"/>
                  </w:tcBorders>
                  <w:noWrap w:val="0"/>
                  <w:vAlign w:val="center"/>
                </w:tcPr>
                <w:p w14:paraId="51014153">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w:t>
                  </w:r>
                </w:p>
              </w:tc>
            </w:tr>
            <w:tr w14:paraId="2DFF614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456" w:type="pct"/>
                  <w:vMerge w:val="continue"/>
                  <w:tcBorders>
                    <w:tl2br w:val="nil"/>
                    <w:tr2bl w:val="nil"/>
                  </w:tcBorders>
                  <w:noWrap w:val="0"/>
                  <w:vAlign w:val="center"/>
                </w:tcPr>
                <w:p w14:paraId="15EE3FD0">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p>
              </w:tc>
              <w:tc>
                <w:tcPr>
                  <w:tcW w:w="585" w:type="pct"/>
                  <w:gridSpan w:val="2"/>
                  <w:tcBorders>
                    <w:tl2br w:val="nil"/>
                    <w:tr2bl w:val="nil"/>
                  </w:tcBorders>
                  <w:noWrap w:val="0"/>
                  <w:vAlign w:val="center"/>
                </w:tcPr>
                <w:p w14:paraId="3A2A84B1">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地下水开采要求</w:t>
                  </w:r>
                </w:p>
              </w:tc>
              <w:tc>
                <w:tcPr>
                  <w:tcW w:w="585" w:type="pct"/>
                  <w:tcBorders>
                    <w:tl2br w:val="nil"/>
                    <w:tr2bl w:val="nil"/>
                  </w:tcBorders>
                  <w:noWrap w:val="0"/>
                  <w:vAlign w:val="center"/>
                </w:tcPr>
                <w:p w14:paraId="3AD7FC79">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新增地下水开采总量限值（万立方米/年）</w:t>
                  </w:r>
                </w:p>
              </w:tc>
              <w:tc>
                <w:tcPr>
                  <w:tcW w:w="1598" w:type="pct"/>
                  <w:tcBorders>
                    <w:tl2br w:val="nil"/>
                    <w:tr2bl w:val="nil"/>
                  </w:tcBorders>
                  <w:noWrap w:val="0"/>
                  <w:vAlign w:val="center"/>
                </w:tcPr>
                <w:p w14:paraId="7B98326D">
                  <w:pPr>
                    <w:keepNext w:val="0"/>
                    <w:keepLines w:val="0"/>
                    <w:suppressLineNumbers w:val="0"/>
                    <w:spacing w:before="0" w:beforeAutospacing="0" w:after="0" w:afterAutospacing="0"/>
                    <w:ind w:left="0" w:right="0"/>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新增地下水开采总量不得超过补给水平。</w:t>
                  </w:r>
                </w:p>
              </w:tc>
              <w:tc>
                <w:tcPr>
                  <w:tcW w:w="1157" w:type="pct"/>
                  <w:tcBorders>
                    <w:tl2br w:val="nil"/>
                    <w:tr2bl w:val="nil"/>
                  </w:tcBorders>
                  <w:noWrap w:val="0"/>
                  <w:vAlign w:val="center"/>
                </w:tcPr>
                <w:p w14:paraId="235C03B4">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本项目不涉及地下水开采</w:t>
                  </w:r>
                </w:p>
              </w:tc>
              <w:tc>
                <w:tcPr>
                  <w:tcW w:w="617" w:type="pct"/>
                  <w:tcBorders>
                    <w:tl2br w:val="nil"/>
                    <w:tr2bl w:val="nil"/>
                  </w:tcBorders>
                  <w:noWrap w:val="0"/>
                  <w:vAlign w:val="center"/>
                </w:tcPr>
                <w:p w14:paraId="0E0AE052">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符合</w:t>
                  </w:r>
                </w:p>
              </w:tc>
            </w:tr>
            <w:tr w14:paraId="13BD7E1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456" w:type="pct"/>
                  <w:vMerge w:val="continue"/>
                  <w:tcBorders>
                    <w:tl2br w:val="nil"/>
                    <w:tr2bl w:val="nil"/>
                  </w:tcBorders>
                  <w:noWrap w:val="0"/>
                  <w:vAlign w:val="center"/>
                </w:tcPr>
                <w:p w14:paraId="49BDFAEA">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p>
              </w:tc>
              <w:tc>
                <w:tcPr>
                  <w:tcW w:w="585" w:type="pct"/>
                  <w:gridSpan w:val="2"/>
                  <w:tcBorders>
                    <w:tl2br w:val="nil"/>
                    <w:tr2bl w:val="nil"/>
                  </w:tcBorders>
                  <w:noWrap w:val="0"/>
                  <w:vAlign w:val="center"/>
                </w:tcPr>
                <w:p w14:paraId="79804B02">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能源利用效率要求</w:t>
                  </w:r>
                </w:p>
              </w:tc>
              <w:tc>
                <w:tcPr>
                  <w:tcW w:w="585" w:type="pct"/>
                  <w:tcBorders>
                    <w:tl2br w:val="nil"/>
                    <w:tr2bl w:val="nil"/>
                  </w:tcBorders>
                  <w:noWrap w:val="0"/>
                  <w:vAlign w:val="center"/>
                </w:tcPr>
                <w:p w14:paraId="74FD2B60">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万元国内生产总值能耗下降比例（%）</w:t>
                  </w:r>
                </w:p>
              </w:tc>
              <w:tc>
                <w:tcPr>
                  <w:tcW w:w="1598" w:type="pct"/>
                  <w:tcBorders>
                    <w:tl2br w:val="nil"/>
                    <w:tr2bl w:val="nil"/>
                  </w:tcBorders>
                  <w:noWrap w:val="0"/>
                  <w:vAlign w:val="center"/>
                </w:tcPr>
                <w:p w14:paraId="14BD7B0A">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w:t>
                  </w:r>
                </w:p>
              </w:tc>
              <w:tc>
                <w:tcPr>
                  <w:tcW w:w="1157" w:type="pct"/>
                  <w:tcBorders>
                    <w:tl2br w:val="nil"/>
                    <w:tr2bl w:val="nil"/>
                  </w:tcBorders>
                  <w:noWrap w:val="0"/>
                  <w:vAlign w:val="center"/>
                </w:tcPr>
                <w:p w14:paraId="69E45E3D">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w:t>
                  </w:r>
                </w:p>
              </w:tc>
              <w:tc>
                <w:tcPr>
                  <w:tcW w:w="617" w:type="pct"/>
                  <w:tcBorders>
                    <w:tl2br w:val="nil"/>
                    <w:tr2bl w:val="nil"/>
                  </w:tcBorders>
                  <w:noWrap w:val="0"/>
                  <w:vAlign w:val="center"/>
                </w:tcPr>
                <w:p w14:paraId="38FB7E6A">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rPr>
                  </w:pPr>
                  <w:r>
                    <w:rPr>
                      <w:rFonts w:hint="default" w:ascii="Times New Roman" w:hAnsi="Times New Roman" w:eastAsia="宋体" w:cs="Times New Roman"/>
                      <w:color w:val="auto"/>
                      <w:sz w:val="21"/>
                      <w:szCs w:val="21"/>
                      <w:highlight w:val="none"/>
                      <w:lang w:val="en-US" w:eastAsia="zh-CN"/>
                    </w:rPr>
                    <w:t>/</w:t>
                  </w:r>
                </w:p>
              </w:tc>
            </w:tr>
          </w:tbl>
          <w:p w14:paraId="0FEDC1C6">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80" w:firstLineChars="200"/>
              <w:jc w:val="both"/>
              <w:textAlignment w:val="auto"/>
              <w:rPr>
                <w:rFonts w:hint="default" w:ascii="Times New Roman" w:hAnsi="Times New Roman" w:eastAsia="宋体" w:cs="Times New Roman"/>
                <w:color w:val="auto"/>
                <w:sz w:val="24"/>
                <w:szCs w:val="24"/>
                <w:highlight w:val="none"/>
                <w:lang w:eastAsia="zh-CN"/>
              </w:rPr>
            </w:pPr>
            <w:r>
              <w:rPr>
                <w:rFonts w:hint="default" w:ascii="Times New Roman" w:hAnsi="Times New Roman" w:eastAsia="宋体" w:cs="Times New Roman"/>
                <w:color w:val="auto"/>
                <w:sz w:val="24"/>
                <w:highlight w:val="none"/>
              </w:rPr>
              <w:t>由表</w:t>
            </w:r>
            <w:r>
              <w:rPr>
                <w:rFonts w:hint="default" w:ascii="Times New Roman" w:hAnsi="Times New Roman" w:cs="Times New Roman"/>
                <w:color w:val="auto"/>
                <w:sz w:val="24"/>
                <w:highlight w:val="none"/>
                <w:lang w:val="en-US" w:eastAsia="zh-CN"/>
              </w:rPr>
              <w:t>1-</w:t>
            </w:r>
            <w:r>
              <w:rPr>
                <w:rFonts w:hint="eastAsia" w:cs="Times New Roman"/>
                <w:color w:val="auto"/>
                <w:sz w:val="24"/>
                <w:highlight w:val="none"/>
                <w:lang w:val="en-US" w:eastAsia="zh-CN"/>
              </w:rPr>
              <w:t>5</w:t>
            </w:r>
            <w:r>
              <w:rPr>
                <w:rFonts w:hint="default" w:ascii="Times New Roman" w:hAnsi="Times New Roman" w:eastAsia="宋体" w:cs="Times New Roman"/>
                <w:color w:val="auto"/>
                <w:sz w:val="24"/>
                <w:highlight w:val="none"/>
              </w:rPr>
              <w:t>可知，本项目与</w:t>
            </w:r>
            <w:r>
              <w:rPr>
                <w:rFonts w:hint="default" w:ascii="Times New Roman" w:hAnsi="Times New Roman" w:cs="Times New Roman"/>
                <w:color w:val="auto"/>
                <w:sz w:val="24"/>
                <w:highlight w:val="none"/>
                <w:lang w:val="zh-CN" w:eastAsia="zh-CN"/>
              </w:rPr>
              <w:t>乐平市环境管控单元准入清单</w:t>
            </w:r>
            <w:r>
              <w:rPr>
                <w:rFonts w:hint="default" w:ascii="Times New Roman" w:hAnsi="Times New Roman" w:cs="Times New Roman"/>
                <w:color w:val="auto"/>
                <w:sz w:val="24"/>
                <w:highlight w:val="none"/>
                <w:lang w:val="en-US" w:eastAsia="zh-CN"/>
              </w:rPr>
              <w:t>要求</w:t>
            </w:r>
            <w:r>
              <w:rPr>
                <w:rFonts w:hint="default" w:ascii="Times New Roman" w:hAnsi="Times New Roman" w:eastAsia="宋体" w:cs="Times New Roman"/>
                <w:color w:val="auto"/>
                <w:sz w:val="24"/>
                <w:highlight w:val="none"/>
              </w:rPr>
              <w:t>相符。</w:t>
            </w:r>
          </w:p>
          <w:p w14:paraId="36341DE2">
            <w:pPr>
              <w:pStyle w:val="92"/>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textAlignment w:val="auto"/>
              <w:outlineLvl w:val="9"/>
              <w:rPr>
                <w:rFonts w:hint="eastAsia" w:ascii="Times New Roman" w:hAnsi="Times New Roman" w:eastAsia="宋体" w:cs="Times New Roman"/>
                <w:b/>
                <w:bCs/>
                <w:color w:val="auto"/>
                <w:highlight w:val="none"/>
                <w:lang w:val="en-US" w:eastAsia="zh-CN"/>
              </w:rPr>
            </w:pPr>
            <w:r>
              <w:rPr>
                <w:rFonts w:hint="eastAsia" w:ascii="Times New Roman" w:hAnsi="Times New Roman" w:eastAsia="宋体" w:cs="Times New Roman"/>
                <w:b/>
                <w:bCs/>
                <w:color w:val="auto"/>
                <w:highlight w:val="none"/>
                <w:lang w:val="en-US" w:eastAsia="zh-CN"/>
              </w:rPr>
              <w:t>4、与《长江经济带发展负面清单指南》的相符性分析</w:t>
            </w:r>
          </w:p>
          <w:p w14:paraId="779DA032">
            <w:pPr>
              <w:pStyle w:val="92"/>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textAlignment w:val="auto"/>
              <w:outlineLvl w:val="9"/>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b w:val="0"/>
                <w:bCs w:val="0"/>
                <w:color w:val="auto"/>
                <w:highlight w:val="none"/>
                <w:lang w:val="en-US" w:eastAsia="zh-CN"/>
              </w:rPr>
              <w:t>根据《长江经济带发展负面清单指南》（试行 2022年版），本项目与《长江经济带发展负面清单指南》相符性分析见表1-6。</w:t>
            </w:r>
          </w:p>
          <w:p w14:paraId="1723A32E">
            <w:pPr>
              <w:pStyle w:val="92"/>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sz w:val="24"/>
                <w:szCs w:val="24"/>
                <w:highlight w:val="none"/>
                <w:lang w:val="en-US" w:eastAsia="zh-CN"/>
              </w:rPr>
            </w:pPr>
            <w:r>
              <w:rPr>
                <w:rFonts w:hint="default" w:ascii="Times New Roman" w:hAnsi="Times New Roman" w:eastAsia="宋体" w:cs="Times New Roman"/>
                <w:b/>
                <w:bCs/>
                <w:color w:val="auto"/>
                <w:sz w:val="21"/>
                <w:szCs w:val="21"/>
                <w:highlight w:val="none"/>
                <w:lang w:val="en-US" w:eastAsia="zh-CN"/>
              </w:rPr>
              <w:t>表1-</w:t>
            </w:r>
            <w:r>
              <w:rPr>
                <w:rFonts w:hint="eastAsia" w:ascii="Times New Roman" w:hAnsi="Times New Roman" w:eastAsia="宋体" w:cs="Times New Roman"/>
                <w:b/>
                <w:bCs/>
                <w:color w:val="auto"/>
                <w:sz w:val="21"/>
                <w:szCs w:val="21"/>
                <w:highlight w:val="none"/>
                <w:lang w:val="en-US" w:eastAsia="zh-CN"/>
              </w:rPr>
              <w:t>6</w:t>
            </w:r>
            <w:r>
              <w:rPr>
                <w:rFonts w:hint="default" w:ascii="Times New Roman" w:hAnsi="Times New Roman" w:eastAsia="宋体" w:cs="Times New Roman"/>
                <w:b/>
                <w:bCs/>
                <w:color w:val="auto"/>
                <w:sz w:val="21"/>
                <w:szCs w:val="21"/>
                <w:highlight w:val="none"/>
                <w:lang w:val="en-US" w:eastAsia="zh-CN"/>
              </w:rPr>
              <w:t xml:space="preserve"> 与《长江经济带发展负面清单指南》的相符性分析</w:t>
            </w:r>
          </w:p>
          <w:tbl>
            <w:tblPr>
              <w:tblStyle w:val="27"/>
              <w:tblW w:w="4999"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011"/>
              <w:gridCol w:w="2249"/>
              <w:gridCol w:w="1200"/>
            </w:tblGrid>
            <w:tr w14:paraId="21EB7F8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51" w:hRule="atLeast"/>
                <w:jc w:val="center"/>
              </w:trPr>
              <w:tc>
                <w:tcPr>
                  <w:tcW w:w="2687" w:type="pct"/>
                  <w:tcBorders>
                    <w:bottom w:val="single" w:color="auto" w:sz="12" w:space="0"/>
                  </w:tcBorders>
                  <w:vAlign w:val="center"/>
                </w:tcPr>
                <w:p w14:paraId="4E496FA4">
                  <w:pPr>
                    <w:pStyle w:val="92"/>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bCs/>
                      <w:color w:val="auto"/>
                      <w:spacing w:val="0"/>
                      <w:sz w:val="21"/>
                      <w:szCs w:val="21"/>
                      <w:highlight w:val="none"/>
                      <w:lang w:val="en-US" w:eastAsia="zh-CN"/>
                    </w:rPr>
                  </w:pPr>
                  <w:r>
                    <w:rPr>
                      <w:rFonts w:hint="default" w:ascii="Times New Roman" w:hAnsi="Times New Roman" w:eastAsia="宋体" w:cs="Times New Roman"/>
                      <w:b/>
                      <w:bCs/>
                      <w:color w:val="auto"/>
                      <w:spacing w:val="0"/>
                      <w:sz w:val="21"/>
                      <w:szCs w:val="21"/>
                      <w:highlight w:val="none"/>
                      <w:lang w:val="en-US" w:eastAsia="zh-CN"/>
                    </w:rPr>
                    <w:t>内容</w:t>
                  </w:r>
                </w:p>
              </w:tc>
              <w:tc>
                <w:tcPr>
                  <w:tcW w:w="1507" w:type="pct"/>
                  <w:tcBorders>
                    <w:bottom w:val="single" w:color="auto" w:sz="12" w:space="0"/>
                  </w:tcBorders>
                  <w:vAlign w:val="center"/>
                </w:tcPr>
                <w:p w14:paraId="6A66AEA5">
                  <w:pPr>
                    <w:pStyle w:val="92"/>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bCs/>
                      <w:color w:val="auto"/>
                      <w:spacing w:val="0"/>
                      <w:sz w:val="21"/>
                      <w:szCs w:val="21"/>
                      <w:highlight w:val="none"/>
                      <w:lang w:val="en-US" w:eastAsia="zh-CN"/>
                    </w:rPr>
                  </w:pPr>
                  <w:r>
                    <w:rPr>
                      <w:rFonts w:hint="eastAsia" w:ascii="Times New Roman" w:hAnsi="Times New Roman" w:eastAsia="宋体" w:cs="Times New Roman"/>
                      <w:b/>
                      <w:bCs/>
                      <w:color w:val="auto"/>
                      <w:spacing w:val="0"/>
                      <w:sz w:val="21"/>
                      <w:szCs w:val="21"/>
                      <w:highlight w:val="none"/>
                      <w:lang w:val="en-US" w:eastAsia="zh-CN"/>
                    </w:rPr>
                    <w:t>本项目</w:t>
                  </w:r>
                </w:p>
              </w:tc>
              <w:tc>
                <w:tcPr>
                  <w:tcW w:w="804" w:type="pct"/>
                  <w:tcBorders>
                    <w:bottom w:val="single" w:color="auto" w:sz="12" w:space="0"/>
                  </w:tcBorders>
                  <w:vAlign w:val="center"/>
                </w:tcPr>
                <w:p w14:paraId="25824B3E">
                  <w:pPr>
                    <w:pStyle w:val="92"/>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bCs/>
                      <w:color w:val="auto"/>
                      <w:spacing w:val="0"/>
                      <w:sz w:val="21"/>
                      <w:szCs w:val="21"/>
                      <w:highlight w:val="none"/>
                      <w:lang w:val="en-US" w:eastAsia="zh-CN"/>
                    </w:rPr>
                  </w:pPr>
                  <w:r>
                    <w:rPr>
                      <w:rFonts w:hint="eastAsia" w:ascii="Times New Roman" w:hAnsi="Times New Roman" w:eastAsia="宋体" w:cs="Times New Roman"/>
                      <w:b/>
                      <w:bCs/>
                      <w:color w:val="auto"/>
                      <w:spacing w:val="0"/>
                      <w:sz w:val="21"/>
                      <w:szCs w:val="21"/>
                      <w:highlight w:val="none"/>
                      <w:lang w:val="en-US" w:eastAsia="zh-CN"/>
                    </w:rPr>
                    <w:t>相符性</w:t>
                  </w:r>
                </w:p>
              </w:tc>
            </w:tr>
            <w:tr w14:paraId="07A53B5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16" w:hRule="atLeast"/>
                <w:jc w:val="center"/>
              </w:trPr>
              <w:tc>
                <w:tcPr>
                  <w:tcW w:w="2687" w:type="pct"/>
                  <w:tcBorders>
                    <w:top w:val="single" w:color="auto" w:sz="12" w:space="0"/>
                    <w:tl2br w:val="nil"/>
                    <w:tr2bl w:val="nil"/>
                  </w:tcBorders>
                  <w:vAlign w:val="center"/>
                </w:tcPr>
                <w:p w14:paraId="555C0975">
                  <w:pPr>
                    <w:pStyle w:val="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both"/>
                    <w:textAlignment w:val="auto"/>
                    <w:rPr>
                      <w:rFonts w:hint="default" w:ascii="Times New Roman" w:hAnsi="Times New Roman" w:eastAsia="宋体" w:cs="Times New Roman"/>
                      <w:color w:val="auto"/>
                      <w:spacing w:val="0"/>
                      <w:kern w:val="0"/>
                      <w:sz w:val="21"/>
                      <w:szCs w:val="21"/>
                      <w:highlight w:val="none"/>
                      <w:lang w:val="en-US" w:eastAsia="zh-CN" w:bidi="ar-SA"/>
                    </w:rPr>
                  </w:pPr>
                  <w:r>
                    <w:rPr>
                      <w:rFonts w:hint="default" w:ascii="Times New Roman" w:hAnsi="Times New Roman" w:eastAsia="宋体" w:cs="Times New Roman"/>
                      <w:color w:val="auto"/>
                      <w:spacing w:val="0"/>
                      <w:sz w:val="21"/>
                      <w:szCs w:val="21"/>
                      <w:highlight w:val="none"/>
                    </w:rPr>
                    <w:t>禁止建设不符合全国和省级港口布局规划以及港口总体规划的码头项目，禁止建设不符合《长江干线过江通道布局规划》的过长江通道项目。</w:t>
                  </w:r>
                </w:p>
              </w:tc>
              <w:tc>
                <w:tcPr>
                  <w:tcW w:w="1507" w:type="pct"/>
                  <w:tcBorders>
                    <w:top w:val="single" w:color="auto" w:sz="12" w:space="0"/>
                    <w:tl2br w:val="nil"/>
                    <w:tr2bl w:val="nil"/>
                  </w:tcBorders>
                  <w:vAlign w:val="center"/>
                </w:tcPr>
                <w:p w14:paraId="05EFE82C">
                  <w:pPr>
                    <w:pStyle w:val="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both"/>
                    <w:textAlignment w:val="auto"/>
                    <w:rPr>
                      <w:rFonts w:hint="default" w:ascii="Times New Roman" w:hAnsi="Times New Roman" w:eastAsia="宋体" w:cs="Times New Roman"/>
                      <w:color w:val="auto"/>
                      <w:spacing w:val="0"/>
                      <w:kern w:val="0"/>
                      <w:sz w:val="21"/>
                      <w:szCs w:val="21"/>
                      <w:highlight w:val="none"/>
                      <w:lang w:val="en-US" w:eastAsia="zh-CN" w:bidi="ar-SA"/>
                    </w:rPr>
                  </w:pPr>
                  <w:r>
                    <w:rPr>
                      <w:rFonts w:hint="default" w:ascii="Times New Roman" w:hAnsi="Times New Roman" w:eastAsia="宋体" w:cs="Times New Roman"/>
                      <w:color w:val="auto"/>
                      <w:spacing w:val="0"/>
                      <w:kern w:val="0"/>
                      <w:sz w:val="21"/>
                      <w:szCs w:val="21"/>
                      <w:highlight w:val="none"/>
                      <w:lang w:val="en-US" w:eastAsia="zh-CN" w:bidi="ar-SA"/>
                    </w:rPr>
                    <w:t>本项目不属于码头项目，不属于长江通道项目</w:t>
                  </w:r>
                </w:p>
              </w:tc>
              <w:tc>
                <w:tcPr>
                  <w:tcW w:w="804" w:type="pct"/>
                  <w:tcBorders>
                    <w:top w:val="single" w:color="auto" w:sz="12" w:space="0"/>
                    <w:tl2br w:val="nil"/>
                    <w:tr2bl w:val="nil"/>
                  </w:tcBorders>
                  <w:vAlign w:val="center"/>
                </w:tcPr>
                <w:p w14:paraId="2CAEC3C8">
                  <w:pPr>
                    <w:pStyle w:val="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0"/>
                      <w:kern w:val="0"/>
                      <w:sz w:val="21"/>
                      <w:szCs w:val="21"/>
                      <w:highlight w:val="none"/>
                      <w:lang w:val="en-US" w:eastAsia="zh-CN" w:bidi="ar-SA"/>
                    </w:rPr>
                  </w:pPr>
                  <w:r>
                    <w:rPr>
                      <w:rFonts w:hint="default" w:ascii="Times New Roman" w:hAnsi="Times New Roman" w:eastAsia="宋体" w:cs="Times New Roman"/>
                      <w:color w:val="auto"/>
                      <w:spacing w:val="0"/>
                      <w:sz w:val="21"/>
                      <w:szCs w:val="21"/>
                      <w:highlight w:val="none"/>
                    </w:rPr>
                    <w:t>符合</w:t>
                  </w:r>
                </w:p>
              </w:tc>
            </w:tr>
            <w:tr w14:paraId="1DDF778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367" w:hRule="atLeast"/>
                <w:jc w:val="center"/>
              </w:trPr>
              <w:tc>
                <w:tcPr>
                  <w:tcW w:w="2687" w:type="pct"/>
                  <w:tcBorders>
                    <w:tl2br w:val="nil"/>
                    <w:tr2bl w:val="nil"/>
                  </w:tcBorders>
                  <w:vAlign w:val="center"/>
                </w:tcPr>
                <w:p w14:paraId="2F9FFA18">
                  <w:pPr>
                    <w:pStyle w:val="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both"/>
                    <w:textAlignment w:val="auto"/>
                    <w:rPr>
                      <w:rFonts w:hint="default" w:ascii="Times New Roman" w:hAnsi="Times New Roman" w:eastAsia="宋体" w:cs="Times New Roman"/>
                      <w:color w:val="auto"/>
                      <w:spacing w:val="0"/>
                      <w:kern w:val="0"/>
                      <w:sz w:val="21"/>
                      <w:szCs w:val="21"/>
                      <w:highlight w:val="none"/>
                      <w:lang w:val="en-US" w:eastAsia="zh-CN" w:bidi="ar-SA"/>
                    </w:rPr>
                  </w:pPr>
                  <w:r>
                    <w:rPr>
                      <w:rFonts w:hint="default" w:ascii="Times New Roman" w:hAnsi="Times New Roman" w:eastAsia="宋体" w:cs="Times New Roman"/>
                      <w:color w:val="auto"/>
                      <w:spacing w:val="0"/>
                      <w:sz w:val="21"/>
                      <w:szCs w:val="21"/>
                      <w:highlight w:val="none"/>
                    </w:rPr>
                    <w:t>禁止在自然保护区核心区、缓冲区的岸线和河段范围内投资建设旅游和生产经营项目。禁止在风景名胜区核心景区的岸线和河段范围内投资建设与风景名胜资源保护无关的项目。</w:t>
                  </w:r>
                </w:p>
              </w:tc>
              <w:tc>
                <w:tcPr>
                  <w:tcW w:w="1507" w:type="pct"/>
                  <w:tcBorders>
                    <w:tl2br w:val="nil"/>
                    <w:tr2bl w:val="nil"/>
                  </w:tcBorders>
                  <w:vAlign w:val="center"/>
                </w:tcPr>
                <w:p w14:paraId="57CA2461">
                  <w:pPr>
                    <w:pStyle w:val="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both"/>
                    <w:textAlignment w:val="auto"/>
                    <w:rPr>
                      <w:rFonts w:hint="default" w:ascii="Times New Roman" w:hAnsi="Times New Roman" w:eastAsia="宋体" w:cs="Times New Roman"/>
                      <w:color w:val="auto"/>
                      <w:spacing w:val="0"/>
                      <w:kern w:val="0"/>
                      <w:sz w:val="21"/>
                      <w:szCs w:val="21"/>
                      <w:highlight w:val="none"/>
                      <w:lang w:val="en-US" w:eastAsia="zh-CN" w:bidi="ar-SA"/>
                    </w:rPr>
                  </w:pPr>
                  <w:r>
                    <w:rPr>
                      <w:rFonts w:hint="default" w:ascii="Times New Roman" w:hAnsi="Times New Roman" w:eastAsia="宋体" w:cs="Times New Roman"/>
                      <w:color w:val="auto"/>
                      <w:spacing w:val="0"/>
                      <w:kern w:val="0"/>
                      <w:sz w:val="21"/>
                      <w:szCs w:val="21"/>
                      <w:highlight w:val="none"/>
                      <w:lang w:val="en-US" w:eastAsia="zh-CN" w:bidi="ar-SA"/>
                    </w:rPr>
                    <w:t>本项目选址于</w:t>
                  </w:r>
                  <w:r>
                    <w:rPr>
                      <w:rFonts w:hint="eastAsia" w:ascii="Times New Roman" w:hAnsi="Times New Roman" w:eastAsia="宋体" w:cs="Times New Roman"/>
                      <w:color w:val="auto"/>
                      <w:spacing w:val="0"/>
                      <w:kern w:val="0"/>
                      <w:sz w:val="21"/>
                      <w:szCs w:val="21"/>
                      <w:highlight w:val="none"/>
                      <w:lang w:val="en-US" w:eastAsia="zh-CN" w:bidi="ar-SA"/>
                    </w:rPr>
                    <w:t>江西省景德镇市乐平市金山工业园</w:t>
                  </w:r>
                  <w:r>
                    <w:rPr>
                      <w:rFonts w:hint="default" w:ascii="Times New Roman" w:hAnsi="Times New Roman" w:eastAsia="宋体" w:cs="Times New Roman"/>
                      <w:color w:val="auto"/>
                      <w:spacing w:val="0"/>
                      <w:kern w:val="0"/>
                      <w:sz w:val="21"/>
                      <w:szCs w:val="21"/>
                      <w:highlight w:val="none"/>
                      <w:lang w:val="en-US" w:eastAsia="zh-CN" w:bidi="ar-SA"/>
                    </w:rPr>
                    <w:t>内，不涉及自然保护区、风景名胜区</w:t>
                  </w:r>
                </w:p>
              </w:tc>
              <w:tc>
                <w:tcPr>
                  <w:tcW w:w="804" w:type="pct"/>
                  <w:tcBorders>
                    <w:tl2br w:val="nil"/>
                    <w:tr2bl w:val="nil"/>
                  </w:tcBorders>
                  <w:vAlign w:val="center"/>
                </w:tcPr>
                <w:p w14:paraId="5CA7B11F">
                  <w:pPr>
                    <w:pStyle w:val="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0"/>
                      <w:kern w:val="0"/>
                      <w:sz w:val="21"/>
                      <w:szCs w:val="21"/>
                      <w:highlight w:val="none"/>
                      <w:lang w:val="en-US" w:eastAsia="zh-CN" w:bidi="ar-SA"/>
                    </w:rPr>
                  </w:pPr>
                  <w:r>
                    <w:rPr>
                      <w:rFonts w:hint="default" w:ascii="Times New Roman" w:hAnsi="Times New Roman" w:eastAsia="宋体" w:cs="Times New Roman"/>
                      <w:color w:val="auto"/>
                      <w:spacing w:val="0"/>
                      <w:sz w:val="21"/>
                      <w:szCs w:val="21"/>
                      <w:highlight w:val="none"/>
                    </w:rPr>
                    <w:t>符合</w:t>
                  </w:r>
                </w:p>
              </w:tc>
            </w:tr>
            <w:tr w14:paraId="19CA00D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181" w:hRule="atLeast"/>
                <w:jc w:val="center"/>
              </w:trPr>
              <w:tc>
                <w:tcPr>
                  <w:tcW w:w="2687" w:type="pct"/>
                  <w:tcBorders>
                    <w:tl2br w:val="nil"/>
                    <w:tr2bl w:val="nil"/>
                  </w:tcBorders>
                  <w:vAlign w:val="center"/>
                </w:tcPr>
                <w:p w14:paraId="06F21E11">
                  <w:pPr>
                    <w:pStyle w:val="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both"/>
                    <w:textAlignment w:val="auto"/>
                    <w:rPr>
                      <w:rFonts w:hint="default" w:ascii="Times New Roman" w:hAnsi="Times New Roman" w:eastAsia="宋体" w:cs="Times New Roman"/>
                      <w:color w:val="auto"/>
                      <w:spacing w:val="0"/>
                      <w:kern w:val="0"/>
                      <w:sz w:val="21"/>
                      <w:szCs w:val="21"/>
                      <w:highlight w:val="none"/>
                      <w:lang w:val="en-US" w:eastAsia="zh-CN" w:bidi="ar-SA"/>
                    </w:rPr>
                  </w:pPr>
                  <w:r>
                    <w:rPr>
                      <w:rFonts w:hint="default" w:ascii="Times New Roman" w:hAnsi="Times New Roman" w:eastAsia="宋体" w:cs="Times New Roman"/>
                      <w:color w:val="auto"/>
                      <w:spacing w:val="0"/>
                      <w:sz w:val="21"/>
                      <w:szCs w:val="21"/>
                      <w:highlight w:val="none"/>
                    </w:rPr>
                    <w:t>禁止在饮用水水源一级保护区的岸线和河段范围内新建、改建、扩建与供水设施和保护水源无关的项目，以及网箱养殖、畜禽养殖、旅游等可能污染饮用水水体的投资建设项目。禁止在饮用水水源二级保护区的岸线和河段范围内新建、改建、扩建排放污染物的投资建设项目</w:t>
                  </w:r>
                  <w:r>
                    <w:rPr>
                      <w:rFonts w:hint="default" w:ascii="Times New Roman" w:hAnsi="Times New Roman" w:eastAsia="宋体" w:cs="Times New Roman"/>
                      <w:color w:val="auto"/>
                      <w:spacing w:val="0"/>
                      <w:sz w:val="21"/>
                      <w:szCs w:val="21"/>
                      <w:highlight w:val="none"/>
                      <w:lang w:eastAsia="zh-CN"/>
                    </w:rPr>
                    <w:t>。</w:t>
                  </w:r>
                </w:p>
              </w:tc>
              <w:tc>
                <w:tcPr>
                  <w:tcW w:w="1507" w:type="pct"/>
                  <w:tcBorders>
                    <w:tl2br w:val="nil"/>
                    <w:tr2bl w:val="nil"/>
                  </w:tcBorders>
                  <w:vAlign w:val="center"/>
                </w:tcPr>
                <w:p w14:paraId="2DFCE991">
                  <w:pPr>
                    <w:pStyle w:val="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both"/>
                    <w:textAlignment w:val="auto"/>
                    <w:rPr>
                      <w:rFonts w:hint="default" w:ascii="Times New Roman" w:hAnsi="Times New Roman" w:eastAsia="宋体" w:cs="Times New Roman"/>
                      <w:color w:val="auto"/>
                      <w:spacing w:val="0"/>
                      <w:kern w:val="0"/>
                      <w:sz w:val="21"/>
                      <w:szCs w:val="21"/>
                      <w:highlight w:val="none"/>
                      <w:lang w:val="en-US" w:eastAsia="zh-CN" w:bidi="ar-SA"/>
                    </w:rPr>
                  </w:pPr>
                  <w:r>
                    <w:rPr>
                      <w:rFonts w:hint="default" w:ascii="Times New Roman" w:hAnsi="Times New Roman" w:eastAsia="宋体" w:cs="Times New Roman"/>
                      <w:color w:val="auto"/>
                      <w:spacing w:val="0"/>
                      <w:sz w:val="21"/>
                      <w:szCs w:val="21"/>
                      <w:highlight w:val="none"/>
                      <w:lang w:eastAsia="zh-CN"/>
                    </w:rPr>
                    <w:t>本项目</w:t>
                  </w:r>
                  <w:r>
                    <w:rPr>
                      <w:rFonts w:hint="default" w:ascii="Times New Roman" w:hAnsi="Times New Roman" w:eastAsia="宋体" w:cs="Times New Roman"/>
                      <w:color w:val="auto"/>
                      <w:spacing w:val="0"/>
                      <w:sz w:val="21"/>
                      <w:szCs w:val="21"/>
                      <w:highlight w:val="none"/>
                    </w:rPr>
                    <w:t>不在饮用水水源保护区的岸线和河段范围内</w:t>
                  </w:r>
                </w:p>
              </w:tc>
              <w:tc>
                <w:tcPr>
                  <w:tcW w:w="804" w:type="pct"/>
                  <w:tcBorders>
                    <w:tl2br w:val="nil"/>
                    <w:tr2bl w:val="nil"/>
                  </w:tcBorders>
                  <w:vAlign w:val="center"/>
                </w:tcPr>
                <w:p w14:paraId="75BA3783">
                  <w:pPr>
                    <w:pStyle w:val="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0"/>
                      <w:kern w:val="0"/>
                      <w:sz w:val="21"/>
                      <w:szCs w:val="21"/>
                      <w:highlight w:val="none"/>
                      <w:lang w:val="en-US" w:eastAsia="zh-CN" w:bidi="ar-SA"/>
                    </w:rPr>
                  </w:pPr>
                  <w:r>
                    <w:rPr>
                      <w:rFonts w:hint="default" w:ascii="Times New Roman" w:hAnsi="Times New Roman" w:eastAsia="宋体" w:cs="Times New Roman"/>
                      <w:color w:val="auto"/>
                      <w:spacing w:val="0"/>
                      <w:sz w:val="21"/>
                      <w:szCs w:val="21"/>
                      <w:highlight w:val="none"/>
                    </w:rPr>
                    <w:t>符合</w:t>
                  </w:r>
                </w:p>
              </w:tc>
            </w:tr>
            <w:tr w14:paraId="1A54614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639" w:hRule="atLeast"/>
                <w:jc w:val="center"/>
              </w:trPr>
              <w:tc>
                <w:tcPr>
                  <w:tcW w:w="2687" w:type="pct"/>
                  <w:tcBorders>
                    <w:tl2br w:val="nil"/>
                    <w:tr2bl w:val="nil"/>
                  </w:tcBorders>
                  <w:vAlign w:val="center"/>
                </w:tcPr>
                <w:p w14:paraId="332C4F33">
                  <w:pPr>
                    <w:pStyle w:val="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both"/>
                    <w:textAlignment w:val="auto"/>
                    <w:rPr>
                      <w:rFonts w:hint="default" w:ascii="Times New Roman" w:hAnsi="Times New Roman" w:eastAsia="宋体" w:cs="Times New Roman"/>
                      <w:color w:val="auto"/>
                      <w:spacing w:val="0"/>
                      <w:kern w:val="0"/>
                      <w:sz w:val="21"/>
                      <w:szCs w:val="21"/>
                      <w:highlight w:val="none"/>
                      <w:lang w:val="en-US" w:eastAsia="zh-CN" w:bidi="ar-SA"/>
                    </w:rPr>
                  </w:pPr>
                  <w:r>
                    <w:rPr>
                      <w:rFonts w:hint="default" w:ascii="Times New Roman" w:hAnsi="Times New Roman" w:eastAsia="宋体" w:cs="Times New Roman"/>
                      <w:color w:val="auto"/>
                      <w:spacing w:val="0"/>
                      <w:sz w:val="21"/>
                      <w:szCs w:val="21"/>
                      <w:highlight w:val="none"/>
                    </w:rPr>
                    <w:t>禁止在水产种质资源保护区的岸线和河段范围内新建围湖造田、围海造地或围填海等投资建设项目。禁止在国家湿地公园的岸线和河段范围内挖沙、采矿，以及任何不符合主体功能定位的投资建设项目。</w:t>
                  </w:r>
                </w:p>
              </w:tc>
              <w:tc>
                <w:tcPr>
                  <w:tcW w:w="1507" w:type="pct"/>
                  <w:tcBorders>
                    <w:tl2br w:val="nil"/>
                    <w:tr2bl w:val="nil"/>
                  </w:tcBorders>
                  <w:vAlign w:val="center"/>
                </w:tcPr>
                <w:p w14:paraId="24977BEB">
                  <w:pPr>
                    <w:pStyle w:val="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both"/>
                    <w:textAlignment w:val="auto"/>
                    <w:rPr>
                      <w:rFonts w:hint="default" w:ascii="Times New Roman" w:hAnsi="Times New Roman" w:eastAsia="宋体" w:cs="Times New Roman"/>
                      <w:color w:val="auto"/>
                      <w:spacing w:val="0"/>
                      <w:kern w:val="0"/>
                      <w:sz w:val="21"/>
                      <w:szCs w:val="21"/>
                      <w:highlight w:val="none"/>
                      <w:lang w:val="en-US" w:eastAsia="zh-CN" w:bidi="ar-SA"/>
                    </w:rPr>
                  </w:pPr>
                  <w:r>
                    <w:rPr>
                      <w:rFonts w:hint="default" w:ascii="Times New Roman" w:hAnsi="Times New Roman" w:eastAsia="宋体" w:cs="Times New Roman"/>
                      <w:color w:val="auto"/>
                      <w:spacing w:val="0"/>
                      <w:sz w:val="21"/>
                      <w:szCs w:val="21"/>
                      <w:highlight w:val="none"/>
                      <w:lang w:eastAsia="zh-CN"/>
                    </w:rPr>
                    <w:t>本项目</w:t>
                  </w:r>
                  <w:r>
                    <w:rPr>
                      <w:rFonts w:hint="default" w:ascii="Times New Roman" w:hAnsi="Times New Roman" w:eastAsia="宋体" w:cs="Times New Roman"/>
                      <w:color w:val="auto"/>
                      <w:spacing w:val="0"/>
                      <w:sz w:val="21"/>
                      <w:szCs w:val="21"/>
                      <w:highlight w:val="none"/>
                    </w:rPr>
                    <w:t>不在水产种质资源保护区的岸线和河段范围</w:t>
                  </w:r>
                  <w:r>
                    <w:rPr>
                      <w:rFonts w:hint="default" w:ascii="Times New Roman" w:hAnsi="Times New Roman" w:eastAsia="宋体" w:cs="Times New Roman"/>
                      <w:color w:val="auto"/>
                      <w:spacing w:val="0"/>
                      <w:sz w:val="21"/>
                      <w:szCs w:val="21"/>
                      <w:highlight w:val="none"/>
                      <w:lang w:eastAsia="zh-CN"/>
                    </w:rPr>
                    <w:t>内</w:t>
                  </w:r>
                </w:p>
              </w:tc>
              <w:tc>
                <w:tcPr>
                  <w:tcW w:w="804" w:type="pct"/>
                  <w:tcBorders>
                    <w:tl2br w:val="nil"/>
                    <w:tr2bl w:val="nil"/>
                  </w:tcBorders>
                  <w:vAlign w:val="center"/>
                </w:tcPr>
                <w:p w14:paraId="09F84578">
                  <w:pPr>
                    <w:pStyle w:val="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0"/>
                      <w:kern w:val="0"/>
                      <w:sz w:val="21"/>
                      <w:szCs w:val="21"/>
                      <w:highlight w:val="none"/>
                      <w:lang w:val="en-US" w:eastAsia="zh-CN" w:bidi="ar-SA"/>
                    </w:rPr>
                  </w:pPr>
                  <w:r>
                    <w:rPr>
                      <w:rFonts w:hint="default" w:ascii="Times New Roman" w:hAnsi="Times New Roman" w:eastAsia="宋体" w:cs="Times New Roman"/>
                      <w:color w:val="auto"/>
                      <w:spacing w:val="0"/>
                      <w:sz w:val="21"/>
                      <w:szCs w:val="21"/>
                      <w:highlight w:val="none"/>
                    </w:rPr>
                    <w:t>符合</w:t>
                  </w:r>
                </w:p>
              </w:tc>
            </w:tr>
            <w:tr w14:paraId="46C8A1C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2" w:hRule="atLeast"/>
                <w:jc w:val="center"/>
              </w:trPr>
              <w:tc>
                <w:tcPr>
                  <w:tcW w:w="2687" w:type="pct"/>
                  <w:tcBorders>
                    <w:tl2br w:val="nil"/>
                    <w:tr2bl w:val="nil"/>
                  </w:tcBorders>
                  <w:vAlign w:val="center"/>
                </w:tcPr>
                <w:p w14:paraId="765DAA53">
                  <w:pPr>
                    <w:pStyle w:val="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both"/>
                    <w:textAlignment w:val="auto"/>
                    <w:rPr>
                      <w:rFonts w:hint="default" w:ascii="Times New Roman" w:hAnsi="Times New Roman" w:eastAsia="宋体" w:cs="Times New Roman"/>
                      <w:color w:val="auto"/>
                      <w:spacing w:val="0"/>
                      <w:kern w:val="0"/>
                      <w:sz w:val="21"/>
                      <w:szCs w:val="21"/>
                      <w:highlight w:val="none"/>
                      <w:lang w:val="en-US" w:eastAsia="zh-CN" w:bidi="ar-SA"/>
                    </w:rPr>
                  </w:pPr>
                  <w:r>
                    <w:rPr>
                      <w:rFonts w:hint="default" w:ascii="Times New Roman" w:hAnsi="Times New Roman" w:eastAsia="宋体" w:cs="Times New Roman"/>
                      <w:color w:val="auto"/>
                      <w:spacing w:val="0"/>
                      <w:sz w:val="21"/>
                      <w:szCs w:val="21"/>
                      <w:highlight w:val="none"/>
                    </w:rPr>
                    <w:t>禁止违法利用、占用长江流域河湖岸线。禁止在《长江岸线保护和开发利用总体规划》划定的岸线保护区和保留区内投资建设除事关公共安全及公众利益的防洪护岸、河道治理、供水、生态环境保护、航道整治、国家重要基础设施以外的项目。禁止在《全国重要江河湖泊水功能区划》划定的河段及湖泊保护区、保留区内投资建设不利于水资源及自然生态保护的项目。</w:t>
                  </w:r>
                </w:p>
              </w:tc>
              <w:tc>
                <w:tcPr>
                  <w:tcW w:w="1507" w:type="pct"/>
                  <w:tcBorders>
                    <w:tl2br w:val="nil"/>
                    <w:tr2bl w:val="nil"/>
                  </w:tcBorders>
                  <w:vAlign w:val="center"/>
                </w:tcPr>
                <w:p w14:paraId="67126F7A">
                  <w:pPr>
                    <w:pStyle w:val="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both"/>
                    <w:textAlignment w:val="auto"/>
                    <w:rPr>
                      <w:rFonts w:hint="default" w:ascii="Times New Roman" w:hAnsi="Times New Roman" w:eastAsia="宋体" w:cs="Times New Roman"/>
                      <w:color w:val="auto"/>
                      <w:spacing w:val="0"/>
                      <w:kern w:val="0"/>
                      <w:sz w:val="21"/>
                      <w:szCs w:val="21"/>
                      <w:highlight w:val="none"/>
                      <w:lang w:val="en-US" w:eastAsia="zh-CN" w:bidi="ar-SA"/>
                    </w:rPr>
                  </w:pPr>
                  <w:r>
                    <w:rPr>
                      <w:rFonts w:hint="default" w:ascii="Times New Roman" w:hAnsi="Times New Roman" w:eastAsia="宋体" w:cs="Times New Roman"/>
                      <w:color w:val="auto"/>
                      <w:spacing w:val="0"/>
                      <w:sz w:val="21"/>
                      <w:szCs w:val="21"/>
                      <w:highlight w:val="none"/>
                      <w:lang w:eastAsia="zh-CN"/>
                    </w:rPr>
                    <w:t>本项目</w:t>
                  </w:r>
                  <w:r>
                    <w:rPr>
                      <w:rFonts w:hint="default" w:ascii="Times New Roman" w:hAnsi="Times New Roman" w:eastAsia="宋体" w:cs="Times New Roman"/>
                      <w:color w:val="auto"/>
                      <w:spacing w:val="0"/>
                      <w:sz w:val="21"/>
                      <w:szCs w:val="21"/>
                      <w:highlight w:val="none"/>
                    </w:rPr>
                    <w:t>不在岸线保护区和保留区</w:t>
                  </w:r>
                  <w:r>
                    <w:rPr>
                      <w:rFonts w:hint="default" w:ascii="Times New Roman" w:hAnsi="Times New Roman" w:eastAsia="宋体" w:cs="Times New Roman"/>
                      <w:color w:val="auto"/>
                      <w:spacing w:val="0"/>
                      <w:sz w:val="21"/>
                      <w:szCs w:val="21"/>
                      <w:highlight w:val="none"/>
                      <w:lang w:eastAsia="zh-CN"/>
                    </w:rPr>
                    <w:t>，不在</w:t>
                  </w:r>
                  <w:r>
                    <w:rPr>
                      <w:rFonts w:hint="default" w:ascii="Times New Roman" w:hAnsi="Times New Roman" w:eastAsia="宋体" w:cs="Times New Roman"/>
                      <w:color w:val="auto"/>
                      <w:spacing w:val="0"/>
                      <w:sz w:val="21"/>
                      <w:szCs w:val="21"/>
                      <w:highlight w:val="none"/>
                    </w:rPr>
                    <w:t>划定的河段及湖泊保护区、保留区内</w:t>
                  </w:r>
                </w:p>
              </w:tc>
              <w:tc>
                <w:tcPr>
                  <w:tcW w:w="804" w:type="pct"/>
                  <w:tcBorders>
                    <w:tl2br w:val="nil"/>
                    <w:tr2bl w:val="nil"/>
                  </w:tcBorders>
                  <w:vAlign w:val="center"/>
                </w:tcPr>
                <w:p w14:paraId="3576ECCA">
                  <w:pPr>
                    <w:pStyle w:val="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0"/>
                      <w:kern w:val="0"/>
                      <w:sz w:val="21"/>
                      <w:szCs w:val="21"/>
                      <w:highlight w:val="none"/>
                      <w:lang w:val="en-US" w:eastAsia="zh-CN" w:bidi="ar-SA"/>
                    </w:rPr>
                  </w:pPr>
                  <w:r>
                    <w:rPr>
                      <w:rFonts w:hint="default" w:ascii="Times New Roman" w:hAnsi="Times New Roman" w:eastAsia="宋体" w:cs="Times New Roman"/>
                      <w:color w:val="auto"/>
                      <w:spacing w:val="0"/>
                      <w:sz w:val="21"/>
                      <w:szCs w:val="21"/>
                      <w:highlight w:val="none"/>
                    </w:rPr>
                    <w:t>符合</w:t>
                  </w:r>
                </w:p>
              </w:tc>
            </w:tr>
            <w:tr w14:paraId="5E4A452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25" w:hRule="atLeast"/>
                <w:jc w:val="center"/>
              </w:trPr>
              <w:tc>
                <w:tcPr>
                  <w:tcW w:w="2687" w:type="pct"/>
                  <w:tcBorders>
                    <w:tl2br w:val="nil"/>
                    <w:tr2bl w:val="nil"/>
                  </w:tcBorders>
                  <w:vAlign w:val="center"/>
                </w:tcPr>
                <w:p w14:paraId="36015BD5">
                  <w:pPr>
                    <w:pStyle w:val="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both"/>
                    <w:textAlignment w:val="auto"/>
                    <w:rPr>
                      <w:rFonts w:hint="default" w:ascii="Times New Roman" w:hAnsi="Times New Roman" w:eastAsia="宋体" w:cs="Times New Roman"/>
                      <w:color w:val="auto"/>
                      <w:spacing w:val="0"/>
                      <w:kern w:val="0"/>
                      <w:sz w:val="21"/>
                      <w:szCs w:val="21"/>
                      <w:highlight w:val="none"/>
                      <w:lang w:val="en-US" w:eastAsia="zh-CN" w:bidi="ar-SA"/>
                    </w:rPr>
                  </w:pPr>
                  <w:r>
                    <w:rPr>
                      <w:rFonts w:hint="default" w:ascii="Times New Roman" w:hAnsi="Times New Roman" w:eastAsia="宋体" w:cs="Times New Roman"/>
                      <w:color w:val="auto"/>
                      <w:spacing w:val="0"/>
                      <w:sz w:val="21"/>
                      <w:szCs w:val="21"/>
                      <w:highlight w:val="none"/>
                    </w:rPr>
                    <w:t>禁止未经许可在长江干支流及湖泊新设、改设或扩大排污</w:t>
                  </w:r>
                  <w:r>
                    <w:rPr>
                      <w:rFonts w:hint="default" w:ascii="Times New Roman" w:hAnsi="Times New Roman" w:eastAsia="宋体" w:cs="Times New Roman"/>
                      <w:color w:val="auto"/>
                      <w:spacing w:val="0"/>
                      <w:sz w:val="21"/>
                      <w:szCs w:val="21"/>
                      <w:highlight w:val="none"/>
                      <w:lang w:eastAsia="zh-CN"/>
                    </w:rPr>
                    <w:t>口</w:t>
                  </w:r>
                  <w:r>
                    <w:rPr>
                      <w:rFonts w:hint="default" w:ascii="Times New Roman" w:hAnsi="Times New Roman" w:eastAsia="宋体" w:cs="Times New Roman"/>
                      <w:color w:val="auto"/>
                      <w:spacing w:val="0"/>
                      <w:sz w:val="21"/>
                      <w:szCs w:val="21"/>
                      <w:highlight w:val="none"/>
                    </w:rPr>
                    <w:t>。</w:t>
                  </w:r>
                </w:p>
              </w:tc>
              <w:tc>
                <w:tcPr>
                  <w:tcW w:w="1507" w:type="pct"/>
                  <w:tcBorders>
                    <w:tl2br w:val="nil"/>
                    <w:tr2bl w:val="nil"/>
                  </w:tcBorders>
                  <w:vAlign w:val="center"/>
                </w:tcPr>
                <w:p w14:paraId="3F5C59AD">
                  <w:pPr>
                    <w:pStyle w:val="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both"/>
                    <w:textAlignment w:val="auto"/>
                    <w:rPr>
                      <w:rFonts w:hint="default" w:ascii="Times New Roman" w:hAnsi="Times New Roman" w:eastAsia="宋体" w:cs="Times New Roman"/>
                      <w:color w:val="auto"/>
                      <w:spacing w:val="0"/>
                      <w:kern w:val="0"/>
                      <w:sz w:val="21"/>
                      <w:szCs w:val="21"/>
                      <w:highlight w:val="none"/>
                      <w:lang w:val="en-US" w:eastAsia="zh-CN" w:bidi="ar-SA"/>
                    </w:rPr>
                  </w:pPr>
                  <w:r>
                    <w:rPr>
                      <w:rFonts w:hint="default" w:ascii="Times New Roman" w:hAnsi="Times New Roman" w:eastAsia="宋体" w:cs="Times New Roman"/>
                      <w:color w:val="auto"/>
                      <w:spacing w:val="0"/>
                      <w:sz w:val="21"/>
                      <w:szCs w:val="21"/>
                      <w:highlight w:val="none"/>
                      <w:lang w:eastAsia="zh-CN"/>
                    </w:rPr>
                    <w:t>本项目不涉及在长江干支流及湖泊新设、改设或扩大排污口</w:t>
                  </w:r>
                </w:p>
              </w:tc>
              <w:tc>
                <w:tcPr>
                  <w:tcW w:w="804" w:type="pct"/>
                  <w:tcBorders>
                    <w:tl2br w:val="nil"/>
                    <w:tr2bl w:val="nil"/>
                  </w:tcBorders>
                  <w:vAlign w:val="center"/>
                </w:tcPr>
                <w:p w14:paraId="74FF9F8A">
                  <w:pPr>
                    <w:pStyle w:val="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0"/>
                      <w:kern w:val="0"/>
                      <w:sz w:val="21"/>
                      <w:szCs w:val="21"/>
                      <w:highlight w:val="none"/>
                      <w:lang w:val="en-US" w:eastAsia="zh-CN" w:bidi="ar-SA"/>
                    </w:rPr>
                  </w:pPr>
                  <w:r>
                    <w:rPr>
                      <w:rFonts w:hint="default" w:ascii="Times New Roman" w:hAnsi="Times New Roman" w:eastAsia="宋体" w:cs="Times New Roman"/>
                      <w:color w:val="auto"/>
                      <w:spacing w:val="0"/>
                      <w:sz w:val="21"/>
                      <w:szCs w:val="21"/>
                      <w:highlight w:val="none"/>
                    </w:rPr>
                    <w:t>符合</w:t>
                  </w:r>
                </w:p>
              </w:tc>
            </w:tr>
            <w:tr w14:paraId="692B6E1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53" w:hRule="atLeast"/>
                <w:jc w:val="center"/>
              </w:trPr>
              <w:tc>
                <w:tcPr>
                  <w:tcW w:w="2687" w:type="pct"/>
                  <w:tcBorders>
                    <w:tl2br w:val="nil"/>
                    <w:tr2bl w:val="nil"/>
                  </w:tcBorders>
                  <w:vAlign w:val="center"/>
                </w:tcPr>
                <w:p w14:paraId="3FA86399">
                  <w:pPr>
                    <w:pStyle w:val="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both"/>
                    <w:textAlignment w:val="auto"/>
                    <w:rPr>
                      <w:rFonts w:hint="default" w:ascii="Times New Roman" w:hAnsi="Times New Roman" w:eastAsia="宋体" w:cs="Times New Roman"/>
                      <w:color w:val="auto"/>
                      <w:spacing w:val="0"/>
                      <w:kern w:val="0"/>
                      <w:sz w:val="21"/>
                      <w:szCs w:val="21"/>
                      <w:highlight w:val="none"/>
                      <w:lang w:val="en-US" w:eastAsia="zh-CN" w:bidi="ar-SA"/>
                    </w:rPr>
                  </w:pPr>
                  <w:r>
                    <w:rPr>
                      <w:rFonts w:hint="default" w:ascii="Times New Roman" w:hAnsi="Times New Roman" w:eastAsia="宋体" w:cs="Times New Roman"/>
                      <w:color w:val="auto"/>
                      <w:spacing w:val="0"/>
                      <w:sz w:val="21"/>
                      <w:szCs w:val="21"/>
                      <w:highlight w:val="none"/>
                    </w:rPr>
                    <w:t>禁止在</w:t>
                  </w:r>
                  <w:r>
                    <w:rPr>
                      <w:rFonts w:hint="eastAsia" w:ascii="Times New Roman" w:hAnsi="Times New Roman" w:eastAsia="宋体" w:cs="Times New Roman"/>
                      <w:color w:val="auto"/>
                      <w:spacing w:val="0"/>
                      <w:sz w:val="21"/>
                      <w:szCs w:val="21"/>
                      <w:highlight w:val="none"/>
                      <w:lang w:eastAsia="zh-CN"/>
                    </w:rPr>
                    <w:t>“</w:t>
                  </w:r>
                  <w:r>
                    <w:rPr>
                      <w:rFonts w:hint="default" w:ascii="Times New Roman" w:hAnsi="Times New Roman" w:eastAsia="宋体" w:cs="Times New Roman"/>
                      <w:color w:val="auto"/>
                      <w:spacing w:val="0"/>
                      <w:sz w:val="21"/>
                      <w:szCs w:val="21"/>
                      <w:highlight w:val="none"/>
                    </w:rPr>
                    <w:t>一江一口两湖七河</w:t>
                  </w:r>
                  <w:r>
                    <w:rPr>
                      <w:rFonts w:hint="eastAsia" w:ascii="Times New Roman" w:hAnsi="Times New Roman" w:eastAsia="宋体" w:cs="Times New Roman"/>
                      <w:color w:val="auto"/>
                      <w:spacing w:val="0"/>
                      <w:sz w:val="21"/>
                      <w:szCs w:val="21"/>
                      <w:highlight w:val="none"/>
                      <w:lang w:eastAsia="zh-CN"/>
                    </w:rPr>
                    <w:t>”</w:t>
                  </w:r>
                  <w:r>
                    <w:rPr>
                      <w:rFonts w:hint="default" w:ascii="Times New Roman" w:hAnsi="Times New Roman" w:eastAsia="宋体" w:cs="Times New Roman"/>
                      <w:color w:val="auto"/>
                      <w:spacing w:val="0"/>
                      <w:sz w:val="21"/>
                      <w:szCs w:val="21"/>
                      <w:highlight w:val="none"/>
                    </w:rPr>
                    <w:t>和332个水生生物保护区开展生产性捕捞。</w:t>
                  </w:r>
                </w:p>
              </w:tc>
              <w:tc>
                <w:tcPr>
                  <w:tcW w:w="1507" w:type="pct"/>
                  <w:tcBorders>
                    <w:tl2br w:val="nil"/>
                    <w:tr2bl w:val="nil"/>
                  </w:tcBorders>
                  <w:vAlign w:val="center"/>
                </w:tcPr>
                <w:p w14:paraId="3E5C322A">
                  <w:pPr>
                    <w:pStyle w:val="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both"/>
                    <w:textAlignment w:val="auto"/>
                    <w:rPr>
                      <w:rFonts w:hint="default" w:ascii="Times New Roman" w:hAnsi="Times New Roman" w:eastAsia="宋体" w:cs="Times New Roman"/>
                      <w:color w:val="auto"/>
                      <w:spacing w:val="0"/>
                      <w:kern w:val="0"/>
                      <w:sz w:val="21"/>
                      <w:szCs w:val="21"/>
                      <w:highlight w:val="none"/>
                      <w:lang w:val="en-US" w:eastAsia="zh-CN" w:bidi="ar-SA"/>
                    </w:rPr>
                  </w:pPr>
                  <w:r>
                    <w:rPr>
                      <w:rFonts w:hint="default" w:ascii="Times New Roman" w:hAnsi="Times New Roman" w:eastAsia="宋体" w:cs="Times New Roman"/>
                      <w:color w:val="auto"/>
                      <w:spacing w:val="0"/>
                      <w:sz w:val="21"/>
                      <w:szCs w:val="21"/>
                      <w:highlight w:val="none"/>
                      <w:lang w:eastAsia="zh-CN"/>
                    </w:rPr>
                    <w:t>本项目不涉及生产性捕捞</w:t>
                  </w:r>
                </w:p>
              </w:tc>
              <w:tc>
                <w:tcPr>
                  <w:tcW w:w="804" w:type="pct"/>
                  <w:tcBorders>
                    <w:tl2br w:val="nil"/>
                    <w:tr2bl w:val="nil"/>
                  </w:tcBorders>
                  <w:vAlign w:val="center"/>
                </w:tcPr>
                <w:p w14:paraId="0F515BE4">
                  <w:pPr>
                    <w:pStyle w:val="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0"/>
                      <w:kern w:val="0"/>
                      <w:sz w:val="21"/>
                      <w:szCs w:val="21"/>
                      <w:highlight w:val="none"/>
                      <w:lang w:val="en-US" w:eastAsia="zh-CN" w:bidi="ar-SA"/>
                    </w:rPr>
                  </w:pPr>
                  <w:r>
                    <w:rPr>
                      <w:rFonts w:hint="default" w:ascii="Times New Roman" w:hAnsi="Times New Roman" w:eastAsia="宋体" w:cs="Times New Roman"/>
                      <w:color w:val="auto"/>
                      <w:spacing w:val="0"/>
                      <w:sz w:val="21"/>
                      <w:szCs w:val="21"/>
                      <w:highlight w:val="none"/>
                    </w:rPr>
                    <w:t>符合</w:t>
                  </w:r>
                </w:p>
              </w:tc>
            </w:tr>
            <w:tr w14:paraId="4336D3D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10" w:hRule="atLeast"/>
                <w:jc w:val="center"/>
              </w:trPr>
              <w:tc>
                <w:tcPr>
                  <w:tcW w:w="2687" w:type="pct"/>
                  <w:tcBorders>
                    <w:tl2br w:val="nil"/>
                    <w:tr2bl w:val="nil"/>
                  </w:tcBorders>
                  <w:vAlign w:val="center"/>
                </w:tcPr>
                <w:p w14:paraId="23323824">
                  <w:pPr>
                    <w:pStyle w:val="92"/>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both"/>
                    <w:textAlignment w:val="auto"/>
                    <w:rPr>
                      <w:rFonts w:hint="default" w:ascii="Times New Roman" w:hAnsi="Times New Roman" w:eastAsia="宋体" w:cs="Times New Roman"/>
                      <w:color w:val="auto"/>
                      <w:spacing w:val="0"/>
                      <w:sz w:val="21"/>
                      <w:szCs w:val="21"/>
                      <w:highlight w:val="none"/>
                      <w:lang w:val="en-US" w:eastAsia="zh-CN"/>
                    </w:rPr>
                  </w:pPr>
                  <w:r>
                    <w:rPr>
                      <w:rFonts w:hint="default" w:ascii="Times New Roman" w:hAnsi="Times New Roman" w:eastAsia="宋体" w:cs="Times New Roman"/>
                      <w:color w:val="auto"/>
                      <w:spacing w:val="0"/>
                      <w:sz w:val="21"/>
                      <w:szCs w:val="21"/>
                      <w:highlight w:val="none"/>
                    </w:rPr>
                    <w:t>禁止在长江干支流、重要湖泊岸线一公里范围内新建、扩建化工园区和化工项目。禁止在长江干流岸线三公里范围内和重要支流岸线一公里范围内新建、改建、扩建尾矿库、冶炼渣库和磷石膏库，以提升安全、生态环境保护水平为目的改建除外。</w:t>
                  </w:r>
                </w:p>
              </w:tc>
              <w:tc>
                <w:tcPr>
                  <w:tcW w:w="1507" w:type="pct"/>
                  <w:tcBorders>
                    <w:tl2br w:val="nil"/>
                    <w:tr2bl w:val="nil"/>
                  </w:tcBorders>
                  <w:vAlign w:val="center"/>
                </w:tcPr>
                <w:p w14:paraId="7F2A6A8B">
                  <w:pPr>
                    <w:pStyle w:val="92"/>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both"/>
                    <w:textAlignment w:val="auto"/>
                    <w:rPr>
                      <w:rFonts w:hint="default" w:ascii="Times New Roman" w:hAnsi="Times New Roman" w:eastAsia="宋体" w:cs="Times New Roman"/>
                      <w:color w:val="auto"/>
                      <w:spacing w:val="0"/>
                      <w:sz w:val="21"/>
                      <w:szCs w:val="21"/>
                      <w:highlight w:val="none"/>
                      <w:lang w:val="en-US" w:eastAsia="zh-CN"/>
                    </w:rPr>
                  </w:pPr>
                  <w:r>
                    <w:rPr>
                      <w:rFonts w:hint="default" w:ascii="Times New Roman" w:hAnsi="Times New Roman" w:eastAsia="宋体" w:cs="Times New Roman"/>
                      <w:color w:val="auto"/>
                      <w:spacing w:val="0"/>
                      <w:sz w:val="21"/>
                      <w:szCs w:val="21"/>
                      <w:highlight w:val="none"/>
                    </w:rPr>
                    <w:t>本项目位于</w:t>
                  </w:r>
                  <w:r>
                    <w:rPr>
                      <w:rFonts w:hint="eastAsia" w:ascii="Times New Roman" w:hAnsi="Times New Roman" w:eastAsia="宋体" w:cs="Times New Roman"/>
                      <w:color w:val="auto"/>
                      <w:spacing w:val="0"/>
                      <w:sz w:val="21"/>
                      <w:szCs w:val="21"/>
                      <w:highlight w:val="none"/>
                      <w:lang w:val="en-US" w:eastAsia="zh-CN"/>
                    </w:rPr>
                    <w:t>江西省景德镇市乐平市金山工业园</w:t>
                  </w:r>
                  <w:r>
                    <w:rPr>
                      <w:rFonts w:hint="default" w:ascii="Times New Roman" w:hAnsi="Times New Roman" w:eastAsia="宋体" w:cs="Times New Roman"/>
                      <w:color w:val="auto"/>
                      <w:spacing w:val="0"/>
                      <w:sz w:val="21"/>
                      <w:szCs w:val="21"/>
                      <w:highlight w:val="none"/>
                      <w:lang w:val="en-US" w:eastAsia="zh-CN"/>
                    </w:rPr>
                    <w:t>内</w:t>
                  </w:r>
                  <w:r>
                    <w:rPr>
                      <w:rFonts w:hint="default" w:ascii="Times New Roman" w:hAnsi="Times New Roman" w:eastAsia="宋体" w:cs="Times New Roman"/>
                      <w:color w:val="auto"/>
                      <w:spacing w:val="0"/>
                      <w:kern w:val="0"/>
                      <w:sz w:val="21"/>
                      <w:szCs w:val="21"/>
                      <w:highlight w:val="none"/>
                    </w:rPr>
                    <w:t>，</w:t>
                  </w:r>
                  <w:r>
                    <w:rPr>
                      <w:rFonts w:hint="default" w:ascii="Times New Roman" w:hAnsi="Times New Roman" w:eastAsia="宋体" w:cs="Times New Roman"/>
                      <w:color w:val="auto"/>
                      <w:spacing w:val="0"/>
                      <w:kern w:val="0"/>
                      <w:sz w:val="21"/>
                      <w:szCs w:val="21"/>
                      <w:highlight w:val="none"/>
                      <w:lang w:val="en-US" w:eastAsia="zh-CN"/>
                    </w:rPr>
                    <w:t>不</w:t>
                  </w:r>
                  <w:r>
                    <w:rPr>
                      <w:rFonts w:hint="eastAsia" w:ascii="Times New Roman" w:hAnsi="Times New Roman" w:eastAsia="宋体" w:cs="Times New Roman"/>
                      <w:color w:val="auto"/>
                      <w:spacing w:val="0"/>
                      <w:kern w:val="0"/>
                      <w:sz w:val="21"/>
                      <w:szCs w:val="21"/>
                      <w:highlight w:val="none"/>
                      <w:lang w:val="en-US" w:eastAsia="zh-CN"/>
                    </w:rPr>
                    <w:t>在</w:t>
                  </w:r>
                  <w:r>
                    <w:rPr>
                      <w:rFonts w:hint="default" w:ascii="Times New Roman" w:hAnsi="Times New Roman" w:eastAsia="宋体" w:cs="Times New Roman"/>
                      <w:color w:val="auto"/>
                      <w:spacing w:val="0"/>
                      <w:kern w:val="0"/>
                      <w:sz w:val="21"/>
                      <w:szCs w:val="21"/>
                      <w:highlight w:val="none"/>
                    </w:rPr>
                    <w:t>长江干支流、重要湖泊岸线</w:t>
                  </w:r>
                  <w:r>
                    <w:rPr>
                      <w:rFonts w:hint="default" w:ascii="Times New Roman" w:hAnsi="Times New Roman" w:eastAsia="宋体" w:cs="Times New Roman"/>
                      <w:color w:val="auto"/>
                      <w:spacing w:val="0"/>
                      <w:kern w:val="0"/>
                      <w:sz w:val="21"/>
                      <w:szCs w:val="21"/>
                      <w:highlight w:val="none"/>
                      <w:lang w:val="en-US" w:eastAsia="zh-CN"/>
                    </w:rPr>
                    <w:t>一公里范围内</w:t>
                  </w:r>
                  <w:r>
                    <w:rPr>
                      <w:rFonts w:hint="eastAsia" w:ascii="Times New Roman" w:hAnsi="Times New Roman" w:eastAsia="宋体" w:cs="Times New Roman"/>
                      <w:color w:val="auto"/>
                      <w:spacing w:val="0"/>
                      <w:kern w:val="0"/>
                      <w:sz w:val="21"/>
                      <w:szCs w:val="21"/>
                      <w:highlight w:val="none"/>
                      <w:lang w:val="en-US" w:eastAsia="zh-CN"/>
                    </w:rPr>
                    <w:t>，不涉及新建、扩建化工园区和化工项目</w:t>
                  </w:r>
                </w:p>
              </w:tc>
              <w:tc>
                <w:tcPr>
                  <w:tcW w:w="804" w:type="pct"/>
                  <w:tcBorders>
                    <w:tl2br w:val="nil"/>
                    <w:tr2bl w:val="nil"/>
                  </w:tcBorders>
                  <w:vAlign w:val="center"/>
                </w:tcPr>
                <w:p w14:paraId="52AE6010">
                  <w:pPr>
                    <w:pStyle w:val="92"/>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0"/>
                      <w:sz w:val="21"/>
                      <w:szCs w:val="21"/>
                      <w:highlight w:val="none"/>
                      <w:lang w:val="en-US" w:eastAsia="zh-CN"/>
                    </w:rPr>
                  </w:pPr>
                  <w:r>
                    <w:rPr>
                      <w:rFonts w:hint="default" w:ascii="Times New Roman" w:hAnsi="Times New Roman" w:eastAsia="宋体" w:cs="Times New Roman"/>
                      <w:color w:val="auto"/>
                      <w:spacing w:val="0"/>
                      <w:sz w:val="21"/>
                      <w:szCs w:val="21"/>
                      <w:highlight w:val="none"/>
                    </w:rPr>
                    <w:t>符合</w:t>
                  </w:r>
                </w:p>
              </w:tc>
            </w:tr>
            <w:tr w14:paraId="5FAE393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639" w:hRule="atLeast"/>
                <w:jc w:val="center"/>
              </w:trPr>
              <w:tc>
                <w:tcPr>
                  <w:tcW w:w="2687" w:type="pct"/>
                  <w:tcBorders>
                    <w:tl2br w:val="nil"/>
                    <w:tr2bl w:val="nil"/>
                  </w:tcBorders>
                  <w:vAlign w:val="center"/>
                </w:tcPr>
                <w:p w14:paraId="0BE155A4">
                  <w:pPr>
                    <w:pStyle w:val="92"/>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both"/>
                    <w:textAlignment w:val="auto"/>
                    <w:rPr>
                      <w:rFonts w:hint="default" w:ascii="Times New Roman" w:hAnsi="Times New Roman" w:eastAsia="宋体" w:cs="Times New Roman"/>
                      <w:color w:val="auto"/>
                      <w:spacing w:val="0"/>
                      <w:sz w:val="21"/>
                      <w:szCs w:val="21"/>
                      <w:highlight w:val="none"/>
                      <w:lang w:val="en-US" w:eastAsia="zh-CN"/>
                    </w:rPr>
                  </w:pPr>
                  <w:r>
                    <w:rPr>
                      <w:rFonts w:hint="default" w:ascii="Times New Roman" w:hAnsi="Times New Roman" w:eastAsia="宋体" w:cs="Times New Roman"/>
                      <w:color w:val="auto"/>
                      <w:spacing w:val="0"/>
                      <w:sz w:val="21"/>
                      <w:szCs w:val="21"/>
                      <w:highlight w:val="none"/>
                    </w:rPr>
                    <w:t>禁止在合规园区外新建、扩建钢铁、石化、化工、焦化、建材、有色、制浆造纸等高污染项目。</w:t>
                  </w:r>
                </w:p>
              </w:tc>
              <w:tc>
                <w:tcPr>
                  <w:tcW w:w="1507" w:type="pct"/>
                  <w:tcBorders>
                    <w:tl2br w:val="nil"/>
                    <w:tr2bl w:val="nil"/>
                  </w:tcBorders>
                  <w:vAlign w:val="center"/>
                </w:tcPr>
                <w:p w14:paraId="4BD48142">
                  <w:pPr>
                    <w:pStyle w:val="92"/>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both"/>
                    <w:textAlignment w:val="auto"/>
                    <w:rPr>
                      <w:rFonts w:hint="default" w:ascii="Times New Roman" w:hAnsi="Times New Roman" w:eastAsia="宋体" w:cs="Times New Roman"/>
                      <w:color w:val="auto"/>
                      <w:spacing w:val="0"/>
                      <w:sz w:val="21"/>
                      <w:szCs w:val="21"/>
                      <w:highlight w:val="none"/>
                      <w:lang w:val="en-US" w:eastAsia="zh-CN"/>
                    </w:rPr>
                  </w:pPr>
                  <w:r>
                    <w:rPr>
                      <w:rFonts w:hint="default" w:ascii="Times New Roman" w:hAnsi="Times New Roman" w:eastAsia="宋体" w:cs="Times New Roman"/>
                      <w:color w:val="auto"/>
                      <w:spacing w:val="0"/>
                      <w:sz w:val="21"/>
                      <w:szCs w:val="21"/>
                      <w:highlight w:val="none"/>
                      <w:lang w:val="en-US" w:eastAsia="zh-CN"/>
                    </w:rPr>
                    <w:t>本项目位于</w:t>
                  </w:r>
                  <w:r>
                    <w:rPr>
                      <w:rFonts w:hint="eastAsia" w:ascii="Times New Roman" w:hAnsi="Times New Roman" w:eastAsia="宋体" w:cs="Times New Roman"/>
                      <w:color w:val="auto"/>
                      <w:spacing w:val="0"/>
                      <w:sz w:val="21"/>
                      <w:szCs w:val="21"/>
                      <w:highlight w:val="none"/>
                      <w:lang w:val="en-US" w:eastAsia="zh-CN"/>
                    </w:rPr>
                    <w:t>江西省景德镇市乐平市金山工业园</w:t>
                  </w:r>
                  <w:r>
                    <w:rPr>
                      <w:rFonts w:hint="default" w:ascii="Times New Roman" w:hAnsi="Times New Roman" w:eastAsia="宋体" w:cs="Times New Roman"/>
                      <w:color w:val="auto"/>
                      <w:spacing w:val="0"/>
                      <w:sz w:val="21"/>
                      <w:szCs w:val="21"/>
                      <w:highlight w:val="none"/>
                      <w:lang w:val="en-US" w:eastAsia="zh-CN"/>
                    </w:rPr>
                    <w:t>内，属于合规园区</w:t>
                  </w:r>
                  <w:r>
                    <w:rPr>
                      <w:rFonts w:hint="eastAsia" w:ascii="Times New Roman" w:hAnsi="Times New Roman" w:eastAsia="宋体" w:cs="Times New Roman"/>
                      <w:color w:val="auto"/>
                      <w:spacing w:val="0"/>
                      <w:sz w:val="21"/>
                      <w:szCs w:val="21"/>
                      <w:highlight w:val="none"/>
                      <w:lang w:val="en-US" w:eastAsia="zh-CN"/>
                    </w:rPr>
                    <w:t>，不涉及新建、扩建钢铁、石化、化工、焦化、建材、有色、制浆造纸等高污染项目</w:t>
                  </w:r>
                </w:p>
              </w:tc>
              <w:tc>
                <w:tcPr>
                  <w:tcW w:w="804" w:type="pct"/>
                  <w:tcBorders>
                    <w:tl2br w:val="nil"/>
                    <w:tr2bl w:val="nil"/>
                  </w:tcBorders>
                  <w:vAlign w:val="center"/>
                </w:tcPr>
                <w:p w14:paraId="58D32EE8">
                  <w:pPr>
                    <w:pStyle w:val="92"/>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0"/>
                      <w:sz w:val="21"/>
                      <w:szCs w:val="21"/>
                      <w:highlight w:val="none"/>
                      <w:lang w:val="en-US" w:eastAsia="zh-CN"/>
                    </w:rPr>
                  </w:pPr>
                  <w:r>
                    <w:rPr>
                      <w:rFonts w:hint="default" w:ascii="Times New Roman" w:hAnsi="Times New Roman" w:eastAsia="宋体" w:cs="Times New Roman"/>
                      <w:color w:val="auto"/>
                      <w:spacing w:val="0"/>
                      <w:sz w:val="21"/>
                      <w:szCs w:val="21"/>
                      <w:highlight w:val="none"/>
                    </w:rPr>
                    <w:t>符合</w:t>
                  </w:r>
                </w:p>
              </w:tc>
            </w:tr>
            <w:tr w14:paraId="06C56E1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53" w:hRule="atLeast"/>
                <w:jc w:val="center"/>
              </w:trPr>
              <w:tc>
                <w:tcPr>
                  <w:tcW w:w="2687" w:type="pct"/>
                  <w:tcBorders>
                    <w:tl2br w:val="nil"/>
                    <w:tr2bl w:val="nil"/>
                  </w:tcBorders>
                  <w:vAlign w:val="center"/>
                </w:tcPr>
                <w:p w14:paraId="2D5DE7C1">
                  <w:pPr>
                    <w:pStyle w:val="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both"/>
                    <w:textAlignment w:val="auto"/>
                    <w:rPr>
                      <w:rFonts w:hint="default" w:ascii="Times New Roman" w:hAnsi="Times New Roman" w:eastAsia="宋体" w:cs="Times New Roman"/>
                      <w:color w:val="auto"/>
                      <w:spacing w:val="0"/>
                      <w:kern w:val="0"/>
                      <w:sz w:val="21"/>
                      <w:szCs w:val="21"/>
                      <w:highlight w:val="none"/>
                      <w:lang w:val="en-US" w:eastAsia="zh-CN" w:bidi="ar-SA"/>
                    </w:rPr>
                  </w:pPr>
                  <w:r>
                    <w:rPr>
                      <w:rFonts w:hint="default" w:ascii="Times New Roman" w:hAnsi="Times New Roman" w:eastAsia="宋体" w:cs="Times New Roman"/>
                      <w:color w:val="auto"/>
                      <w:spacing w:val="0"/>
                      <w:sz w:val="21"/>
                      <w:szCs w:val="21"/>
                      <w:highlight w:val="none"/>
                    </w:rPr>
                    <w:t>禁止新建、扩建不符合国家石化、现代煤化工等产业布局规划的项目。</w:t>
                  </w:r>
                </w:p>
              </w:tc>
              <w:tc>
                <w:tcPr>
                  <w:tcW w:w="1507" w:type="pct"/>
                  <w:tcBorders>
                    <w:tl2br w:val="nil"/>
                    <w:tr2bl w:val="nil"/>
                  </w:tcBorders>
                  <w:vAlign w:val="center"/>
                </w:tcPr>
                <w:p w14:paraId="7FA9F09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both"/>
                    <w:textAlignment w:val="auto"/>
                    <w:rPr>
                      <w:rFonts w:hint="default" w:ascii="Times New Roman" w:hAnsi="Times New Roman" w:eastAsia="宋体" w:cs="Times New Roman"/>
                      <w:color w:val="auto"/>
                      <w:spacing w:val="0"/>
                      <w:kern w:val="0"/>
                      <w:sz w:val="21"/>
                      <w:szCs w:val="21"/>
                      <w:highlight w:val="none"/>
                      <w:lang w:val="en-US" w:eastAsia="zh-CN" w:bidi="ar-SA"/>
                    </w:rPr>
                  </w:pPr>
                  <w:r>
                    <w:rPr>
                      <w:rFonts w:hint="default" w:ascii="Times New Roman" w:hAnsi="Times New Roman" w:cs="Times New Roman"/>
                      <w:color w:val="auto"/>
                      <w:spacing w:val="0"/>
                      <w:sz w:val="21"/>
                      <w:szCs w:val="21"/>
                      <w:highlight w:val="none"/>
                      <w:lang w:eastAsia="zh-CN"/>
                    </w:rPr>
                    <w:t>本</w:t>
                  </w:r>
                  <w:r>
                    <w:rPr>
                      <w:rFonts w:hint="default" w:ascii="Times New Roman" w:hAnsi="Times New Roman" w:cs="Times New Roman"/>
                      <w:color w:val="auto"/>
                      <w:spacing w:val="0"/>
                      <w:sz w:val="21"/>
                      <w:szCs w:val="21"/>
                      <w:highlight w:val="none"/>
                    </w:rPr>
                    <w:t>项目不属于石化、现代煤化工等产业</w:t>
                  </w:r>
                </w:p>
              </w:tc>
              <w:tc>
                <w:tcPr>
                  <w:tcW w:w="804" w:type="pct"/>
                  <w:tcBorders>
                    <w:tl2br w:val="nil"/>
                    <w:tr2bl w:val="nil"/>
                  </w:tcBorders>
                  <w:vAlign w:val="center"/>
                </w:tcPr>
                <w:p w14:paraId="2ECF8307">
                  <w:pPr>
                    <w:pStyle w:val="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0"/>
                      <w:kern w:val="0"/>
                      <w:sz w:val="21"/>
                      <w:szCs w:val="21"/>
                      <w:highlight w:val="none"/>
                      <w:lang w:val="en-US" w:eastAsia="zh-CN" w:bidi="ar-SA"/>
                    </w:rPr>
                  </w:pPr>
                  <w:r>
                    <w:rPr>
                      <w:rFonts w:hint="default" w:ascii="Times New Roman" w:hAnsi="Times New Roman" w:eastAsia="宋体" w:cs="Times New Roman"/>
                      <w:color w:val="auto"/>
                      <w:spacing w:val="0"/>
                      <w:sz w:val="21"/>
                      <w:szCs w:val="21"/>
                      <w:highlight w:val="none"/>
                    </w:rPr>
                    <w:t>符合</w:t>
                  </w:r>
                </w:p>
              </w:tc>
            </w:tr>
            <w:tr w14:paraId="21A979B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367" w:hRule="atLeast"/>
                <w:jc w:val="center"/>
              </w:trPr>
              <w:tc>
                <w:tcPr>
                  <w:tcW w:w="2687" w:type="pct"/>
                  <w:tcBorders>
                    <w:tl2br w:val="nil"/>
                    <w:tr2bl w:val="nil"/>
                  </w:tcBorders>
                  <w:vAlign w:val="center"/>
                </w:tcPr>
                <w:p w14:paraId="241AA112">
                  <w:pPr>
                    <w:pStyle w:val="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both"/>
                    <w:textAlignment w:val="auto"/>
                    <w:rPr>
                      <w:rFonts w:hint="default" w:ascii="Times New Roman" w:hAnsi="Times New Roman" w:eastAsia="宋体" w:cs="Times New Roman"/>
                      <w:color w:val="auto"/>
                      <w:spacing w:val="0"/>
                      <w:kern w:val="0"/>
                      <w:sz w:val="21"/>
                      <w:szCs w:val="21"/>
                      <w:highlight w:val="none"/>
                      <w:lang w:val="en-US" w:eastAsia="zh-CN" w:bidi="ar-SA"/>
                    </w:rPr>
                  </w:pPr>
                  <w:r>
                    <w:rPr>
                      <w:rFonts w:hint="default" w:ascii="Times New Roman" w:hAnsi="Times New Roman" w:eastAsia="宋体" w:cs="Times New Roman"/>
                      <w:color w:val="auto"/>
                      <w:spacing w:val="0"/>
                      <w:sz w:val="21"/>
                      <w:szCs w:val="21"/>
                      <w:highlight w:val="none"/>
                    </w:rPr>
                    <w:t>禁止新建、扩建法律法规和相关政策明令禁止的落后产能项目。禁止新建、扩建不符合国家产能置换要求的严重过剩产能行业的项目。禁止新建、扩建不符合要求的高耗能高排放项目。</w:t>
                  </w:r>
                </w:p>
              </w:tc>
              <w:tc>
                <w:tcPr>
                  <w:tcW w:w="1507" w:type="pct"/>
                  <w:tcBorders>
                    <w:tl2br w:val="nil"/>
                    <w:tr2bl w:val="nil"/>
                  </w:tcBorders>
                  <w:vAlign w:val="center"/>
                </w:tcPr>
                <w:p w14:paraId="247FC5B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both"/>
                    <w:textAlignment w:val="auto"/>
                    <w:rPr>
                      <w:rFonts w:hint="default" w:ascii="Times New Roman" w:hAnsi="Times New Roman" w:eastAsia="宋体" w:cs="Times New Roman"/>
                      <w:color w:val="auto"/>
                      <w:spacing w:val="0"/>
                      <w:kern w:val="0"/>
                      <w:sz w:val="21"/>
                      <w:szCs w:val="21"/>
                      <w:highlight w:val="none"/>
                      <w:lang w:val="en-US" w:eastAsia="zh-CN" w:bidi="ar-SA"/>
                    </w:rPr>
                  </w:pPr>
                  <w:r>
                    <w:rPr>
                      <w:rFonts w:hint="default" w:ascii="Times New Roman" w:hAnsi="Times New Roman" w:cs="Times New Roman"/>
                      <w:color w:val="auto"/>
                      <w:spacing w:val="0"/>
                      <w:sz w:val="21"/>
                      <w:szCs w:val="21"/>
                      <w:highlight w:val="none"/>
                      <w:lang w:eastAsia="zh-CN"/>
                    </w:rPr>
                    <w:t>本</w:t>
                  </w:r>
                  <w:r>
                    <w:rPr>
                      <w:rFonts w:hint="default" w:ascii="Times New Roman" w:hAnsi="Times New Roman" w:cs="Times New Roman"/>
                      <w:color w:val="auto"/>
                      <w:spacing w:val="0"/>
                      <w:sz w:val="21"/>
                      <w:szCs w:val="21"/>
                      <w:highlight w:val="none"/>
                    </w:rPr>
                    <w:t>项目不属于法律法规和相关政策明令禁止的落后产能项目</w:t>
                  </w:r>
                  <w:r>
                    <w:rPr>
                      <w:rFonts w:hint="default" w:ascii="Times New Roman" w:hAnsi="Times New Roman" w:eastAsia="宋体" w:cs="Times New Roman"/>
                      <w:color w:val="auto"/>
                      <w:spacing w:val="0"/>
                      <w:sz w:val="21"/>
                      <w:szCs w:val="21"/>
                      <w:highlight w:val="none"/>
                      <w:lang w:eastAsia="zh-CN"/>
                    </w:rPr>
                    <w:t>，</w:t>
                  </w:r>
                  <w:r>
                    <w:rPr>
                      <w:rFonts w:hint="default" w:ascii="Times New Roman" w:hAnsi="Times New Roman" w:cs="Times New Roman"/>
                      <w:color w:val="auto"/>
                      <w:spacing w:val="0"/>
                      <w:sz w:val="21"/>
                      <w:szCs w:val="21"/>
                      <w:highlight w:val="none"/>
                    </w:rPr>
                    <w:t>不属于产能过剩行业</w:t>
                  </w:r>
                </w:p>
              </w:tc>
              <w:tc>
                <w:tcPr>
                  <w:tcW w:w="804" w:type="pct"/>
                  <w:tcBorders>
                    <w:tl2br w:val="nil"/>
                    <w:tr2bl w:val="nil"/>
                  </w:tcBorders>
                  <w:vAlign w:val="center"/>
                </w:tcPr>
                <w:p w14:paraId="68FBCAA8">
                  <w:pPr>
                    <w:pStyle w:val="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0"/>
                      <w:kern w:val="0"/>
                      <w:sz w:val="21"/>
                      <w:szCs w:val="21"/>
                      <w:highlight w:val="none"/>
                      <w:lang w:val="en-US" w:eastAsia="zh-CN" w:bidi="ar-SA"/>
                    </w:rPr>
                  </w:pPr>
                  <w:r>
                    <w:rPr>
                      <w:rFonts w:hint="default" w:ascii="Times New Roman" w:hAnsi="Times New Roman" w:eastAsia="宋体" w:cs="Times New Roman"/>
                      <w:color w:val="auto"/>
                      <w:spacing w:val="0"/>
                      <w:sz w:val="21"/>
                      <w:szCs w:val="21"/>
                      <w:highlight w:val="none"/>
                    </w:rPr>
                    <w:t>符合</w:t>
                  </w:r>
                </w:p>
              </w:tc>
            </w:tr>
            <w:tr w14:paraId="4F5EC73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83" w:hRule="atLeast"/>
                <w:jc w:val="center"/>
              </w:trPr>
              <w:tc>
                <w:tcPr>
                  <w:tcW w:w="2687" w:type="pct"/>
                  <w:tcBorders>
                    <w:tl2br w:val="nil"/>
                    <w:tr2bl w:val="nil"/>
                  </w:tcBorders>
                  <w:vAlign w:val="center"/>
                </w:tcPr>
                <w:p w14:paraId="02AF0EDE">
                  <w:pPr>
                    <w:pStyle w:val="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both"/>
                    <w:textAlignment w:val="auto"/>
                    <w:rPr>
                      <w:rFonts w:hint="default" w:ascii="Times New Roman" w:hAnsi="Times New Roman" w:eastAsia="宋体" w:cs="Times New Roman"/>
                      <w:color w:val="auto"/>
                      <w:spacing w:val="0"/>
                      <w:kern w:val="0"/>
                      <w:sz w:val="21"/>
                      <w:szCs w:val="21"/>
                      <w:highlight w:val="none"/>
                      <w:lang w:val="en-US" w:eastAsia="zh-CN" w:bidi="ar-SA"/>
                    </w:rPr>
                  </w:pPr>
                  <w:r>
                    <w:rPr>
                      <w:rFonts w:hint="default" w:ascii="Times New Roman" w:hAnsi="Times New Roman" w:eastAsia="宋体" w:cs="Times New Roman"/>
                      <w:color w:val="auto"/>
                      <w:spacing w:val="0"/>
                      <w:sz w:val="21"/>
                      <w:szCs w:val="21"/>
                      <w:highlight w:val="none"/>
                    </w:rPr>
                    <w:t>法律法规及相关政策文件有更加严格规定的从其规定。</w:t>
                  </w:r>
                </w:p>
              </w:tc>
              <w:tc>
                <w:tcPr>
                  <w:tcW w:w="1507" w:type="pct"/>
                  <w:tcBorders>
                    <w:tl2br w:val="nil"/>
                    <w:tr2bl w:val="nil"/>
                  </w:tcBorders>
                  <w:vAlign w:val="center"/>
                </w:tcPr>
                <w:p w14:paraId="5A7D20BF">
                  <w:pPr>
                    <w:pStyle w:val="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both"/>
                    <w:textAlignment w:val="auto"/>
                    <w:rPr>
                      <w:rFonts w:hint="default" w:ascii="Times New Roman" w:hAnsi="Times New Roman" w:eastAsia="宋体" w:cs="Times New Roman"/>
                      <w:color w:val="auto"/>
                      <w:spacing w:val="0"/>
                      <w:kern w:val="0"/>
                      <w:sz w:val="21"/>
                      <w:szCs w:val="21"/>
                      <w:highlight w:val="none"/>
                      <w:lang w:val="en-US" w:eastAsia="zh-CN" w:bidi="ar-SA"/>
                    </w:rPr>
                  </w:pPr>
                  <w:r>
                    <w:rPr>
                      <w:rFonts w:hint="default" w:ascii="Times New Roman" w:hAnsi="Times New Roman" w:eastAsia="宋体" w:cs="Times New Roman"/>
                      <w:color w:val="auto"/>
                      <w:spacing w:val="0"/>
                      <w:sz w:val="21"/>
                      <w:szCs w:val="21"/>
                      <w:highlight w:val="none"/>
                      <w:lang w:val="en-US" w:eastAsia="zh-CN"/>
                    </w:rPr>
                    <w:t>项目</w:t>
                  </w:r>
                  <w:r>
                    <w:rPr>
                      <w:rFonts w:hint="default" w:ascii="Times New Roman" w:hAnsi="Times New Roman" w:eastAsia="宋体" w:cs="Times New Roman"/>
                      <w:color w:val="auto"/>
                      <w:spacing w:val="0"/>
                      <w:sz w:val="21"/>
                      <w:szCs w:val="21"/>
                      <w:highlight w:val="none"/>
                      <w:lang w:eastAsia="zh-CN"/>
                    </w:rPr>
                    <w:t>符合</w:t>
                  </w:r>
                  <w:r>
                    <w:rPr>
                      <w:rFonts w:hint="default" w:ascii="Times New Roman" w:hAnsi="Times New Roman" w:eastAsia="宋体" w:cs="Times New Roman"/>
                      <w:color w:val="auto"/>
                      <w:spacing w:val="0"/>
                      <w:sz w:val="21"/>
                      <w:szCs w:val="21"/>
                      <w:highlight w:val="none"/>
                    </w:rPr>
                    <w:t>法律法规及相关政策文件</w:t>
                  </w:r>
                </w:p>
              </w:tc>
              <w:tc>
                <w:tcPr>
                  <w:tcW w:w="804" w:type="pct"/>
                  <w:tcBorders>
                    <w:tl2br w:val="nil"/>
                    <w:tr2bl w:val="nil"/>
                  </w:tcBorders>
                  <w:vAlign w:val="center"/>
                </w:tcPr>
                <w:p w14:paraId="04B1860E">
                  <w:pPr>
                    <w:pStyle w:val="9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0"/>
                      <w:kern w:val="0"/>
                      <w:sz w:val="21"/>
                      <w:szCs w:val="21"/>
                      <w:highlight w:val="none"/>
                      <w:lang w:val="en-US" w:eastAsia="zh-CN" w:bidi="ar-SA"/>
                    </w:rPr>
                  </w:pPr>
                  <w:r>
                    <w:rPr>
                      <w:rFonts w:hint="default" w:ascii="Times New Roman" w:hAnsi="Times New Roman" w:eastAsia="宋体" w:cs="Times New Roman"/>
                      <w:color w:val="auto"/>
                      <w:spacing w:val="0"/>
                      <w:sz w:val="21"/>
                      <w:szCs w:val="21"/>
                      <w:highlight w:val="none"/>
                    </w:rPr>
                    <w:t>符合</w:t>
                  </w:r>
                </w:p>
              </w:tc>
            </w:tr>
          </w:tbl>
          <w:p w14:paraId="0782FDC4">
            <w:pPr>
              <w:pStyle w:val="37"/>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80" w:firstLineChars="200"/>
              <w:jc w:val="both"/>
              <w:textAlignment w:val="auto"/>
              <w:rPr>
                <w:rFonts w:hint="default" w:ascii="Times New Roman" w:hAnsi="Times New Roman" w:eastAsia="宋体" w:cs="Times New Roman"/>
                <w:b w:val="0"/>
                <w:bCs w:val="0"/>
                <w:color w:val="auto"/>
                <w:sz w:val="24"/>
                <w:szCs w:val="24"/>
                <w:highlight w:val="none"/>
                <w:lang w:val="en-US" w:eastAsia="zh-CN"/>
              </w:rPr>
            </w:pPr>
            <w:r>
              <w:rPr>
                <w:rFonts w:hint="eastAsia" w:ascii="Times New Roman" w:hAnsi="Times New Roman" w:eastAsia="宋体" w:cs="Times New Roman"/>
                <w:b w:val="0"/>
                <w:bCs w:val="0"/>
                <w:color w:val="auto"/>
                <w:sz w:val="24"/>
                <w:szCs w:val="24"/>
                <w:highlight w:val="none"/>
                <w:lang w:val="en-US" w:eastAsia="zh-CN"/>
              </w:rPr>
              <w:t>综上所述，</w:t>
            </w:r>
            <w:r>
              <w:rPr>
                <w:rFonts w:hint="default" w:ascii="Times New Roman" w:hAnsi="Times New Roman" w:eastAsia="宋体" w:cs="Times New Roman"/>
                <w:b w:val="0"/>
                <w:bCs w:val="0"/>
                <w:color w:val="auto"/>
                <w:sz w:val="24"/>
                <w:szCs w:val="24"/>
                <w:highlight w:val="none"/>
                <w:lang w:val="en-US" w:eastAsia="zh-CN"/>
              </w:rPr>
              <w:t>本项目与《长江经济带发展负面清单指南》（试行 2022年版）相符。</w:t>
            </w:r>
          </w:p>
          <w:p w14:paraId="1AF35702">
            <w:pPr>
              <w:pStyle w:val="37"/>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82" w:firstLineChars="200"/>
              <w:jc w:val="both"/>
              <w:textAlignment w:val="auto"/>
              <w:rPr>
                <w:rFonts w:hint="eastAsia" w:ascii="Times New Roman" w:hAnsi="Times New Roman" w:eastAsia="宋体" w:cs="Times New Roman"/>
                <w:b w:val="0"/>
                <w:bCs w:val="0"/>
                <w:color w:val="auto"/>
                <w:sz w:val="24"/>
                <w:szCs w:val="24"/>
                <w:highlight w:val="none"/>
                <w:lang w:val="en-US" w:eastAsia="zh-CN"/>
              </w:rPr>
            </w:pPr>
            <w:r>
              <w:rPr>
                <w:rFonts w:hint="eastAsia" w:ascii="Times New Roman" w:cs="Times New Roman"/>
                <w:b/>
                <w:bCs/>
                <w:color w:val="auto"/>
                <w:sz w:val="24"/>
                <w:szCs w:val="24"/>
                <w:highlight w:val="none"/>
                <w:lang w:val="en-US" w:eastAsia="zh-CN"/>
              </w:rPr>
              <w:t>5</w:t>
            </w:r>
            <w:r>
              <w:rPr>
                <w:rFonts w:hint="eastAsia" w:ascii="Times New Roman" w:hAnsi="Times New Roman" w:eastAsia="宋体" w:cs="Times New Roman"/>
                <w:b/>
                <w:bCs/>
                <w:color w:val="auto"/>
                <w:sz w:val="24"/>
                <w:szCs w:val="24"/>
                <w:highlight w:val="none"/>
                <w:lang w:val="en-US" w:eastAsia="zh-CN"/>
              </w:rPr>
              <w:t>、与《江西省长江经济带发展负面清单实施细则》的相符性分析</w:t>
            </w:r>
          </w:p>
          <w:p w14:paraId="24D52E1A">
            <w:pPr>
              <w:pStyle w:val="37"/>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80" w:firstLineChars="200"/>
              <w:jc w:val="both"/>
              <w:textAlignment w:val="auto"/>
              <w:rPr>
                <w:rFonts w:hint="default" w:ascii="Times New Roman" w:hAnsi="Times New Roman" w:eastAsia="宋体" w:cs="Times New Roman"/>
                <w:b w:val="0"/>
                <w:bCs w:val="0"/>
                <w:color w:val="auto"/>
                <w:sz w:val="24"/>
                <w:szCs w:val="24"/>
                <w:highlight w:val="none"/>
                <w:lang w:val="en-US" w:eastAsia="zh-CN"/>
              </w:rPr>
            </w:pPr>
            <w:r>
              <w:rPr>
                <w:rFonts w:hint="eastAsia" w:ascii="Times New Roman" w:hAnsi="Times New Roman" w:eastAsia="宋体" w:cs="Times New Roman"/>
                <w:b w:val="0"/>
                <w:bCs w:val="0"/>
                <w:color w:val="auto"/>
                <w:sz w:val="24"/>
                <w:szCs w:val="24"/>
                <w:highlight w:val="none"/>
                <w:lang w:val="en-US" w:eastAsia="zh-CN"/>
              </w:rPr>
              <w:t>根据《江西省长江经济带发展负面清单实施细则（试行，2022年版）》，本项目与《江西省长江经济带发展负面清单实施细则》的相符性分析见表1-</w:t>
            </w:r>
            <w:r>
              <w:rPr>
                <w:rFonts w:hint="eastAsia" w:ascii="Times New Roman" w:cs="Times New Roman"/>
                <w:b w:val="0"/>
                <w:bCs w:val="0"/>
                <w:color w:val="auto"/>
                <w:sz w:val="24"/>
                <w:szCs w:val="24"/>
                <w:highlight w:val="none"/>
                <w:lang w:val="en-US" w:eastAsia="zh-CN"/>
              </w:rPr>
              <w:t>7</w:t>
            </w:r>
            <w:r>
              <w:rPr>
                <w:rFonts w:hint="eastAsia" w:ascii="Times New Roman" w:hAnsi="Times New Roman" w:eastAsia="宋体" w:cs="Times New Roman"/>
                <w:b w:val="0"/>
                <w:bCs w:val="0"/>
                <w:color w:val="auto"/>
                <w:sz w:val="24"/>
                <w:szCs w:val="24"/>
                <w:highlight w:val="none"/>
                <w:lang w:val="en-US" w:eastAsia="zh-CN"/>
              </w:rPr>
              <w:t>。</w:t>
            </w:r>
          </w:p>
          <w:p w14:paraId="10429DCF">
            <w:pPr>
              <w:pStyle w:val="37"/>
              <w:keepNext w:val="0"/>
              <w:keepLines w:val="0"/>
              <w:pageBreakBefore w:val="0"/>
              <w:widowControl w:val="0"/>
              <w:suppressLineNumbers w:val="0"/>
              <w:kinsoku/>
              <w:wordWrap/>
              <w:overflowPunct/>
              <w:topLinePunct w:val="0"/>
              <w:autoSpaceDE w:val="0"/>
              <w:autoSpaceDN w:val="0"/>
              <w:bidi w:val="0"/>
              <w:adjustRightInd w:val="0"/>
              <w:snapToGrid/>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4"/>
                <w:szCs w:val="24"/>
                <w:highlight w:val="none"/>
                <w:lang w:val="en-US" w:eastAsia="zh-CN"/>
              </w:rPr>
            </w:pPr>
            <w:r>
              <w:rPr>
                <w:rFonts w:hint="default" w:ascii="Times New Roman" w:hAnsi="Times New Roman" w:eastAsia="宋体" w:cs="Times New Roman"/>
                <w:b/>
                <w:bCs/>
                <w:color w:val="auto"/>
                <w:sz w:val="21"/>
                <w:szCs w:val="21"/>
                <w:highlight w:val="none"/>
                <w:lang w:val="en-US" w:eastAsia="zh-CN"/>
              </w:rPr>
              <w:t>表1-</w:t>
            </w:r>
            <w:r>
              <w:rPr>
                <w:rFonts w:hint="eastAsia" w:ascii="Times New Roman" w:cs="Times New Roman"/>
                <w:b/>
                <w:bCs/>
                <w:color w:val="auto"/>
                <w:sz w:val="21"/>
                <w:szCs w:val="21"/>
                <w:highlight w:val="none"/>
                <w:lang w:val="en-US" w:eastAsia="zh-CN"/>
              </w:rPr>
              <w:t>7</w:t>
            </w:r>
            <w:r>
              <w:rPr>
                <w:rFonts w:hint="default" w:ascii="Times New Roman" w:hAnsi="Times New Roman" w:eastAsia="宋体" w:cs="Times New Roman"/>
                <w:b/>
                <w:bCs/>
                <w:color w:val="auto"/>
                <w:sz w:val="21"/>
                <w:szCs w:val="21"/>
                <w:highlight w:val="none"/>
                <w:lang w:val="en-US" w:eastAsia="zh-CN"/>
              </w:rPr>
              <w:t xml:space="preserve"> 与《江西省长江经济带发展负面清单实施细则》相符性分析</w:t>
            </w:r>
          </w:p>
          <w:tbl>
            <w:tblPr>
              <w:tblStyle w:val="27"/>
              <w:tblW w:w="4999"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3718"/>
              <w:gridCol w:w="2317"/>
              <w:gridCol w:w="1425"/>
            </w:tblGrid>
            <w:tr w14:paraId="15CBD6D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491" w:type="pct"/>
                  <w:tcBorders>
                    <w:bottom w:val="single" w:color="auto" w:sz="12" w:space="0"/>
                  </w:tcBorders>
                  <w:vAlign w:val="center"/>
                </w:tcPr>
                <w:p w14:paraId="0A99596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1"/>
                      <w:szCs w:val="21"/>
                      <w:highlight w:val="none"/>
                      <w:vertAlign w:val="baseline"/>
                      <w:lang w:val="en-US" w:eastAsia="zh-CN"/>
                    </w:rPr>
                  </w:pPr>
                  <w:r>
                    <w:rPr>
                      <w:rFonts w:hint="default" w:ascii="Times New Roman" w:hAnsi="Times New Roman" w:eastAsia="宋体" w:cs="Times New Roman"/>
                      <w:b/>
                      <w:bCs/>
                      <w:color w:val="auto"/>
                      <w:sz w:val="21"/>
                      <w:szCs w:val="21"/>
                      <w:highlight w:val="none"/>
                      <w:vertAlign w:val="baseline"/>
                      <w:lang w:val="en-US" w:eastAsia="zh-CN"/>
                    </w:rPr>
                    <w:t>内容</w:t>
                  </w:r>
                </w:p>
              </w:tc>
              <w:tc>
                <w:tcPr>
                  <w:tcW w:w="1552" w:type="pct"/>
                  <w:tcBorders>
                    <w:bottom w:val="single" w:color="auto" w:sz="12" w:space="0"/>
                  </w:tcBorders>
                  <w:vAlign w:val="center"/>
                </w:tcPr>
                <w:p w14:paraId="26148A3A">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1"/>
                      <w:szCs w:val="21"/>
                      <w:highlight w:val="none"/>
                      <w:vertAlign w:val="baseline"/>
                      <w:lang w:val="en-US" w:eastAsia="zh-CN"/>
                    </w:rPr>
                  </w:pPr>
                  <w:r>
                    <w:rPr>
                      <w:rFonts w:hint="default" w:ascii="Times New Roman" w:hAnsi="Times New Roman" w:eastAsia="宋体" w:cs="Times New Roman"/>
                      <w:b/>
                      <w:bCs/>
                      <w:color w:val="auto"/>
                      <w:sz w:val="21"/>
                      <w:szCs w:val="21"/>
                      <w:highlight w:val="none"/>
                      <w:vertAlign w:val="baseline"/>
                      <w:lang w:val="en-US" w:eastAsia="zh-CN"/>
                    </w:rPr>
                    <w:t>符合性分析</w:t>
                  </w:r>
                </w:p>
              </w:tc>
              <w:tc>
                <w:tcPr>
                  <w:tcW w:w="955" w:type="pct"/>
                  <w:tcBorders>
                    <w:bottom w:val="single" w:color="auto" w:sz="12" w:space="0"/>
                  </w:tcBorders>
                  <w:vAlign w:val="center"/>
                </w:tcPr>
                <w:p w14:paraId="57A925A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1"/>
                      <w:szCs w:val="21"/>
                      <w:highlight w:val="none"/>
                      <w:vertAlign w:val="baseline"/>
                      <w:lang w:val="en-US" w:eastAsia="zh-CN"/>
                    </w:rPr>
                  </w:pPr>
                  <w:r>
                    <w:rPr>
                      <w:rFonts w:hint="default" w:ascii="Times New Roman" w:hAnsi="Times New Roman" w:eastAsia="宋体" w:cs="Times New Roman"/>
                      <w:b/>
                      <w:bCs/>
                      <w:color w:val="auto"/>
                      <w:sz w:val="21"/>
                      <w:szCs w:val="21"/>
                      <w:highlight w:val="none"/>
                      <w:vertAlign w:val="baseline"/>
                      <w:lang w:val="en-US" w:eastAsia="zh-CN"/>
                    </w:rPr>
                    <w:t>符合性</w:t>
                  </w:r>
                </w:p>
              </w:tc>
            </w:tr>
            <w:tr w14:paraId="09C443B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91" w:type="pct"/>
                  <w:tcBorders>
                    <w:top w:val="single" w:color="auto" w:sz="12" w:space="0"/>
                    <w:tl2br w:val="nil"/>
                    <w:tr2bl w:val="nil"/>
                  </w:tcBorders>
                  <w:vAlign w:val="center"/>
                </w:tcPr>
                <w:p w14:paraId="7C967C8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vertAlign w:val="baseline"/>
                      <w:lang w:val="en-US" w:eastAsia="zh-CN"/>
                    </w:rPr>
                    <w:t>禁止建设不符合国家和省级港口布局规划以及港口总体规划的码头项目。禁止建设不符合《长江干线过江通道布局规划》的过长江通道项目。</w:t>
                  </w:r>
                </w:p>
              </w:tc>
              <w:tc>
                <w:tcPr>
                  <w:tcW w:w="1552" w:type="pct"/>
                  <w:tcBorders>
                    <w:top w:val="single" w:color="auto" w:sz="12" w:space="0"/>
                    <w:tl2br w:val="nil"/>
                    <w:tr2bl w:val="nil"/>
                  </w:tcBorders>
                  <w:vAlign w:val="center"/>
                </w:tcPr>
                <w:p w14:paraId="6C7329D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lang w:val="en-US" w:eastAsia="zh-CN"/>
                    </w:rPr>
                    <w:t>本项目</w:t>
                  </w:r>
                  <w:r>
                    <w:rPr>
                      <w:rFonts w:hint="default" w:ascii="Times New Roman" w:hAnsi="Times New Roman" w:eastAsia="宋体" w:cs="Times New Roman"/>
                      <w:color w:val="auto"/>
                      <w:sz w:val="21"/>
                      <w:szCs w:val="21"/>
                      <w:highlight w:val="none"/>
                    </w:rPr>
                    <w:t>不属于码头和过长江通道项目</w:t>
                  </w:r>
                </w:p>
              </w:tc>
              <w:tc>
                <w:tcPr>
                  <w:tcW w:w="955" w:type="pct"/>
                  <w:tcBorders>
                    <w:top w:val="single" w:color="auto" w:sz="12" w:space="0"/>
                    <w:tl2br w:val="nil"/>
                    <w:tr2bl w:val="nil"/>
                  </w:tcBorders>
                  <w:vAlign w:val="center"/>
                </w:tcPr>
                <w:p w14:paraId="30EB5AC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rPr>
                    <w:t>符合</w:t>
                  </w:r>
                </w:p>
              </w:tc>
            </w:tr>
            <w:tr w14:paraId="65E113A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91" w:type="pct"/>
                  <w:tcBorders>
                    <w:tl2br w:val="nil"/>
                    <w:tr2bl w:val="nil"/>
                  </w:tcBorders>
                  <w:vAlign w:val="center"/>
                </w:tcPr>
                <w:p w14:paraId="2ABE2D1A">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vertAlign w:val="baseline"/>
                      <w:lang w:val="en-US" w:eastAsia="zh-CN"/>
                    </w:rPr>
                    <w:t>禁止在自然保护区核心区、缓冲区的岸线和河段范围内投资建设旅游和生产经营项目。</w:t>
                  </w:r>
                </w:p>
              </w:tc>
              <w:tc>
                <w:tcPr>
                  <w:tcW w:w="1552" w:type="pct"/>
                  <w:tcBorders>
                    <w:tl2br w:val="nil"/>
                    <w:tr2bl w:val="nil"/>
                  </w:tcBorders>
                  <w:vAlign w:val="center"/>
                </w:tcPr>
                <w:p w14:paraId="5A0AA1D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lang w:eastAsia="zh-CN"/>
                    </w:rPr>
                    <w:t>本项目</w:t>
                  </w:r>
                  <w:r>
                    <w:rPr>
                      <w:rFonts w:hint="default" w:ascii="Times New Roman" w:hAnsi="Times New Roman" w:eastAsia="宋体" w:cs="Times New Roman"/>
                      <w:color w:val="auto"/>
                      <w:sz w:val="21"/>
                      <w:szCs w:val="21"/>
                      <w:highlight w:val="none"/>
                    </w:rPr>
                    <w:t>不在自然保护区核心区、缓冲区的岸线和河段范围内</w:t>
                  </w:r>
                </w:p>
              </w:tc>
              <w:tc>
                <w:tcPr>
                  <w:tcW w:w="955" w:type="pct"/>
                  <w:tcBorders>
                    <w:tl2br w:val="nil"/>
                    <w:tr2bl w:val="nil"/>
                  </w:tcBorders>
                  <w:vAlign w:val="center"/>
                </w:tcPr>
                <w:p w14:paraId="74F7F54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rPr>
                    <w:t>符合</w:t>
                  </w:r>
                </w:p>
              </w:tc>
            </w:tr>
            <w:tr w14:paraId="20D1787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91" w:type="pct"/>
                  <w:tcBorders>
                    <w:tl2br w:val="nil"/>
                    <w:tr2bl w:val="nil"/>
                  </w:tcBorders>
                  <w:vAlign w:val="center"/>
                </w:tcPr>
                <w:p w14:paraId="2C10ACD5">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vertAlign w:val="baseline"/>
                      <w:lang w:val="en-US" w:eastAsia="zh-CN"/>
                    </w:rPr>
                    <w:t>禁止在国家级、省级风景名胜区的岸线和河段范围内开展以下行为：</w:t>
                  </w:r>
                </w:p>
                <w:p w14:paraId="753CB7CA">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vertAlign w:val="baseline"/>
                      <w:lang w:val="en-US" w:eastAsia="zh-CN"/>
                    </w:rPr>
                    <w:t>（一）开山、采石、开矿、开荒、修坟立碑等破坏景观、植被和地形地貌的活动；</w:t>
                  </w:r>
                </w:p>
                <w:p w14:paraId="6A9085C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vertAlign w:val="baseline"/>
                      <w:lang w:val="en-US" w:eastAsia="zh-CN"/>
                    </w:rPr>
                    <w:t>（二）修建储存爆炸性、易燃性、放射性、毒害性、腐蚀性物品的设施；</w:t>
                  </w:r>
                </w:p>
                <w:p w14:paraId="30CB689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vertAlign w:val="baseline"/>
                      <w:lang w:val="en-US" w:eastAsia="zh-CN"/>
                    </w:rPr>
                    <w:t>（三）违反风景名胜区规划，建设与风景名胜资源保护无关的设施</w:t>
                  </w:r>
                  <w:r>
                    <w:rPr>
                      <w:rFonts w:hint="default" w:ascii="Times New Roman" w:hAnsi="Times New Roman" w:cs="Times New Roman"/>
                      <w:color w:val="auto"/>
                      <w:sz w:val="21"/>
                      <w:szCs w:val="21"/>
                      <w:highlight w:val="none"/>
                      <w:vertAlign w:val="baseline"/>
                      <w:lang w:val="en-US" w:eastAsia="zh-CN"/>
                    </w:rPr>
                    <w:t>。</w:t>
                  </w:r>
                </w:p>
              </w:tc>
              <w:tc>
                <w:tcPr>
                  <w:tcW w:w="1552" w:type="pct"/>
                  <w:tcBorders>
                    <w:tl2br w:val="nil"/>
                    <w:tr2bl w:val="nil"/>
                  </w:tcBorders>
                  <w:vAlign w:val="center"/>
                </w:tcPr>
                <w:p w14:paraId="739BBC3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lang w:eastAsia="zh-CN"/>
                    </w:rPr>
                    <w:t>本项目</w:t>
                  </w:r>
                  <w:r>
                    <w:rPr>
                      <w:rFonts w:hint="default" w:ascii="Times New Roman" w:hAnsi="Times New Roman" w:eastAsia="宋体" w:cs="Times New Roman"/>
                      <w:color w:val="auto"/>
                      <w:sz w:val="21"/>
                      <w:szCs w:val="21"/>
                      <w:highlight w:val="none"/>
                    </w:rPr>
                    <w:t>不在国家级、省级风景名胜区的岸线和河段范围内</w:t>
                  </w:r>
                </w:p>
              </w:tc>
              <w:tc>
                <w:tcPr>
                  <w:tcW w:w="955" w:type="pct"/>
                  <w:tcBorders>
                    <w:tl2br w:val="nil"/>
                    <w:tr2bl w:val="nil"/>
                  </w:tcBorders>
                  <w:vAlign w:val="center"/>
                </w:tcPr>
                <w:p w14:paraId="08B501F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rPr>
                    <w:t>符合</w:t>
                  </w:r>
                </w:p>
              </w:tc>
            </w:tr>
            <w:tr w14:paraId="5B5BC40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91" w:type="pct"/>
                  <w:tcBorders>
                    <w:tl2br w:val="nil"/>
                    <w:tr2bl w:val="nil"/>
                  </w:tcBorders>
                  <w:vAlign w:val="center"/>
                </w:tcPr>
                <w:p w14:paraId="68A337A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vertAlign w:val="baseline"/>
                      <w:lang w:val="en-US" w:eastAsia="zh-CN"/>
                    </w:rPr>
                    <w:t>禁止在饮用水水源一级保护区的岸线和河段范围内开展下列行为：</w:t>
                  </w:r>
                </w:p>
                <w:p w14:paraId="46E72AA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vertAlign w:val="baseline"/>
                      <w:lang w:val="en-US" w:eastAsia="zh-CN"/>
                    </w:rPr>
                    <w:t>（一）新建、改建、扩建与供水设施和保护水源无关的建设项目；已建成的与供水设施和保护水源无关的建设项目，由县级以上人民政府责令拆除或者关闭。</w:t>
                  </w:r>
                </w:p>
                <w:p w14:paraId="7F4C47D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highlight w:val="none"/>
                      <w:vertAlign w:val="baseline"/>
                      <w:lang w:val="en-US" w:eastAsia="zh-CN"/>
                    </w:rPr>
                  </w:pPr>
                  <w:r>
                    <w:rPr>
                      <w:rFonts w:hint="eastAsia" w:cs="Times New Roman"/>
                      <w:color w:val="auto"/>
                      <w:sz w:val="21"/>
                      <w:szCs w:val="21"/>
                      <w:highlight w:val="none"/>
                      <w:vertAlign w:val="baseline"/>
                      <w:lang w:val="en-US" w:eastAsia="zh-CN"/>
                    </w:rPr>
                    <w:t>（</w:t>
                  </w:r>
                  <w:r>
                    <w:rPr>
                      <w:rFonts w:hint="default" w:ascii="Times New Roman" w:hAnsi="Times New Roman" w:eastAsia="宋体" w:cs="Times New Roman"/>
                      <w:color w:val="auto"/>
                      <w:sz w:val="21"/>
                      <w:szCs w:val="21"/>
                      <w:highlight w:val="none"/>
                      <w:vertAlign w:val="baseline"/>
                      <w:lang w:val="en-US" w:eastAsia="zh-CN"/>
                    </w:rPr>
                    <w:t>二）禁止在饮用水水源一级保护区内从事网箱养殖、旅游、游泳、垂钓或者其他可能污染饮用水水体的活动</w:t>
                  </w:r>
                  <w:r>
                    <w:rPr>
                      <w:rFonts w:hint="default" w:ascii="Times New Roman" w:hAnsi="Times New Roman" w:cs="Times New Roman"/>
                      <w:color w:val="auto"/>
                      <w:sz w:val="21"/>
                      <w:szCs w:val="21"/>
                      <w:highlight w:val="none"/>
                      <w:vertAlign w:val="baseline"/>
                      <w:lang w:val="en-US" w:eastAsia="zh-CN"/>
                    </w:rPr>
                    <w:t>项目</w:t>
                  </w:r>
                  <w:r>
                    <w:rPr>
                      <w:rFonts w:hint="default" w:ascii="Times New Roman" w:hAnsi="Times New Roman" w:eastAsia="宋体" w:cs="Times New Roman"/>
                      <w:color w:val="auto"/>
                      <w:sz w:val="21"/>
                      <w:szCs w:val="21"/>
                      <w:highlight w:val="none"/>
                      <w:vertAlign w:val="baseline"/>
                      <w:lang w:val="en-US" w:eastAsia="zh-CN"/>
                    </w:rPr>
                    <w:t>。</w:t>
                  </w:r>
                </w:p>
              </w:tc>
              <w:tc>
                <w:tcPr>
                  <w:tcW w:w="1552" w:type="pct"/>
                  <w:tcBorders>
                    <w:tl2br w:val="nil"/>
                    <w:tr2bl w:val="nil"/>
                  </w:tcBorders>
                  <w:vAlign w:val="center"/>
                </w:tcPr>
                <w:p w14:paraId="341ACA6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lang w:eastAsia="zh-CN"/>
                    </w:rPr>
                    <w:t>本项目</w:t>
                  </w:r>
                  <w:r>
                    <w:rPr>
                      <w:rFonts w:hint="default" w:ascii="Times New Roman" w:hAnsi="Times New Roman" w:eastAsia="宋体" w:cs="Times New Roman"/>
                      <w:color w:val="auto"/>
                      <w:sz w:val="21"/>
                      <w:szCs w:val="21"/>
                      <w:highlight w:val="none"/>
                    </w:rPr>
                    <w:t>不在饮用水水源一级保护区的岸线和河段范围内</w:t>
                  </w:r>
                </w:p>
              </w:tc>
              <w:tc>
                <w:tcPr>
                  <w:tcW w:w="955" w:type="pct"/>
                  <w:tcBorders>
                    <w:tl2br w:val="nil"/>
                    <w:tr2bl w:val="nil"/>
                  </w:tcBorders>
                  <w:vAlign w:val="center"/>
                </w:tcPr>
                <w:p w14:paraId="6C03AA4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rPr>
                    <w:t>符合</w:t>
                  </w:r>
                </w:p>
              </w:tc>
            </w:tr>
            <w:tr w14:paraId="454E5C0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91" w:type="pct"/>
                  <w:tcBorders>
                    <w:tl2br w:val="nil"/>
                    <w:tr2bl w:val="nil"/>
                  </w:tcBorders>
                  <w:vAlign w:val="center"/>
                </w:tcPr>
                <w:p w14:paraId="013CB67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vertAlign w:val="baseline"/>
                      <w:lang w:val="en-US" w:eastAsia="zh-CN"/>
                    </w:rPr>
                    <w:t>禁止在饮用水水源二级保护区的岸线和河段范围内开展下列行为：</w:t>
                  </w:r>
                </w:p>
                <w:p w14:paraId="43C2324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vertAlign w:val="baseline"/>
                      <w:lang w:val="en-US" w:eastAsia="zh-CN"/>
                    </w:rPr>
                    <w:t>（一）新建、改建、扩建排放污染物的建设项目；已建成的排放污染物的建设项目，由县级以上人民政府责令拆除或者关闭。</w:t>
                  </w:r>
                </w:p>
                <w:p w14:paraId="05330270">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vertAlign w:val="baseline"/>
                      <w:lang w:val="en-US" w:eastAsia="zh-CN"/>
                    </w:rPr>
                    <w:t>（二）在饮用水水源二级保护区内从事网箱养殖、旅游等活动的，应当按照规定</w:t>
                  </w:r>
                  <w:r>
                    <w:rPr>
                      <w:rFonts w:hint="eastAsia" w:cs="Times New Roman"/>
                      <w:color w:val="auto"/>
                      <w:sz w:val="21"/>
                      <w:szCs w:val="21"/>
                      <w:highlight w:val="none"/>
                      <w:vertAlign w:val="baseline"/>
                      <w:lang w:val="en-US" w:eastAsia="zh-CN"/>
                    </w:rPr>
                    <w:t>采取措施</w:t>
                  </w:r>
                  <w:r>
                    <w:rPr>
                      <w:rFonts w:hint="default" w:ascii="Times New Roman" w:hAnsi="Times New Roman" w:eastAsia="宋体" w:cs="Times New Roman"/>
                      <w:color w:val="auto"/>
                      <w:sz w:val="21"/>
                      <w:szCs w:val="21"/>
                      <w:highlight w:val="none"/>
                      <w:vertAlign w:val="baseline"/>
                      <w:lang w:val="en-US" w:eastAsia="zh-CN"/>
                    </w:rPr>
                    <w:t>，防止污染饮用水水体。</w:t>
                  </w:r>
                </w:p>
              </w:tc>
              <w:tc>
                <w:tcPr>
                  <w:tcW w:w="1552" w:type="pct"/>
                  <w:tcBorders>
                    <w:tl2br w:val="nil"/>
                    <w:tr2bl w:val="nil"/>
                  </w:tcBorders>
                  <w:vAlign w:val="center"/>
                </w:tcPr>
                <w:p w14:paraId="3C7DC0F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lang w:eastAsia="zh-CN"/>
                    </w:rPr>
                    <w:t>本项目</w:t>
                  </w:r>
                  <w:r>
                    <w:rPr>
                      <w:rFonts w:hint="default" w:ascii="Times New Roman" w:hAnsi="Times New Roman" w:eastAsia="宋体" w:cs="Times New Roman"/>
                      <w:color w:val="auto"/>
                      <w:sz w:val="21"/>
                      <w:szCs w:val="21"/>
                      <w:highlight w:val="none"/>
                    </w:rPr>
                    <w:t>不在饮用水水源二级保护区的岸线和河段范围内</w:t>
                  </w:r>
                </w:p>
              </w:tc>
              <w:tc>
                <w:tcPr>
                  <w:tcW w:w="955" w:type="pct"/>
                  <w:tcBorders>
                    <w:tl2br w:val="nil"/>
                    <w:tr2bl w:val="nil"/>
                  </w:tcBorders>
                  <w:vAlign w:val="center"/>
                </w:tcPr>
                <w:p w14:paraId="5F725A3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rPr>
                    <w:t>符合</w:t>
                  </w:r>
                </w:p>
              </w:tc>
            </w:tr>
            <w:tr w14:paraId="5C4CAC1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91" w:type="pct"/>
                  <w:tcBorders>
                    <w:tl2br w:val="nil"/>
                    <w:tr2bl w:val="nil"/>
                  </w:tcBorders>
                  <w:vAlign w:val="center"/>
                </w:tcPr>
                <w:p w14:paraId="667B3AB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vertAlign w:val="baseline"/>
                      <w:lang w:val="en-US" w:eastAsia="zh-CN"/>
                    </w:rPr>
                    <w:t>禁止在水产种质资源保护区的岸线和河段范围内新建围湖（河）造田（地）等投资建设项目。</w:t>
                  </w:r>
                </w:p>
                <w:p w14:paraId="29D2F4B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vertAlign w:val="baseline"/>
                      <w:lang w:val="en-US" w:eastAsia="zh-CN"/>
                    </w:rPr>
                    <w:t>单位和个人在水产种质资源保护区内从事水生生物资源调查、科学研究、教学实习、参观游览、影视拍摄等活动，应当遵守有关法律法规和保护区管理制度，不得损害水产种质资源及其生存环境。</w:t>
                  </w:r>
                </w:p>
              </w:tc>
              <w:tc>
                <w:tcPr>
                  <w:tcW w:w="1552" w:type="pct"/>
                  <w:tcBorders>
                    <w:tl2br w:val="nil"/>
                    <w:tr2bl w:val="nil"/>
                  </w:tcBorders>
                  <w:vAlign w:val="center"/>
                </w:tcPr>
                <w:p w14:paraId="7F56E53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lang w:eastAsia="zh-CN"/>
                    </w:rPr>
                    <w:t>本项目</w:t>
                  </w:r>
                  <w:r>
                    <w:rPr>
                      <w:rFonts w:hint="default" w:ascii="Times New Roman" w:hAnsi="Times New Roman" w:eastAsia="宋体" w:cs="Times New Roman"/>
                      <w:color w:val="auto"/>
                      <w:sz w:val="21"/>
                      <w:szCs w:val="21"/>
                      <w:highlight w:val="none"/>
                    </w:rPr>
                    <w:t>不在水产种质资源保护区的岸线和河段范围内</w:t>
                  </w:r>
                </w:p>
              </w:tc>
              <w:tc>
                <w:tcPr>
                  <w:tcW w:w="955" w:type="pct"/>
                  <w:tcBorders>
                    <w:tl2br w:val="nil"/>
                    <w:tr2bl w:val="nil"/>
                  </w:tcBorders>
                  <w:vAlign w:val="center"/>
                </w:tcPr>
                <w:p w14:paraId="13C579E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rPr>
                    <w:t>符合</w:t>
                  </w:r>
                </w:p>
              </w:tc>
            </w:tr>
            <w:tr w14:paraId="73DFE1F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91" w:type="pct"/>
                  <w:tcBorders>
                    <w:tl2br w:val="nil"/>
                    <w:tr2bl w:val="nil"/>
                  </w:tcBorders>
                  <w:vAlign w:val="center"/>
                </w:tcPr>
                <w:p w14:paraId="04AB531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vertAlign w:val="baseline"/>
                      <w:lang w:val="en-US" w:eastAsia="zh-CN"/>
                    </w:rPr>
                    <w:t>除国家规定的外，禁止在</w:t>
                  </w:r>
                  <w:r>
                    <w:rPr>
                      <w:rFonts w:hint="eastAsia" w:cs="Times New Roman"/>
                      <w:color w:val="auto"/>
                      <w:sz w:val="21"/>
                      <w:szCs w:val="21"/>
                      <w:highlight w:val="none"/>
                      <w:vertAlign w:val="baseline"/>
                      <w:lang w:val="en-US" w:eastAsia="zh-CN"/>
                    </w:rPr>
                    <w:t>国</w:t>
                  </w:r>
                  <w:r>
                    <w:rPr>
                      <w:rFonts w:hint="default" w:ascii="Times New Roman" w:hAnsi="Times New Roman" w:eastAsia="宋体" w:cs="Times New Roman"/>
                      <w:color w:val="auto"/>
                      <w:sz w:val="21"/>
                      <w:szCs w:val="21"/>
                      <w:highlight w:val="none"/>
                      <w:vertAlign w:val="baseline"/>
                      <w:lang w:val="en-US" w:eastAsia="zh-CN"/>
                    </w:rPr>
                    <w:t>家湿地公园的岸线和河段范围内挖沙、</w:t>
                  </w:r>
                  <w:r>
                    <w:rPr>
                      <w:rFonts w:hint="eastAsia" w:cs="Times New Roman"/>
                      <w:color w:val="auto"/>
                      <w:sz w:val="21"/>
                      <w:szCs w:val="21"/>
                      <w:highlight w:val="none"/>
                      <w:vertAlign w:val="baseline"/>
                      <w:lang w:val="en-US" w:eastAsia="zh-CN"/>
                    </w:rPr>
                    <w:t>采矿</w:t>
                  </w:r>
                  <w:r>
                    <w:rPr>
                      <w:rFonts w:hint="default" w:ascii="Times New Roman" w:hAnsi="Times New Roman" w:eastAsia="宋体" w:cs="Times New Roman"/>
                      <w:color w:val="auto"/>
                      <w:sz w:val="21"/>
                      <w:szCs w:val="21"/>
                      <w:highlight w:val="none"/>
                      <w:vertAlign w:val="baseline"/>
                      <w:lang w:val="en-US" w:eastAsia="zh-CN"/>
                    </w:rPr>
                    <w:t>以及任何不符合主体功能定位的投资建设项目。</w:t>
                  </w:r>
                </w:p>
              </w:tc>
              <w:tc>
                <w:tcPr>
                  <w:tcW w:w="1552" w:type="pct"/>
                  <w:tcBorders>
                    <w:tl2br w:val="nil"/>
                    <w:tr2bl w:val="nil"/>
                  </w:tcBorders>
                  <w:vAlign w:val="center"/>
                </w:tcPr>
                <w:p w14:paraId="7C1FCF5A">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lang w:val="en-US" w:eastAsia="zh-CN"/>
                    </w:rPr>
                    <w:t>本项目</w:t>
                  </w:r>
                  <w:r>
                    <w:rPr>
                      <w:rFonts w:hint="default" w:ascii="Times New Roman" w:hAnsi="Times New Roman" w:eastAsia="宋体" w:cs="Times New Roman"/>
                      <w:color w:val="auto"/>
                      <w:sz w:val="21"/>
                      <w:szCs w:val="21"/>
                      <w:highlight w:val="none"/>
                    </w:rPr>
                    <w:t>不在国家湿地公园的岸线和河段范围内</w:t>
                  </w:r>
                </w:p>
              </w:tc>
              <w:tc>
                <w:tcPr>
                  <w:tcW w:w="955" w:type="pct"/>
                  <w:tcBorders>
                    <w:tl2br w:val="nil"/>
                    <w:tr2bl w:val="nil"/>
                  </w:tcBorders>
                  <w:vAlign w:val="center"/>
                </w:tcPr>
                <w:p w14:paraId="191B881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rPr>
                    <w:t>符合</w:t>
                  </w:r>
                </w:p>
              </w:tc>
            </w:tr>
            <w:tr w14:paraId="11407C9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91" w:type="pct"/>
                  <w:tcBorders>
                    <w:tl2br w:val="nil"/>
                    <w:tr2bl w:val="nil"/>
                  </w:tcBorders>
                  <w:vAlign w:val="center"/>
                </w:tcPr>
                <w:p w14:paraId="622C652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禁止违法利用、占用长江流域河湖岸线。禁止在《长江岸线保护和开发利用总体规划》划定的岸线保护区和保留区内投资建设除事关公共安全及公众利益的防洪护岸、河道治理、供水、生态环境保护、航道整治、国家重要基础设施以外的项目。</w:t>
                  </w:r>
                </w:p>
              </w:tc>
              <w:tc>
                <w:tcPr>
                  <w:tcW w:w="1552" w:type="pct"/>
                  <w:tcBorders>
                    <w:tl2br w:val="nil"/>
                    <w:tr2bl w:val="nil"/>
                  </w:tcBorders>
                  <w:vAlign w:val="center"/>
                </w:tcPr>
                <w:p w14:paraId="715C6B3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lang w:val="en-US" w:eastAsia="zh-CN"/>
                    </w:rPr>
                    <w:t>本项目</w:t>
                  </w:r>
                  <w:r>
                    <w:rPr>
                      <w:rFonts w:hint="default" w:ascii="Times New Roman" w:hAnsi="Times New Roman" w:eastAsia="宋体" w:cs="Times New Roman"/>
                      <w:color w:val="auto"/>
                      <w:sz w:val="21"/>
                      <w:szCs w:val="21"/>
                      <w:highlight w:val="none"/>
                      <w:lang w:val="en-US" w:eastAsia="zh-CN"/>
                    </w:rPr>
                    <w:t>不在《长江岸线保护和开发利用总体规划》划定的岸线保护区内</w:t>
                  </w:r>
                </w:p>
              </w:tc>
              <w:tc>
                <w:tcPr>
                  <w:tcW w:w="955" w:type="pct"/>
                  <w:tcBorders>
                    <w:tl2br w:val="nil"/>
                    <w:tr2bl w:val="nil"/>
                  </w:tcBorders>
                  <w:vAlign w:val="center"/>
                </w:tcPr>
                <w:p w14:paraId="07AC697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rPr>
                    <w:t>符合</w:t>
                  </w:r>
                </w:p>
              </w:tc>
            </w:tr>
            <w:tr w14:paraId="3280680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91" w:type="pct"/>
                  <w:tcBorders>
                    <w:tl2br w:val="nil"/>
                    <w:tr2bl w:val="nil"/>
                  </w:tcBorders>
                  <w:vAlign w:val="center"/>
                </w:tcPr>
                <w:p w14:paraId="19806D5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禁止在《全国重要江河湖泊水功能区划》划定的河段及湖泊保护区、保留区内投资建设不利于水资源及自然生态保护的项目。</w:t>
                  </w:r>
                </w:p>
              </w:tc>
              <w:tc>
                <w:tcPr>
                  <w:tcW w:w="1552" w:type="pct"/>
                  <w:tcBorders>
                    <w:tl2br w:val="nil"/>
                    <w:tr2bl w:val="nil"/>
                  </w:tcBorders>
                  <w:vAlign w:val="center"/>
                </w:tcPr>
                <w:p w14:paraId="7C7B3FE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lang w:val="en-US" w:eastAsia="zh-CN"/>
                    </w:rPr>
                    <w:t>本项目</w:t>
                  </w:r>
                  <w:r>
                    <w:rPr>
                      <w:rFonts w:hint="default" w:ascii="Times New Roman" w:hAnsi="Times New Roman" w:eastAsia="宋体" w:cs="Times New Roman"/>
                      <w:color w:val="auto"/>
                      <w:sz w:val="21"/>
                      <w:szCs w:val="21"/>
                      <w:highlight w:val="none"/>
                    </w:rPr>
                    <w:t>不在</w:t>
                  </w:r>
                  <w:r>
                    <w:rPr>
                      <w:rFonts w:hint="default" w:ascii="Times New Roman" w:hAnsi="Times New Roman" w:eastAsia="宋体" w:cs="Times New Roman"/>
                      <w:color w:val="auto"/>
                      <w:sz w:val="21"/>
                      <w:szCs w:val="21"/>
                      <w:highlight w:val="none"/>
                      <w:lang w:val="en-US" w:eastAsia="zh-CN"/>
                    </w:rPr>
                    <w:t>《全国重要江河湖泊水功能区划》划定的河段保护区、保留区内</w:t>
                  </w:r>
                </w:p>
              </w:tc>
              <w:tc>
                <w:tcPr>
                  <w:tcW w:w="955" w:type="pct"/>
                  <w:tcBorders>
                    <w:tl2br w:val="nil"/>
                    <w:tr2bl w:val="nil"/>
                  </w:tcBorders>
                  <w:vAlign w:val="center"/>
                </w:tcPr>
                <w:p w14:paraId="7B37110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rPr>
                    <w:t>符合</w:t>
                  </w:r>
                </w:p>
              </w:tc>
            </w:tr>
            <w:tr w14:paraId="6B64BB8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491" w:type="pct"/>
                  <w:tcBorders>
                    <w:tl2br w:val="nil"/>
                    <w:tr2bl w:val="nil"/>
                  </w:tcBorders>
                  <w:vAlign w:val="center"/>
                </w:tcPr>
                <w:p w14:paraId="6FD25C1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禁止未经许可在长江干支流及湖泊新设、改设或扩大排污口。</w:t>
                  </w:r>
                </w:p>
              </w:tc>
              <w:tc>
                <w:tcPr>
                  <w:tcW w:w="1552" w:type="pct"/>
                  <w:tcBorders>
                    <w:tl2br w:val="nil"/>
                    <w:tr2bl w:val="nil"/>
                  </w:tcBorders>
                  <w:vAlign w:val="center"/>
                </w:tcPr>
                <w:p w14:paraId="06D23AE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vertAlign w:val="baseline"/>
                      <w:lang w:val="en-US" w:eastAsia="zh-CN"/>
                    </w:rPr>
                    <w:t>项目不在长江干支及湖泊新设、改设或扩大排污口</w:t>
                  </w:r>
                </w:p>
              </w:tc>
              <w:tc>
                <w:tcPr>
                  <w:tcW w:w="955" w:type="pct"/>
                  <w:tcBorders>
                    <w:tl2br w:val="nil"/>
                    <w:tr2bl w:val="nil"/>
                  </w:tcBorders>
                  <w:vAlign w:val="center"/>
                </w:tcPr>
                <w:p w14:paraId="4BC35C3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rPr>
                    <w:t>符合</w:t>
                  </w:r>
                </w:p>
              </w:tc>
            </w:tr>
            <w:tr w14:paraId="5101C3C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91" w:type="pct"/>
                  <w:tcBorders>
                    <w:tl2br w:val="nil"/>
                    <w:tr2bl w:val="nil"/>
                  </w:tcBorders>
                  <w:vAlign w:val="center"/>
                </w:tcPr>
                <w:p w14:paraId="1B76E83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禁止在长江干流江西段、鄱阳湖和《率先全面禁捕的长江流域水生生物保护区名录》中的水生生物保护区开展生产性捕捞。</w:t>
                  </w:r>
                </w:p>
              </w:tc>
              <w:tc>
                <w:tcPr>
                  <w:tcW w:w="1552" w:type="pct"/>
                  <w:tcBorders>
                    <w:tl2br w:val="nil"/>
                    <w:tr2bl w:val="nil"/>
                  </w:tcBorders>
                  <w:vAlign w:val="center"/>
                </w:tcPr>
                <w:p w14:paraId="5EACE900">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本项目不开展生产性捕捞</w:t>
                  </w:r>
                </w:p>
              </w:tc>
              <w:tc>
                <w:tcPr>
                  <w:tcW w:w="955" w:type="pct"/>
                  <w:tcBorders>
                    <w:tl2br w:val="nil"/>
                    <w:tr2bl w:val="nil"/>
                  </w:tcBorders>
                  <w:vAlign w:val="center"/>
                </w:tcPr>
                <w:p w14:paraId="19D6B7B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rPr>
                    <w:t>符合</w:t>
                  </w:r>
                </w:p>
              </w:tc>
            </w:tr>
            <w:tr w14:paraId="72380BD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91" w:type="pct"/>
                  <w:tcBorders>
                    <w:tl2br w:val="nil"/>
                    <w:tr2bl w:val="nil"/>
                  </w:tcBorders>
                  <w:vAlign w:val="center"/>
                </w:tcPr>
                <w:p w14:paraId="0AE55DC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禁止在长江干支流、重要湖泊岸线一公里范围内新建、扩建化工园区和化工项目。</w:t>
                  </w:r>
                </w:p>
              </w:tc>
              <w:tc>
                <w:tcPr>
                  <w:tcW w:w="1552" w:type="pct"/>
                  <w:tcBorders>
                    <w:tl2br w:val="nil"/>
                    <w:tr2bl w:val="nil"/>
                  </w:tcBorders>
                  <w:vAlign w:val="center"/>
                </w:tcPr>
                <w:p w14:paraId="53D72F45">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vertAlign w:val="baseline"/>
                      <w:lang w:val="en-US" w:eastAsia="zh-CN"/>
                    </w:rPr>
                    <w:t>本项目不属于化工项目</w:t>
                  </w:r>
                </w:p>
              </w:tc>
              <w:tc>
                <w:tcPr>
                  <w:tcW w:w="955" w:type="pct"/>
                  <w:tcBorders>
                    <w:tl2br w:val="nil"/>
                    <w:tr2bl w:val="nil"/>
                  </w:tcBorders>
                  <w:vAlign w:val="center"/>
                </w:tcPr>
                <w:p w14:paraId="48F4F39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rPr>
                    <w:t>符合</w:t>
                  </w:r>
                </w:p>
              </w:tc>
            </w:tr>
            <w:tr w14:paraId="674F44B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91" w:type="pct"/>
                  <w:tcBorders>
                    <w:tl2br w:val="nil"/>
                    <w:tr2bl w:val="nil"/>
                  </w:tcBorders>
                  <w:vAlign w:val="center"/>
                </w:tcPr>
                <w:p w14:paraId="779F59E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禁止在长江干流岸线三公里范围内和重要支流岸线一公里范围内新建、改建、扩建尾矿库、冶炼渣库和磷石膏库，以提升安全、生态环境保护水平为目的改建除外。</w:t>
                  </w:r>
                </w:p>
              </w:tc>
              <w:tc>
                <w:tcPr>
                  <w:tcW w:w="1552" w:type="pct"/>
                  <w:tcBorders>
                    <w:tl2br w:val="nil"/>
                    <w:tr2bl w:val="nil"/>
                  </w:tcBorders>
                  <w:vAlign w:val="center"/>
                </w:tcPr>
                <w:p w14:paraId="700EAE8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lang w:eastAsia="zh-CN"/>
                    </w:rPr>
                    <w:t>本项目</w:t>
                  </w:r>
                  <w:r>
                    <w:rPr>
                      <w:rFonts w:hint="default" w:ascii="Times New Roman" w:hAnsi="Times New Roman" w:eastAsia="宋体" w:cs="Times New Roman"/>
                      <w:color w:val="auto"/>
                      <w:sz w:val="21"/>
                      <w:szCs w:val="21"/>
                      <w:highlight w:val="none"/>
                      <w:vertAlign w:val="baseline"/>
                      <w:lang w:val="en-US" w:eastAsia="zh-CN"/>
                    </w:rPr>
                    <w:t>不属于矿库、冶炼渣库和磷石膏库</w:t>
                  </w:r>
                </w:p>
              </w:tc>
              <w:tc>
                <w:tcPr>
                  <w:tcW w:w="955" w:type="pct"/>
                  <w:tcBorders>
                    <w:tl2br w:val="nil"/>
                    <w:tr2bl w:val="nil"/>
                  </w:tcBorders>
                  <w:vAlign w:val="center"/>
                </w:tcPr>
                <w:p w14:paraId="08905E35">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rPr>
                    <w:t>符合</w:t>
                  </w:r>
                </w:p>
              </w:tc>
            </w:tr>
            <w:tr w14:paraId="798710F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91" w:type="pct"/>
                  <w:tcBorders>
                    <w:tl2br w:val="nil"/>
                    <w:tr2bl w:val="nil"/>
                  </w:tcBorders>
                  <w:vAlign w:val="center"/>
                </w:tcPr>
                <w:p w14:paraId="47E4F2A0">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禁止在合规园区外新建、扩建钢铁、石化、化工、焦化、建材、有色、制浆造纸等高污染项目。</w:t>
                  </w:r>
                </w:p>
              </w:tc>
              <w:tc>
                <w:tcPr>
                  <w:tcW w:w="1552" w:type="pct"/>
                  <w:tcBorders>
                    <w:tl2br w:val="nil"/>
                    <w:tr2bl w:val="nil"/>
                  </w:tcBorders>
                  <w:vAlign w:val="center"/>
                </w:tcPr>
                <w:p w14:paraId="4DD2B44A">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lang w:val="en-US" w:eastAsia="zh-CN"/>
                    </w:rPr>
                    <w:t>本项目位于</w:t>
                  </w:r>
                  <w:r>
                    <w:rPr>
                      <w:rFonts w:hint="eastAsia" w:cs="Times New Roman"/>
                      <w:color w:val="auto"/>
                      <w:sz w:val="21"/>
                      <w:szCs w:val="21"/>
                      <w:highlight w:val="none"/>
                      <w:lang w:val="en-US" w:eastAsia="zh-CN"/>
                    </w:rPr>
                    <w:t>江西省景德镇市乐平市金山工业园</w:t>
                  </w:r>
                  <w:r>
                    <w:rPr>
                      <w:rFonts w:hint="default" w:ascii="Times New Roman" w:hAnsi="Times New Roman" w:eastAsia="宋体" w:cs="Times New Roman"/>
                      <w:color w:val="auto"/>
                      <w:sz w:val="21"/>
                      <w:szCs w:val="21"/>
                      <w:highlight w:val="none"/>
                      <w:lang w:val="en-US" w:eastAsia="zh-CN"/>
                    </w:rPr>
                    <w:t>内，属于合规园区，不涉及新建、扩建钢铁、石化、化工、焦化、建材、有色、制浆造纸等高污染项目</w:t>
                  </w:r>
                </w:p>
              </w:tc>
              <w:tc>
                <w:tcPr>
                  <w:tcW w:w="955" w:type="pct"/>
                  <w:tcBorders>
                    <w:tl2br w:val="nil"/>
                    <w:tr2bl w:val="nil"/>
                  </w:tcBorders>
                  <w:vAlign w:val="center"/>
                </w:tcPr>
                <w:p w14:paraId="136B284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rPr>
                    <w:t>符合</w:t>
                  </w:r>
                </w:p>
              </w:tc>
            </w:tr>
            <w:tr w14:paraId="0A39EA3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91" w:type="pct"/>
                  <w:tcBorders>
                    <w:tl2br w:val="nil"/>
                    <w:tr2bl w:val="nil"/>
                  </w:tcBorders>
                  <w:vAlign w:val="center"/>
                </w:tcPr>
                <w:p w14:paraId="402386D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禁止新建、扩建不符合国家石化、现代煤化工等产业布局规划的项目。</w:t>
                  </w:r>
                </w:p>
              </w:tc>
              <w:tc>
                <w:tcPr>
                  <w:tcW w:w="1552" w:type="pct"/>
                  <w:tcBorders>
                    <w:tl2br w:val="nil"/>
                    <w:tr2bl w:val="nil"/>
                  </w:tcBorders>
                  <w:vAlign w:val="center"/>
                </w:tcPr>
                <w:p w14:paraId="5285694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vertAlign w:val="baseline"/>
                      <w:lang w:val="en-US" w:eastAsia="zh-CN"/>
                    </w:rPr>
                    <w:t>本项目不属于石化、现代煤化工等产业</w:t>
                  </w:r>
                </w:p>
              </w:tc>
              <w:tc>
                <w:tcPr>
                  <w:tcW w:w="955" w:type="pct"/>
                  <w:tcBorders>
                    <w:tl2br w:val="nil"/>
                    <w:tr2bl w:val="nil"/>
                  </w:tcBorders>
                  <w:vAlign w:val="center"/>
                </w:tcPr>
                <w:p w14:paraId="1318128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rPr>
                    <w:t>符合</w:t>
                  </w:r>
                </w:p>
              </w:tc>
            </w:tr>
            <w:tr w14:paraId="7917A66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91" w:type="pct"/>
                  <w:tcBorders>
                    <w:tl2br w:val="nil"/>
                    <w:tr2bl w:val="nil"/>
                  </w:tcBorders>
                  <w:vAlign w:val="center"/>
                </w:tcPr>
                <w:p w14:paraId="58CD9AF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禁止新建、扩建法律法规和相关政策明令禁止的落后产能项目，严格执行《产业结构调整指导目录》中淘汰类和限制类有关规定，禁止开展投资建设属于淘汰类的项目及其相关活动，禁止开展投资新建、扩建属于限制类的项目及其相关活动。对于属于限制类的现有生产能力，允许企业在一定期限内采取措施改造升级，严禁以改造为名扩大产能。</w:t>
                  </w:r>
                </w:p>
              </w:tc>
              <w:tc>
                <w:tcPr>
                  <w:tcW w:w="1552" w:type="pct"/>
                  <w:tcBorders>
                    <w:tl2br w:val="nil"/>
                    <w:tr2bl w:val="nil"/>
                  </w:tcBorders>
                  <w:vAlign w:val="center"/>
                </w:tcPr>
                <w:p w14:paraId="4358E3EA">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left"/>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b w:val="0"/>
                      <w:bCs w:val="0"/>
                      <w:color w:val="auto"/>
                      <w:sz w:val="21"/>
                      <w:szCs w:val="21"/>
                      <w:highlight w:val="none"/>
                      <w:lang w:val="en-US" w:eastAsia="zh-CN"/>
                    </w:rPr>
                    <w:t>本项目不属于法律法规和相关政策明令禁止的落后产能项目，不属于产能过剩行业</w:t>
                  </w:r>
                </w:p>
              </w:tc>
              <w:tc>
                <w:tcPr>
                  <w:tcW w:w="955" w:type="pct"/>
                  <w:tcBorders>
                    <w:tl2br w:val="nil"/>
                    <w:tr2bl w:val="nil"/>
                  </w:tcBorders>
                  <w:vAlign w:val="center"/>
                </w:tcPr>
                <w:p w14:paraId="1922B4E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rPr>
                    <w:t>符合</w:t>
                  </w:r>
                </w:p>
              </w:tc>
            </w:tr>
            <w:tr w14:paraId="45D2209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91" w:type="pct"/>
                  <w:tcBorders>
                    <w:tl2br w:val="nil"/>
                    <w:tr2bl w:val="nil"/>
                  </w:tcBorders>
                  <w:vAlign w:val="center"/>
                </w:tcPr>
                <w:p w14:paraId="5521CF2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禁止新建、扩建不符合国家产能置换要求的钢铁、电解铝、水泥熟料、平板玻璃、船舶等严重过剩产能行业的项目。严格执行《国务院关于化解产能严重过剩矛盾的指导意见》，各地各部门不得以任何名义、任何方式新增产能片；对确有必要建设的，必须严格执行产能置换实施办法，实施减量或等量置换，依法依规办理有关手续。</w:t>
                  </w:r>
                </w:p>
              </w:tc>
              <w:tc>
                <w:tcPr>
                  <w:tcW w:w="1552" w:type="pct"/>
                  <w:tcBorders>
                    <w:tl2br w:val="nil"/>
                    <w:tr2bl w:val="nil"/>
                  </w:tcBorders>
                  <w:vAlign w:val="center"/>
                </w:tcPr>
                <w:p w14:paraId="22DFE2C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vertAlign w:val="baseline"/>
                      <w:lang w:val="en-US" w:eastAsia="zh-CN"/>
                    </w:rPr>
                    <w:t>本项目不属于钢铁、电解铝、水泥熟料、平板玻璃、船舶等严重过剩产能行业的项目</w:t>
                  </w:r>
                </w:p>
              </w:tc>
              <w:tc>
                <w:tcPr>
                  <w:tcW w:w="955" w:type="pct"/>
                  <w:tcBorders>
                    <w:tl2br w:val="nil"/>
                    <w:tr2bl w:val="nil"/>
                  </w:tcBorders>
                  <w:vAlign w:val="center"/>
                </w:tcPr>
                <w:p w14:paraId="0ECC12E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rPr>
                    <w:t>符合</w:t>
                  </w:r>
                </w:p>
              </w:tc>
            </w:tr>
            <w:tr w14:paraId="20E784E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91" w:type="pct"/>
                  <w:tcBorders>
                    <w:tl2br w:val="nil"/>
                    <w:tr2bl w:val="nil"/>
                  </w:tcBorders>
                  <w:vAlign w:val="center"/>
                </w:tcPr>
                <w:p w14:paraId="2709EBF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禁止新建、扩建不符合要求的高耗能高排放项目。严格执行《江西省人民政府办公厅关于严格高耗能高排放项目准入管理的实施意见》（赣府厅发〔2021〕33号），加强项目审查论证，落实等量、减量替代要求，规范项目行政审批。</w:t>
                  </w:r>
                </w:p>
              </w:tc>
              <w:tc>
                <w:tcPr>
                  <w:tcW w:w="1552" w:type="pct"/>
                  <w:tcBorders>
                    <w:tl2br w:val="nil"/>
                    <w:tr2bl w:val="nil"/>
                  </w:tcBorders>
                  <w:vAlign w:val="center"/>
                </w:tcPr>
                <w:p w14:paraId="1C1F806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lang w:val="en-US" w:eastAsia="zh-CN"/>
                    </w:rPr>
                    <w:t>本</w:t>
                  </w:r>
                  <w:r>
                    <w:rPr>
                      <w:rFonts w:hint="default" w:ascii="Times New Roman" w:hAnsi="Times New Roman" w:cs="Times New Roman"/>
                      <w:color w:val="auto"/>
                      <w:sz w:val="21"/>
                      <w:szCs w:val="21"/>
                      <w:highlight w:val="none"/>
                    </w:rPr>
                    <w:t>不属于</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rPr>
                    <w:t>两高</w:t>
                  </w:r>
                  <w:r>
                    <w:rPr>
                      <w:rFonts w:hint="eastAsia" w:ascii="宋体" w:hAnsi="宋体" w:eastAsia="宋体" w:cs="宋体"/>
                      <w:color w:val="auto"/>
                      <w:sz w:val="21"/>
                      <w:szCs w:val="21"/>
                      <w:highlight w:val="none"/>
                      <w:lang w:eastAsia="zh-CN"/>
                    </w:rPr>
                    <w:t>”</w:t>
                  </w:r>
                  <w:r>
                    <w:rPr>
                      <w:rFonts w:hint="default" w:ascii="Times New Roman" w:hAnsi="Times New Roman" w:cs="Times New Roman"/>
                      <w:color w:val="auto"/>
                      <w:sz w:val="21"/>
                      <w:szCs w:val="21"/>
                      <w:highlight w:val="none"/>
                    </w:rPr>
                    <w:t>项目具体划分范围内</w:t>
                  </w:r>
                </w:p>
              </w:tc>
              <w:tc>
                <w:tcPr>
                  <w:tcW w:w="955" w:type="pct"/>
                  <w:tcBorders>
                    <w:tl2br w:val="nil"/>
                    <w:tr2bl w:val="nil"/>
                  </w:tcBorders>
                  <w:vAlign w:val="center"/>
                </w:tcPr>
                <w:p w14:paraId="534E64BA">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rPr>
                    <w:t>符合</w:t>
                  </w:r>
                </w:p>
              </w:tc>
            </w:tr>
          </w:tbl>
          <w:p w14:paraId="3F1E7588">
            <w:pPr>
              <w:pStyle w:val="9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firstLine="480" w:firstLineChars="200"/>
              <w:jc w:val="both"/>
              <w:textAlignment w:val="auto"/>
              <w:rPr>
                <w:rFonts w:hint="default" w:ascii="Times New Roman" w:hAnsi="Times New Roman" w:eastAsia="宋体" w:cs="Times New Roman"/>
                <w:color w:val="auto"/>
                <w:sz w:val="24"/>
                <w:szCs w:val="24"/>
                <w:highlight w:val="none"/>
                <w:u w:val="none"/>
                <w:lang w:val="en-US" w:eastAsia="zh-CN"/>
              </w:rPr>
            </w:pPr>
            <w:r>
              <w:rPr>
                <w:rFonts w:hint="eastAsia" w:ascii="Times New Roman" w:hAnsi="Times New Roman" w:eastAsia="宋体" w:cs="Times New Roman"/>
                <w:b w:val="0"/>
                <w:bCs w:val="0"/>
                <w:color w:val="auto"/>
                <w:sz w:val="24"/>
                <w:szCs w:val="24"/>
                <w:highlight w:val="none"/>
                <w:lang w:val="en-US" w:eastAsia="zh-CN"/>
              </w:rPr>
              <w:t>综上所述，</w:t>
            </w:r>
            <w:r>
              <w:rPr>
                <w:rFonts w:hint="default" w:ascii="Times New Roman" w:hAnsi="Times New Roman" w:eastAsia="宋体" w:cs="Times New Roman"/>
                <w:b w:val="0"/>
                <w:bCs w:val="0"/>
                <w:color w:val="auto"/>
                <w:sz w:val="24"/>
                <w:szCs w:val="24"/>
                <w:highlight w:val="none"/>
                <w:lang w:val="en-US" w:eastAsia="zh-CN"/>
              </w:rPr>
              <w:t>本项目与《江西省长江经济带发展负面清单实施细则》相符。</w:t>
            </w:r>
          </w:p>
          <w:p w14:paraId="30D93746">
            <w:pPr>
              <w:pStyle w:val="35"/>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360" w:lineRule="auto"/>
              <w:ind w:left="0" w:leftChars="0" w:right="0" w:rightChars="0" w:firstLine="482" w:firstLineChars="200"/>
              <w:jc w:val="both"/>
              <w:textAlignment w:val="auto"/>
              <w:rPr>
                <w:rFonts w:hint="default" w:ascii="Times New Roman" w:hAnsi="Times New Roman" w:cs="Times New Roman"/>
                <w:b/>
                <w:bCs/>
                <w:color w:val="auto"/>
                <w:sz w:val="24"/>
                <w:szCs w:val="24"/>
                <w:highlight w:val="none"/>
                <w:lang w:val="en-US" w:eastAsia="zh-CN"/>
              </w:rPr>
            </w:pPr>
            <w:r>
              <w:rPr>
                <w:rFonts w:hint="eastAsia" w:ascii="Times New Roman" w:hAnsi="Times New Roman" w:cs="Times New Roman"/>
                <w:b/>
                <w:bCs/>
                <w:color w:val="auto"/>
                <w:sz w:val="24"/>
                <w:szCs w:val="24"/>
                <w:highlight w:val="none"/>
                <w:lang w:val="en-US" w:eastAsia="zh-CN"/>
              </w:rPr>
              <w:t>6</w:t>
            </w:r>
            <w:r>
              <w:rPr>
                <w:rFonts w:hint="default" w:ascii="Times New Roman" w:hAnsi="Times New Roman" w:cs="Times New Roman"/>
                <w:b/>
                <w:bCs/>
                <w:color w:val="auto"/>
                <w:sz w:val="24"/>
                <w:szCs w:val="24"/>
                <w:highlight w:val="none"/>
                <w:lang w:val="en-US" w:eastAsia="zh-CN"/>
              </w:rPr>
              <w:t>、与《中华人民共和国长江保护法》相符性分析</w:t>
            </w:r>
          </w:p>
          <w:p w14:paraId="03F66D01">
            <w:pPr>
              <w:pStyle w:val="35"/>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360" w:lineRule="auto"/>
              <w:ind w:left="0" w:leftChars="0" w:right="0" w:rightChars="0" w:firstLine="480" w:firstLineChars="200"/>
              <w:jc w:val="both"/>
              <w:textAlignment w:val="auto"/>
              <w:rPr>
                <w:rFonts w:hint="default" w:ascii="Times New Roman" w:hAnsi="Times New Roman" w:eastAsia="宋体" w:cs="Times New Roman"/>
                <w:b/>
                <w:bCs/>
                <w:color w:val="auto"/>
                <w:sz w:val="24"/>
                <w:szCs w:val="24"/>
                <w:highlight w:val="none"/>
                <w:lang w:val="en-US" w:eastAsia="zh-CN"/>
              </w:rPr>
            </w:pPr>
            <w:r>
              <w:rPr>
                <w:rFonts w:hint="eastAsia" w:ascii="Times New Roman" w:hAnsi="Times New Roman" w:cs="Times New Roman"/>
                <w:b w:val="0"/>
                <w:bCs w:val="0"/>
                <w:color w:val="auto"/>
                <w:sz w:val="24"/>
                <w:szCs w:val="24"/>
                <w:highlight w:val="none"/>
                <w:lang w:val="en-US" w:eastAsia="zh-CN"/>
              </w:rPr>
              <w:t>本项目与《中华人民共和国长江保护法》相符性分析见表1-8。</w:t>
            </w:r>
          </w:p>
          <w:p w14:paraId="721F9EE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4"/>
                <w:szCs w:val="24"/>
                <w:highlight w:val="none"/>
                <w:lang w:val="en-US" w:eastAsia="zh-CN"/>
              </w:rPr>
            </w:pPr>
            <w:r>
              <w:rPr>
                <w:rFonts w:hint="default" w:ascii="Times New Roman" w:hAnsi="Times New Roman" w:eastAsia="宋体" w:cs="Times New Roman"/>
                <w:b/>
                <w:bCs/>
                <w:color w:val="auto"/>
                <w:sz w:val="21"/>
                <w:szCs w:val="21"/>
                <w:highlight w:val="none"/>
                <w:lang w:val="en-US" w:eastAsia="zh-CN"/>
              </w:rPr>
              <w:t>表1-</w:t>
            </w:r>
            <w:r>
              <w:rPr>
                <w:rFonts w:hint="eastAsia" w:cs="Times New Roman"/>
                <w:b/>
                <w:bCs/>
                <w:color w:val="auto"/>
                <w:sz w:val="21"/>
                <w:szCs w:val="21"/>
                <w:highlight w:val="none"/>
                <w:lang w:val="en-US" w:eastAsia="zh-CN"/>
              </w:rPr>
              <w:t>8</w:t>
            </w:r>
            <w:r>
              <w:rPr>
                <w:rFonts w:hint="default" w:ascii="Times New Roman" w:hAnsi="Times New Roman" w:eastAsia="宋体" w:cs="Times New Roman"/>
                <w:b/>
                <w:bCs/>
                <w:color w:val="auto"/>
                <w:sz w:val="21"/>
                <w:szCs w:val="21"/>
                <w:highlight w:val="none"/>
                <w:lang w:val="en-US" w:eastAsia="zh-CN"/>
              </w:rPr>
              <w:t xml:space="preserve">   </w:t>
            </w:r>
            <w:r>
              <w:rPr>
                <w:rFonts w:hint="default" w:ascii="Times New Roman" w:hAnsi="Times New Roman" w:cs="Times New Roman"/>
                <w:b/>
                <w:bCs/>
                <w:color w:val="auto"/>
                <w:sz w:val="21"/>
                <w:szCs w:val="21"/>
                <w:highlight w:val="none"/>
                <w:lang w:val="en-US" w:eastAsia="zh-CN"/>
              </w:rPr>
              <w:t>与《中华人民共和国长江保护法》相符性分析</w:t>
            </w:r>
          </w:p>
          <w:tbl>
            <w:tblPr>
              <w:tblStyle w:val="27"/>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3845"/>
              <w:gridCol w:w="2526"/>
              <w:gridCol w:w="1090"/>
            </w:tblGrid>
            <w:tr w14:paraId="16E1FBC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3403" w:type="dxa"/>
                  <w:tcBorders>
                    <w:bottom w:val="single" w:color="auto" w:sz="12" w:space="0"/>
                  </w:tcBorders>
                  <w:noWrap w:val="0"/>
                  <w:vAlign w:val="center"/>
                </w:tcPr>
                <w:p w14:paraId="430B97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1"/>
                      <w:szCs w:val="21"/>
                      <w:highlight w:val="none"/>
                      <w:vertAlign w:val="baseline"/>
                      <w:lang w:val="en-US" w:eastAsia="zh-CN"/>
                    </w:rPr>
                  </w:pPr>
                  <w:r>
                    <w:rPr>
                      <w:rFonts w:hint="default" w:ascii="Times New Roman" w:hAnsi="Times New Roman" w:eastAsia="宋体" w:cs="Times New Roman"/>
                      <w:b/>
                      <w:bCs/>
                      <w:color w:val="auto"/>
                      <w:sz w:val="21"/>
                      <w:szCs w:val="21"/>
                      <w:highlight w:val="none"/>
                      <w:vertAlign w:val="baseline"/>
                      <w:lang w:val="en-US" w:eastAsia="zh-CN"/>
                    </w:rPr>
                    <w:t>文件要求（摘录）</w:t>
                  </w:r>
                </w:p>
              </w:tc>
              <w:tc>
                <w:tcPr>
                  <w:tcW w:w="2236" w:type="dxa"/>
                  <w:tcBorders>
                    <w:bottom w:val="single" w:color="auto" w:sz="12" w:space="0"/>
                  </w:tcBorders>
                  <w:noWrap w:val="0"/>
                  <w:vAlign w:val="center"/>
                </w:tcPr>
                <w:p w14:paraId="694954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1"/>
                      <w:szCs w:val="21"/>
                      <w:highlight w:val="none"/>
                      <w:vertAlign w:val="baseline"/>
                      <w:lang w:val="en-US" w:eastAsia="zh-CN"/>
                    </w:rPr>
                  </w:pPr>
                  <w:r>
                    <w:rPr>
                      <w:rFonts w:hint="eastAsia" w:ascii="Times New Roman" w:hAnsi="Times New Roman" w:eastAsia="宋体" w:cs="Times New Roman"/>
                      <w:b/>
                      <w:bCs/>
                      <w:color w:val="auto"/>
                      <w:sz w:val="21"/>
                      <w:szCs w:val="21"/>
                      <w:highlight w:val="none"/>
                      <w:vertAlign w:val="baseline"/>
                      <w:lang w:val="en-US" w:eastAsia="zh-CN"/>
                    </w:rPr>
                    <w:t>本项目</w:t>
                  </w:r>
                </w:p>
              </w:tc>
              <w:tc>
                <w:tcPr>
                  <w:tcW w:w="965" w:type="dxa"/>
                  <w:tcBorders>
                    <w:bottom w:val="single" w:color="auto" w:sz="12" w:space="0"/>
                  </w:tcBorders>
                  <w:noWrap w:val="0"/>
                  <w:vAlign w:val="center"/>
                </w:tcPr>
                <w:p w14:paraId="3AD735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1"/>
                      <w:szCs w:val="21"/>
                      <w:highlight w:val="none"/>
                      <w:vertAlign w:val="baseline"/>
                      <w:lang w:val="en-US" w:eastAsia="zh-CN"/>
                    </w:rPr>
                  </w:pPr>
                  <w:r>
                    <w:rPr>
                      <w:rFonts w:hint="default" w:ascii="Times New Roman" w:hAnsi="Times New Roman" w:eastAsia="宋体" w:cs="Times New Roman"/>
                      <w:b/>
                      <w:bCs/>
                      <w:color w:val="auto"/>
                      <w:sz w:val="21"/>
                      <w:szCs w:val="21"/>
                      <w:highlight w:val="none"/>
                      <w:vertAlign w:val="baseline"/>
                      <w:lang w:val="en-US" w:eastAsia="zh-CN"/>
                    </w:rPr>
                    <w:t>相符性</w:t>
                  </w:r>
                </w:p>
              </w:tc>
            </w:tr>
            <w:tr w14:paraId="0EBC8C6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3403" w:type="dxa"/>
                  <w:tcBorders>
                    <w:top w:val="single" w:color="auto" w:sz="12" w:space="0"/>
                    <w:tl2br w:val="nil"/>
                    <w:tr2bl w:val="nil"/>
                  </w:tcBorders>
                  <w:noWrap w:val="0"/>
                  <w:vAlign w:val="center"/>
                </w:tcPr>
                <w:p w14:paraId="7CC750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vertAlign w:val="baseline"/>
                      <w:lang w:val="en-US" w:eastAsia="zh-CN"/>
                    </w:rPr>
                    <w:t>第二十一条</w:t>
                  </w:r>
                  <w:r>
                    <w:rPr>
                      <w:rFonts w:hint="eastAsia" w:ascii="Times New Roman" w:hAnsi="Times New Roman" w:eastAsia="宋体" w:cs="Times New Roman"/>
                      <w:color w:val="auto"/>
                      <w:sz w:val="21"/>
                      <w:szCs w:val="21"/>
                      <w:highlight w:val="none"/>
                      <w:vertAlign w:val="baseline"/>
                      <w:lang w:val="en-US" w:eastAsia="zh-CN"/>
                    </w:rPr>
                    <w:t xml:space="preserve"> </w:t>
                  </w:r>
                  <w:r>
                    <w:rPr>
                      <w:rFonts w:hint="default" w:ascii="Times New Roman" w:hAnsi="Times New Roman" w:eastAsia="宋体" w:cs="Times New Roman"/>
                      <w:color w:val="auto"/>
                      <w:sz w:val="21"/>
                      <w:szCs w:val="21"/>
                      <w:highlight w:val="none"/>
                      <w:vertAlign w:val="baseline"/>
                      <w:lang w:val="en-US" w:eastAsia="zh-CN"/>
                    </w:rPr>
                    <w:t>国务院生态环境主管部门根据水环境质量改善目标和水污染防治要求，确定长江流域各省级行政区域重点污染物排放总量控制指标。长江流域水质超标的水功能区，应当实施更严格的污染物排放总量削减要求。企业事业单位应当按照要求，采取污染物排放总量控制措施。</w:t>
                  </w:r>
                </w:p>
              </w:tc>
              <w:tc>
                <w:tcPr>
                  <w:tcW w:w="2236" w:type="dxa"/>
                  <w:tcBorders>
                    <w:top w:val="single" w:color="auto" w:sz="12" w:space="0"/>
                    <w:tl2br w:val="nil"/>
                    <w:tr2bl w:val="nil"/>
                  </w:tcBorders>
                  <w:noWrap w:val="0"/>
                  <w:vAlign w:val="center"/>
                </w:tcPr>
                <w:p w14:paraId="472B95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vertAlign w:val="baseline"/>
                      <w:lang w:val="en-US" w:eastAsia="zh-CN"/>
                    </w:rPr>
                    <w:t>本项目运营期生活污水经</w:t>
                  </w:r>
                  <w:r>
                    <w:rPr>
                      <w:rFonts w:hint="eastAsia" w:cs="Times New Roman"/>
                      <w:color w:val="auto"/>
                      <w:sz w:val="21"/>
                      <w:szCs w:val="21"/>
                      <w:highlight w:val="none"/>
                      <w:vertAlign w:val="baseline"/>
                      <w:lang w:val="en-US" w:eastAsia="zh-CN"/>
                    </w:rPr>
                    <w:t>园区</w:t>
                  </w:r>
                  <w:r>
                    <w:rPr>
                      <w:rFonts w:hint="default" w:ascii="Times New Roman" w:hAnsi="Times New Roman" w:eastAsia="宋体" w:cs="Times New Roman"/>
                      <w:color w:val="auto"/>
                      <w:sz w:val="21"/>
                      <w:szCs w:val="21"/>
                      <w:highlight w:val="none"/>
                      <w:vertAlign w:val="baseline"/>
                      <w:lang w:val="en-US" w:eastAsia="zh-CN"/>
                    </w:rPr>
                    <w:t>隔油池+化粪池处理</w:t>
                  </w:r>
                  <w:r>
                    <w:rPr>
                      <w:rFonts w:hint="eastAsia" w:cs="Times New Roman"/>
                      <w:color w:val="auto"/>
                      <w:sz w:val="21"/>
                      <w:szCs w:val="21"/>
                      <w:highlight w:val="none"/>
                      <w:vertAlign w:val="baseline"/>
                      <w:lang w:val="en-US" w:eastAsia="zh-CN"/>
                    </w:rPr>
                    <w:t>后排入园区污水管网，</w:t>
                  </w:r>
                  <w:r>
                    <w:rPr>
                      <w:rFonts w:hint="default" w:ascii="Times New Roman" w:hAnsi="Times New Roman" w:eastAsia="宋体" w:cs="Times New Roman"/>
                      <w:color w:val="auto"/>
                      <w:sz w:val="21"/>
                      <w:szCs w:val="21"/>
                      <w:highlight w:val="none"/>
                      <w:vertAlign w:val="baseline"/>
                      <w:lang w:val="en-US" w:eastAsia="zh-CN"/>
                    </w:rPr>
                    <w:t>接入乐平市金山工业区</w:t>
                  </w:r>
                  <w:r>
                    <w:rPr>
                      <w:rFonts w:hint="eastAsia" w:cs="Times New Roman"/>
                      <w:color w:val="auto"/>
                      <w:sz w:val="21"/>
                      <w:szCs w:val="21"/>
                      <w:highlight w:val="none"/>
                      <w:vertAlign w:val="baseline"/>
                      <w:lang w:val="en-US" w:eastAsia="zh-CN"/>
                    </w:rPr>
                    <w:t>一期</w:t>
                  </w:r>
                  <w:r>
                    <w:rPr>
                      <w:rFonts w:hint="default" w:ascii="Times New Roman" w:hAnsi="Times New Roman" w:eastAsia="宋体" w:cs="Times New Roman"/>
                      <w:color w:val="auto"/>
                      <w:sz w:val="21"/>
                      <w:szCs w:val="21"/>
                      <w:highlight w:val="none"/>
                      <w:vertAlign w:val="baseline"/>
                      <w:lang w:val="en-US" w:eastAsia="zh-CN"/>
                    </w:rPr>
                    <w:t>污水站</w:t>
                  </w:r>
                </w:p>
              </w:tc>
              <w:tc>
                <w:tcPr>
                  <w:tcW w:w="965" w:type="dxa"/>
                  <w:tcBorders>
                    <w:top w:val="single" w:color="auto" w:sz="12" w:space="0"/>
                    <w:tl2br w:val="nil"/>
                    <w:tr2bl w:val="nil"/>
                  </w:tcBorders>
                  <w:noWrap w:val="0"/>
                  <w:vAlign w:val="center"/>
                </w:tcPr>
                <w:p w14:paraId="3189DB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cs="Times New Roman"/>
                      <w:color w:val="auto"/>
                      <w:sz w:val="21"/>
                      <w:szCs w:val="21"/>
                      <w:highlight w:val="none"/>
                      <w:vertAlign w:val="baseline"/>
                      <w:lang w:val="en-US" w:eastAsia="zh-CN"/>
                    </w:rPr>
                    <w:t>符合</w:t>
                  </w:r>
                </w:p>
              </w:tc>
            </w:tr>
            <w:tr w14:paraId="3713794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3403" w:type="dxa"/>
                  <w:tcBorders>
                    <w:tl2br w:val="nil"/>
                    <w:tr2bl w:val="nil"/>
                  </w:tcBorders>
                  <w:noWrap w:val="0"/>
                  <w:vAlign w:val="center"/>
                </w:tcPr>
                <w:p w14:paraId="502D06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lang w:val="en-US" w:eastAsia="zh-CN"/>
                    </w:rPr>
                    <w:t>第二十二条</w:t>
                  </w:r>
                  <w:r>
                    <w:rPr>
                      <w:rFonts w:hint="eastAsia" w:ascii="Times New Roman" w:hAnsi="Times New Roman" w:eastAsia="宋体" w:cs="Times New Roman"/>
                      <w:color w:val="auto"/>
                      <w:sz w:val="21"/>
                      <w:szCs w:val="21"/>
                      <w:highlight w:val="none"/>
                      <w:lang w:val="en-US" w:eastAsia="zh-CN"/>
                    </w:rPr>
                    <w:t xml:space="preserve"> </w:t>
                  </w:r>
                  <w:r>
                    <w:rPr>
                      <w:rFonts w:hint="default" w:ascii="Times New Roman" w:hAnsi="Times New Roman" w:eastAsia="宋体" w:cs="Times New Roman"/>
                      <w:color w:val="auto"/>
                      <w:sz w:val="21"/>
                      <w:szCs w:val="21"/>
                      <w:highlight w:val="none"/>
                      <w:lang w:val="en-US" w:eastAsia="zh-CN"/>
                    </w:rPr>
                    <w:t>长江流域省级人民政府根据本行政区域的生态环境和资源利用状况，制定生态环境分区管控方案和生态环境准入清单，报国务院生态环境主管部门备案后实施。生态环境分区管控方案和生态环境准入清单应当与国土空间规划相衔接。长江流域产业结构和布局应当与长江流域生态系统和资源环境承载能力相适应。禁止在长江流域重点生态功能区布局对生态系统有严重影响的产业。禁止重污染企业和项目向长江中上游转移。</w:t>
                  </w:r>
                </w:p>
              </w:tc>
              <w:tc>
                <w:tcPr>
                  <w:tcW w:w="2236" w:type="dxa"/>
                  <w:tcBorders>
                    <w:tl2br w:val="nil"/>
                    <w:tr2bl w:val="nil"/>
                  </w:tcBorders>
                  <w:noWrap w:val="0"/>
                  <w:vAlign w:val="center"/>
                </w:tcPr>
                <w:p w14:paraId="3EA3C4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kern w:val="2"/>
                      <w:sz w:val="21"/>
                      <w:szCs w:val="21"/>
                      <w:highlight w:val="none"/>
                      <w:vertAlign w:val="baseline"/>
                      <w:lang w:val="en-US" w:eastAsia="zh-CN" w:bidi="ar-SA"/>
                    </w:rPr>
                    <w:t>本项目符合</w:t>
                  </w:r>
                  <w:r>
                    <w:rPr>
                      <w:rFonts w:hint="eastAsia" w:cs="Times New Roman"/>
                      <w:color w:val="auto"/>
                      <w:kern w:val="2"/>
                      <w:sz w:val="21"/>
                      <w:szCs w:val="21"/>
                      <w:highlight w:val="none"/>
                      <w:vertAlign w:val="baseline"/>
                      <w:lang w:val="en-US" w:eastAsia="zh-CN" w:bidi="ar-SA"/>
                    </w:rPr>
                    <w:t>景德镇</w:t>
                  </w:r>
                  <w:r>
                    <w:rPr>
                      <w:rFonts w:hint="default" w:ascii="Times New Roman" w:hAnsi="Times New Roman" w:eastAsia="宋体" w:cs="Times New Roman"/>
                      <w:color w:val="auto"/>
                      <w:kern w:val="2"/>
                      <w:sz w:val="21"/>
                      <w:szCs w:val="21"/>
                      <w:highlight w:val="none"/>
                      <w:vertAlign w:val="baseline"/>
                      <w:lang w:val="en-US" w:eastAsia="zh-CN" w:bidi="ar-SA"/>
                    </w:rPr>
                    <w:t>市</w:t>
                  </w:r>
                  <w:r>
                    <w:rPr>
                      <w:rFonts w:hint="default" w:ascii="Times New Roman" w:hAnsi="Times New Roman" w:eastAsia="宋体" w:cs="Times New Roman"/>
                      <w:color w:val="auto"/>
                      <w:sz w:val="21"/>
                      <w:szCs w:val="21"/>
                      <w:highlight w:val="none"/>
                      <w:lang w:val="en-US" w:eastAsia="zh-CN"/>
                    </w:rPr>
                    <w:t>生态环境分区管控方案和生态环境准入清单</w:t>
                  </w:r>
                  <w:r>
                    <w:rPr>
                      <w:rFonts w:hint="default" w:ascii="Times New Roman" w:hAnsi="Times New Roman" w:eastAsia="宋体" w:cs="Times New Roman"/>
                      <w:color w:val="auto"/>
                      <w:kern w:val="2"/>
                      <w:sz w:val="21"/>
                      <w:szCs w:val="21"/>
                      <w:highlight w:val="none"/>
                      <w:vertAlign w:val="baseline"/>
                      <w:lang w:val="en-US" w:eastAsia="zh-CN" w:bidi="ar-SA"/>
                    </w:rPr>
                    <w:t>要求，不属于对生态系统有严重影响和重污染企业</w:t>
                  </w:r>
                </w:p>
              </w:tc>
              <w:tc>
                <w:tcPr>
                  <w:tcW w:w="965" w:type="dxa"/>
                  <w:tcBorders>
                    <w:tl2br w:val="nil"/>
                    <w:tr2bl w:val="nil"/>
                  </w:tcBorders>
                  <w:noWrap w:val="0"/>
                  <w:vAlign w:val="center"/>
                </w:tcPr>
                <w:p w14:paraId="77F293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vertAlign w:val="baseline"/>
                      <w:lang w:val="en-US" w:eastAsia="zh-CN"/>
                    </w:rPr>
                    <w:t>符合</w:t>
                  </w:r>
                </w:p>
              </w:tc>
            </w:tr>
            <w:tr w14:paraId="47DF898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3403" w:type="dxa"/>
                  <w:tcBorders>
                    <w:tl2br w:val="nil"/>
                    <w:tr2bl w:val="nil"/>
                  </w:tcBorders>
                  <w:noWrap w:val="0"/>
                  <w:vAlign w:val="center"/>
                </w:tcPr>
                <w:p w14:paraId="5EC9F1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vertAlign w:val="baseline"/>
                      <w:lang w:val="en-US" w:eastAsia="zh-CN"/>
                    </w:rPr>
                    <w:t>第五十条</w:t>
                  </w:r>
                  <w:r>
                    <w:rPr>
                      <w:rFonts w:hint="eastAsia" w:ascii="Times New Roman" w:hAnsi="Times New Roman" w:eastAsia="宋体" w:cs="Times New Roman"/>
                      <w:color w:val="auto"/>
                      <w:sz w:val="21"/>
                      <w:szCs w:val="21"/>
                      <w:highlight w:val="none"/>
                      <w:vertAlign w:val="baseline"/>
                      <w:lang w:val="en-US" w:eastAsia="zh-CN"/>
                    </w:rPr>
                    <w:t xml:space="preserve"> </w:t>
                  </w:r>
                  <w:r>
                    <w:rPr>
                      <w:rFonts w:hint="default" w:ascii="Times New Roman" w:hAnsi="Times New Roman" w:eastAsia="宋体" w:cs="Times New Roman"/>
                      <w:color w:val="auto"/>
                      <w:sz w:val="21"/>
                      <w:szCs w:val="21"/>
                      <w:highlight w:val="none"/>
                      <w:vertAlign w:val="baseline"/>
                      <w:lang w:val="en-US" w:eastAsia="zh-CN"/>
                    </w:rPr>
                    <w:t>长江流域县级以上地方人民政府应当组织对沿河湖垃圾填埋场、加油站、矿山、尾矿库、危险废物处置场、化工园区和化工项目等地下水重点污染源及周边地下水环境风险隐患开展调查评估，并采取相应风险防范和整治措施。</w:t>
                  </w:r>
                </w:p>
              </w:tc>
              <w:tc>
                <w:tcPr>
                  <w:tcW w:w="2236" w:type="dxa"/>
                  <w:tcBorders>
                    <w:tl2br w:val="nil"/>
                    <w:tr2bl w:val="nil"/>
                  </w:tcBorders>
                  <w:noWrap w:val="0"/>
                  <w:vAlign w:val="center"/>
                </w:tcPr>
                <w:p w14:paraId="757B62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vertAlign w:val="baseline"/>
                      <w:lang w:val="en-US" w:eastAsia="zh-CN"/>
                    </w:rPr>
                    <w:t>项目不属于垃圾填埋场、加油站、矿山、尾矿库、危险废物处置场、化工园区和化工项目</w:t>
                  </w:r>
                </w:p>
              </w:tc>
              <w:tc>
                <w:tcPr>
                  <w:tcW w:w="965" w:type="dxa"/>
                  <w:tcBorders>
                    <w:tl2br w:val="nil"/>
                    <w:tr2bl w:val="nil"/>
                  </w:tcBorders>
                  <w:noWrap w:val="0"/>
                  <w:vAlign w:val="center"/>
                </w:tcPr>
                <w:p w14:paraId="7D6E52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cs="Times New Roman"/>
                      <w:color w:val="auto"/>
                      <w:sz w:val="21"/>
                      <w:szCs w:val="21"/>
                      <w:highlight w:val="none"/>
                      <w:vertAlign w:val="baseline"/>
                      <w:lang w:val="en-US" w:eastAsia="zh-CN"/>
                    </w:rPr>
                    <w:t>符合</w:t>
                  </w:r>
                </w:p>
              </w:tc>
            </w:tr>
            <w:tr w14:paraId="3EA8E12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3403" w:type="dxa"/>
                  <w:tcBorders>
                    <w:tl2br w:val="nil"/>
                    <w:tr2bl w:val="nil"/>
                  </w:tcBorders>
                  <w:noWrap w:val="0"/>
                  <w:vAlign w:val="center"/>
                </w:tcPr>
                <w:p w14:paraId="1F56A4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vertAlign w:val="baseline"/>
                      <w:lang w:val="en-US" w:eastAsia="zh-CN"/>
                    </w:rPr>
                    <w:t>第四十九条</w:t>
                  </w:r>
                  <w:r>
                    <w:rPr>
                      <w:rFonts w:hint="eastAsia" w:ascii="Times New Roman" w:hAnsi="Times New Roman" w:eastAsia="宋体" w:cs="Times New Roman"/>
                      <w:color w:val="auto"/>
                      <w:sz w:val="21"/>
                      <w:szCs w:val="21"/>
                      <w:highlight w:val="none"/>
                      <w:vertAlign w:val="baseline"/>
                      <w:lang w:val="en-US" w:eastAsia="zh-CN"/>
                    </w:rPr>
                    <w:t xml:space="preserve"> </w:t>
                  </w:r>
                  <w:r>
                    <w:rPr>
                      <w:rFonts w:hint="default" w:ascii="Times New Roman" w:hAnsi="Times New Roman" w:eastAsia="宋体" w:cs="Times New Roman"/>
                      <w:color w:val="auto"/>
                      <w:sz w:val="21"/>
                      <w:szCs w:val="21"/>
                      <w:highlight w:val="none"/>
                      <w:vertAlign w:val="baseline"/>
                      <w:lang w:val="en-US" w:eastAsia="zh-CN"/>
                    </w:rPr>
                    <w:t>禁止在长江流域河湖管理范围内倾倒、填埋、堆放、弃置、处理固体废物。长江流域县级以上地方人民政府应当加强对固体废物非法转移和倾倒的联防联控</w:t>
                  </w:r>
                  <w:r>
                    <w:rPr>
                      <w:rFonts w:hint="eastAsia" w:ascii="Times New Roman" w:hAnsi="Times New Roman" w:eastAsia="宋体" w:cs="Times New Roman"/>
                      <w:color w:val="auto"/>
                      <w:sz w:val="21"/>
                      <w:szCs w:val="21"/>
                      <w:highlight w:val="none"/>
                      <w:vertAlign w:val="baseline"/>
                      <w:lang w:val="en-US" w:eastAsia="zh-CN"/>
                    </w:rPr>
                    <w:t>。</w:t>
                  </w:r>
                </w:p>
              </w:tc>
              <w:tc>
                <w:tcPr>
                  <w:tcW w:w="2236" w:type="dxa"/>
                  <w:tcBorders>
                    <w:tl2br w:val="nil"/>
                    <w:tr2bl w:val="nil"/>
                  </w:tcBorders>
                  <w:noWrap w:val="0"/>
                  <w:vAlign w:val="center"/>
                </w:tcPr>
                <w:p w14:paraId="2EE208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eastAsia="宋体" w:cs="Times New Roman"/>
                      <w:color w:val="auto"/>
                      <w:sz w:val="21"/>
                      <w:szCs w:val="21"/>
                      <w:highlight w:val="none"/>
                      <w:vertAlign w:val="baseline"/>
                      <w:lang w:val="en-US" w:eastAsia="zh-CN"/>
                    </w:rPr>
                    <w:t>本</w:t>
                  </w:r>
                  <w:r>
                    <w:rPr>
                      <w:rFonts w:hint="default" w:ascii="Times New Roman" w:hAnsi="Times New Roman" w:eastAsia="宋体" w:cs="Times New Roman"/>
                      <w:color w:val="auto"/>
                      <w:sz w:val="21"/>
                      <w:szCs w:val="21"/>
                      <w:highlight w:val="none"/>
                      <w:vertAlign w:val="baseline"/>
                      <w:lang w:val="en-US" w:eastAsia="zh-CN"/>
                    </w:rPr>
                    <w:t>项目固废均合理处置</w:t>
                  </w:r>
                </w:p>
              </w:tc>
              <w:tc>
                <w:tcPr>
                  <w:tcW w:w="965" w:type="dxa"/>
                  <w:tcBorders>
                    <w:tl2br w:val="nil"/>
                    <w:tr2bl w:val="nil"/>
                  </w:tcBorders>
                  <w:noWrap w:val="0"/>
                  <w:vAlign w:val="center"/>
                </w:tcPr>
                <w:p w14:paraId="2E6654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cs="Times New Roman"/>
                      <w:color w:val="auto"/>
                      <w:sz w:val="21"/>
                      <w:szCs w:val="21"/>
                      <w:highlight w:val="none"/>
                      <w:vertAlign w:val="baseline"/>
                      <w:lang w:val="en-US" w:eastAsia="zh-CN"/>
                    </w:rPr>
                    <w:t>符合</w:t>
                  </w:r>
                </w:p>
              </w:tc>
            </w:tr>
          </w:tbl>
          <w:p w14:paraId="795EC44A">
            <w:pPr>
              <w:pStyle w:val="9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firstLine="482" w:firstLineChars="200"/>
              <w:jc w:val="both"/>
              <w:textAlignment w:val="auto"/>
              <w:rPr>
                <w:rFonts w:hint="eastAsia" w:ascii="Times New Roman" w:hAnsi="Times New Roman" w:eastAsia="宋体" w:cs="Times New Roman"/>
                <w:b/>
                <w:bCs/>
                <w:color w:val="auto"/>
                <w:spacing w:val="0"/>
                <w:sz w:val="24"/>
                <w:szCs w:val="24"/>
                <w:highlight w:val="none"/>
                <w:u w:val="none"/>
                <w:lang w:val="en-US" w:eastAsia="zh-CN"/>
              </w:rPr>
            </w:pPr>
            <w:r>
              <w:rPr>
                <w:rFonts w:hint="eastAsia" w:ascii="Times New Roman" w:hAnsi="Times New Roman" w:eastAsia="宋体" w:cs="Times New Roman"/>
                <w:b/>
                <w:bCs/>
                <w:color w:val="auto"/>
                <w:spacing w:val="0"/>
                <w:sz w:val="24"/>
                <w:szCs w:val="24"/>
                <w:highlight w:val="none"/>
                <w:u w:val="none"/>
                <w:lang w:val="en-US" w:eastAsia="zh-CN"/>
              </w:rPr>
              <w:t>7、与《中共中央、国务院关于深入打好污染防治攻坚战的意见》</w:t>
            </w:r>
            <w:r>
              <w:rPr>
                <w:rFonts w:hint="default" w:ascii="Times New Roman" w:hAnsi="Times New Roman" w:eastAsia="宋体" w:cs="Times New Roman"/>
                <w:b/>
                <w:bCs/>
                <w:color w:val="auto"/>
                <w:spacing w:val="0"/>
                <w:sz w:val="24"/>
                <w:szCs w:val="24"/>
                <w:highlight w:val="none"/>
                <w:u w:val="none"/>
                <w:lang w:val="en-US" w:eastAsia="zh-CN"/>
              </w:rPr>
              <w:t>相符性分析</w:t>
            </w:r>
          </w:p>
          <w:p w14:paraId="0752DBC5">
            <w:pPr>
              <w:pStyle w:val="35"/>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360" w:lineRule="auto"/>
              <w:ind w:left="0" w:leftChars="0" w:right="0" w:rightChars="0" w:firstLine="480" w:firstLineChars="200"/>
              <w:jc w:val="both"/>
              <w:textAlignment w:val="auto"/>
              <w:rPr>
                <w:rFonts w:hint="default" w:ascii="Times New Roman" w:hAnsi="Times New Roman" w:eastAsia="宋体" w:cs="Times New Roman"/>
                <w:b/>
                <w:bCs/>
                <w:color w:val="auto"/>
                <w:sz w:val="24"/>
                <w:szCs w:val="24"/>
                <w:highlight w:val="none"/>
                <w:lang w:val="en-US" w:eastAsia="zh-CN"/>
              </w:rPr>
            </w:pPr>
            <w:r>
              <w:rPr>
                <w:rFonts w:hint="eastAsia" w:ascii="Times New Roman" w:hAnsi="Times New Roman" w:cs="Times New Roman"/>
                <w:b w:val="0"/>
                <w:bCs w:val="0"/>
                <w:color w:val="auto"/>
                <w:sz w:val="24"/>
                <w:szCs w:val="24"/>
                <w:highlight w:val="none"/>
                <w:lang w:val="en-US" w:eastAsia="zh-CN"/>
              </w:rPr>
              <w:t>本项目与《中共中央、国务院关于深入打好污染防治攻坚战的意见》相符性分析见表1-9。</w:t>
            </w:r>
          </w:p>
          <w:p w14:paraId="2DD172C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4"/>
                <w:szCs w:val="24"/>
                <w:highlight w:val="none"/>
                <w:lang w:val="en-US" w:eastAsia="zh-CN"/>
              </w:rPr>
            </w:pPr>
            <w:r>
              <w:rPr>
                <w:rFonts w:hint="default" w:ascii="Times New Roman" w:hAnsi="Times New Roman" w:eastAsia="宋体" w:cs="Times New Roman"/>
                <w:b/>
                <w:bCs/>
                <w:color w:val="auto"/>
                <w:sz w:val="21"/>
                <w:szCs w:val="21"/>
                <w:highlight w:val="none"/>
                <w:lang w:val="en-US" w:eastAsia="zh-CN"/>
              </w:rPr>
              <w:t>表1-</w:t>
            </w:r>
            <w:r>
              <w:rPr>
                <w:rFonts w:hint="eastAsia" w:cs="Times New Roman"/>
                <w:b/>
                <w:bCs/>
                <w:color w:val="auto"/>
                <w:sz w:val="21"/>
                <w:szCs w:val="21"/>
                <w:highlight w:val="none"/>
                <w:lang w:val="en-US" w:eastAsia="zh-CN"/>
              </w:rPr>
              <w:t>9</w:t>
            </w:r>
            <w:r>
              <w:rPr>
                <w:rFonts w:hint="default" w:ascii="Times New Roman" w:hAnsi="Times New Roman" w:eastAsia="宋体" w:cs="Times New Roman"/>
                <w:b/>
                <w:bCs/>
                <w:color w:val="auto"/>
                <w:sz w:val="21"/>
                <w:szCs w:val="21"/>
                <w:highlight w:val="none"/>
                <w:lang w:val="en-US" w:eastAsia="zh-CN"/>
              </w:rPr>
              <w:t xml:space="preserve">   </w:t>
            </w:r>
            <w:r>
              <w:rPr>
                <w:rFonts w:hint="default" w:ascii="Times New Roman" w:hAnsi="Times New Roman" w:cs="Times New Roman"/>
                <w:b/>
                <w:bCs/>
                <w:color w:val="auto"/>
                <w:sz w:val="21"/>
                <w:szCs w:val="21"/>
                <w:highlight w:val="none"/>
                <w:lang w:val="en-US" w:eastAsia="zh-CN"/>
              </w:rPr>
              <w:t>与《中共中央、国务院关于深入打好污染防治攻坚战的意见》相符性分析</w:t>
            </w:r>
          </w:p>
          <w:tbl>
            <w:tblPr>
              <w:tblStyle w:val="27"/>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103"/>
              <w:gridCol w:w="2268"/>
              <w:gridCol w:w="1090"/>
            </w:tblGrid>
            <w:tr w14:paraId="68514F5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103" w:type="dxa"/>
                  <w:tcBorders>
                    <w:bottom w:val="single" w:color="auto" w:sz="12" w:space="0"/>
                  </w:tcBorders>
                  <w:noWrap w:val="0"/>
                  <w:vAlign w:val="center"/>
                </w:tcPr>
                <w:p w14:paraId="256DE3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1"/>
                      <w:szCs w:val="21"/>
                      <w:highlight w:val="none"/>
                      <w:vertAlign w:val="baseline"/>
                      <w:lang w:val="en-US" w:eastAsia="zh-CN"/>
                    </w:rPr>
                  </w:pPr>
                  <w:r>
                    <w:rPr>
                      <w:rFonts w:hint="default" w:ascii="Times New Roman" w:hAnsi="Times New Roman" w:eastAsia="宋体" w:cs="Times New Roman"/>
                      <w:b/>
                      <w:bCs/>
                      <w:color w:val="auto"/>
                      <w:sz w:val="21"/>
                      <w:szCs w:val="21"/>
                      <w:highlight w:val="none"/>
                      <w:vertAlign w:val="baseline"/>
                      <w:lang w:val="en-US" w:eastAsia="zh-CN"/>
                    </w:rPr>
                    <w:t>文件要求（摘录）</w:t>
                  </w:r>
                </w:p>
              </w:tc>
              <w:tc>
                <w:tcPr>
                  <w:tcW w:w="2268" w:type="dxa"/>
                  <w:tcBorders>
                    <w:bottom w:val="single" w:color="auto" w:sz="12" w:space="0"/>
                  </w:tcBorders>
                  <w:noWrap w:val="0"/>
                  <w:vAlign w:val="center"/>
                </w:tcPr>
                <w:p w14:paraId="471665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1"/>
                      <w:szCs w:val="21"/>
                      <w:highlight w:val="none"/>
                      <w:vertAlign w:val="baseline"/>
                      <w:lang w:val="en-US" w:eastAsia="zh-CN"/>
                    </w:rPr>
                  </w:pPr>
                  <w:r>
                    <w:rPr>
                      <w:rFonts w:hint="eastAsia" w:ascii="Times New Roman" w:hAnsi="Times New Roman" w:eastAsia="宋体" w:cs="Times New Roman"/>
                      <w:b/>
                      <w:bCs/>
                      <w:color w:val="auto"/>
                      <w:sz w:val="21"/>
                      <w:szCs w:val="21"/>
                      <w:highlight w:val="none"/>
                      <w:vertAlign w:val="baseline"/>
                      <w:lang w:val="en-US" w:eastAsia="zh-CN"/>
                    </w:rPr>
                    <w:t>本项目</w:t>
                  </w:r>
                </w:p>
              </w:tc>
              <w:tc>
                <w:tcPr>
                  <w:tcW w:w="1090" w:type="dxa"/>
                  <w:tcBorders>
                    <w:bottom w:val="single" w:color="auto" w:sz="12" w:space="0"/>
                  </w:tcBorders>
                  <w:noWrap w:val="0"/>
                  <w:vAlign w:val="center"/>
                </w:tcPr>
                <w:p w14:paraId="483208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1"/>
                      <w:szCs w:val="21"/>
                      <w:highlight w:val="none"/>
                      <w:vertAlign w:val="baseline"/>
                      <w:lang w:val="en-US" w:eastAsia="zh-CN"/>
                    </w:rPr>
                  </w:pPr>
                  <w:r>
                    <w:rPr>
                      <w:rFonts w:hint="default" w:ascii="Times New Roman" w:hAnsi="Times New Roman" w:eastAsia="宋体" w:cs="Times New Roman"/>
                      <w:b/>
                      <w:bCs/>
                      <w:color w:val="auto"/>
                      <w:sz w:val="21"/>
                      <w:szCs w:val="21"/>
                      <w:highlight w:val="none"/>
                      <w:vertAlign w:val="baseline"/>
                      <w:lang w:val="en-US" w:eastAsia="zh-CN"/>
                    </w:rPr>
                    <w:t>相符性</w:t>
                  </w:r>
                </w:p>
              </w:tc>
            </w:tr>
            <w:tr w14:paraId="6488FEE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103" w:type="dxa"/>
                  <w:tcBorders>
                    <w:tl2br w:val="nil"/>
                    <w:tr2bl w:val="nil"/>
                  </w:tcBorders>
                  <w:shd w:val="clear" w:color="auto" w:fill="auto"/>
                  <w:noWrap w:val="0"/>
                  <w:vAlign w:val="center"/>
                </w:tcPr>
                <w:p w14:paraId="02C414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ascii="Times New Roman" w:hAnsi="Times New Roman" w:eastAsia="宋体" w:cs="宋体"/>
                      <w:i w:val="0"/>
                      <w:iCs w:val="0"/>
                      <w:caps w:val="0"/>
                      <w:color w:val="auto"/>
                      <w:spacing w:val="0"/>
                      <w:sz w:val="21"/>
                      <w:szCs w:val="21"/>
                      <w:shd w:val="clear" w:fill="FFFFFF"/>
                    </w:rPr>
                    <w:t>加强生态环境分区管控。衔接国土空间规划分区和用途管制要求，将生态保护红线、环境质量底线、资源利用上线的硬约束落实到环境管控单元，建立差别化的生态环境准入清单，加强“三线一单”成果在政策制定、环境准入、园区管理、执法监管等方面的应用。健全以环评制度为主体的源头预防体系，严格规划环评审查和项目环评准入，开展重大经济技术政策的生态环境影响分析和重大生态环境政策的社会经济影响评估。</w:t>
                  </w:r>
                </w:p>
              </w:tc>
              <w:tc>
                <w:tcPr>
                  <w:tcW w:w="2268" w:type="dxa"/>
                  <w:tcBorders>
                    <w:tl2br w:val="nil"/>
                    <w:tr2bl w:val="nil"/>
                  </w:tcBorders>
                  <w:shd w:val="clear" w:color="auto" w:fill="auto"/>
                  <w:noWrap w:val="0"/>
                  <w:vAlign w:val="center"/>
                </w:tcPr>
                <w:p w14:paraId="21A51B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kern w:val="2"/>
                      <w:sz w:val="21"/>
                      <w:szCs w:val="21"/>
                      <w:highlight w:val="none"/>
                      <w:vertAlign w:val="baseline"/>
                      <w:lang w:val="en-US" w:eastAsia="zh-CN" w:bidi="ar-SA"/>
                    </w:rPr>
                    <w:t>本项目符合</w:t>
                  </w:r>
                  <w:r>
                    <w:rPr>
                      <w:rFonts w:hint="eastAsia" w:ascii="Times New Roman" w:hAnsi="Times New Roman" w:eastAsia="宋体" w:cs="Times New Roman"/>
                      <w:color w:val="auto"/>
                      <w:kern w:val="2"/>
                      <w:sz w:val="21"/>
                      <w:szCs w:val="21"/>
                      <w:highlight w:val="none"/>
                      <w:vertAlign w:val="baseline"/>
                      <w:lang w:val="en-US" w:eastAsia="zh-CN" w:bidi="ar-SA"/>
                    </w:rPr>
                    <w:t>景德镇</w:t>
                  </w:r>
                  <w:r>
                    <w:rPr>
                      <w:rFonts w:hint="default" w:ascii="Times New Roman" w:hAnsi="Times New Roman" w:eastAsia="宋体" w:cs="Times New Roman"/>
                      <w:color w:val="auto"/>
                      <w:kern w:val="2"/>
                      <w:sz w:val="21"/>
                      <w:szCs w:val="21"/>
                      <w:highlight w:val="none"/>
                      <w:vertAlign w:val="baseline"/>
                      <w:lang w:val="en-US" w:eastAsia="zh-CN" w:bidi="ar-SA"/>
                    </w:rPr>
                    <w:t>市</w:t>
                  </w:r>
                  <w:r>
                    <w:rPr>
                      <w:rFonts w:hint="default" w:ascii="Times New Roman" w:hAnsi="Times New Roman" w:eastAsia="宋体" w:cs="Times New Roman"/>
                      <w:color w:val="auto"/>
                      <w:sz w:val="21"/>
                      <w:szCs w:val="21"/>
                      <w:highlight w:val="none"/>
                      <w:lang w:val="en-US" w:eastAsia="zh-CN"/>
                    </w:rPr>
                    <w:t>生态环境分区管控方案和生态环境准入清单</w:t>
                  </w:r>
                  <w:r>
                    <w:rPr>
                      <w:rFonts w:hint="default" w:ascii="Times New Roman" w:hAnsi="Times New Roman" w:eastAsia="宋体" w:cs="Times New Roman"/>
                      <w:color w:val="auto"/>
                      <w:kern w:val="2"/>
                      <w:sz w:val="21"/>
                      <w:szCs w:val="21"/>
                      <w:highlight w:val="none"/>
                      <w:vertAlign w:val="baseline"/>
                      <w:lang w:val="en-US" w:eastAsia="zh-CN" w:bidi="ar-SA"/>
                    </w:rPr>
                    <w:t>要求</w:t>
                  </w:r>
                  <w:r>
                    <w:rPr>
                      <w:rFonts w:hint="eastAsia" w:ascii="Times New Roman" w:hAnsi="Times New Roman" w:eastAsia="宋体" w:cs="Times New Roman"/>
                      <w:color w:val="auto"/>
                      <w:kern w:val="2"/>
                      <w:sz w:val="21"/>
                      <w:szCs w:val="21"/>
                      <w:highlight w:val="none"/>
                      <w:vertAlign w:val="baseline"/>
                      <w:lang w:val="en-US" w:eastAsia="zh-CN" w:bidi="ar-SA"/>
                    </w:rPr>
                    <w:t>，本项目</w:t>
                  </w:r>
                  <w:r>
                    <w:rPr>
                      <w:rFonts w:hint="default" w:ascii="Times New Roman" w:hAnsi="Times New Roman" w:eastAsia="宋体" w:cs="Times New Roman"/>
                      <w:color w:val="auto"/>
                      <w:kern w:val="2"/>
                      <w:sz w:val="21"/>
                      <w:szCs w:val="21"/>
                      <w:highlight w:val="none"/>
                      <w:vertAlign w:val="baseline"/>
                      <w:lang w:val="en-US" w:eastAsia="zh-CN" w:bidi="ar-SA"/>
                    </w:rPr>
                    <w:t>不属于对</w:t>
                  </w:r>
                  <w:r>
                    <w:rPr>
                      <w:rFonts w:hint="eastAsia" w:ascii="Times New Roman" w:hAnsi="Times New Roman" w:eastAsia="宋体" w:cs="宋体"/>
                      <w:i w:val="0"/>
                      <w:iCs w:val="0"/>
                      <w:caps w:val="0"/>
                      <w:color w:val="auto"/>
                      <w:spacing w:val="0"/>
                      <w:sz w:val="21"/>
                      <w:szCs w:val="21"/>
                      <w:shd w:val="clear" w:fill="FFFFFF"/>
                    </w:rPr>
                    <w:t>生态环境</w:t>
                  </w:r>
                  <w:r>
                    <w:rPr>
                      <w:rFonts w:hint="eastAsia" w:ascii="Times New Roman" w:hAnsi="Times New Roman" w:eastAsia="宋体" w:cs="宋体"/>
                      <w:i w:val="0"/>
                      <w:iCs w:val="0"/>
                      <w:caps w:val="0"/>
                      <w:color w:val="auto"/>
                      <w:spacing w:val="0"/>
                      <w:sz w:val="21"/>
                      <w:szCs w:val="21"/>
                      <w:shd w:val="clear" w:fill="FFFFFF"/>
                      <w:lang w:val="en-US" w:eastAsia="zh-CN"/>
                    </w:rPr>
                    <w:t>和</w:t>
                  </w:r>
                  <w:r>
                    <w:rPr>
                      <w:rFonts w:hint="eastAsia" w:ascii="Times New Roman" w:hAnsi="Times New Roman" w:eastAsia="宋体" w:cs="宋体"/>
                      <w:i w:val="0"/>
                      <w:iCs w:val="0"/>
                      <w:caps w:val="0"/>
                      <w:color w:val="auto"/>
                      <w:spacing w:val="0"/>
                      <w:sz w:val="21"/>
                      <w:szCs w:val="21"/>
                      <w:shd w:val="clear" w:fill="FFFFFF"/>
                    </w:rPr>
                    <w:t>社会经济影响</w:t>
                  </w:r>
                  <w:r>
                    <w:rPr>
                      <w:rFonts w:hint="default" w:ascii="Times New Roman" w:hAnsi="Times New Roman" w:eastAsia="宋体" w:cs="Times New Roman"/>
                      <w:color w:val="auto"/>
                      <w:kern w:val="2"/>
                      <w:sz w:val="21"/>
                      <w:szCs w:val="21"/>
                      <w:highlight w:val="none"/>
                      <w:vertAlign w:val="baseline"/>
                      <w:lang w:val="en-US" w:eastAsia="zh-CN" w:bidi="ar-SA"/>
                    </w:rPr>
                    <w:t>有严重影响和重污染企业</w:t>
                  </w:r>
                  <w:r>
                    <w:rPr>
                      <w:rFonts w:hint="eastAsia" w:ascii="Times New Roman" w:hAnsi="Times New Roman" w:eastAsia="宋体" w:cs="Times New Roman"/>
                      <w:color w:val="auto"/>
                      <w:kern w:val="2"/>
                      <w:sz w:val="21"/>
                      <w:szCs w:val="21"/>
                      <w:highlight w:val="none"/>
                      <w:vertAlign w:val="baseline"/>
                      <w:lang w:val="en-US" w:eastAsia="zh-CN" w:bidi="ar-SA"/>
                    </w:rPr>
                    <w:t>。</w:t>
                  </w:r>
                </w:p>
              </w:tc>
              <w:tc>
                <w:tcPr>
                  <w:tcW w:w="1090" w:type="dxa"/>
                  <w:tcBorders>
                    <w:tl2br w:val="nil"/>
                    <w:tr2bl w:val="nil"/>
                  </w:tcBorders>
                  <w:noWrap w:val="0"/>
                  <w:vAlign w:val="center"/>
                </w:tcPr>
                <w:p w14:paraId="591370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vertAlign w:val="baseline"/>
                      <w:lang w:val="en-US" w:eastAsia="zh-CN"/>
                    </w:rPr>
                    <w:t>符合</w:t>
                  </w:r>
                </w:p>
              </w:tc>
            </w:tr>
            <w:tr w14:paraId="7C1151D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103" w:type="dxa"/>
                  <w:tcBorders>
                    <w:tl2br w:val="nil"/>
                    <w:tr2bl w:val="nil"/>
                  </w:tcBorders>
                  <w:shd w:val="clear" w:color="auto" w:fill="auto"/>
                  <w:noWrap w:val="0"/>
                  <w:vAlign w:val="center"/>
                </w:tcPr>
                <w:p w14:paraId="1A6D81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kern w:val="2"/>
                      <w:sz w:val="21"/>
                      <w:szCs w:val="21"/>
                      <w:highlight w:val="none"/>
                      <w:vertAlign w:val="baseline"/>
                      <w:lang w:val="en-US" w:eastAsia="zh-CN" w:bidi="ar-SA"/>
                    </w:rPr>
                    <w:t>着力打好臭氧污染防治攻坚战。聚焦夏秋季臭氧污染，大力推进挥发性有机物和氮氧化物协同减排。以石化、化工、涂装、医药、包装印刷、油品储运销等行业领域为重点，安全高效推进挥发性有机物综合治理，实施原辅材料和产品源头替代工程。完善挥发性有机物产品标准体系，建立低挥发性有机物含量产品标识制度。完善挥发性有机物监测技术和排放量计算方法，在相关条件成熟后，研究适时将挥发性有机物纳入环境保护税征收范围。推进钢铁、水泥、焦化行业企业超低排放改造，重点区域钢铁、燃煤机组、燃煤锅炉实现超低排放。开展涉气产业集群排查及分类治理，推进企业升级改造和区域环境综合整治。到2025年，挥发性有机物、氮氧化物排放总量比2020年分别下降10%以上，臭氧浓度增长趋势得到有效遏制，实现细颗粒物和臭氧协同控制。</w:t>
                  </w:r>
                </w:p>
              </w:tc>
              <w:tc>
                <w:tcPr>
                  <w:tcW w:w="2268" w:type="dxa"/>
                  <w:tcBorders>
                    <w:tl2br w:val="nil"/>
                    <w:tr2bl w:val="nil"/>
                  </w:tcBorders>
                  <w:shd w:val="clear" w:color="auto" w:fill="auto"/>
                  <w:noWrap w:val="0"/>
                  <w:vAlign w:val="center"/>
                </w:tcPr>
                <w:p w14:paraId="556B9A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ascii="Times New Roman" w:hAnsi="Times New Roman" w:eastAsia="宋体" w:cs="Times New Roman"/>
                      <w:color w:val="auto"/>
                      <w:kern w:val="2"/>
                      <w:sz w:val="21"/>
                      <w:szCs w:val="21"/>
                      <w:highlight w:val="none"/>
                      <w:vertAlign w:val="baseline"/>
                      <w:lang w:val="en-US" w:eastAsia="zh-CN" w:bidi="ar-SA"/>
                    </w:rPr>
                    <w:t>本项目采用低挥发性原辅料，挥发性有机物废气采用</w:t>
                  </w:r>
                  <w:r>
                    <w:rPr>
                      <w:rFonts w:hint="eastAsia" w:cs="Times New Roman"/>
                      <w:color w:val="auto"/>
                      <w:sz w:val="21"/>
                      <w:szCs w:val="21"/>
                      <w:lang w:val="en-US" w:eastAsia="zh-CN"/>
                    </w:rPr>
                    <w:t>半密闭集气罩负压收集</w:t>
                  </w:r>
                  <w:r>
                    <w:rPr>
                      <w:rFonts w:hint="eastAsia" w:ascii="Times New Roman" w:hAnsi="Times New Roman" w:eastAsia="宋体" w:cs="Times New Roman"/>
                      <w:color w:val="auto"/>
                      <w:sz w:val="21"/>
                      <w:szCs w:val="21"/>
                      <w:lang w:val="en-US" w:eastAsia="zh-CN"/>
                    </w:rPr>
                    <w:t>+</w:t>
                  </w:r>
                  <w:r>
                    <w:rPr>
                      <w:rFonts w:hint="eastAsia" w:cs="Times New Roman"/>
                      <w:color w:val="auto"/>
                      <w:sz w:val="21"/>
                      <w:szCs w:val="21"/>
                      <w:lang w:val="en-US" w:eastAsia="zh-CN"/>
                    </w:rPr>
                    <w:t>五级活性炭</w:t>
                  </w:r>
                  <w:r>
                    <w:rPr>
                      <w:rFonts w:hint="eastAsia" w:ascii="Times New Roman" w:hAnsi="Times New Roman" w:eastAsia="宋体" w:cs="Times New Roman"/>
                      <w:color w:val="auto"/>
                      <w:sz w:val="21"/>
                      <w:szCs w:val="21"/>
                      <w:lang w:val="en-US" w:eastAsia="zh-CN"/>
                    </w:rPr>
                    <w:t>吸附+15m高排气筒达标排放，满足</w:t>
                  </w:r>
                  <w:r>
                    <w:rPr>
                      <w:rFonts w:hint="default" w:ascii="Times New Roman" w:hAnsi="Times New Roman" w:eastAsia="宋体" w:cs="Times New Roman"/>
                      <w:color w:val="auto"/>
                      <w:kern w:val="2"/>
                      <w:sz w:val="21"/>
                      <w:szCs w:val="21"/>
                      <w:highlight w:val="none"/>
                      <w:vertAlign w:val="baseline"/>
                      <w:lang w:val="en-US" w:eastAsia="zh-CN" w:bidi="ar-SA"/>
                    </w:rPr>
                    <w:t>安全高效推进挥发性有机物综合治理</w:t>
                  </w:r>
                  <w:r>
                    <w:rPr>
                      <w:rFonts w:hint="eastAsia" w:ascii="Times New Roman" w:hAnsi="Times New Roman" w:eastAsia="宋体" w:cs="Times New Roman"/>
                      <w:color w:val="auto"/>
                      <w:kern w:val="2"/>
                      <w:sz w:val="21"/>
                      <w:szCs w:val="21"/>
                      <w:highlight w:val="none"/>
                      <w:vertAlign w:val="baseline"/>
                      <w:lang w:val="en-US" w:eastAsia="zh-CN" w:bidi="ar-SA"/>
                    </w:rPr>
                    <w:t>。</w:t>
                  </w:r>
                </w:p>
              </w:tc>
              <w:tc>
                <w:tcPr>
                  <w:tcW w:w="1090" w:type="dxa"/>
                  <w:tcBorders>
                    <w:tl2br w:val="nil"/>
                    <w:tr2bl w:val="nil"/>
                  </w:tcBorders>
                  <w:noWrap w:val="0"/>
                  <w:vAlign w:val="center"/>
                </w:tcPr>
                <w:p w14:paraId="2ECF48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vertAlign w:val="baseline"/>
                      <w:lang w:val="en-US" w:eastAsia="zh-CN"/>
                    </w:rPr>
                    <w:t>符合</w:t>
                  </w:r>
                </w:p>
              </w:tc>
            </w:tr>
            <w:tr w14:paraId="4CD4075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103" w:type="dxa"/>
                  <w:tcBorders>
                    <w:tl2br w:val="nil"/>
                    <w:tr2bl w:val="nil"/>
                  </w:tcBorders>
                  <w:shd w:val="clear" w:color="auto" w:fill="auto"/>
                  <w:noWrap w:val="0"/>
                  <w:vAlign w:val="center"/>
                </w:tcPr>
                <w:p w14:paraId="4E62AF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ascii="Times New Roman" w:hAnsi="Times New Roman" w:eastAsia="宋体" w:cs="宋体"/>
                      <w:i w:val="0"/>
                      <w:iCs w:val="0"/>
                      <w:caps w:val="0"/>
                      <w:color w:val="auto"/>
                      <w:spacing w:val="0"/>
                      <w:sz w:val="21"/>
                      <w:szCs w:val="19"/>
                      <w:shd w:val="clear" w:fill="FFFFFF"/>
                    </w:rPr>
                    <w:t>持续打好城市黑臭水体治理攻坚战。统筹好上下游、左右岸、干支流、城市和乡村，系统推进城市黑臭水体治理。加强农业农村和工业企业污染防治，有效控制入河污染物排放。强化溯源整治，杜绝污水直接排入雨水管网。推进城镇污水管网全覆盖，对进水情况出现明显异常的污水处理厂，开展片区管网系统化整治。因地制宜开展水体内源污染治理和生态修复，增强河湖自净功能。充分发挥河长制、湖长制作用，巩固城市黑臭水体治理成效，建立防止返黑返臭的长效机制。2022年6月底前，县级城市政府完成建成区内黑臭水体排查并制定整治方案，统一公布黑臭水体清单及达标期限。到2025年，县级城市建成区基本消除黑臭水体，京津冀、长三角、珠三角等区域力争提前1年完成。</w:t>
                  </w:r>
                </w:p>
              </w:tc>
              <w:tc>
                <w:tcPr>
                  <w:tcW w:w="2268" w:type="dxa"/>
                  <w:tcBorders>
                    <w:tl2br w:val="nil"/>
                    <w:tr2bl w:val="nil"/>
                  </w:tcBorders>
                  <w:shd w:val="clear" w:color="auto" w:fill="auto"/>
                  <w:noWrap w:val="0"/>
                  <w:vAlign w:val="center"/>
                </w:tcPr>
                <w:p w14:paraId="075D80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cs="宋体"/>
                      <w:color w:val="auto"/>
                      <w:sz w:val="21"/>
                      <w:szCs w:val="21"/>
                      <w:highlight w:val="none"/>
                      <w:lang w:val="en-US" w:eastAsia="zh-CN"/>
                    </w:rPr>
                    <w:t>本项目</w:t>
                  </w:r>
                  <w:r>
                    <w:rPr>
                      <w:rFonts w:hint="default" w:ascii="Times New Roman" w:hAnsi="Times New Roman" w:eastAsia="宋体" w:cs="宋体"/>
                      <w:color w:val="auto"/>
                      <w:sz w:val="21"/>
                      <w:szCs w:val="21"/>
                      <w:highlight w:val="none"/>
                      <w:lang w:val="en-US" w:eastAsia="zh-CN"/>
                    </w:rPr>
                    <w:t>网板清洗废水循环使用，更换的清洗废水作为危废送有资质的单位处理，不外排。</w:t>
                  </w:r>
                  <w:r>
                    <w:rPr>
                      <w:rFonts w:hint="eastAsia" w:ascii="宋体" w:hAnsi="宋体" w:eastAsia="宋体" w:cs="宋体"/>
                      <w:color w:val="auto"/>
                      <w:kern w:val="0"/>
                      <w:sz w:val="21"/>
                      <w:szCs w:val="21"/>
                      <w:lang w:val="en-US" w:eastAsia="zh-CN" w:bidi="ar"/>
                    </w:rPr>
                    <w:t>注塑间接冷却水循环使用，不外排。</w:t>
                  </w:r>
                  <w:r>
                    <w:rPr>
                      <w:rFonts w:hint="eastAsia" w:ascii="宋体" w:hAnsi="宋体" w:cs="宋体"/>
                      <w:color w:val="auto"/>
                      <w:kern w:val="0"/>
                      <w:sz w:val="21"/>
                      <w:szCs w:val="21"/>
                      <w:lang w:val="en-US" w:eastAsia="zh-CN" w:bidi="ar"/>
                    </w:rPr>
                    <w:t>生活污水</w:t>
                  </w:r>
                  <w:r>
                    <w:rPr>
                      <w:rFonts w:hint="eastAsia" w:ascii="Times New Roman" w:hAnsi="Times New Roman" w:eastAsia="宋体" w:cs="宋体"/>
                      <w:color w:val="auto"/>
                      <w:sz w:val="21"/>
                      <w:szCs w:val="21"/>
                      <w:highlight w:val="none"/>
                      <w:lang w:val="en-US" w:eastAsia="zh-CN"/>
                    </w:rPr>
                    <w:t>经隔油池+化粪池预处理后排入园区污水管网</w:t>
                  </w:r>
                  <w:r>
                    <w:rPr>
                      <w:rFonts w:hint="eastAsia" w:ascii="Times New Roman" w:cs="宋体"/>
                      <w:color w:val="auto"/>
                      <w:sz w:val="21"/>
                      <w:szCs w:val="21"/>
                      <w:highlight w:val="none"/>
                      <w:lang w:val="en-US" w:eastAsia="zh-CN"/>
                    </w:rPr>
                    <w:t>，</w:t>
                  </w:r>
                  <w:r>
                    <w:rPr>
                      <w:rFonts w:hint="eastAsia" w:ascii="Times New Roman" w:hAnsi="Times New Roman" w:eastAsia="宋体" w:cs="宋体"/>
                      <w:color w:val="auto"/>
                      <w:sz w:val="21"/>
                      <w:szCs w:val="21"/>
                      <w:highlight w:val="none"/>
                      <w:lang w:val="en-US" w:eastAsia="zh-CN"/>
                    </w:rPr>
                    <w:t>接入乐平市金山工业区</w:t>
                  </w:r>
                  <w:r>
                    <w:rPr>
                      <w:rFonts w:hint="eastAsia" w:ascii="Times New Roman" w:cs="宋体"/>
                      <w:color w:val="auto"/>
                      <w:sz w:val="21"/>
                      <w:szCs w:val="21"/>
                      <w:highlight w:val="none"/>
                      <w:lang w:val="en-US" w:eastAsia="zh-CN"/>
                    </w:rPr>
                    <w:t>一期污水站处理。</w:t>
                  </w:r>
                  <w:r>
                    <w:rPr>
                      <w:rFonts w:hint="eastAsia" w:ascii="Times New Roman" w:hAnsi="Times New Roman" w:eastAsia="宋体" w:cs="宋体"/>
                      <w:i w:val="0"/>
                      <w:iCs w:val="0"/>
                      <w:caps w:val="0"/>
                      <w:color w:val="auto"/>
                      <w:spacing w:val="0"/>
                      <w:sz w:val="21"/>
                      <w:szCs w:val="19"/>
                      <w:shd w:val="clear" w:fill="FFFFFF"/>
                    </w:rPr>
                    <w:t>有效</w:t>
                  </w:r>
                  <w:r>
                    <w:rPr>
                      <w:rFonts w:hint="eastAsia" w:cs="宋体"/>
                      <w:i w:val="0"/>
                      <w:iCs w:val="0"/>
                      <w:caps w:val="0"/>
                      <w:color w:val="auto"/>
                      <w:spacing w:val="0"/>
                      <w:sz w:val="21"/>
                      <w:szCs w:val="19"/>
                      <w:shd w:val="clear" w:fill="FFFFFF"/>
                      <w:lang w:val="en-US" w:eastAsia="zh-CN"/>
                    </w:rPr>
                    <w:t>地</w:t>
                  </w:r>
                  <w:r>
                    <w:rPr>
                      <w:rFonts w:hint="eastAsia" w:ascii="Times New Roman" w:hAnsi="Times New Roman" w:eastAsia="宋体" w:cs="宋体"/>
                      <w:i w:val="0"/>
                      <w:iCs w:val="0"/>
                      <w:caps w:val="0"/>
                      <w:color w:val="auto"/>
                      <w:spacing w:val="0"/>
                      <w:sz w:val="21"/>
                      <w:szCs w:val="19"/>
                      <w:shd w:val="clear" w:fill="FFFFFF"/>
                    </w:rPr>
                    <w:t>控制入河污染物排放。</w:t>
                  </w:r>
                </w:p>
              </w:tc>
              <w:tc>
                <w:tcPr>
                  <w:tcW w:w="1090" w:type="dxa"/>
                  <w:tcBorders>
                    <w:tl2br w:val="nil"/>
                    <w:tr2bl w:val="nil"/>
                  </w:tcBorders>
                  <w:noWrap w:val="0"/>
                  <w:vAlign w:val="center"/>
                </w:tcPr>
                <w:p w14:paraId="0A6B93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vertAlign w:val="baseline"/>
                      <w:lang w:val="en-US" w:eastAsia="zh-CN"/>
                    </w:rPr>
                    <w:t>符合</w:t>
                  </w:r>
                </w:p>
              </w:tc>
            </w:tr>
          </w:tbl>
          <w:p w14:paraId="5192DA44">
            <w:pPr>
              <w:pStyle w:val="37"/>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80" w:firstLineChars="200"/>
              <w:jc w:val="both"/>
              <w:textAlignment w:val="auto"/>
              <w:rPr>
                <w:rFonts w:hint="default" w:ascii="Times New Roman" w:hAnsi="Times New Roman" w:eastAsia="宋体" w:cs="Times New Roman"/>
                <w:b w:val="0"/>
                <w:bCs w:val="0"/>
                <w:color w:val="auto"/>
                <w:sz w:val="24"/>
                <w:szCs w:val="24"/>
                <w:highlight w:val="none"/>
                <w:lang w:val="en-US" w:eastAsia="zh-CN"/>
              </w:rPr>
            </w:pPr>
            <w:r>
              <w:rPr>
                <w:rFonts w:hint="eastAsia" w:ascii="Times New Roman" w:hAnsi="Times New Roman" w:eastAsia="宋体" w:cs="Times New Roman"/>
                <w:b w:val="0"/>
                <w:bCs w:val="0"/>
                <w:color w:val="auto"/>
                <w:sz w:val="24"/>
                <w:szCs w:val="24"/>
                <w:highlight w:val="none"/>
                <w:lang w:val="en-US" w:eastAsia="zh-CN"/>
              </w:rPr>
              <w:t>综上所述，</w:t>
            </w:r>
            <w:r>
              <w:rPr>
                <w:rFonts w:hint="default" w:ascii="Times New Roman" w:hAnsi="Times New Roman" w:eastAsia="宋体" w:cs="Times New Roman"/>
                <w:b w:val="0"/>
                <w:bCs w:val="0"/>
                <w:color w:val="auto"/>
                <w:sz w:val="24"/>
                <w:szCs w:val="24"/>
                <w:highlight w:val="none"/>
                <w:lang w:val="en-US" w:eastAsia="zh-CN"/>
              </w:rPr>
              <w:t>本项目与</w:t>
            </w:r>
            <w:r>
              <w:rPr>
                <w:rFonts w:hint="eastAsia" w:ascii="Times New Roman" w:hAnsi="Times New Roman" w:cs="Times New Roman"/>
                <w:b w:val="0"/>
                <w:bCs w:val="0"/>
                <w:color w:val="auto"/>
                <w:sz w:val="24"/>
                <w:szCs w:val="24"/>
                <w:highlight w:val="none"/>
                <w:lang w:val="en-US" w:eastAsia="zh-CN"/>
              </w:rPr>
              <w:t>《中共中央、国务院关于深入打好污染防治攻坚战的意见》</w:t>
            </w:r>
            <w:r>
              <w:rPr>
                <w:rFonts w:hint="default" w:ascii="Times New Roman" w:hAnsi="Times New Roman" w:eastAsia="宋体" w:cs="Times New Roman"/>
                <w:b w:val="0"/>
                <w:bCs w:val="0"/>
                <w:color w:val="auto"/>
                <w:sz w:val="24"/>
                <w:szCs w:val="24"/>
                <w:highlight w:val="none"/>
                <w:lang w:val="en-US" w:eastAsia="zh-CN"/>
              </w:rPr>
              <w:t>相符。</w:t>
            </w:r>
          </w:p>
          <w:p w14:paraId="5D43E58E">
            <w:pPr>
              <w:pStyle w:val="9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firstLine="482" w:firstLineChars="200"/>
              <w:jc w:val="both"/>
              <w:textAlignment w:val="auto"/>
              <w:rPr>
                <w:rFonts w:hint="eastAsia" w:ascii="Times New Roman" w:hAnsi="Times New Roman" w:eastAsia="宋体" w:cs="Times New Roman"/>
                <w:b/>
                <w:bCs/>
                <w:color w:val="auto"/>
                <w:spacing w:val="0"/>
                <w:sz w:val="24"/>
                <w:szCs w:val="24"/>
                <w:highlight w:val="none"/>
                <w:u w:val="none"/>
                <w:lang w:val="en-US" w:eastAsia="zh-CN"/>
              </w:rPr>
            </w:pPr>
            <w:r>
              <w:rPr>
                <w:rFonts w:hint="eastAsia" w:ascii="Times New Roman" w:hAnsi="Times New Roman" w:eastAsia="宋体" w:cs="Times New Roman"/>
                <w:b/>
                <w:bCs/>
                <w:color w:val="auto"/>
                <w:spacing w:val="0"/>
                <w:sz w:val="24"/>
                <w:szCs w:val="24"/>
                <w:highlight w:val="none"/>
                <w:u w:val="none"/>
                <w:lang w:val="en-US" w:eastAsia="zh-CN"/>
              </w:rPr>
              <w:t>8、与《空气质量持续改善行动计划》（国发〔2023〕24号）</w:t>
            </w:r>
            <w:r>
              <w:rPr>
                <w:rFonts w:hint="default" w:ascii="Times New Roman" w:hAnsi="Times New Roman" w:eastAsia="宋体" w:cs="Times New Roman"/>
                <w:b/>
                <w:bCs/>
                <w:color w:val="auto"/>
                <w:spacing w:val="0"/>
                <w:sz w:val="24"/>
                <w:szCs w:val="24"/>
                <w:highlight w:val="none"/>
                <w:u w:val="none"/>
                <w:lang w:val="en-US" w:eastAsia="zh-CN"/>
              </w:rPr>
              <w:t>相符性分析</w:t>
            </w:r>
          </w:p>
          <w:p w14:paraId="57FFD223">
            <w:pPr>
              <w:pStyle w:val="35"/>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360" w:lineRule="auto"/>
              <w:ind w:left="0" w:leftChars="0" w:right="0" w:rightChars="0" w:firstLine="480" w:firstLineChars="200"/>
              <w:jc w:val="both"/>
              <w:textAlignment w:val="auto"/>
              <w:rPr>
                <w:rFonts w:hint="default" w:ascii="Times New Roman" w:hAnsi="Times New Roman" w:eastAsia="宋体" w:cs="Times New Roman"/>
                <w:b/>
                <w:bCs/>
                <w:color w:val="auto"/>
                <w:sz w:val="24"/>
                <w:szCs w:val="24"/>
                <w:highlight w:val="none"/>
                <w:lang w:val="en-US" w:eastAsia="zh-CN"/>
              </w:rPr>
            </w:pPr>
            <w:r>
              <w:rPr>
                <w:rFonts w:hint="eastAsia" w:ascii="Times New Roman" w:hAnsi="Times New Roman" w:cs="Times New Roman"/>
                <w:b w:val="0"/>
                <w:bCs w:val="0"/>
                <w:color w:val="auto"/>
                <w:sz w:val="24"/>
                <w:szCs w:val="24"/>
                <w:highlight w:val="none"/>
                <w:lang w:val="en-US" w:eastAsia="zh-CN"/>
              </w:rPr>
              <w:t>本项目与《空气质量持续改善行动计划》（国发〔2023〕24号）相符性分析见表1-10。</w:t>
            </w:r>
          </w:p>
          <w:p w14:paraId="6FA4BF3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4"/>
                <w:szCs w:val="24"/>
                <w:highlight w:val="none"/>
                <w:lang w:val="en-US" w:eastAsia="zh-CN"/>
              </w:rPr>
            </w:pPr>
            <w:r>
              <w:rPr>
                <w:rFonts w:hint="default" w:ascii="Times New Roman" w:hAnsi="Times New Roman" w:eastAsia="宋体" w:cs="Times New Roman"/>
                <w:b/>
                <w:bCs/>
                <w:color w:val="auto"/>
                <w:sz w:val="21"/>
                <w:szCs w:val="21"/>
                <w:highlight w:val="none"/>
                <w:lang w:val="en-US" w:eastAsia="zh-CN"/>
              </w:rPr>
              <w:t>表1-</w:t>
            </w:r>
            <w:r>
              <w:rPr>
                <w:rFonts w:hint="eastAsia" w:cs="Times New Roman"/>
                <w:b/>
                <w:bCs/>
                <w:color w:val="auto"/>
                <w:sz w:val="21"/>
                <w:szCs w:val="21"/>
                <w:highlight w:val="none"/>
                <w:lang w:val="en-US" w:eastAsia="zh-CN"/>
              </w:rPr>
              <w:t>10</w:t>
            </w:r>
            <w:r>
              <w:rPr>
                <w:rFonts w:hint="default" w:ascii="Times New Roman" w:hAnsi="Times New Roman" w:eastAsia="宋体" w:cs="Times New Roman"/>
                <w:b/>
                <w:bCs/>
                <w:color w:val="auto"/>
                <w:sz w:val="21"/>
                <w:szCs w:val="21"/>
                <w:highlight w:val="none"/>
                <w:lang w:val="en-US" w:eastAsia="zh-CN"/>
              </w:rPr>
              <w:t xml:space="preserve">   </w:t>
            </w:r>
            <w:r>
              <w:rPr>
                <w:rFonts w:hint="default" w:ascii="Times New Roman" w:hAnsi="Times New Roman" w:cs="Times New Roman"/>
                <w:b/>
                <w:bCs/>
                <w:color w:val="auto"/>
                <w:sz w:val="21"/>
                <w:szCs w:val="21"/>
                <w:highlight w:val="none"/>
                <w:lang w:val="en-US" w:eastAsia="zh-CN"/>
              </w:rPr>
              <w:t>与《空气质量持续改善行动计划》（国发〔2023〕24号）相符性分析</w:t>
            </w:r>
          </w:p>
          <w:tbl>
            <w:tblPr>
              <w:tblStyle w:val="27"/>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103"/>
              <w:gridCol w:w="2268"/>
              <w:gridCol w:w="1090"/>
            </w:tblGrid>
            <w:tr w14:paraId="5DC56B4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103" w:type="dxa"/>
                  <w:tcBorders>
                    <w:bottom w:val="single" w:color="auto" w:sz="12" w:space="0"/>
                  </w:tcBorders>
                  <w:noWrap w:val="0"/>
                  <w:vAlign w:val="center"/>
                </w:tcPr>
                <w:p w14:paraId="3BCDCC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1"/>
                      <w:szCs w:val="21"/>
                      <w:highlight w:val="none"/>
                      <w:vertAlign w:val="baseline"/>
                      <w:lang w:val="en-US" w:eastAsia="zh-CN"/>
                    </w:rPr>
                  </w:pPr>
                  <w:r>
                    <w:rPr>
                      <w:rFonts w:hint="default" w:ascii="Times New Roman" w:hAnsi="Times New Roman" w:eastAsia="宋体" w:cs="Times New Roman"/>
                      <w:b/>
                      <w:bCs/>
                      <w:color w:val="auto"/>
                      <w:sz w:val="21"/>
                      <w:szCs w:val="21"/>
                      <w:highlight w:val="none"/>
                      <w:vertAlign w:val="baseline"/>
                      <w:lang w:val="en-US" w:eastAsia="zh-CN"/>
                    </w:rPr>
                    <w:t>文件要求（摘录）</w:t>
                  </w:r>
                </w:p>
              </w:tc>
              <w:tc>
                <w:tcPr>
                  <w:tcW w:w="2268" w:type="dxa"/>
                  <w:tcBorders>
                    <w:bottom w:val="single" w:color="auto" w:sz="12" w:space="0"/>
                  </w:tcBorders>
                  <w:noWrap w:val="0"/>
                  <w:vAlign w:val="center"/>
                </w:tcPr>
                <w:p w14:paraId="7F93BB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1"/>
                      <w:szCs w:val="21"/>
                      <w:highlight w:val="none"/>
                      <w:vertAlign w:val="baseline"/>
                      <w:lang w:val="en-US" w:eastAsia="zh-CN"/>
                    </w:rPr>
                  </w:pPr>
                  <w:r>
                    <w:rPr>
                      <w:rFonts w:hint="eastAsia" w:ascii="Times New Roman" w:hAnsi="Times New Roman" w:eastAsia="宋体" w:cs="Times New Roman"/>
                      <w:b/>
                      <w:bCs/>
                      <w:color w:val="auto"/>
                      <w:sz w:val="21"/>
                      <w:szCs w:val="21"/>
                      <w:highlight w:val="none"/>
                      <w:vertAlign w:val="baseline"/>
                      <w:lang w:val="en-US" w:eastAsia="zh-CN"/>
                    </w:rPr>
                    <w:t>本项目</w:t>
                  </w:r>
                </w:p>
              </w:tc>
              <w:tc>
                <w:tcPr>
                  <w:tcW w:w="1090" w:type="dxa"/>
                  <w:tcBorders>
                    <w:bottom w:val="single" w:color="auto" w:sz="12" w:space="0"/>
                  </w:tcBorders>
                  <w:noWrap w:val="0"/>
                  <w:vAlign w:val="center"/>
                </w:tcPr>
                <w:p w14:paraId="2408FE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1"/>
                      <w:szCs w:val="21"/>
                      <w:highlight w:val="none"/>
                      <w:vertAlign w:val="baseline"/>
                      <w:lang w:val="en-US" w:eastAsia="zh-CN"/>
                    </w:rPr>
                  </w:pPr>
                  <w:r>
                    <w:rPr>
                      <w:rFonts w:hint="default" w:ascii="Times New Roman" w:hAnsi="Times New Roman" w:eastAsia="宋体" w:cs="Times New Roman"/>
                      <w:b/>
                      <w:bCs/>
                      <w:color w:val="auto"/>
                      <w:sz w:val="21"/>
                      <w:szCs w:val="21"/>
                      <w:highlight w:val="none"/>
                      <w:vertAlign w:val="baseline"/>
                      <w:lang w:val="en-US" w:eastAsia="zh-CN"/>
                    </w:rPr>
                    <w:t>相符性</w:t>
                  </w:r>
                </w:p>
              </w:tc>
            </w:tr>
            <w:tr w14:paraId="3B71666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103" w:type="dxa"/>
                  <w:tcBorders>
                    <w:tl2br w:val="nil"/>
                    <w:tr2bl w:val="nil"/>
                  </w:tcBorders>
                  <w:shd w:val="clear" w:color="auto" w:fill="auto"/>
                  <w:noWrap w:val="0"/>
                  <w:vAlign w:val="center"/>
                </w:tcPr>
                <w:p w14:paraId="16FECE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kern w:val="2"/>
                      <w:sz w:val="21"/>
                      <w:szCs w:val="21"/>
                      <w:highlight w:val="none"/>
                      <w:vertAlign w:val="baseline"/>
                      <w:lang w:val="en-US" w:eastAsia="zh-CN" w:bidi="ar-SA"/>
                    </w:rPr>
                    <w:t>（四）坚决遏制高耗能、高排放、低水平项目盲目上马。新改扩建项目严格落实国家产业规划、产业政策、生态环境分区管控方案、规划环评、项目环评、节能审查、产能置换、重点污染物总量控制、污染物排放区域削减、碳排放达峰目标等相关要求，原则上采用清洁运输方式。涉及产能置换的项目，被置换产能及其配套设施关停后，新建项目方可投产。</w:t>
                  </w:r>
                </w:p>
                <w:p w14:paraId="06C468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kern w:val="2"/>
                      <w:sz w:val="21"/>
                      <w:szCs w:val="21"/>
                      <w:highlight w:val="none"/>
                      <w:vertAlign w:val="baseline"/>
                      <w:lang w:val="en-US" w:eastAsia="zh-CN" w:bidi="ar-SA"/>
                    </w:rPr>
                    <w:t>严禁新增钢铁产能。推行钢铁、焦化、烧结一体化布局，大幅减少独立焦化、烧结、球团和热轧企业及工序，淘汰落后煤炭洗选产能；有序引导高炉—转炉长流程炼钢转型为电炉短流程炼钢。到2025年，短流程炼钢产量占比达15%。京津冀及周边地区继续实施</w:t>
                  </w:r>
                  <w:r>
                    <w:rPr>
                      <w:rFonts w:hint="eastAsia" w:ascii="Times New Roman" w:hAnsi="Times New Roman" w:eastAsia="宋体" w:cs="Times New Roman"/>
                      <w:color w:val="auto"/>
                      <w:kern w:val="2"/>
                      <w:sz w:val="21"/>
                      <w:szCs w:val="21"/>
                      <w:highlight w:val="none"/>
                      <w:vertAlign w:val="baseline"/>
                      <w:lang w:val="en-US" w:eastAsia="zh-CN" w:bidi="ar-SA"/>
                    </w:rPr>
                    <w:t>“</w:t>
                  </w:r>
                  <w:r>
                    <w:rPr>
                      <w:rFonts w:hint="default" w:ascii="Times New Roman" w:hAnsi="Times New Roman" w:eastAsia="宋体" w:cs="Times New Roman"/>
                      <w:color w:val="auto"/>
                      <w:kern w:val="2"/>
                      <w:sz w:val="21"/>
                      <w:szCs w:val="21"/>
                      <w:highlight w:val="none"/>
                      <w:vertAlign w:val="baseline"/>
                      <w:lang w:val="en-US" w:eastAsia="zh-CN" w:bidi="ar-SA"/>
                    </w:rPr>
                    <w:t>以钢定焦</w:t>
                  </w:r>
                  <w:r>
                    <w:rPr>
                      <w:rFonts w:hint="eastAsia" w:ascii="Times New Roman" w:hAnsi="Times New Roman" w:eastAsia="宋体" w:cs="Times New Roman"/>
                      <w:color w:val="auto"/>
                      <w:kern w:val="2"/>
                      <w:sz w:val="21"/>
                      <w:szCs w:val="21"/>
                      <w:highlight w:val="none"/>
                      <w:vertAlign w:val="baseline"/>
                      <w:lang w:val="en-US" w:eastAsia="zh-CN" w:bidi="ar-SA"/>
                    </w:rPr>
                    <w:t>”</w:t>
                  </w:r>
                  <w:r>
                    <w:rPr>
                      <w:rFonts w:hint="default" w:ascii="Times New Roman" w:hAnsi="Times New Roman" w:eastAsia="宋体" w:cs="Times New Roman"/>
                      <w:color w:val="auto"/>
                      <w:kern w:val="2"/>
                      <w:sz w:val="21"/>
                      <w:szCs w:val="21"/>
                      <w:highlight w:val="none"/>
                      <w:vertAlign w:val="baseline"/>
                      <w:lang w:val="en-US" w:eastAsia="zh-CN" w:bidi="ar-SA"/>
                    </w:rPr>
                    <w:t>，炼焦产能与长流程炼钢产能比控制在0.4左右。</w:t>
                  </w:r>
                </w:p>
              </w:tc>
              <w:tc>
                <w:tcPr>
                  <w:tcW w:w="2268" w:type="dxa"/>
                  <w:tcBorders>
                    <w:tl2br w:val="nil"/>
                    <w:tr2bl w:val="nil"/>
                  </w:tcBorders>
                  <w:shd w:val="clear" w:color="auto" w:fill="auto"/>
                  <w:noWrap w:val="0"/>
                  <w:vAlign w:val="center"/>
                </w:tcPr>
                <w:p w14:paraId="75C211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kern w:val="2"/>
                      <w:sz w:val="21"/>
                      <w:szCs w:val="21"/>
                      <w:highlight w:val="none"/>
                      <w:vertAlign w:val="baseline"/>
                      <w:lang w:val="en-US" w:eastAsia="zh-CN" w:bidi="ar-SA"/>
                    </w:rPr>
                    <w:t>本项目符合国家产业规划、产业政策、</w:t>
                  </w:r>
                  <w:r>
                    <w:rPr>
                      <w:rFonts w:hint="eastAsia" w:ascii="Times New Roman" w:hAnsi="Times New Roman" w:eastAsia="宋体" w:cs="Times New Roman"/>
                      <w:color w:val="auto"/>
                      <w:kern w:val="2"/>
                      <w:sz w:val="21"/>
                      <w:szCs w:val="21"/>
                      <w:highlight w:val="none"/>
                      <w:vertAlign w:val="baseline"/>
                      <w:lang w:val="en-US" w:eastAsia="zh-CN" w:bidi="ar-SA"/>
                    </w:rPr>
                    <w:t>景德镇</w:t>
                  </w:r>
                  <w:r>
                    <w:rPr>
                      <w:rFonts w:hint="default" w:ascii="Times New Roman" w:hAnsi="Times New Roman" w:eastAsia="宋体" w:cs="Times New Roman"/>
                      <w:color w:val="auto"/>
                      <w:kern w:val="2"/>
                      <w:sz w:val="21"/>
                      <w:szCs w:val="21"/>
                      <w:highlight w:val="none"/>
                      <w:vertAlign w:val="baseline"/>
                      <w:lang w:val="en-US" w:eastAsia="zh-CN" w:bidi="ar-SA"/>
                    </w:rPr>
                    <w:t>市</w:t>
                  </w:r>
                  <w:r>
                    <w:rPr>
                      <w:rFonts w:hint="default" w:ascii="Times New Roman" w:hAnsi="Times New Roman" w:eastAsia="宋体" w:cs="Times New Roman"/>
                      <w:color w:val="auto"/>
                      <w:sz w:val="21"/>
                      <w:szCs w:val="21"/>
                      <w:highlight w:val="none"/>
                      <w:lang w:val="en-US" w:eastAsia="zh-CN"/>
                    </w:rPr>
                    <w:t>生态环境分区管控方案和生态环境准入清单</w:t>
                  </w:r>
                  <w:r>
                    <w:rPr>
                      <w:rFonts w:hint="default" w:ascii="Times New Roman" w:hAnsi="Times New Roman" w:eastAsia="宋体" w:cs="Times New Roman"/>
                      <w:color w:val="auto"/>
                      <w:kern w:val="2"/>
                      <w:sz w:val="21"/>
                      <w:szCs w:val="21"/>
                      <w:highlight w:val="none"/>
                      <w:vertAlign w:val="baseline"/>
                      <w:lang w:val="en-US" w:eastAsia="zh-CN" w:bidi="ar-SA"/>
                    </w:rPr>
                    <w:t>要求、规划环评、碳排放达峰目标等</w:t>
                  </w:r>
                  <w:r>
                    <w:rPr>
                      <w:rFonts w:hint="eastAsia" w:ascii="Times New Roman" w:hAnsi="Times New Roman" w:eastAsia="宋体" w:cs="Times New Roman"/>
                      <w:color w:val="auto"/>
                      <w:kern w:val="2"/>
                      <w:sz w:val="21"/>
                      <w:szCs w:val="21"/>
                      <w:highlight w:val="none"/>
                      <w:vertAlign w:val="baseline"/>
                      <w:lang w:val="en-US" w:eastAsia="zh-CN" w:bidi="ar-SA"/>
                    </w:rPr>
                    <w:t>，</w:t>
                  </w:r>
                  <w:r>
                    <w:rPr>
                      <w:rFonts w:hint="eastAsia" w:cs="Times New Roman"/>
                      <w:color w:val="auto"/>
                      <w:kern w:val="2"/>
                      <w:sz w:val="21"/>
                      <w:szCs w:val="21"/>
                      <w:highlight w:val="none"/>
                      <w:vertAlign w:val="baseline"/>
                      <w:lang w:val="en-US" w:eastAsia="zh-CN" w:bidi="ar-SA"/>
                    </w:rPr>
                    <w:t>项目</w:t>
                  </w:r>
                  <w:r>
                    <w:rPr>
                      <w:rFonts w:hint="default" w:ascii="Times New Roman" w:hAnsi="Times New Roman" w:eastAsia="宋体" w:cs="Times New Roman"/>
                      <w:color w:val="auto"/>
                      <w:kern w:val="2"/>
                      <w:sz w:val="21"/>
                      <w:szCs w:val="21"/>
                      <w:highlight w:val="none"/>
                      <w:vertAlign w:val="baseline"/>
                      <w:lang w:val="en-US" w:eastAsia="zh-CN" w:bidi="ar-SA"/>
                    </w:rPr>
                    <w:t>重点污染物总量控制</w:t>
                  </w:r>
                  <w:r>
                    <w:rPr>
                      <w:rFonts w:hint="eastAsia" w:cs="Times New Roman"/>
                      <w:color w:val="auto"/>
                      <w:kern w:val="2"/>
                      <w:sz w:val="21"/>
                      <w:szCs w:val="21"/>
                      <w:highlight w:val="none"/>
                      <w:vertAlign w:val="baseline"/>
                      <w:lang w:val="en-US" w:eastAsia="zh-CN" w:bidi="ar-SA"/>
                    </w:rPr>
                    <w:t>正在办理，待办理完成了本项目开始施工，本</w:t>
                  </w:r>
                  <w:r>
                    <w:rPr>
                      <w:rFonts w:hint="eastAsia" w:ascii="Times New Roman" w:hAnsi="Times New Roman" w:eastAsia="宋体" w:cs="Times New Roman"/>
                      <w:color w:val="auto"/>
                      <w:kern w:val="2"/>
                      <w:sz w:val="21"/>
                      <w:szCs w:val="21"/>
                      <w:highlight w:val="none"/>
                      <w:vertAlign w:val="baseline"/>
                      <w:lang w:val="en-US" w:eastAsia="zh-CN" w:bidi="ar-SA"/>
                    </w:rPr>
                    <w:t>项目</w:t>
                  </w:r>
                  <w:r>
                    <w:rPr>
                      <w:rFonts w:hint="default" w:ascii="Times New Roman" w:hAnsi="Times New Roman" w:eastAsia="宋体" w:cs="Times New Roman"/>
                      <w:color w:val="auto"/>
                      <w:kern w:val="2"/>
                      <w:sz w:val="21"/>
                      <w:szCs w:val="21"/>
                      <w:highlight w:val="none"/>
                      <w:vertAlign w:val="baseline"/>
                      <w:lang w:val="en-US" w:eastAsia="zh-CN" w:bidi="ar-SA"/>
                    </w:rPr>
                    <w:t>不属于高耗能、高排放、低水平项目</w:t>
                  </w:r>
                  <w:r>
                    <w:rPr>
                      <w:rFonts w:hint="eastAsia" w:ascii="Times New Roman" w:hAnsi="Times New Roman" w:eastAsia="宋体" w:cs="Times New Roman"/>
                      <w:color w:val="auto"/>
                      <w:kern w:val="2"/>
                      <w:sz w:val="21"/>
                      <w:szCs w:val="21"/>
                      <w:highlight w:val="none"/>
                      <w:vertAlign w:val="baseline"/>
                      <w:lang w:val="en-US" w:eastAsia="zh-CN" w:bidi="ar-SA"/>
                    </w:rPr>
                    <w:t>。</w:t>
                  </w:r>
                </w:p>
              </w:tc>
              <w:tc>
                <w:tcPr>
                  <w:tcW w:w="1090" w:type="dxa"/>
                  <w:tcBorders>
                    <w:tl2br w:val="nil"/>
                    <w:tr2bl w:val="nil"/>
                  </w:tcBorders>
                  <w:noWrap w:val="0"/>
                  <w:vAlign w:val="center"/>
                </w:tcPr>
                <w:p w14:paraId="750084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vertAlign w:val="baseline"/>
                      <w:lang w:val="en-US" w:eastAsia="zh-CN"/>
                    </w:rPr>
                    <w:t>符合</w:t>
                  </w:r>
                </w:p>
              </w:tc>
            </w:tr>
            <w:tr w14:paraId="549B111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103" w:type="dxa"/>
                  <w:tcBorders>
                    <w:tl2br w:val="nil"/>
                    <w:tr2bl w:val="nil"/>
                  </w:tcBorders>
                  <w:shd w:val="clear" w:color="auto" w:fill="auto"/>
                  <w:noWrap w:val="0"/>
                  <w:vAlign w:val="center"/>
                </w:tcPr>
                <w:p w14:paraId="3F2577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ascii="Times New Roman" w:hAnsi="Times New Roman" w:eastAsia="宋体" w:cs="Times New Roman"/>
                      <w:color w:val="auto"/>
                      <w:kern w:val="2"/>
                      <w:sz w:val="21"/>
                      <w:szCs w:val="21"/>
                      <w:highlight w:val="none"/>
                      <w:vertAlign w:val="baseline"/>
                      <w:lang w:val="en-US" w:eastAsia="zh-CN" w:bidi="ar-SA"/>
                    </w:rPr>
                    <w:t>（五）</w:t>
                  </w:r>
                  <w:r>
                    <w:rPr>
                      <w:rFonts w:hint="default" w:ascii="Times New Roman" w:hAnsi="Times New Roman" w:eastAsia="宋体" w:cs="Times New Roman"/>
                      <w:color w:val="auto"/>
                      <w:kern w:val="2"/>
                      <w:sz w:val="21"/>
                      <w:szCs w:val="21"/>
                      <w:highlight w:val="none"/>
                      <w:vertAlign w:val="baseline"/>
                      <w:lang w:val="en-US" w:eastAsia="zh-CN" w:bidi="ar-SA"/>
                    </w:rPr>
                    <w:t>加快退出重点行业落后产能。修订《产业结构调整指导目录》，研究将污染物或温室气体排放明显高出行业平均水平、能效和清洁生产水平低的工艺和装备纳入淘汰类和限制类名单。重点区域进一步提高落后产能能耗、环保、质量、安全、技术等要求，逐步退出限制类涉气行业工艺和装备；逐步淘汰步进式烧结机和球团竖炉以及半封闭式硅锰合金、镍铁、高碳铬铁、高碳锰铁电炉。引导重点区域钢铁、焦化、电解铝等产业有序调整优化。</w:t>
                  </w:r>
                </w:p>
              </w:tc>
              <w:tc>
                <w:tcPr>
                  <w:tcW w:w="2268" w:type="dxa"/>
                  <w:tcBorders>
                    <w:tl2br w:val="nil"/>
                    <w:tr2bl w:val="nil"/>
                  </w:tcBorders>
                  <w:shd w:val="clear" w:color="auto" w:fill="auto"/>
                  <w:noWrap w:val="0"/>
                  <w:vAlign w:val="center"/>
                </w:tcPr>
                <w:p w14:paraId="68CB28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kern w:val="2"/>
                      <w:sz w:val="21"/>
                      <w:szCs w:val="21"/>
                      <w:highlight w:val="none"/>
                      <w:vertAlign w:val="baseline"/>
                      <w:lang w:val="en-US" w:eastAsia="zh-CN" w:bidi="ar-SA"/>
                    </w:rPr>
                    <w:t>根据国家发展和改革委员会《产业结构调整指导目录（2024年本）》，项目不属于其中的鼓励类、限制类、淘汰类，项目属于产业政策中的允许类项目。</w:t>
                  </w:r>
                </w:p>
              </w:tc>
              <w:tc>
                <w:tcPr>
                  <w:tcW w:w="1090" w:type="dxa"/>
                  <w:tcBorders>
                    <w:tl2br w:val="nil"/>
                    <w:tr2bl w:val="nil"/>
                  </w:tcBorders>
                  <w:noWrap w:val="0"/>
                  <w:vAlign w:val="center"/>
                </w:tcPr>
                <w:p w14:paraId="6E9850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vertAlign w:val="baseline"/>
                      <w:lang w:val="en-US" w:eastAsia="zh-CN"/>
                    </w:rPr>
                    <w:t>符合</w:t>
                  </w:r>
                </w:p>
              </w:tc>
            </w:tr>
            <w:tr w14:paraId="6DC6989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103" w:type="dxa"/>
                  <w:tcBorders>
                    <w:tl2br w:val="nil"/>
                    <w:tr2bl w:val="nil"/>
                  </w:tcBorders>
                  <w:shd w:val="clear" w:color="auto" w:fill="auto"/>
                  <w:noWrap w:val="0"/>
                  <w:vAlign w:val="center"/>
                </w:tcPr>
                <w:p w14:paraId="382723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kern w:val="2"/>
                      <w:sz w:val="21"/>
                      <w:szCs w:val="21"/>
                      <w:highlight w:val="none"/>
                      <w:vertAlign w:val="baseline"/>
                      <w:lang w:val="en-US" w:eastAsia="zh-CN" w:bidi="ar-SA"/>
                    </w:rPr>
                    <w:t>（七）优化含VOCs原辅材料和产品结构。严格控制生产和使用高VOCs含量涂料、油墨、胶粘剂、清洗剂等建设项目，提高低（无）VOCs含量产品比重。实施源头替代工程，加大工业涂装、包装印刷和电子行业低（无）VOCs含量原辅材料替代力度。室外构筑物防护和城市道路交通标志推广使用低（无）VOCs含量涂料。在生产、销售、进口、使用等环节严格执行VOCs含量限值标准。</w:t>
                  </w:r>
                </w:p>
              </w:tc>
              <w:tc>
                <w:tcPr>
                  <w:tcW w:w="2268" w:type="dxa"/>
                  <w:tcBorders>
                    <w:tl2br w:val="nil"/>
                    <w:tr2bl w:val="nil"/>
                  </w:tcBorders>
                  <w:shd w:val="clear" w:color="auto" w:fill="auto"/>
                  <w:noWrap w:val="0"/>
                  <w:vAlign w:val="center"/>
                </w:tcPr>
                <w:p w14:paraId="246A2A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eastAsia" w:ascii="Times New Roman" w:hAnsi="Times New Roman" w:eastAsia="宋体" w:cs="Times New Roman"/>
                      <w:color w:val="auto"/>
                      <w:kern w:val="2"/>
                      <w:sz w:val="21"/>
                      <w:szCs w:val="21"/>
                      <w:highlight w:val="none"/>
                      <w:vertAlign w:val="baseline"/>
                      <w:lang w:val="en-US" w:eastAsia="zh-CN" w:bidi="ar-SA"/>
                    </w:rPr>
                  </w:pPr>
                  <w:r>
                    <w:rPr>
                      <w:rFonts w:hint="eastAsia" w:ascii="Times New Roman" w:hAnsi="Times New Roman" w:eastAsia="宋体" w:cs="Times New Roman"/>
                      <w:color w:val="auto"/>
                      <w:kern w:val="2"/>
                      <w:sz w:val="21"/>
                      <w:szCs w:val="21"/>
                      <w:highlight w:val="none"/>
                      <w:vertAlign w:val="baseline"/>
                      <w:lang w:val="en-US" w:eastAsia="zh-CN" w:bidi="ar-SA"/>
                    </w:rPr>
                    <w:t>本项目采用低</w:t>
                  </w:r>
                  <w:r>
                    <w:rPr>
                      <w:rFonts w:hint="default" w:ascii="Times New Roman" w:hAnsi="Times New Roman" w:eastAsia="宋体" w:cs="Times New Roman"/>
                      <w:color w:val="auto"/>
                      <w:kern w:val="2"/>
                      <w:sz w:val="21"/>
                      <w:szCs w:val="21"/>
                      <w:highlight w:val="none"/>
                      <w:vertAlign w:val="baseline"/>
                      <w:lang w:val="en-US" w:eastAsia="zh-CN" w:bidi="ar-SA"/>
                    </w:rPr>
                    <w:t>VOCs原辅材料</w:t>
                  </w:r>
                  <w:r>
                    <w:rPr>
                      <w:rFonts w:hint="eastAsia" w:ascii="Times New Roman" w:hAnsi="Times New Roman" w:eastAsia="宋体" w:cs="Times New Roman"/>
                      <w:color w:val="auto"/>
                      <w:kern w:val="2"/>
                      <w:sz w:val="21"/>
                      <w:szCs w:val="21"/>
                      <w:highlight w:val="none"/>
                      <w:vertAlign w:val="baseline"/>
                      <w:lang w:val="en-US" w:eastAsia="zh-CN" w:bidi="ar-SA"/>
                    </w:rPr>
                    <w:t>，挥发性有机物废气采用</w:t>
                  </w:r>
                  <w:r>
                    <w:rPr>
                      <w:rFonts w:hint="eastAsia" w:cs="Times New Roman"/>
                      <w:color w:val="auto"/>
                      <w:sz w:val="21"/>
                      <w:szCs w:val="21"/>
                      <w:lang w:val="en-US" w:eastAsia="zh-CN"/>
                    </w:rPr>
                    <w:t>半密闭集气罩负压收集</w:t>
                  </w:r>
                  <w:r>
                    <w:rPr>
                      <w:rFonts w:hint="eastAsia" w:ascii="Times New Roman" w:hAnsi="Times New Roman" w:eastAsia="宋体" w:cs="Times New Roman"/>
                      <w:color w:val="auto"/>
                      <w:sz w:val="21"/>
                      <w:szCs w:val="21"/>
                      <w:lang w:val="en-US" w:eastAsia="zh-CN"/>
                    </w:rPr>
                    <w:t>+</w:t>
                  </w:r>
                  <w:r>
                    <w:rPr>
                      <w:rFonts w:hint="eastAsia" w:cs="Times New Roman"/>
                      <w:color w:val="auto"/>
                      <w:sz w:val="21"/>
                      <w:szCs w:val="21"/>
                      <w:lang w:val="en-US" w:eastAsia="zh-CN"/>
                    </w:rPr>
                    <w:t>五级活性炭</w:t>
                  </w:r>
                  <w:r>
                    <w:rPr>
                      <w:rFonts w:hint="eastAsia" w:ascii="Times New Roman" w:hAnsi="Times New Roman" w:eastAsia="宋体" w:cs="Times New Roman"/>
                      <w:color w:val="auto"/>
                      <w:sz w:val="21"/>
                      <w:szCs w:val="21"/>
                      <w:lang w:val="en-US" w:eastAsia="zh-CN"/>
                    </w:rPr>
                    <w:t>吸附+15m高排气筒达标排放</w:t>
                  </w:r>
                  <w:r>
                    <w:rPr>
                      <w:rFonts w:hint="eastAsia" w:ascii="Times New Roman" w:hAnsi="Times New Roman" w:eastAsia="宋体" w:cs="Times New Roman"/>
                      <w:color w:val="auto"/>
                      <w:kern w:val="2"/>
                      <w:sz w:val="21"/>
                      <w:szCs w:val="21"/>
                      <w:highlight w:val="none"/>
                      <w:vertAlign w:val="baseline"/>
                      <w:lang w:val="en-US" w:eastAsia="zh-CN" w:bidi="ar-SA"/>
                    </w:rPr>
                    <w:t>。</w:t>
                  </w:r>
                </w:p>
              </w:tc>
              <w:tc>
                <w:tcPr>
                  <w:tcW w:w="1090" w:type="dxa"/>
                  <w:tcBorders>
                    <w:tl2br w:val="nil"/>
                    <w:tr2bl w:val="nil"/>
                  </w:tcBorders>
                  <w:shd w:val="clear" w:color="auto" w:fill="auto"/>
                  <w:noWrap w:val="0"/>
                  <w:vAlign w:val="center"/>
                </w:tcPr>
                <w:p w14:paraId="5AE601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vertAlign w:val="baseline"/>
                      <w:lang w:val="en-US" w:eastAsia="zh-CN"/>
                    </w:rPr>
                    <w:t>符合</w:t>
                  </w:r>
                </w:p>
              </w:tc>
            </w:tr>
            <w:tr w14:paraId="57E0D52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103" w:type="dxa"/>
                  <w:tcBorders>
                    <w:tl2br w:val="nil"/>
                    <w:tr2bl w:val="nil"/>
                  </w:tcBorders>
                  <w:shd w:val="clear" w:color="auto" w:fill="auto"/>
                  <w:noWrap w:val="0"/>
                  <w:vAlign w:val="center"/>
                </w:tcPr>
                <w:p w14:paraId="112599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kern w:val="2"/>
                      <w:sz w:val="21"/>
                      <w:szCs w:val="21"/>
                      <w:highlight w:val="none"/>
                      <w:vertAlign w:val="baseline"/>
                      <w:lang w:val="en-US" w:eastAsia="zh-CN" w:bidi="ar-SA"/>
                    </w:rPr>
                    <w:t>（八）推动绿色环保产业健康发展。加大政策支持力度，在低（无）VOCs含量原辅材料生产和使用、VOCs污染治理、超低排放、环境和大气成分监测等领域支持培育一批龙头企业。多措并举治理环保领域低价低质中标乱象，营造公平竞争环境，推动产业健康有序发展。</w:t>
                  </w:r>
                </w:p>
              </w:tc>
              <w:tc>
                <w:tcPr>
                  <w:tcW w:w="2268" w:type="dxa"/>
                  <w:tcBorders>
                    <w:tl2br w:val="nil"/>
                    <w:tr2bl w:val="nil"/>
                  </w:tcBorders>
                  <w:shd w:val="clear" w:color="auto" w:fill="auto"/>
                  <w:noWrap w:val="0"/>
                  <w:vAlign w:val="center"/>
                </w:tcPr>
                <w:p w14:paraId="626201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eastAsia" w:ascii="Times New Roman" w:hAnsi="Times New Roman" w:eastAsia="宋体" w:cs="宋体"/>
                      <w:color w:val="auto"/>
                      <w:sz w:val="21"/>
                      <w:szCs w:val="21"/>
                      <w:highlight w:val="none"/>
                      <w:lang w:val="en-US" w:eastAsia="zh-CN"/>
                    </w:rPr>
                  </w:pPr>
                  <w:r>
                    <w:rPr>
                      <w:rFonts w:hint="eastAsia" w:ascii="Times New Roman" w:hAnsi="Times New Roman" w:eastAsia="宋体" w:cs="Times New Roman"/>
                      <w:color w:val="auto"/>
                      <w:kern w:val="2"/>
                      <w:sz w:val="21"/>
                      <w:szCs w:val="21"/>
                      <w:highlight w:val="none"/>
                      <w:vertAlign w:val="baseline"/>
                      <w:lang w:val="en-US" w:eastAsia="zh-CN" w:bidi="ar-SA"/>
                    </w:rPr>
                    <w:t>本项目采用低</w:t>
                  </w:r>
                  <w:r>
                    <w:rPr>
                      <w:rFonts w:hint="default" w:ascii="Times New Roman" w:hAnsi="Times New Roman" w:eastAsia="宋体" w:cs="Times New Roman"/>
                      <w:color w:val="auto"/>
                      <w:kern w:val="2"/>
                      <w:sz w:val="21"/>
                      <w:szCs w:val="21"/>
                      <w:highlight w:val="none"/>
                      <w:vertAlign w:val="baseline"/>
                      <w:lang w:val="en-US" w:eastAsia="zh-CN" w:bidi="ar-SA"/>
                    </w:rPr>
                    <w:t>VOCs原辅材料</w:t>
                  </w:r>
                  <w:r>
                    <w:rPr>
                      <w:rFonts w:hint="eastAsia" w:ascii="Times New Roman" w:hAnsi="Times New Roman" w:eastAsia="宋体" w:cs="Times New Roman"/>
                      <w:color w:val="auto"/>
                      <w:kern w:val="2"/>
                      <w:sz w:val="21"/>
                      <w:szCs w:val="21"/>
                      <w:highlight w:val="none"/>
                      <w:vertAlign w:val="baseline"/>
                      <w:lang w:val="en-US" w:eastAsia="zh-CN" w:bidi="ar-SA"/>
                    </w:rPr>
                    <w:t>，挥发性有机物废气采用</w:t>
                  </w:r>
                  <w:r>
                    <w:rPr>
                      <w:rFonts w:hint="eastAsia" w:cs="Times New Roman"/>
                      <w:color w:val="auto"/>
                      <w:sz w:val="21"/>
                      <w:szCs w:val="21"/>
                      <w:lang w:val="en-US" w:eastAsia="zh-CN"/>
                    </w:rPr>
                    <w:t>半密闭集气罩负压收集</w:t>
                  </w:r>
                  <w:r>
                    <w:rPr>
                      <w:rFonts w:hint="eastAsia" w:ascii="Times New Roman" w:hAnsi="Times New Roman" w:eastAsia="宋体" w:cs="Times New Roman"/>
                      <w:color w:val="auto"/>
                      <w:sz w:val="21"/>
                      <w:szCs w:val="21"/>
                      <w:lang w:val="en-US" w:eastAsia="zh-CN"/>
                    </w:rPr>
                    <w:t>+</w:t>
                  </w:r>
                  <w:r>
                    <w:rPr>
                      <w:rFonts w:hint="eastAsia" w:cs="Times New Roman"/>
                      <w:color w:val="auto"/>
                      <w:sz w:val="21"/>
                      <w:szCs w:val="21"/>
                      <w:lang w:val="en-US" w:eastAsia="zh-CN"/>
                    </w:rPr>
                    <w:t>五级活性炭</w:t>
                  </w:r>
                  <w:r>
                    <w:rPr>
                      <w:rFonts w:hint="eastAsia" w:ascii="Times New Roman" w:hAnsi="Times New Roman" w:eastAsia="宋体" w:cs="Times New Roman"/>
                      <w:color w:val="auto"/>
                      <w:sz w:val="21"/>
                      <w:szCs w:val="21"/>
                      <w:lang w:val="en-US" w:eastAsia="zh-CN"/>
                    </w:rPr>
                    <w:t>吸附+15m高排气筒达标排放</w:t>
                  </w:r>
                  <w:r>
                    <w:rPr>
                      <w:rFonts w:hint="eastAsia" w:ascii="Times New Roman" w:hAnsi="Times New Roman" w:eastAsia="宋体" w:cs="Times New Roman"/>
                      <w:color w:val="auto"/>
                      <w:kern w:val="2"/>
                      <w:sz w:val="21"/>
                      <w:szCs w:val="21"/>
                      <w:highlight w:val="none"/>
                      <w:vertAlign w:val="baseline"/>
                      <w:lang w:val="en-US" w:eastAsia="zh-CN" w:bidi="ar-SA"/>
                    </w:rPr>
                    <w:t>。</w:t>
                  </w:r>
                </w:p>
              </w:tc>
              <w:tc>
                <w:tcPr>
                  <w:tcW w:w="1090" w:type="dxa"/>
                  <w:tcBorders>
                    <w:tl2br w:val="nil"/>
                    <w:tr2bl w:val="nil"/>
                  </w:tcBorders>
                  <w:noWrap w:val="0"/>
                  <w:vAlign w:val="center"/>
                </w:tcPr>
                <w:p w14:paraId="62A94B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vertAlign w:val="baseline"/>
                      <w:lang w:val="en-US" w:eastAsia="zh-CN"/>
                    </w:rPr>
                    <w:t>符合</w:t>
                  </w:r>
                </w:p>
              </w:tc>
            </w:tr>
            <w:tr w14:paraId="05DB03C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103" w:type="dxa"/>
                  <w:tcBorders>
                    <w:tl2br w:val="nil"/>
                    <w:tr2bl w:val="nil"/>
                  </w:tcBorders>
                  <w:shd w:val="clear" w:color="auto" w:fill="auto"/>
                  <w:noWrap w:val="0"/>
                  <w:vAlign w:val="center"/>
                </w:tcPr>
                <w:p w14:paraId="02B253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ascii="Times New Roman" w:hAnsi="Times New Roman" w:eastAsia="宋体" w:cs="Times New Roman"/>
                      <w:color w:val="auto"/>
                      <w:kern w:val="2"/>
                      <w:sz w:val="21"/>
                      <w:szCs w:val="21"/>
                      <w:highlight w:val="none"/>
                      <w:vertAlign w:val="baseline"/>
                      <w:lang w:val="en-US" w:eastAsia="zh-CN" w:bidi="ar-SA"/>
                    </w:rPr>
                    <w:t>（二十一）</w:t>
                  </w:r>
                  <w:r>
                    <w:rPr>
                      <w:rFonts w:hint="default" w:ascii="Times New Roman" w:hAnsi="Times New Roman" w:eastAsia="宋体" w:cs="Times New Roman"/>
                      <w:color w:val="auto"/>
                      <w:kern w:val="2"/>
                      <w:sz w:val="21"/>
                      <w:szCs w:val="21"/>
                      <w:highlight w:val="none"/>
                      <w:vertAlign w:val="baseline"/>
                      <w:lang w:val="en-US" w:eastAsia="zh-CN" w:bidi="ar-SA"/>
                    </w:rPr>
                    <w:t>强化VOCs全流程、全环节综合治理。鼓励储罐使用低泄漏的呼吸阀、紧急泄压阀，定期开展密封性检测。汽车罐车推广使用密封式快速接头。污水处理场所高浓度有机废气要单独收集处理；含VOCs有机废水储罐、装置区集水井（池）有机废气要密闭收集处理。重点区域石化、化工行业集中的城市和重点工业园区，2024年年底前建立统一的泄漏检测与修复信息管理平台。企业开停工、检维修期间，及时收集处理退料、清洗、吹扫等作业产生的VOCs废气。企业不得将火炬燃烧装置作为日常大气污染处理设施。</w:t>
                  </w:r>
                </w:p>
              </w:tc>
              <w:tc>
                <w:tcPr>
                  <w:tcW w:w="2268" w:type="dxa"/>
                  <w:tcBorders>
                    <w:tl2br w:val="nil"/>
                    <w:tr2bl w:val="nil"/>
                  </w:tcBorders>
                  <w:shd w:val="clear" w:color="auto" w:fill="auto"/>
                  <w:noWrap w:val="0"/>
                  <w:vAlign w:val="center"/>
                </w:tcPr>
                <w:p w14:paraId="6EFA4D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default" w:ascii="Times New Roman" w:hAnsi="Times New Roman" w:eastAsia="宋体" w:cs="Times New Roman"/>
                      <w:b/>
                      <w:bCs/>
                      <w:color w:val="auto"/>
                      <w:kern w:val="2"/>
                      <w:sz w:val="21"/>
                      <w:szCs w:val="21"/>
                      <w:highlight w:val="none"/>
                      <w:vertAlign w:val="baseline"/>
                      <w:lang w:val="en-US" w:eastAsia="zh-CN" w:bidi="ar-SA"/>
                    </w:rPr>
                  </w:pPr>
                  <w:r>
                    <w:rPr>
                      <w:rFonts w:hint="eastAsia" w:ascii="Times New Roman" w:hAnsi="Times New Roman" w:eastAsia="宋体" w:cs="Times New Roman"/>
                      <w:color w:val="auto"/>
                      <w:kern w:val="2"/>
                      <w:sz w:val="21"/>
                      <w:szCs w:val="21"/>
                      <w:highlight w:val="none"/>
                      <w:vertAlign w:val="baseline"/>
                      <w:lang w:val="en-US" w:eastAsia="zh-CN" w:bidi="ar-SA"/>
                    </w:rPr>
                    <w:t>本项目采用低</w:t>
                  </w:r>
                  <w:r>
                    <w:rPr>
                      <w:rFonts w:hint="default" w:ascii="Times New Roman" w:hAnsi="Times New Roman" w:eastAsia="宋体" w:cs="Times New Roman"/>
                      <w:color w:val="auto"/>
                      <w:kern w:val="2"/>
                      <w:sz w:val="21"/>
                      <w:szCs w:val="21"/>
                      <w:highlight w:val="none"/>
                      <w:vertAlign w:val="baseline"/>
                      <w:lang w:val="en-US" w:eastAsia="zh-CN" w:bidi="ar-SA"/>
                    </w:rPr>
                    <w:t>VOCs原辅材料</w:t>
                  </w:r>
                  <w:r>
                    <w:rPr>
                      <w:rFonts w:hint="eastAsia" w:ascii="Times New Roman" w:hAnsi="Times New Roman" w:eastAsia="宋体" w:cs="Times New Roman"/>
                      <w:color w:val="auto"/>
                      <w:kern w:val="2"/>
                      <w:sz w:val="21"/>
                      <w:szCs w:val="21"/>
                      <w:highlight w:val="none"/>
                      <w:vertAlign w:val="baseline"/>
                      <w:lang w:val="en-US" w:eastAsia="zh-CN" w:bidi="ar-SA"/>
                    </w:rPr>
                    <w:t>，挥发</w:t>
                  </w:r>
                  <w:r>
                    <w:rPr>
                      <w:rFonts w:hint="eastAsia" w:cs="Times New Roman"/>
                      <w:color w:val="auto"/>
                      <w:kern w:val="2"/>
                      <w:sz w:val="21"/>
                      <w:szCs w:val="21"/>
                      <w:highlight w:val="none"/>
                      <w:vertAlign w:val="baseline"/>
                      <w:lang w:val="en-US" w:eastAsia="zh-CN" w:bidi="ar-SA"/>
                    </w:rPr>
                    <w:t>性</w:t>
                  </w:r>
                  <w:r>
                    <w:rPr>
                      <w:rFonts w:hint="eastAsia" w:ascii="Times New Roman" w:hAnsi="Times New Roman" w:eastAsia="宋体" w:cs="Times New Roman"/>
                      <w:color w:val="auto"/>
                      <w:kern w:val="2"/>
                      <w:sz w:val="21"/>
                      <w:szCs w:val="21"/>
                      <w:highlight w:val="none"/>
                      <w:vertAlign w:val="baseline"/>
                      <w:lang w:val="en-US" w:eastAsia="zh-CN" w:bidi="ar-SA"/>
                    </w:rPr>
                    <w:t>有机物废气采用</w:t>
                  </w:r>
                  <w:r>
                    <w:rPr>
                      <w:rFonts w:hint="eastAsia" w:cs="Times New Roman"/>
                      <w:color w:val="auto"/>
                      <w:sz w:val="21"/>
                      <w:szCs w:val="21"/>
                      <w:lang w:val="en-US" w:eastAsia="zh-CN"/>
                    </w:rPr>
                    <w:t>半密闭集气罩负压收集</w:t>
                  </w:r>
                  <w:r>
                    <w:rPr>
                      <w:rFonts w:hint="eastAsia" w:ascii="Times New Roman" w:hAnsi="Times New Roman" w:eastAsia="宋体" w:cs="Times New Roman"/>
                      <w:color w:val="auto"/>
                      <w:sz w:val="21"/>
                      <w:szCs w:val="21"/>
                      <w:lang w:val="en-US" w:eastAsia="zh-CN"/>
                    </w:rPr>
                    <w:t>+</w:t>
                  </w:r>
                  <w:r>
                    <w:rPr>
                      <w:rFonts w:hint="eastAsia" w:cs="Times New Roman"/>
                      <w:color w:val="auto"/>
                      <w:sz w:val="21"/>
                      <w:szCs w:val="21"/>
                      <w:lang w:val="en-US" w:eastAsia="zh-CN"/>
                    </w:rPr>
                    <w:t>五级活性炭</w:t>
                  </w:r>
                  <w:r>
                    <w:rPr>
                      <w:rFonts w:hint="eastAsia" w:ascii="Times New Roman" w:hAnsi="Times New Roman" w:eastAsia="宋体" w:cs="Times New Roman"/>
                      <w:color w:val="auto"/>
                      <w:sz w:val="21"/>
                      <w:szCs w:val="21"/>
                      <w:lang w:val="en-US" w:eastAsia="zh-CN"/>
                    </w:rPr>
                    <w:t>吸附+15m高排气筒达标排放</w:t>
                  </w:r>
                  <w:r>
                    <w:rPr>
                      <w:rFonts w:hint="eastAsia" w:ascii="Times New Roman" w:hAnsi="Times New Roman" w:eastAsia="宋体" w:cs="Times New Roman"/>
                      <w:color w:val="auto"/>
                      <w:kern w:val="2"/>
                      <w:sz w:val="21"/>
                      <w:szCs w:val="21"/>
                      <w:highlight w:val="none"/>
                      <w:vertAlign w:val="baseline"/>
                      <w:lang w:val="en-US" w:eastAsia="zh-CN" w:bidi="ar-SA"/>
                    </w:rPr>
                    <w:t>。</w:t>
                  </w:r>
                  <w:r>
                    <w:rPr>
                      <w:rFonts w:hint="eastAsia" w:cs="Times New Roman"/>
                      <w:color w:val="auto"/>
                      <w:kern w:val="2"/>
                      <w:sz w:val="21"/>
                      <w:szCs w:val="21"/>
                      <w:highlight w:val="none"/>
                      <w:vertAlign w:val="baseline"/>
                      <w:lang w:val="en-US" w:eastAsia="zh-CN" w:bidi="ar-SA"/>
                    </w:rPr>
                    <w:t>企业</w:t>
                  </w:r>
                  <w:r>
                    <w:rPr>
                      <w:rFonts w:hint="default" w:ascii="Times New Roman" w:hAnsi="Times New Roman" w:eastAsia="宋体" w:cs="Times New Roman"/>
                      <w:color w:val="auto"/>
                      <w:kern w:val="2"/>
                      <w:sz w:val="21"/>
                      <w:szCs w:val="21"/>
                      <w:highlight w:val="none"/>
                      <w:vertAlign w:val="baseline"/>
                      <w:lang w:val="en-US" w:eastAsia="zh-CN" w:bidi="ar-SA"/>
                    </w:rPr>
                    <w:t>定期开展</w:t>
                  </w:r>
                  <w:r>
                    <w:rPr>
                      <w:rFonts w:hint="eastAsia" w:ascii="Times New Roman" w:hAnsi="Times New Roman" w:eastAsia="宋体" w:cs="Times New Roman"/>
                      <w:color w:val="auto"/>
                      <w:sz w:val="21"/>
                      <w:szCs w:val="21"/>
                      <w:lang w:val="en-US" w:eastAsia="zh-CN"/>
                    </w:rPr>
                    <w:t>集气罩</w:t>
                  </w:r>
                  <w:r>
                    <w:rPr>
                      <w:rFonts w:hint="default" w:ascii="Times New Roman" w:hAnsi="Times New Roman" w:eastAsia="宋体" w:cs="Times New Roman"/>
                      <w:color w:val="auto"/>
                      <w:kern w:val="2"/>
                      <w:sz w:val="21"/>
                      <w:szCs w:val="21"/>
                      <w:highlight w:val="none"/>
                      <w:vertAlign w:val="baseline"/>
                      <w:lang w:val="en-US" w:eastAsia="zh-CN" w:bidi="ar-SA"/>
                    </w:rPr>
                    <w:t>密封性检测</w:t>
                  </w:r>
                  <w:r>
                    <w:rPr>
                      <w:rFonts w:hint="eastAsia" w:cs="Times New Roman"/>
                      <w:color w:val="auto"/>
                      <w:kern w:val="2"/>
                      <w:sz w:val="21"/>
                      <w:szCs w:val="21"/>
                      <w:highlight w:val="none"/>
                      <w:vertAlign w:val="baseline"/>
                      <w:lang w:val="en-US" w:eastAsia="zh-CN" w:bidi="ar-SA"/>
                    </w:rPr>
                    <w:t>，确保</w:t>
                  </w:r>
                  <w:r>
                    <w:rPr>
                      <w:rFonts w:hint="eastAsia" w:ascii="Times New Roman" w:hAnsi="Times New Roman" w:eastAsia="宋体" w:cs="Times New Roman"/>
                      <w:color w:val="auto"/>
                      <w:kern w:val="2"/>
                      <w:sz w:val="21"/>
                      <w:szCs w:val="21"/>
                      <w:highlight w:val="none"/>
                      <w:vertAlign w:val="baseline"/>
                      <w:lang w:val="en-US" w:eastAsia="zh-CN" w:bidi="ar-SA"/>
                    </w:rPr>
                    <w:t>挥发</w:t>
                  </w:r>
                  <w:r>
                    <w:rPr>
                      <w:rFonts w:hint="eastAsia" w:cs="Times New Roman"/>
                      <w:color w:val="auto"/>
                      <w:kern w:val="2"/>
                      <w:sz w:val="21"/>
                      <w:szCs w:val="21"/>
                      <w:highlight w:val="none"/>
                      <w:vertAlign w:val="baseline"/>
                      <w:lang w:val="en-US" w:eastAsia="zh-CN" w:bidi="ar-SA"/>
                    </w:rPr>
                    <w:t>性</w:t>
                  </w:r>
                  <w:r>
                    <w:rPr>
                      <w:rFonts w:hint="eastAsia" w:ascii="Times New Roman" w:hAnsi="Times New Roman" w:eastAsia="宋体" w:cs="Times New Roman"/>
                      <w:color w:val="auto"/>
                      <w:kern w:val="2"/>
                      <w:sz w:val="21"/>
                      <w:szCs w:val="21"/>
                      <w:highlight w:val="none"/>
                      <w:vertAlign w:val="baseline"/>
                      <w:lang w:val="en-US" w:eastAsia="zh-CN" w:bidi="ar-SA"/>
                    </w:rPr>
                    <w:t>有机物</w:t>
                  </w:r>
                  <w:r>
                    <w:rPr>
                      <w:rFonts w:hint="eastAsia" w:cs="Times New Roman"/>
                      <w:color w:val="auto"/>
                      <w:kern w:val="2"/>
                      <w:sz w:val="21"/>
                      <w:szCs w:val="21"/>
                      <w:highlight w:val="none"/>
                      <w:vertAlign w:val="baseline"/>
                      <w:lang w:val="en-US" w:eastAsia="zh-CN" w:bidi="ar-SA"/>
                    </w:rPr>
                    <w:t>达标排放，</w:t>
                  </w:r>
                  <w:r>
                    <w:rPr>
                      <w:rFonts w:hint="default" w:ascii="Times New Roman" w:hAnsi="Times New Roman" w:eastAsia="宋体" w:cs="Times New Roman"/>
                      <w:color w:val="auto"/>
                      <w:kern w:val="2"/>
                      <w:sz w:val="21"/>
                      <w:szCs w:val="21"/>
                      <w:highlight w:val="none"/>
                      <w:vertAlign w:val="baseline"/>
                      <w:lang w:val="en-US" w:eastAsia="zh-CN" w:bidi="ar-SA"/>
                    </w:rPr>
                    <w:t>企业开停工、检维修期间，及时收集处理退料、清洗、吹扫等作业产生的VOCs废气</w:t>
                  </w:r>
                  <w:r>
                    <w:rPr>
                      <w:rFonts w:hint="eastAsia" w:cs="Times New Roman"/>
                      <w:color w:val="auto"/>
                      <w:kern w:val="2"/>
                      <w:sz w:val="21"/>
                      <w:szCs w:val="21"/>
                      <w:highlight w:val="none"/>
                      <w:vertAlign w:val="baseline"/>
                      <w:lang w:val="en-US" w:eastAsia="zh-CN" w:bidi="ar-SA"/>
                    </w:rPr>
                    <w:t>。</w:t>
                  </w:r>
                </w:p>
              </w:tc>
              <w:tc>
                <w:tcPr>
                  <w:tcW w:w="1090" w:type="dxa"/>
                  <w:tcBorders>
                    <w:tl2br w:val="nil"/>
                    <w:tr2bl w:val="nil"/>
                  </w:tcBorders>
                  <w:noWrap w:val="0"/>
                  <w:vAlign w:val="center"/>
                </w:tcPr>
                <w:p w14:paraId="271744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vertAlign w:val="baseline"/>
                      <w:lang w:val="en-US" w:eastAsia="zh-CN"/>
                    </w:rPr>
                    <w:t>符合</w:t>
                  </w:r>
                </w:p>
              </w:tc>
            </w:tr>
          </w:tbl>
          <w:p w14:paraId="102EDAE4">
            <w:pPr>
              <w:pStyle w:val="37"/>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80" w:firstLineChars="200"/>
              <w:jc w:val="both"/>
              <w:textAlignment w:val="auto"/>
              <w:rPr>
                <w:rFonts w:hint="default" w:ascii="Times New Roman" w:hAnsi="Times New Roman" w:eastAsia="宋体" w:cs="Times New Roman"/>
                <w:b w:val="0"/>
                <w:bCs w:val="0"/>
                <w:color w:val="auto"/>
                <w:sz w:val="24"/>
                <w:szCs w:val="24"/>
                <w:highlight w:val="none"/>
                <w:lang w:val="en-US" w:eastAsia="zh-CN"/>
              </w:rPr>
            </w:pPr>
            <w:r>
              <w:rPr>
                <w:rFonts w:hint="eastAsia" w:ascii="Times New Roman" w:hAnsi="Times New Roman" w:eastAsia="宋体" w:cs="Times New Roman"/>
                <w:b w:val="0"/>
                <w:bCs w:val="0"/>
                <w:color w:val="auto"/>
                <w:sz w:val="24"/>
                <w:szCs w:val="24"/>
                <w:highlight w:val="none"/>
                <w:lang w:val="en-US" w:eastAsia="zh-CN"/>
              </w:rPr>
              <w:t>综上所述，</w:t>
            </w:r>
            <w:r>
              <w:rPr>
                <w:rFonts w:hint="default" w:ascii="Times New Roman" w:hAnsi="Times New Roman" w:eastAsia="宋体" w:cs="Times New Roman"/>
                <w:b w:val="0"/>
                <w:bCs w:val="0"/>
                <w:color w:val="auto"/>
                <w:sz w:val="24"/>
                <w:szCs w:val="24"/>
                <w:highlight w:val="none"/>
                <w:lang w:val="en-US" w:eastAsia="zh-CN"/>
              </w:rPr>
              <w:t>本项目与</w:t>
            </w:r>
            <w:r>
              <w:rPr>
                <w:rFonts w:hint="eastAsia" w:ascii="Times New Roman" w:hAnsi="Times New Roman" w:cs="Times New Roman"/>
                <w:b w:val="0"/>
                <w:bCs w:val="0"/>
                <w:color w:val="auto"/>
                <w:sz w:val="24"/>
                <w:szCs w:val="24"/>
                <w:highlight w:val="none"/>
                <w:lang w:val="en-US" w:eastAsia="zh-CN"/>
              </w:rPr>
              <w:t>《空气质量持续改善行动计划》（国发〔2023〕24号）</w:t>
            </w:r>
            <w:r>
              <w:rPr>
                <w:rFonts w:hint="default" w:ascii="Times New Roman" w:hAnsi="Times New Roman" w:eastAsia="宋体" w:cs="Times New Roman"/>
                <w:b w:val="0"/>
                <w:bCs w:val="0"/>
                <w:color w:val="auto"/>
                <w:sz w:val="24"/>
                <w:szCs w:val="24"/>
                <w:highlight w:val="none"/>
                <w:lang w:val="en-US" w:eastAsia="zh-CN"/>
              </w:rPr>
              <w:t>相符。</w:t>
            </w:r>
          </w:p>
          <w:p w14:paraId="6C0CC36A">
            <w:pPr>
              <w:pStyle w:val="9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firstLine="482" w:firstLineChars="200"/>
              <w:jc w:val="both"/>
              <w:textAlignment w:val="auto"/>
              <w:rPr>
                <w:rFonts w:hint="eastAsia" w:ascii="Times New Roman" w:hAnsi="Times New Roman" w:eastAsia="宋体" w:cs="Times New Roman"/>
                <w:b/>
                <w:bCs/>
                <w:color w:val="auto"/>
                <w:spacing w:val="0"/>
                <w:sz w:val="24"/>
                <w:szCs w:val="24"/>
                <w:highlight w:val="none"/>
                <w:u w:val="none"/>
                <w:lang w:val="en-US" w:eastAsia="zh-CN"/>
              </w:rPr>
            </w:pPr>
            <w:r>
              <w:rPr>
                <w:rFonts w:hint="eastAsia" w:ascii="Times New Roman" w:hAnsi="Times New Roman" w:eastAsia="宋体" w:cs="Times New Roman"/>
                <w:b/>
                <w:bCs/>
                <w:color w:val="auto"/>
                <w:spacing w:val="0"/>
                <w:sz w:val="24"/>
                <w:szCs w:val="24"/>
                <w:highlight w:val="none"/>
                <w:u w:val="none"/>
                <w:lang w:val="en-US" w:eastAsia="zh-CN"/>
              </w:rPr>
              <w:t>9、与《江西省空气质量持续改善行动计划实施方案》（赣府发〔2024〕20号）</w:t>
            </w:r>
            <w:r>
              <w:rPr>
                <w:rFonts w:hint="default" w:ascii="Times New Roman" w:hAnsi="Times New Roman" w:eastAsia="宋体" w:cs="Times New Roman"/>
                <w:b/>
                <w:bCs/>
                <w:color w:val="auto"/>
                <w:spacing w:val="0"/>
                <w:sz w:val="24"/>
                <w:szCs w:val="24"/>
                <w:highlight w:val="none"/>
                <w:u w:val="none"/>
                <w:lang w:val="en-US" w:eastAsia="zh-CN"/>
              </w:rPr>
              <w:t>相符性分析</w:t>
            </w:r>
          </w:p>
          <w:p w14:paraId="4B21A4C7">
            <w:pPr>
              <w:pStyle w:val="35"/>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360" w:lineRule="auto"/>
              <w:ind w:left="0" w:leftChars="0" w:right="0" w:rightChars="0" w:firstLine="480" w:firstLineChars="200"/>
              <w:jc w:val="both"/>
              <w:textAlignment w:val="auto"/>
              <w:rPr>
                <w:rFonts w:hint="default" w:ascii="Times New Roman" w:hAnsi="Times New Roman" w:eastAsia="宋体" w:cs="Times New Roman"/>
                <w:b/>
                <w:bCs/>
                <w:color w:val="auto"/>
                <w:sz w:val="24"/>
                <w:szCs w:val="24"/>
                <w:highlight w:val="none"/>
                <w:lang w:val="en-US" w:eastAsia="zh-CN"/>
              </w:rPr>
            </w:pPr>
            <w:r>
              <w:rPr>
                <w:rFonts w:hint="eastAsia" w:ascii="Times New Roman" w:hAnsi="Times New Roman" w:cs="Times New Roman"/>
                <w:b w:val="0"/>
                <w:bCs w:val="0"/>
                <w:color w:val="auto"/>
                <w:sz w:val="24"/>
                <w:szCs w:val="24"/>
                <w:highlight w:val="none"/>
                <w:lang w:val="en-US" w:eastAsia="zh-CN"/>
              </w:rPr>
              <w:t>本项目与《江西省空气质量持续改善行动计划实施方案》（赣府发〔2024〕20号）相符性分析见表1-11。</w:t>
            </w:r>
          </w:p>
          <w:p w14:paraId="029EE395">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4"/>
                <w:szCs w:val="24"/>
                <w:highlight w:val="none"/>
                <w:lang w:val="en-US" w:eastAsia="zh-CN"/>
              </w:rPr>
            </w:pPr>
            <w:r>
              <w:rPr>
                <w:rFonts w:hint="default" w:ascii="Times New Roman" w:hAnsi="Times New Roman" w:eastAsia="宋体" w:cs="Times New Roman"/>
                <w:b/>
                <w:bCs/>
                <w:color w:val="auto"/>
                <w:sz w:val="21"/>
                <w:szCs w:val="21"/>
                <w:highlight w:val="none"/>
                <w:lang w:val="en-US" w:eastAsia="zh-CN"/>
              </w:rPr>
              <w:t>表1-</w:t>
            </w:r>
            <w:r>
              <w:rPr>
                <w:rFonts w:hint="eastAsia" w:cs="Times New Roman"/>
                <w:b/>
                <w:bCs/>
                <w:color w:val="auto"/>
                <w:sz w:val="21"/>
                <w:szCs w:val="21"/>
                <w:highlight w:val="none"/>
                <w:lang w:val="en-US" w:eastAsia="zh-CN"/>
              </w:rPr>
              <w:t>11</w:t>
            </w:r>
            <w:r>
              <w:rPr>
                <w:rFonts w:hint="default" w:ascii="Times New Roman" w:hAnsi="Times New Roman" w:eastAsia="宋体" w:cs="Times New Roman"/>
                <w:b/>
                <w:bCs/>
                <w:color w:val="auto"/>
                <w:sz w:val="21"/>
                <w:szCs w:val="21"/>
                <w:highlight w:val="none"/>
                <w:lang w:val="en-US" w:eastAsia="zh-CN"/>
              </w:rPr>
              <w:t xml:space="preserve">   </w:t>
            </w:r>
            <w:r>
              <w:rPr>
                <w:rFonts w:hint="default" w:ascii="Times New Roman" w:hAnsi="Times New Roman" w:cs="Times New Roman"/>
                <w:b/>
                <w:bCs/>
                <w:color w:val="auto"/>
                <w:sz w:val="21"/>
                <w:szCs w:val="21"/>
                <w:highlight w:val="none"/>
                <w:lang w:val="en-US" w:eastAsia="zh-CN"/>
              </w:rPr>
              <w:t>与《江西省空气质量持续改善行动计划实施方案》（赣府发〔2024〕20号）相符性分析</w:t>
            </w:r>
          </w:p>
          <w:tbl>
            <w:tblPr>
              <w:tblStyle w:val="27"/>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103"/>
              <w:gridCol w:w="2268"/>
              <w:gridCol w:w="1090"/>
            </w:tblGrid>
            <w:tr w14:paraId="5D7C4FC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103" w:type="dxa"/>
                  <w:tcBorders>
                    <w:bottom w:val="single" w:color="auto" w:sz="12" w:space="0"/>
                  </w:tcBorders>
                  <w:noWrap w:val="0"/>
                  <w:vAlign w:val="center"/>
                </w:tcPr>
                <w:p w14:paraId="11DEFB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bCs w:val="0"/>
                      <w:color w:val="auto"/>
                      <w:sz w:val="21"/>
                      <w:szCs w:val="21"/>
                      <w:highlight w:val="none"/>
                      <w:vertAlign w:val="baseline"/>
                      <w:lang w:val="en-US" w:eastAsia="zh-CN"/>
                    </w:rPr>
                  </w:pPr>
                  <w:r>
                    <w:rPr>
                      <w:rFonts w:hint="default" w:ascii="Times New Roman" w:hAnsi="Times New Roman" w:eastAsia="宋体" w:cs="Times New Roman"/>
                      <w:b/>
                      <w:bCs w:val="0"/>
                      <w:color w:val="auto"/>
                      <w:sz w:val="21"/>
                      <w:szCs w:val="21"/>
                      <w:highlight w:val="none"/>
                      <w:vertAlign w:val="baseline"/>
                      <w:lang w:val="en-US" w:eastAsia="zh-CN"/>
                    </w:rPr>
                    <w:t>文件要求（摘录）</w:t>
                  </w:r>
                </w:p>
              </w:tc>
              <w:tc>
                <w:tcPr>
                  <w:tcW w:w="2268" w:type="dxa"/>
                  <w:tcBorders>
                    <w:bottom w:val="single" w:color="auto" w:sz="12" w:space="0"/>
                  </w:tcBorders>
                  <w:noWrap w:val="0"/>
                  <w:vAlign w:val="center"/>
                </w:tcPr>
                <w:p w14:paraId="1E0869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bCs w:val="0"/>
                      <w:color w:val="auto"/>
                      <w:sz w:val="21"/>
                      <w:szCs w:val="21"/>
                      <w:highlight w:val="none"/>
                      <w:vertAlign w:val="baseline"/>
                      <w:lang w:val="en-US" w:eastAsia="zh-CN"/>
                    </w:rPr>
                  </w:pPr>
                  <w:r>
                    <w:rPr>
                      <w:rFonts w:hint="eastAsia" w:ascii="Times New Roman" w:hAnsi="Times New Roman" w:eastAsia="宋体" w:cs="Times New Roman"/>
                      <w:b/>
                      <w:bCs w:val="0"/>
                      <w:color w:val="auto"/>
                      <w:sz w:val="21"/>
                      <w:szCs w:val="21"/>
                      <w:highlight w:val="none"/>
                      <w:vertAlign w:val="baseline"/>
                      <w:lang w:val="en-US" w:eastAsia="zh-CN"/>
                    </w:rPr>
                    <w:t>本项目</w:t>
                  </w:r>
                </w:p>
              </w:tc>
              <w:tc>
                <w:tcPr>
                  <w:tcW w:w="1090" w:type="dxa"/>
                  <w:tcBorders>
                    <w:bottom w:val="single" w:color="auto" w:sz="12" w:space="0"/>
                  </w:tcBorders>
                  <w:noWrap w:val="0"/>
                  <w:vAlign w:val="center"/>
                </w:tcPr>
                <w:p w14:paraId="099949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bCs w:val="0"/>
                      <w:color w:val="auto"/>
                      <w:sz w:val="21"/>
                      <w:szCs w:val="21"/>
                      <w:highlight w:val="none"/>
                      <w:vertAlign w:val="baseline"/>
                      <w:lang w:val="en-US" w:eastAsia="zh-CN"/>
                    </w:rPr>
                  </w:pPr>
                  <w:r>
                    <w:rPr>
                      <w:rFonts w:hint="default" w:ascii="Times New Roman" w:hAnsi="Times New Roman" w:eastAsia="宋体" w:cs="Times New Roman"/>
                      <w:b/>
                      <w:bCs w:val="0"/>
                      <w:color w:val="auto"/>
                      <w:sz w:val="21"/>
                      <w:szCs w:val="21"/>
                      <w:highlight w:val="none"/>
                      <w:vertAlign w:val="baseline"/>
                      <w:lang w:val="en-US" w:eastAsia="zh-CN"/>
                    </w:rPr>
                    <w:t>相符性</w:t>
                  </w:r>
                </w:p>
              </w:tc>
            </w:tr>
            <w:tr w14:paraId="7FB7326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103" w:type="dxa"/>
                  <w:tcBorders>
                    <w:tl2br w:val="nil"/>
                    <w:tr2bl w:val="nil"/>
                  </w:tcBorders>
                  <w:shd w:val="clear" w:color="auto" w:fill="auto"/>
                  <w:noWrap w:val="0"/>
                  <w:vAlign w:val="center"/>
                </w:tcPr>
                <w:p w14:paraId="5955897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default" w:ascii="Times New Roman" w:hAnsi="Times New Roman" w:eastAsia="宋体" w:cs="微软雅黑"/>
                      <w:b w:val="0"/>
                      <w:i w:val="0"/>
                      <w:iCs w:val="0"/>
                      <w:caps w:val="0"/>
                      <w:color w:val="auto"/>
                      <w:spacing w:val="0"/>
                      <w:sz w:val="21"/>
                      <w:szCs w:val="19"/>
                      <w:shd w:val="clear" w:fill="FFFFFF"/>
                    </w:rPr>
                  </w:pPr>
                  <w:r>
                    <w:rPr>
                      <w:rFonts w:hint="eastAsia" w:ascii="Times New Roman" w:hAnsi="Times New Roman" w:eastAsia="宋体" w:cs="微软雅黑"/>
                      <w:b w:val="0"/>
                      <w:i w:val="0"/>
                      <w:iCs w:val="0"/>
                      <w:caps w:val="0"/>
                      <w:color w:val="auto"/>
                      <w:spacing w:val="0"/>
                      <w:kern w:val="2"/>
                      <w:sz w:val="21"/>
                      <w:szCs w:val="19"/>
                      <w:shd w:val="clear" w:fill="FFFFFF"/>
                      <w:lang w:val="en-US" w:eastAsia="zh-CN" w:bidi="ar-SA"/>
                    </w:rPr>
                    <w:t>（一）</w:t>
                  </w:r>
                  <w:r>
                    <w:rPr>
                      <w:rStyle w:val="29"/>
                      <w:rFonts w:hint="default" w:ascii="Times New Roman" w:hAnsi="Times New Roman" w:eastAsia="宋体" w:cs="楷体"/>
                      <w:b w:val="0"/>
                      <w:i w:val="0"/>
                      <w:iCs w:val="0"/>
                      <w:caps w:val="0"/>
                      <w:color w:val="auto"/>
                      <w:spacing w:val="0"/>
                      <w:sz w:val="21"/>
                      <w:szCs w:val="19"/>
                    </w:rPr>
                    <w:t>严格高耗能、高排放、低水平项目准入。</w:t>
                  </w:r>
                  <w:r>
                    <w:rPr>
                      <w:rFonts w:hint="default" w:ascii="Times New Roman" w:hAnsi="Times New Roman" w:eastAsia="宋体" w:cs="微软雅黑"/>
                      <w:b w:val="0"/>
                      <w:i w:val="0"/>
                      <w:iCs w:val="0"/>
                      <w:caps w:val="0"/>
                      <w:color w:val="auto"/>
                      <w:spacing w:val="0"/>
                      <w:sz w:val="21"/>
                      <w:szCs w:val="19"/>
                      <w:shd w:val="clear" w:fill="FFFFFF"/>
                    </w:rPr>
                    <w:t>新改扩建项目严格落实国家和省产业规划、产业政策、生态环境分区管控方案、长江经济带发展负面清单、规划环评、项目环评、节能审查、产能置换、重点污染物总量控制、污染物排放区域削减、碳排放达峰目标等相关要求，原则上采用清洁运输方式。严格落实钢铁、水泥、平板玻璃等行业产能置换相关政策。涉及产能置换的项目，被置换产能及其配套设施关停后，新建项目方可投产。</w:t>
                  </w:r>
                </w:p>
                <w:p w14:paraId="060B2FA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default" w:ascii="Times New Roman" w:hAnsi="Times New Roman" w:eastAsia="宋体" w:cs="微软雅黑"/>
                      <w:b w:val="0"/>
                      <w:i w:val="0"/>
                      <w:iCs w:val="0"/>
                      <w:caps w:val="0"/>
                      <w:color w:val="auto"/>
                      <w:spacing w:val="0"/>
                      <w:sz w:val="21"/>
                      <w:szCs w:val="19"/>
                      <w:shd w:val="clear" w:fill="FFFFFF"/>
                      <w:lang w:val="en-US" w:eastAsia="zh-CN"/>
                    </w:rPr>
                  </w:pPr>
                  <w:r>
                    <w:rPr>
                      <w:rFonts w:hint="default" w:ascii="Times New Roman" w:hAnsi="Times New Roman" w:eastAsia="宋体" w:cs="微软雅黑"/>
                      <w:b w:val="0"/>
                      <w:i w:val="0"/>
                      <w:iCs w:val="0"/>
                      <w:caps w:val="0"/>
                      <w:color w:val="auto"/>
                      <w:spacing w:val="0"/>
                      <w:sz w:val="21"/>
                      <w:szCs w:val="19"/>
                      <w:shd w:val="clear" w:fill="FFFFFF"/>
                      <w:lang w:val="en-US" w:eastAsia="zh-CN"/>
                    </w:rPr>
                    <w:t>严禁新增钢铁产能。推行钢铁、焦化、烧结一体化布局，大幅减少独立焦化、烧结、球团和热轧企业及工序，淘汰落后煤炭洗选产能，有序引导高炉—转炉长流程炼钢转型为电炉短流程炼钢，力争到2025年，短流程炼钢产量占比达10%。</w:t>
                  </w:r>
                </w:p>
              </w:tc>
              <w:tc>
                <w:tcPr>
                  <w:tcW w:w="2268" w:type="dxa"/>
                  <w:tcBorders>
                    <w:tl2br w:val="nil"/>
                    <w:tr2bl w:val="nil"/>
                  </w:tcBorders>
                  <w:shd w:val="clear" w:color="auto" w:fill="auto"/>
                  <w:noWrap w:val="0"/>
                  <w:vAlign w:val="center"/>
                </w:tcPr>
                <w:p w14:paraId="2B06A0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default" w:ascii="Times New Roman" w:hAnsi="Times New Roman" w:eastAsia="宋体" w:cs="Times New Roman"/>
                      <w:b w:val="0"/>
                      <w:color w:val="auto"/>
                      <w:kern w:val="2"/>
                      <w:sz w:val="21"/>
                      <w:szCs w:val="21"/>
                      <w:highlight w:val="none"/>
                      <w:vertAlign w:val="baseline"/>
                      <w:lang w:val="en-US" w:eastAsia="zh-CN" w:bidi="ar-SA"/>
                    </w:rPr>
                  </w:pPr>
                  <w:r>
                    <w:rPr>
                      <w:rFonts w:hint="default" w:ascii="Times New Roman" w:hAnsi="Times New Roman" w:eastAsia="宋体" w:cs="Times New Roman"/>
                      <w:b w:val="0"/>
                      <w:color w:val="auto"/>
                      <w:kern w:val="2"/>
                      <w:sz w:val="21"/>
                      <w:szCs w:val="21"/>
                      <w:highlight w:val="none"/>
                      <w:vertAlign w:val="baseline"/>
                      <w:lang w:val="en-US" w:eastAsia="zh-CN" w:bidi="ar-SA"/>
                    </w:rPr>
                    <w:t>本项目符合国家产业规划、产业政策、</w:t>
                  </w:r>
                  <w:r>
                    <w:rPr>
                      <w:rFonts w:hint="eastAsia" w:ascii="Times New Roman" w:hAnsi="Times New Roman" w:eastAsia="宋体" w:cs="Times New Roman"/>
                      <w:b w:val="0"/>
                      <w:color w:val="auto"/>
                      <w:kern w:val="2"/>
                      <w:sz w:val="21"/>
                      <w:szCs w:val="21"/>
                      <w:highlight w:val="none"/>
                      <w:vertAlign w:val="baseline"/>
                      <w:lang w:val="en-US" w:eastAsia="zh-CN" w:bidi="ar-SA"/>
                    </w:rPr>
                    <w:t>景德镇</w:t>
                  </w:r>
                  <w:r>
                    <w:rPr>
                      <w:rFonts w:hint="default" w:ascii="Times New Roman" w:hAnsi="Times New Roman" w:eastAsia="宋体" w:cs="Times New Roman"/>
                      <w:b w:val="0"/>
                      <w:color w:val="auto"/>
                      <w:kern w:val="2"/>
                      <w:sz w:val="21"/>
                      <w:szCs w:val="21"/>
                      <w:highlight w:val="none"/>
                      <w:vertAlign w:val="baseline"/>
                      <w:lang w:val="en-US" w:eastAsia="zh-CN" w:bidi="ar-SA"/>
                    </w:rPr>
                    <w:t>市</w:t>
                  </w:r>
                  <w:r>
                    <w:rPr>
                      <w:rFonts w:hint="default" w:ascii="Times New Roman" w:hAnsi="Times New Roman" w:eastAsia="宋体" w:cs="Times New Roman"/>
                      <w:b w:val="0"/>
                      <w:color w:val="auto"/>
                      <w:sz w:val="21"/>
                      <w:szCs w:val="21"/>
                      <w:highlight w:val="none"/>
                      <w:lang w:val="en-US" w:eastAsia="zh-CN"/>
                    </w:rPr>
                    <w:t>生态环境分区管控方案和生态环境准入清单</w:t>
                  </w:r>
                  <w:r>
                    <w:rPr>
                      <w:rFonts w:hint="default" w:ascii="Times New Roman" w:hAnsi="Times New Roman" w:eastAsia="宋体" w:cs="Times New Roman"/>
                      <w:b w:val="0"/>
                      <w:color w:val="auto"/>
                      <w:kern w:val="2"/>
                      <w:sz w:val="21"/>
                      <w:szCs w:val="21"/>
                      <w:highlight w:val="none"/>
                      <w:vertAlign w:val="baseline"/>
                      <w:lang w:val="en-US" w:eastAsia="zh-CN" w:bidi="ar-SA"/>
                    </w:rPr>
                    <w:t>要求、规划环评、碳排放达峰目标等</w:t>
                  </w:r>
                  <w:r>
                    <w:rPr>
                      <w:rFonts w:hint="eastAsia" w:ascii="Times New Roman" w:hAnsi="Times New Roman" w:eastAsia="宋体" w:cs="Times New Roman"/>
                      <w:b w:val="0"/>
                      <w:color w:val="auto"/>
                      <w:kern w:val="2"/>
                      <w:sz w:val="21"/>
                      <w:szCs w:val="21"/>
                      <w:highlight w:val="none"/>
                      <w:vertAlign w:val="baseline"/>
                      <w:lang w:val="en-US" w:eastAsia="zh-CN" w:bidi="ar-SA"/>
                    </w:rPr>
                    <w:t>，项目</w:t>
                  </w:r>
                  <w:r>
                    <w:rPr>
                      <w:rFonts w:hint="default" w:ascii="Times New Roman" w:hAnsi="Times New Roman" w:eastAsia="宋体" w:cs="Times New Roman"/>
                      <w:b w:val="0"/>
                      <w:color w:val="auto"/>
                      <w:kern w:val="2"/>
                      <w:sz w:val="21"/>
                      <w:szCs w:val="21"/>
                      <w:highlight w:val="none"/>
                      <w:vertAlign w:val="baseline"/>
                      <w:lang w:val="en-US" w:eastAsia="zh-CN" w:bidi="ar-SA"/>
                    </w:rPr>
                    <w:t>重点污染物总量控制</w:t>
                  </w:r>
                  <w:r>
                    <w:rPr>
                      <w:rFonts w:hint="eastAsia" w:ascii="Times New Roman" w:hAnsi="Times New Roman" w:eastAsia="宋体" w:cs="Times New Roman"/>
                      <w:b w:val="0"/>
                      <w:color w:val="auto"/>
                      <w:kern w:val="2"/>
                      <w:sz w:val="21"/>
                      <w:szCs w:val="21"/>
                      <w:highlight w:val="none"/>
                      <w:vertAlign w:val="baseline"/>
                      <w:lang w:val="en-US" w:eastAsia="zh-CN" w:bidi="ar-SA"/>
                    </w:rPr>
                    <w:t>正在办理，待办理完成了本项目开始施工，本项目</w:t>
                  </w:r>
                  <w:r>
                    <w:rPr>
                      <w:rFonts w:hint="default" w:ascii="Times New Roman" w:hAnsi="Times New Roman" w:eastAsia="宋体" w:cs="Times New Roman"/>
                      <w:b w:val="0"/>
                      <w:color w:val="auto"/>
                      <w:kern w:val="2"/>
                      <w:sz w:val="21"/>
                      <w:szCs w:val="21"/>
                      <w:highlight w:val="none"/>
                      <w:vertAlign w:val="baseline"/>
                      <w:lang w:val="en-US" w:eastAsia="zh-CN" w:bidi="ar-SA"/>
                    </w:rPr>
                    <w:t>不属于高耗能、高排放、低水平项目</w:t>
                  </w:r>
                  <w:r>
                    <w:rPr>
                      <w:rFonts w:hint="eastAsia" w:ascii="Times New Roman" w:hAnsi="Times New Roman" w:eastAsia="宋体" w:cs="Times New Roman"/>
                      <w:b w:val="0"/>
                      <w:color w:val="auto"/>
                      <w:kern w:val="2"/>
                      <w:sz w:val="21"/>
                      <w:szCs w:val="21"/>
                      <w:highlight w:val="none"/>
                      <w:vertAlign w:val="baseline"/>
                      <w:lang w:val="en-US" w:eastAsia="zh-CN" w:bidi="ar-SA"/>
                    </w:rPr>
                    <w:t>。</w:t>
                  </w:r>
                </w:p>
              </w:tc>
              <w:tc>
                <w:tcPr>
                  <w:tcW w:w="1090" w:type="dxa"/>
                  <w:tcBorders>
                    <w:tl2br w:val="nil"/>
                    <w:tr2bl w:val="nil"/>
                  </w:tcBorders>
                  <w:noWrap w:val="0"/>
                  <w:vAlign w:val="center"/>
                </w:tcPr>
                <w:p w14:paraId="330A27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color w:val="auto"/>
                      <w:sz w:val="21"/>
                      <w:szCs w:val="21"/>
                      <w:highlight w:val="none"/>
                      <w:lang w:val="en-US" w:eastAsia="zh-CN"/>
                    </w:rPr>
                  </w:pPr>
                  <w:r>
                    <w:rPr>
                      <w:rFonts w:hint="default" w:ascii="Times New Roman" w:hAnsi="Times New Roman" w:eastAsia="宋体" w:cs="Times New Roman"/>
                      <w:b w:val="0"/>
                      <w:color w:val="auto"/>
                      <w:sz w:val="21"/>
                      <w:szCs w:val="21"/>
                      <w:highlight w:val="none"/>
                      <w:vertAlign w:val="baseline"/>
                      <w:lang w:val="en-US" w:eastAsia="zh-CN"/>
                    </w:rPr>
                    <w:t>符合</w:t>
                  </w:r>
                </w:p>
              </w:tc>
            </w:tr>
            <w:tr w14:paraId="068290F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103" w:type="dxa"/>
                  <w:tcBorders>
                    <w:tl2br w:val="nil"/>
                    <w:tr2bl w:val="nil"/>
                  </w:tcBorders>
                  <w:shd w:val="clear" w:color="auto" w:fill="auto"/>
                  <w:noWrap w:val="0"/>
                  <w:vAlign w:val="center"/>
                </w:tcPr>
                <w:p w14:paraId="19FA5D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eastAsia="宋体" w:cs="Times New Roman"/>
                      <w:b w:val="0"/>
                      <w:color w:val="auto"/>
                      <w:kern w:val="2"/>
                      <w:sz w:val="21"/>
                      <w:szCs w:val="21"/>
                      <w:highlight w:val="none"/>
                      <w:vertAlign w:val="baseline"/>
                      <w:lang w:val="en-US" w:eastAsia="zh-CN" w:bidi="ar-SA"/>
                    </w:rPr>
                  </w:pPr>
                  <w:r>
                    <w:rPr>
                      <w:rStyle w:val="29"/>
                      <w:rFonts w:hint="eastAsia" w:ascii="Times New Roman" w:hAnsi="Times New Roman" w:eastAsia="宋体" w:cs="楷体"/>
                      <w:b w:val="0"/>
                      <w:i w:val="0"/>
                      <w:iCs w:val="0"/>
                      <w:caps w:val="0"/>
                      <w:color w:val="auto"/>
                      <w:spacing w:val="0"/>
                      <w:sz w:val="21"/>
                      <w:szCs w:val="19"/>
                      <w:lang w:eastAsia="zh-CN"/>
                    </w:rPr>
                    <w:t>（</w:t>
                  </w:r>
                  <w:r>
                    <w:rPr>
                      <w:rStyle w:val="29"/>
                      <w:rFonts w:hint="eastAsia" w:ascii="Times New Roman" w:hAnsi="Times New Roman" w:eastAsia="宋体" w:cs="楷体"/>
                      <w:b w:val="0"/>
                      <w:i w:val="0"/>
                      <w:iCs w:val="0"/>
                      <w:caps w:val="0"/>
                      <w:color w:val="auto"/>
                      <w:spacing w:val="0"/>
                      <w:sz w:val="21"/>
                      <w:szCs w:val="19"/>
                      <w:lang w:val="en-US" w:eastAsia="zh-CN"/>
                    </w:rPr>
                    <w:t>二</w:t>
                  </w:r>
                  <w:r>
                    <w:rPr>
                      <w:rStyle w:val="29"/>
                      <w:rFonts w:hint="eastAsia" w:ascii="Times New Roman" w:hAnsi="Times New Roman" w:eastAsia="宋体" w:cs="楷体"/>
                      <w:b w:val="0"/>
                      <w:i w:val="0"/>
                      <w:iCs w:val="0"/>
                      <w:caps w:val="0"/>
                      <w:color w:val="auto"/>
                      <w:spacing w:val="0"/>
                      <w:sz w:val="21"/>
                      <w:szCs w:val="19"/>
                      <w:lang w:eastAsia="zh-CN"/>
                    </w:rPr>
                    <w:t>）</w:t>
                  </w:r>
                  <w:r>
                    <w:rPr>
                      <w:rStyle w:val="29"/>
                      <w:rFonts w:hint="default" w:ascii="Times New Roman" w:hAnsi="Times New Roman" w:eastAsia="宋体" w:cs="楷体"/>
                      <w:b w:val="0"/>
                      <w:i w:val="0"/>
                      <w:iCs w:val="0"/>
                      <w:caps w:val="0"/>
                      <w:color w:val="auto"/>
                      <w:spacing w:val="0"/>
                      <w:sz w:val="21"/>
                      <w:szCs w:val="19"/>
                    </w:rPr>
                    <w:t>加快退出重点行业落后产能。</w:t>
                  </w:r>
                  <w:r>
                    <w:rPr>
                      <w:rFonts w:hint="default" w:ascii="Times New Roman" w:hAnsi="Times New Roman" w:eastAsia="宋体" w:cs="微软雅黑"/>
                      <w:b w:val="0"/>
                      <w:i w:val="0"/>
                      <w:iCs w:val="0"/>
                      <w:caps w:val="0"/>
                      <w:color w:val="auto"/>
                      <w:spacing w:val="0"/>
                      <w:sz w:val="21"/>
                      <w:szCs w:val="19"/>
                      <w:shd w:val="clear" w:fill="FFFFFF"/>
                    </w:rPr>
                    <w:t>严格执行《产业结构调整指导目录》要求，依法依规淘汰钢铁、水泥、玻璃、有色金属、石化、化工、陶瓷、玻璃纤维和砖瓦等重点行业落后产能，加快推进淘汰类涉气行业工艺和装备退出，推动限制类涉气行业工艺和装备逐步退出。</w:t>
                  </w:r>
                </w:p>
              </w:tc>
              <w:tc>
                <w:tcPr>
                  <w:tcW w:w="2268" w:type="dxa"/>
                  <w:tcBorders>
                    <w:tl2br w:val="nil"/>
                    <w:tr2bl w:val="nil"/>
                  </w:tcBorders>
                  <w:shd w:val="clear" w:color="auto" w:fill="auto"/>
                  <w:noWrap w:val="0"/>
                  <w:vAlign w:val="center"/>
                </w:tcPr>
                <w:p w14:paraId="079491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default" w:ascii="Times New Roman" w:hAnsi="Times New Roman" w:eastAsia="宋体" w:cs="Times New Roman"/>
                      <w:b w:val="0"/>
                      <w:color w:val="auto"/>
                      <w:kern w:val="2"/>
                      <w:sz w:val="21"/>
                      <w:szCs w:val="21"/>
                      <w:highlight w:val="none"/>
                      <w:vertAlign w:val="baseline"/>
                      <w:lang w:val="en-US" w:eastAsia="zh-CN" w:bidi="ar-SA"/>
                    </w:rPr>
                  </w:pPr>
                  <w:r>
                    <w:rPr>
                      <w:rFonts w:hint="default" w:ascii="Times New Roman" w:hAnsi="Times New Roman" w:eastAsia="宋体" w:cs="Times New Roman"/>
                      <w:b w:val="0"/>
                      <w:color w:val="auto"/>
                      <w:kern w:val="2"/>
                      <w:sz w:val="21"/>
                      <w:szCs w:val="21"/>
                      <w:highlight w:val="none"/>
                      <w:vertAlign w:val="baseline"/>
                      <w:lang w:val="en-US" w:eastAsia="zh-CN" w:bidi="ar-SA"/>
                    </w:rPr>
                    <w:t>根据国家发展和改革委员会《产业结构调整指导目录（2024年本）》，项目不属于其中的鼓励类、限制类、淘汰类，项目属于产业政策中的允许类项目。</w:t>
                  </w:r>
                </w:p>
              </w:tc>
              <w:tc>
                <w:tcPr>
                  <w:tcW w:w="1090" w:type="dxa"/>
                  <w:tcBorders>
                    <w:tl2br w:val="nil"/>
                    <w:tr2bl w:val="nil"/>
                  </w:tcBorders>
                  <w:noWrap w:val="0"/>
                  <w:vAlign w:val="center"/>
                </w:tcPr>
                <w:p w14:paraId="37614C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color w:val="auto"/>
                      <w:sz w:val="21"/>
                      <w:szCs w:val="21"/>
                      <w:highlight w:val="none"/>
                      <w:vertAlign w:val="baseline"/>
                      <w:lang w:val="en-US" w:eastAsia="zh-CN"/>
                    </w:rPr>
                  </w:pPr>
                  <w:r>
                    <w:rPr>
                      <w:rFonts w:hint="default" w:ascii="Times New Roman" w:hAnsi="Times New Roman" w:eastAsia="宋体" w:cs="Times New Roman"/>
                      <w:b w:val="0"/>
                      <w:color w:val="auto"/>
                      <w:sz w:val="21"/>
                      <w:szCs w:val="21"/>
                      <w:highlight w:val="none"/>
                      <w:vertAlign w:val="baseline"/>
                      <w:lang w:val="en-US" w:eastAsia="zh-CN"/>
                    </w:rPr>
                    <w:t>符合</w:t>
                  </w:r>
                </w:p>
              </w:tc>
            </w:tr>
            <w:tr w14:paraId="07742C3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103" w:type="dxa"/>
                  <w:tcBorders>
                    <w:tl2br w:val="nil"/>
                    <w:tr2bl w:val="nil"/>
                  </w:tcBorders>
                  <w:shd w:val="clear" w:color="auto" w:fill="auto"/>
                  <w:noWrap w:val="0"/>
                  <w:vAlign w:val="center"/>
                </w:tcPr>
                <w:p w14:paraId="70E12A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default" w:ascii="Times New Roman" w:hAnsi="Times New Roman" w:eastAsia="宋体" w:cs="Times New Roman"/>
                      <w:b w:val="0"/>
                      <w:color w:val="auto"/>
                      <w:kern w:val="2"/>
                      <w:sz w:val="21"/>
                      <w:szCs w:val="21"/>
                      <w:highlight w:val="none"/>
                      <w:vertAlign w:val="baseline"/>
                      <w:lang w:val="en-US" w:eastAsia="zh-CN" w:bidi="ar-SA"/>
                    </w:rPr>
                  </w:pPr>
                  <w:r>
                    <w:rPr>
                      <w:rStyle w:val="29"/>
                      <w:rFonts w:hint="default" w:ascii="Times New Roman" w:hAnsi="Times New Roman" w:eastAsia="宋体" w:cs="楷体"/>
                      <w:b w:val="0"/>
                      <w:i w:val="0"/>
                      <w:iCs w:val="0"/>
                      <w:caps w:val="0"/>
                      <w:color w:val="auto"/>
                      <w:spacing w:val="0"/>
                      <w:sz w:val="21"/>
                      <w:szCs w:val="19"/>
                    </w:rPr>
                    <w:t>（四）推进含VOCs原辅材料和产品源头替代。</w:t>
                  </w:r>
                  <w:r>
                    <w:rPr>
                      <w:rFonts w:hint="default" w:ascii="Times New Roman" w:hAnsi="Times New Roman" w:eastAsia="宋体" w:cs="微软雅黑"/>
                      <w:b w:val="0"/>
                      <w:i w:val="0"/>
                      <w:iCs w:val="0"/>
                      <w:caps w:val="0"/>
                      <w:color w:val="auto"/>
                      <w:spacing w:val="0"/>
                      <w:sz w:val="21"/>
                      <w:szCs w:val="19"/>
                      <w:shd w:val="clear" w:fill="FFFFFF"/>
                    </w:rPr>
                    <w:t>在生产、销售、进口、使用等环节严格执行VOCs含量限值标准。严格控制生产和使用高VOCs含量涂料、油墨、胶粘剂、清洗剂等建设项目，推动现有高VOCs含量产品生产企业加快升级改造，提高低（无）VOCs含量产品比重。实施源头替代工程，加大工业涂装、包装印刷、电子行业低（无）VOCs含量原辅材料替代力度，鼓励赣州南康家具产业园等家具行业推进</w:t>
                  </w:r>
                  <w:r>
                    <w:rPr>
                      <w:rFonts w:hint="eastAsia" w:ascii="Times New Roman" w:hAnsi="Times New Roman" w:eastAsia="宋体" w:cs="微软雅黑"/>
                      <w:b w:val="0"/>
                      <w:i w:val="0"/>
                      <w:iCs w:val="0"/>
                      <w:caps w:val="0"/>
                      <w:color w:val="auto"/>
                      <w:spacing w:val="0"/>
                      <w:sz w:val="21"/>
                      <w:szCs w:val="19"/>
                      <w:shd w:val="clear" w:fill="FFFFFF"/>
                      <w:lang w:eastAsia="zh-CN"/>
                    </w:rPr>
                    <w:t>“</w:t>
                  </w:r>
                  <w:r>
                    <w:rPr>
                      <w:rFonts w:hint="default" w:ascii="Times New Roman" w:hAnsi="Times New Roman" w:eastAsia="宋体" w:cs="微软雅黑"/>
                      <w:b w:val="0"/>
                      <w:i w:val="0"/>
                      <w:iCs w:val="0"/>
                      <w:caps w:val="0"/>
                      <w:color w:val="auto"/>
                      <w:spacing w:val="0"/>
                      <w:sz w:val="21"/>
                      <w:szCs w:val="19"/>
                      <w:shd w:val="clear" w:fill="FFFFFF"/>
                    </w:rPr>
                    <w:t>油改水</w:t>
                  </w:r>
                  <w:r>
                    <w:rPr>
                      <w:rFonts w:hint="eastAsia" w:ascii="Times New Roman" w:hAnsi="Times New Roman" w:eastAsia="宋体" w:cs="微软雅黑"/>
                      <w:b w:val="0"/>
                      <w:i w:val="0"/>
                      <w:iCs w:val="0"/>
                      <w:caps w:val="0"/>
                      <w:color w:val="auto"/>
                      <w:spacing w:val="0"/>
                      <w:sz w:val="21"/>
                      <w:szCs w:val="19"/>
                      <w:shd w:val="clear" w:fill="FFFFFF"/>
                      <w:lang w:eastAsia="zh-CN"/>
                    </w:rPr>
                    <w:t>”</w:t>
                  </w:r>
                  <w:r>
                    <w:rPr>
                      <w:rFonts w:hint="default" w:ascii="Times New Roman" w:hAnsi="Times New Roman" w:eastAsia="宋体" w:cs="微软雅黑"/>
                      <w:b w:val="0"/>
                      <w:i w:val="0"/>
                      <w:iCs w:val="0"/>
                      <w:caps w:val="0"/>
                      <w:color w:val="auto"/>
                      <w:spacing w:val="0"/>
                      <w:sz w:val="21"/>
                      <w:szCs w:val="19"/>
                      <w:shd w:val="clear" w:fill="FFFFFF"/>
                    </w:rPr>
                    <w:t>源头替代。室外构筑物防护和城市道路交通标志推广使用低（无）VOCs含量涂料。</w:t>
                  </w:r>
                </w:p>
              </w:tc>
              <w:tc>
                <w:tcPr>
                  <w:tcW w:w="2268" w:type="dxa"/>
                  <w:tcBorders>
                    <w:tl2br w:val="nil"/>
                    <w:tr2bl w:val="nil"/>
                  </w:tcBorders>
                  <w:shd w:val="clear" w:color="auto" w:fill="auto"/>
                  <w:noWrap w:val="0"/>
                  <w:vAlign w:val="center"/>
                </w:tcPr>
                <w:p w14:paraId="665CE3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eastAsia" w:ascii="Times New Roman" w:hAnsi="Times New Roman" w:eastAsia="宋体" w:cs="Times New Roman"/>
                      <w:b w:val="0"/>
                      <w:color w:val="auto"/>
                      <w:kern w:val="2"/>
                      <w:sz w:val="21"/>
                      <w:szCs w:val="21"/>
                      <w:highlight w:val="none"/>
                      <w:vertAlign w:val="baseline"/>
                      <w:lang w:val="en-US" w:eastAsia="zh-CN" w:bidi="ar-SA"/>
                    </w:rPr>
                  </w:pPr>
                  <w:r>
                    <w:rPr>
                      <w:rFonts w:hint="eastAsia" w:ascii="Times New Roman" w:hAnsi="Times New Roman" w:eastAsia="宋体" w:cs="Times New Roman"/>
                      <w:b w:val="0"/>
                      <w:color w:val="auto"/>
                      <w:kern w:val="2"/>
                      <w:sz w:val="21"/>
                      <w:szCs w:val="21"/>
                      <w:highlight w:val="none"/>
                      <w:vertAlign w:val="baseline"/>
                      <w:lang w:val="en-US" w:eastAsia="zh-CN" w:bidi="ar-SA"/>
                    </w:rPr>
                    <w:t>本项目采用低</w:t>
                  </w:r>
                  <w:r>
                    <w:rPr>
                      <w:rFonts w:hint="default" w:ascii="Times New Roman" w:hAnsi="Times New Roman" w:eastAsia="宋体" w:cs="Times New Roman"/>
                      <w:b w:val="0"/>
                      <w:color w:val="auto"/>
                      <w:kern w:val="2"/>
                      <w:sz w:val="21"/>
                      <w:szCs w:val="21"/>
                      <w:highlight w:val="none"/>
                      <w:vertAlign w:val="baseline"/>
                      <w:lang w:val="en-US" w:eastAsia="zh-CN" w:bidi="ar-SA"/>
                    </w:rPr>
                    <w:t>VOCs原辅材料</w:t>
                  </w:r>
                  <w:r>
                    <w:rPr>
                      <w:rFonts w:hint="eastAsia" w:ascii="Times New Roman" w:hAnsi="Times New Roman" w:eastAsia="宋体" w:cs="Times New Roman"/>
                      <w:b w:val="0"/>
                      <w:color w:val="auto"/>
                      <w:kern w:val="2"/>
                      <w:sz w:val="21"/>
                      <w:szCs w:val="21"/>
                      <w:highlight w:val="none"/>
                      <w:vertAlign w:val="baseline"/>
                      <w:lang w:val="en-US" w:eastAsia="zh-CN" w:bidi="ar-SA"/>
                    </w:rPr>
                    <w:t>，挥发性有机物废气采用</w:t>
                  </w:r>
                  <w:r>
                    <w:rPr>
                      <w:rFonts w:hint="eastAsia" w:cs="Times New Roman"/>
                      <w:b w:val="0"/>
                      <w:color w:val="auto"/>
                      <w:sz w:val="21"/>
                      <w:szCs w:val="21"/>
                      <w:lang w:val="en-US" w:eastAsia="zh-CN"/>
                    </w:rPr>
                    <w:t>半密闭集气罩负压收集</w:t>
                  </w:r>
                  <w:r>
                    <w:rPr>
                      <w:rFonts w:hint="eastAsia" w:ascii="Times New Roman" w:hAnsi="Times New Roman" w:eastAsia="宋体" w:cs="Times New Roman"/>
                      <w:b w:val="0"/>
                      <w:color w:val="auto"/>
                      <w:sz w:val="21"/>
                      <w:szCs w:val="21"/>
                      <w:lang w:val="en-US" w:eastAsia="zh-CN"/>
                    </w:rPr>
                    <w:t>+</w:t>
                  </w:r>
                  <w:r>
                    <w:rPr>
                      <w:rFonts w:hint="eastAsia" w:cs="Times New Roman"/>
                      <w:b w:val="0"/>
                      <w:color w:val="auto"/>
                      <w:sz w:val="21"/>
                      <w:szCs w:val="21"/>
                      <w:lang w:val="en-US" w:eastAsia="zh-CN"/>
                    </w:rPr>
                    <w:t>五级活性炭</w:t>
                  </w:r>
                  <w:r>
                    <w:rPr>
                      <w:rFonts w:hint="eastAsia" w:ascii="Times New Roman" w:hAnsi="Times New Roman" w:eastAsia="宋体" w:cs="Times New Roman"/>
                      <w:b w:val="0"/>
                      <w:color w:val="auto"/>
                      <w:sz w:val="21"/>
                      <w:szCs w:val="21"/>
                      <w:lang w:val="en-US" w:eastAsia="zh-CN"/>
                    </w:rPr>
                    <w:t>吸附+15m高排气筒达标排放</w:t>
                  </w:r>
                  <w:r>
                    <w:rPr>
                      <w:rFonts w:hint="eastAsia" w:ascii="Times New Roman" w:hAnsi="Times New Roman" w:eastAsia="宋体" w:cs="Times New Roman"/>
                      <w:b w:val="0"/>
                      <w:color w:val="auto"/>
                      <w:kern w:val="2"/>
                      <w:sz w:val="21"/>
                      <w:szCs w:val="21"/>
                      <w:highlight w:val="none"/>
                      <w:vertAlign w:val="baseline"/>
                      <w:lang w:val="en-US" w:eastAsia="zh-CN" w:bidi="ar-SA"/>
                    </w:rPr>
                    <w:t>。</w:t>
                  </w:r>
                </w:p>
              </w:tc>
              <w:tc>
                <w:tcPr>
                  <w:tcW w:w="1090" w:type="dxa"/>
                  <w:tcBorders>
                    <w:tl2br w:val="nil"/>
                    <w:tr2bl w:val="nil"/>
                  </w:tcBorders>
                  <w:shd w:val="clear" w:color="auto" w:fill="auto"/>
                  <w:noWrap w:val="0"/>
                  <w:vAlign w:val="center"/>
                </w:tcPr>
                <w:p w14:paraId="53873E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color w:val="auto"/>
                      <w:kern w:val="2"/>
                      <w:sz w:val="21"/>
                      <w:szCs w:val="21"/>
                      <w:highlight w:val="none"/>
                      <w:vertAlign w:val="baseline"/>
                      <w:lang w:val="en-US" w:eastAsia="zh-CN" w:bidi="ar-SA"/>
                    </w:rPr>
                  </w:pPr>
                  <w:r>
                    <w:rPr>
                      <w:rFonts w:hint="default" w:ascii="Times New Roman" w:hAnsi="Times New Roman" w:eastAsia="宋体" w:cs="Times New Roman"/>
                      <w:b w:val="0"/>
                      <w:color w:val="auto"/>
                      <w:sz w:val="21"/>
                      <w:szCs w:val="21"/>
                      <w:highlight w:val="none"/>
                      <w:vertAlign w:val="baseline"/>
                      <w:lang w:val="en-US" w:eastAsia="zh-CN"/>
                    </w:rPr>
                    <w:t>符合</w:t>
                  </w:r>
                </w:p>
              </w:tc>
            </w:tr>
            <w:tr w14:paraId="3975F05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103" w:type="dxa"/>
                  <w:tcBorders>
                    <w:tl2br w:val="nil"/>
                    <w:tr2bl w:val="nil"/>
                  </w:tcBorders>
                  <w:shd w:val="clear" w:color="auto" w:fill="auto"/>
                  <w:noWrap w:val="0"/>
                  <w:vAlign w:val="center"/>
                </w:tcPr>
                <w:p w14:paraId="4D7BB2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default" w:ascii="Times New Roman" w:hAnsi="Times New Roman" w:eastAsia="宋体" w:cs="Times New Roman"/>
                      <w:b w:val="0"/>
                      <w:bCs/>
                      <w:color w:val="auto"/>
                      <w:kern w:val="2"/>
                      <w:sz w:val="21"/>
                      <w:szCs w:val="21"/>
                      <w:highlight w:val="none"/>
                      <w:vertAlign w:val="baseline"/>
                      <w:lang w:val="en-US" w:eastAsia="zh-CN" w:bidi="ar-SA"/>
                    </w:rPr>
                  </w:pPr>
                  <w:r>
                    <w:rPr>
                      <w:rStyle w:val="29"/>
                      <w:rFonts w:hint="default" w:ascii="Times New Roman" w:hAnsi="Times New Roman" w:eastAsia="宋体" w:cs="楷体"/>
                      <w:b w:val="0"/>
                      <w:i w:val="0"/>
                      <w:iCs w:val="0"/>
                      <w:caps w:val="0"/>
                      <w:color w:val="auto"/>
                      <w:spacing w:val="0"/>
                      <w:sz w:val="21"/>
                      <w:szCs w:val="19"/>
                    </w:rPr>
                    <w:t>（五）推动绿色环保产业健康发展。</w:t>
                  </w:r>
                  <w:r>
                    <w:rPr>
                      <w:rFonts w:hint="default" w:ascii="Times New Roman" w:hAnsi="Times New Roman" w:eastAsia="宋体" w:cs="微软雅黑"/>
                      <w:b w:val="0"/>
                      <w:i w:val="0"/>
                      <w:iCs w:val="0"/>
                      <w:caps w:val="0"/>
                      <w:color w:val="auto"/>
                      <w:spacing w:val="0"/>
                      <w:sz w:val="21"/>
                      <w:szCs w:val="19"/>
                      <w:shd w:val="clear" w:fill="FFFFFF"/>
                    </w:rPr>
                    <w:t>支持开发区绿色低碳循环发展。加大政策支持力度，在低（无）VOCs含量原辅材料生产和使用、VOCs污染治理、超低排放、环境和大气成分监测等领域支持培育一批龙头企业。</w:t>
                  </w:r>
                </w:p>
              </w:tc>
              <w:tc>
                <w:tcPr>
                  <w:tcW w:w="2268" w:type="dxa"/>
                  <w:tcBorders>
                    <w:tl2br w:val="nil"/>
                    <w:tr2bl w:val="nil"/>
                  </w:tcBorders>
                  <w:shd w:val="clear" w:color="auto" w:fill="auto"/>
                  <w:noWrap w:val="0"/>
                  <w:vAlign w:val="center"/>
                </w:tcPr>
                <w:p w14:paraId="040A44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eastAsia" w:ascii="Times New Roman" w:hAnsi="Times New Roman" w:eastAsia="宋体" w:cs="宋体"/>
                      <w:b w:val="0"/>
                      <w:color w:val="auto"/>
                      <w:sz w:val="21"/>
                      <w:szCs w:val="21"/>
                      <w:highlight w:val="none"/>
                      <w:lang w:val="en-US" w:eastAsia="zh-CN"/>
                    </w:rPr>
                  </w:pPr>
                  <w:r>
                    <w:rPr>
                      <w:rFonts w:hint="eastAsia" w:ascii="Times New Roman" w:hAnsi="Times New Roman" w:eastAsia="宋体" w:cs="Times New Roman"/>
                      <w:b w:val="0"/>
                      <w:color w:val="auto"/>
                      <w:kern w:val="2"/>
                      <w:sz w:val="21"/>
                      <w:szCs w:val="21"/>
                      <w:highlight w:val="none"/>
                      <w:vertAlign w:val="baseline"/>
                      <w:lang w:val="en-US" w:eastAsia="zh-CN" w:bidi="ar-SA"/>
                    </w:rPr>
                    <w:t>本项目采用低</w:t>
                  </w:r>
                  <w:r>
                    <w:rPr>
                      <w:rFonts w:hint="default" w:ascii="Times New Roman" w:hAnsi="Times New Roman" w:eastAsia="宋体" w:cs="Times New Roman"/>
                      <w:b w:val="0"/>
                      <w:color w:val="auto"/>
                      <w:kern w:val="2"/>
                      <w:sz w:val="21"/>
                      <w:szCs w:val="21"/>
                      <w:highlight w:val="none"/>
                      <w:vertAlign w:val="baseline"/>
                      <w:lang w:val="en-US" w:eastAsia="zh-CN" w:bidi="ar-SA"/>
                    </w:rPr>
                    <w:t>VOCs原辅材料</w:t>
                  </w:r>
                  <w:r>
                    <w:rPr>
                      <w:rFonts w:hint="eastAsia" w:ascii="Times New Roman" w:hAnsi="Times New Roman" w:eastAsia="宋体" w:cs="Times New Roman"/>
                      <w:b w:val="0"/>
                      <w:color w:val="auto"/>
                      <w:kern w:val="2"/>
                      <w:sz w:val="21"/>
                      <w:szCs w:val="21"/>
                      <w:highlight w:val="none"/>
                      <w:vertAlign w:val="baseline"/>
                      <w:lang w:val="en-US" w:eastAsia="zh-CN" w:bidi="ar-SA"/>
                    </w:rPr>
                    <w:t>，挥发性有机物废气采用</w:t>
                  </w:r>
                  <w:r>
                    <w:rPr>
                      <w:rFonts w:hint="eastAsia" w:cs="Times New Roman"/>
                      <w:b w:val="0"/>
                      <w:color w:val="auto"/>
                      <w:sz w:val="21"/>
                      <w:szCs w:val="21"/>
                      <w:lang w:val="en-US" w:eastAsia="zh-CN"/>
                    </w:rPr>
                    <w:t>半密闭集气罩负压收集</w:t>
                  </w:r>
                  <w:r>
                    <w:rPr>
                      <w:rFonts w:hint="eastAsia" w:ascii="Times New Roman" w:hAnsi="Times New Roman" w:eastAsia="宋体" w:cs="Times New Roman"/>
                      <w:b w:val="0"/>
                      <w:color w:val="auto"/>
                      <w:sz w:val="21"/>
                      <w:szCs w:val="21"/>
                      <w:lang w:val="en-US" w:eastAsia="zh-CN"/>
                    </w:rPr>
                    <w:t>+</w:t>
                  </w:r>
                  <w:r>
                    <w:rPr>
                      <w:rFonts w:hint="eastAsia" w:cs="Times New Roman"/>
                      <w:b w:val="0"/>
                      <w:color w:val="auto"/>
                      <w:sz w:val="21"/>
                      <w:szCs w:val="21"/>
                      <w:lang w:val="en-US" w:eastAsia="zh-CN"/>
                    </w:rPr>
                    <w:t>五级活性炭</w:t>
                  </w:r>
                  <w:r>
                    <w:rPr>
                      <w:rFonts w:hint="eastAsia" w:ascii="Times New Roman" w:hAnsi="Times New Roman" w:eastAsia="宋体" w:cs="Times New Roman"/>
                      <w:b w:val="0"/>
                      <w:color w:val="auto"/>
                      <w:sz w:val="21"/>
                      <w:szCs w:val="21"/>
                      <w:lang w:val="en-US" w:eastAsia="zh-CN"/>
                    </w:rPr>
                    <w:t>吸附+15m高排气筒达标排放</w:t>
                  </w:r>
                  <w:r>
                    <w:rPr>
                      <w:rFonts w:hint="eastAsia" w:ascii="Times New Roman" w:hAnsi="Times New Roman" w:eastAsia="宋体" w:cs="Times New Roman"/>
                      <w:b w:val="0"/>
                      <w:color w:val="auto"/>
                      <w:kern w:val="2"/>
                      <w:sz w:val="21"/>
                      <w:szCs w:val="21"/>
                      <w:highlight w:val="none"/>
                      <w:vertAlign w:val="baseline"/>
                      <w:lang w:val="en-US" w:eastAsia="zh-CN" w:bidi="ar-SA"/>
                    </w:rPr>
                    <w:t>。</w:t>
                  </w:r>
                </w:p>
              </w:tc>
              <w:tc>
                <w:tcPr>
                  <w:tcW w:w="1090" w:type="dxa"/>
                  <w:tcBorders>
                    <w:tl2br w:val="nil"/>
                    <w:tr2bl w:val="nil"/>
                  </w:tcBorders>
                  <w:noWrap w:val="0"/>
                  <w:vAlign w:val="center"/>
                </w:tcPr>
                <w:p w14:paraId="458753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color w:val="auto"/>
                      <w:sz w:val="21"/>
                      <w:szCs w:val="21"/>
                      <w:highlight w:val="none"/>
                      <w:vertAlign w:val="baseline"/>
                      <w:lang w:val="en-US" w:eastAsia="zh-CN"/>
                    </w:rPr>
                  </w:pPr>
                  <w:r>
                    <w:rPr>
                      <w:rFonts w:hint="default" w:ascii="Times New Roman" w:hAnsi="Times New Roman" w:eastAsia="宋体" w:cs="Times New Roman"/>
                      <w:b w:val="0"/>
                      <w:color w:val="auto"/>
                      <w:sz w:val="21"/>
                      <w:szCs w:val="21"/>
                      <w:highlight w:val="none"/>
                      <w:vertAlign w:val="baseline"/>
                      <w:lang w:val="en-US" w:eastAsia="zh-CN"/>
                    </w:rPr>
                    <w:t>符合</w:t>
                  </w:r>
                </w:p>
              </w:tc>
            </w:tr>
            <w:tr w14:paraId="1AC30CB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103" w:type="dxa"/>
                  <w:tcBorders>
                    <w:tl2br w:val="nil"/>
                    <w:tr2bl w:val="nil"/>
                  </w:tcBorders>
                  <w:shd w:val="clear" w:color="auto" w:fill="auto"/>
                  <w:noWrap w:val="0"/>
                  <w:vAlign w:val="center"/>
                </w:tcPr>
                <w:p w14:paraId="77F2F9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default" w:ascii="Times New Roman" w:hAnsi="Times New Roman" w:eastAsia="宋体" w:cs="Times New Roman"/>
                      <w:b w:val="0"/>
                      <w:color w:val="auto"/>
                      <w:kern w:val="2"/>
                      <w:sz w:val="21"/>
                      <w:szCs w:val="21"/>
                      <w:highlight w:val="none"/>
                      <w:vertAlign w:val="baseline"/>
                      <w:lang w:val="en-US" w:eastAsia="zh-CN" w:bidi="ar-SA"/>
                    </w:rPr>
                  </w:pPr>
                  <w:r>
                    <w:rPr>
                      <w:rStyle w:val="29"/>
                      <w:rFonts w:hint="default" w:ascii="Times New Roman" w:hAnsi="Times New Roman" w:eastAsia="宋体" w:cs="楷体"/>
                      <w:b w:val="0"/>
                      <w:i w:val="0"/>
                      <w:iCs w:val="0"/>
                      <w:caps w:val="0"/>
                      <w:color w:val="auto"/>
                      <w:spacing w:val="0"/>
                      <w:sz w:val="21"/>
                      <w:szCs w:val="19"/>
                    </w:rPr>
                    <w:t>（十七）强化VOCs全流程、全环节综合治理。</w:t>
                  </w:r>
                  <w:r>
                    <w:rPr>
                      <w:rFonts w:hint="default" w:ascii="Times New Roman" w:hAnsi="Times New Roman" w:eastAsia="宋体" w:cs="微软雅黑"/>
                      <w:b w:val="0"/>
                      <w:i w:val="0"/>
                      <w:iCs w:val="0"/>
                      <w:caps w:val="0"/>
                      <w:color w:val="auto"/>
                      <w:spacing w:val="0"/>
                      <w:sz w:val="21"/>
                      <w:szCs w:val="19"/>
                      <w:shd w:val="clear" w:fill="FFFFFF"/>
                    </w:rPr>
                    <w:t>鼓励储罐使用低泄漏的呼吸阀、紧急泄压阀，定期开展密封性检测。鼓励石化、化工行业集中的城市和重点工业园区建立统一的泄漏检测与修复（LDAR）信息管理平台，规范开展泄漏检测与修复。汽车罐车推广使用密封式快速接头。污水处理场所高浓度有机废气要单独收集处理，含VOCs有机废水储罐、装置区集水井（池）有机废气要密闭收集处理。企业开停工、检维修期间，及时收集处理退料、清洗、吹扫等作业产生的VOCs废气；不得将火炬燃烧装置作为日常大气污染处理设施。</w:t>
                  </w:r>
                </w:p>
              </w:tc>
              <w:tc>
                <w:tcPr>
                  <w:tcW w:w="2268" w:type="dxa"/>
                  <w:tcBorders>
                    <w:tl2br w:val="nil"/>
                    <w:tr2bl w:val="nil"/>
                  </w:tcBorders>
                  <w:shd w:val="clear" w:color="auto" w:fill="auto"/>
                  <w:noWrap w:val="0"/>
                  <w:vAlign w:val="center"/>
                </w:tcPr>
                <w:p w14:paraId="294463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default" w:ascii="Times New Roman" w:hAnsi="Times New Roman" w:eastAsia="宋体" w:cs="Times New Roman"/>
                      <w:b w:val="0"/>
                      <w:bCs/>
                      <w:color w:val="auto"/>
                      <w:kern w:val="2"/>
                      <w:sz w:val="21"/>
                      <w:szCs w:val="21"/>
                      <w:highlight w:val="none"/>
                      <w:vertAlign w:val="baseline"/>
                      <w:lang w:val="en-US" w:eastAsia="zh-CN" w:bidi="ar-SA"/>
                    </w:rPr>
                  </w:pPr>
                  <w:r>
                    <w:rPr>
                      <w:rFonts w:hint="eastAsia" w:ascii="Times New Roman" w:hAnsi="Times New Roman" w:eastAsia="宋体" w:cs="Times New Roman"/>
                      <w:b w:val="0"/>
                      <w:color w:val="auto"/>
                      <w:kern w:val="2"/>
                      <w:sz w:val="21"/>
                      <w:szCs w:val="21"/>
                      <w:highlight w:val="none"/>
                      <w:vertAlign w:val="baseline"/>
                      <w:lang w:val="en-US" w:eastAsia="zh-CN" w:bidi="ar-SA"/>
                    </w:rPr>
                    <w:t>本项目采用低</w:t>
                  </w:r>
                  <w:r>
                    <w:rPr>
                      <w:rFonts w:hint="default" w:ascii="Times New Roman" w:hAnsi="Times New Roman" w:eastAsia="宋体" w:cs="Times New Roman"/>
                      <w:b w:val="0"/>
                      <w:color w:val="auto"/>
                      <w:kern w:val="2"/>
                      <w:sz w:val="21"/>
                      <w:szCs w:val="21"/>
                      <w:highlight w:val="none"/>
                      <w:vertAlign w:val="baseline"/>
                      <w:lang w:val="en-US" w:eastAsia="zh-CN" w:bidi="ar-SA"/>
                    </w:rPr>
                    <w:t>VOCs原辅材料</w:t>
                  </w:r>
                  <w:r>
                    <w:rPr>
                      <w:rFonts w:hint="eastAsia" w:ascii="Times New Roman" w:hAnsi="Times New Roman" w:eastAsia="宋体" w:cs="Times New Roman"/>
                      <w:b w:val="0"/>
                      <w:color w:val="auto"/>
                      <w:kern w:val="2"/>
                      <w:sz w:val="21"/>
                      <w:szCs w:val="21"/>
                      <w:highlight w:val="none"/>
                      <w:vertAlign w:val="baseline"/>
                      <w:lang w:val="en-US" w:eastAsia="zh-CN" w:bidi="ar-SA"/>
                    </w:rPr>
                    <w:t>，挥发性有机物废气采用</w:t>
                  </w:r>
                  <w:r>
                    <w:rPr>
                      <w:rFonts w:hint="eastAsia" w:cs="Times New Roman"/>
                      <w:b w:val="0"/>
                      <w:color w:val="auto"/>
                      <w:sz w:val="21"/>
                      <w:szCs w:val="21"/>
                      <w:lang w:val="en-US" w:eastAsia="zh-CN"/>
                    </w:rPr>
                    <w:t>半密闭集气罩负压收集</w:t>
                  </w:r>
                  <w:r>
                    <w:rPr>
                      <w:rFonts w:hint="eastAsia" w:ascii="Times New Roman" w:hAnsi="Times New Roman" w:eastAsia="宋体" w:cs="Times New Roman"/>
                      <w:b w:val="0"/>
                      <w:color w:val="auto"/>
                      <w:sz w:val="21"/>
                      <w:szCs w:val="21"/>
                      <w:lang w:val="en-US" w:eastAsia="zh-CN"/>
                    </w:rPr>
                    <w:t>+</w:t>
                  </w:r>
                  <w:r>
                    <w:rPr>
                      <w:rFonts w:hint="eastAsia" w:cs="Times New Roman"/>
                      <w:b w:val="0"/>
                      <w:color w:val="auto"/>
                      <w:sz w:val="21"/>
                      <w:szCs w:val="21"/>
                      <w:lang w:val="en-US" w:eastAsia="zh-CN"/>
                    </w:rPr>
                    <w:t>五级活性炭</w:t>
                  </w:r>
                  <w:r>
                    <w:rPr>
                      <w:rFonts w:hint="eastAsia" w:ascii="Times New Roman" w:hAnsi="Times New Roman" w:eastAsia="宋体" w:cs="Times New Roman"/>
                      <w:b w:val="0"/>
                      <w:color w:val="auto"/>
                      <w:sz w:val="21"/>
                      <w:szCs w:val="21"/>
                      <w:lang w:val="en-US" w:eastAsia="zh-CN"/>
                    </w:rPr>
                    <w:t>吸附+15m高排气筒达标排放</w:t>
                  </w:r>
                  <w:r>
                    <w:rPr>
                      <w:rFonts w:hint="eastAsia" w:ascii="Times New Roman" w:hAnsi="Times New Roman" w:eastAsia="宋体" w:cs="Times New Roman"/>
                      <w:b w:val="0"/>
                      <w:color w:val="auto"/>
                      <w:kern w:val="2"/>
                      <w:sz w:val="21"/>
                      <w:szCs w:val="21"/>
                      <w:highlight w:val="none"/>
                      <w:vertAlign w:val="baseline"/>
                      <w:lang w:val="en-US" w:eastAsia="zh-CN" w:bidi="ar-SA"/>
                    </w:rPr>
                    <w:t>。企业</w:t>
                  </w:r>
                  <w:r>
                    <w:rPr>
                      <w:rFonts w:hint="default" w:ascii="Times New Roman" w:hAnsi="Times New Roman" w:eastAsia="宋体" w:cs="Times New Roman"/>
                      <w:b w:val="0"/>
                      <w:color w:val="auto"/>
                      <w:kern w:val="2"/>
                      <w:sz w:val="21"/>
                      <w:szCs w:val="21"/>
                      <w:highlight w:val="none"/>
                      <w:vertAlign w:val="baseline"/>
                      <w:lang w:val="en-US" w:eastAsia="zh-CN" w:bidi="ar-SA"/>
                    </w:rPr>
                    <w:t>定期开展</w:t>
                  </w:r>
                  <w:r>
                    <w:rPr>
                      <w:rFonts w:hint="eastAsia" w:ascii="Times New Roman" w:hAnsi="Times New Roman" w:eastAsia="宋体" w:cs="Times New Roman"/>
                      <w:b w:val="0"/>
                      <w:color w:val="auto"/>
                      <w:sz w:val="21"/>
                      <w:szCs w:val="21"/>
                      <w:lang w:val="en-US" w:eastAsia="zh-CN"/>
                    </w:rPr>
                    <w:t>集气罩</w:t>
                  </w:r>
                  <w:r>
                    <w:rPr>
                      <w:rFonts w:hint="default" w:ascii="Times New Roman" w:hAnsi="Times New Roman" w:eastAsia="宋体" w:cs="Times New Roman"/>
                      <w:b w:val="0"/>
                      <w:color w:val="auto"/>
                      <w:kern w:val="2"/>
                      <w:sz w:val="21"/>
                      <w:szCs w:val="21"/>
                      <w:highlight w:val="none"/>
                      <w:vertAlign w:val="baseline"/>
                      <w:lang w:val="en-US" w:eastAsia="zh-CN" w:bidi="ar-SA"/>
                    </w:rPr>
                    <w:t>密封性检测</w:t>
                  </w:r>
                  <w:r>
                    <w:rPr>
                      <w:rFonts w:hint="eastAsia" w:ascii="Times New Roman" w:hAnsi="Times New Roman" w:eastAsia="宋体" w:cs="Times New Roman"/>
                      <w:b w:val="0"/>
                      <w:color w:val="auto"/>
                      <w:kern w:val="2"/>
                      <w:sz w:val="21"/>
                      <w:szCs w:val="21"/>
                      <w:highlight w:val="none"/>
                      <w:vertAlign w:val="baseline"/>
                      <w:lang w:val="en-US" w:eastAsia="zh-CN" w:bidi="ar-SA"/>
                    </w:rPr>
                    <w:t>，确保挥发性有机物达标排放，</w:t>
                  </w:r>
                  <w:r>
                    <w:rPr>
                      <w:rFonts w:hint="default" w:ascii="Times New Roman" w:hAnsi="Times New Roman" w:eastAsia="宋体" w:cs="Times New Roman"/>
                      <w:b w:val="0"/>
                      <w:color w:val="auto"/>
                      <w:kern w:val="2"/>
                      <w:sz w:val="21"/>
                      <w:szCs w:val="21"/>
                      <w:highlight w:val="none"/>
                      <w:vertAlign w:val="baseline"/>
                      <w:lang w:val="en-US" w:eastAsia="zh-CN" w:bidi="ar-SA"/>
                    </w:rPr>
                    <w:t>企业开停工、检维修期间，及时收集处理退料、清洗、吹扫等作业产生的VOCs废气</w:t>
                  </w:r>
                  <w:r>
                    <w:rPr>
                      <w:rFonts w:hint="eastAsia" w:ascii="Times New Roman" w:hAnsi="Times New Roman" w:eastAsia="宋体" w:cs="Times New Roman"/>
                      <w:b w:val="0"/>
                      <w:color w:val="auto"/>
                      <w:kern w:val="2"/>
                      <w:sz w:val="21"/>
                      <w:szCs w:val="21"/>
                      <w:highlight w:val="none"/>
                      <w:vertAlign w:val="baseline"/>
                      <w:lang w:val="en-US" w:eastAsia="zh-CN" w:bidi="ar-SA"/>
                    </w:rPr>
                    <w:t>。</w:t>
                  </w:r>
                </w:p>
              </w:tc>
              <w:tc>
                <w:tcPr>
                  <w:tcW w:w="1090" w:type="dxa"/>
                  <w:tcBorders>
                    <w:tl2br w:val="nil"/>
                    <w:tr2bl w:val="nil"/>
                  </w:tcBorders>
                  <w:noWrap w:val="0"/>
                  <w:vAlign w:val="center"/>
                </w:tcPr>
                <w:p w14:paraId="0F97A0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color w:val="auto"/>
                      <w:sz w:val="21"/>
                      <w:szCs w:val="21"/>
                      <w:highlight w:val="none"/>
                      <w:vertAlign w:val="baseline"/>
                      <w:lang w:val="en-US" w:eastAsia="zh-CN"/>
                    </w:rPr>
                  </w:pPr>
                  <w:r>
                    <w:rPr>
                      <w:rFonts w:hint="default" w:ascii="Times New Roman" w:hAnsi="Times New Roman" w:eastAsia="宋体" w:cs="Times New Roman"/>
                      <w:b w:val="0"/>
                      <w:color w:val="auto"/>
                      <w:sz w:val="21"/>
                      <w:szCs w:val="21"/>
                      <w:highlight w:val="none"/>
                      <w:vertAlign w:val="baseline"/>
                      <w:lang w:val="en-US" w:eastAsia="zh-CN"/>
                    </w:rPr>
                    <w:t>符合</w:t>
                  </w:r>
                </w:p>
              </w:tc>
            </w:tr>
          </w:tbl>
          <w:p w14:paraId="08AE30C1">
            <w:pPr>
              <w:pStyle w:val="37"/>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80" w:firstLineChars="200"/>
              <w:jc w:val="both"/>
              <w:textAlignment w:val="auto"/>
              <w:rPr>
                <w:rFonts w:hint="default" w:ascii="Times New Roman" w:hAnsi="Times New Roman" w:eastAsia="宋体" w:cs="Times New Roman"/>
                <w:b w:val="0"/>
                <w:bCs w:val="0"/>
                <w:color w:val="auto"/>
                <w:sz w:val="24"/>
                <w:szCs w:val="24"/>
                <w:highlight w:val="none"/>
                <w:lang w:val="en-US" w:eastAsia="zh-CN"/>
              </w:rPr>
            </w:pPr>
            <w:r>
              <w:rPr>
                <w:rFonts w:hint="eastAsia" w:ascii="Times New Roman" w:hAnsi="Times New Roman" w:eastAsia="宋体" w:cs="Times New Roman"/>
                <w:b w:val="0"/>
                <w:bCs w:val="0"/>
                <w:color w:val="auto"/>
                <w:sz w:val="24"/>
                <w:szCs w:val="24"/>
                <w:highlight w:val="none"/>
                <w:lang w:val="en-US" w:eastAsia="zh-CN"/>
              </w:rPr>
              <w:t>综上所述，</w:t>
            </w:r>
            <w:r>
              <w:rPr>
                <w:rFonts w:hint="default" w:ascii="Times New Roman" w:hAnsi="Times New Roman" w:eastAsia="宋体" w:cs="Times New Roman"/>
                <w:b w:val="0"/>
                <w:bCs w:val="0"/>
                <w:color w:val="auto"/>
                <w:sz w:val="24"/>
                <w:szCs w:val="24"/>
                <w:highlight w:val="none"/>
                <w:lang w:val="en-US" w:eastAsia="zh-CN"/>
              </w:rPr>
              <w:t>本项目与</w:t>
            </w:r>
            <w:r>
              <w:rPr>
                <w:rFonts w:hint="eastAsia" w:ascii="Times New Roman" w:hAnsi="Times New Roman" w:cs="Times New Roman"/>
                <w:b w:val="0"/>
                <w:bCs w:val="0"/>
                <w:color w:val="auto"/>
                <w:sz w:val="24"/>
                <w:szCs w:val="24"/>
                <w:highlight w:val="none"/>
                <w:lang w:val="en-US" w:eastAsia="zh-CN"/>
              </w:rPr>
              <w:t>《江西省空气质量持续改善行动计划实施方案》（赣府发〔2024〕20号）</w:t>
            </w:r>
            <w:r>
              <w:rPr>
                <w:rFonts w:hint="default" w:ascii="Times New Roman" w:hAnsi="Times New Roman" w:eastAsia="宋体" w:cs="Times New Roman"/>
                <w:b w:val="0"/>
                <w:bCs w:val="0"/>
                <w:color w:val="auto"/>
                <w:sz w:val="24"/>
                <w:szCs w:val="24"/>
                <w:highlight w:val="none"/>
                <w:lang w:val="en-US" w:eastAsia="zh-CN"/>
              </w:rPr>
              <w:t>相符。</w:t>
            </w:r>
          </w:p>
          <w:p w14:paraId="0D4C52AA">
            <w:pPr>
              <w:pStyle w:val="9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firstLine="482" w:firstLineChars="200"/>
              <w:jc w:val="both"/>
              <w:textAlignment w:val="auto"/>
              <w:rPr>
                <w:rFonts w:hint="eastAsia" w:ascii="Times New Roman" w:hAnsi="Times New Roman" w:eastAsia="宋体" w:cs="Times New Roman"/>
                <w:b/>
                <w:bCs/>
                <w:color w:val="auto"/>
                <w:spacing w:val="0"/>
                <w:sz w:val="24"/>
                <w:szCs w:val="24"/>
                <w:highlight w:val="none"/>
                <w:u w:val="none"/>
                <w:lang w:val="en-US" w:eastAsia="zh-CN"/>
              </w:rPr>
            </w:pPr>
            <w:r>
              <w:rPr>
                <w:rFonts w:hint="eastAsia" w:ascii="Times New Roman" w:hAnsi="Times New Roman" w:eastAsia="宋体" w:cs="Times New Roman"/>
                <w:b/>
                <w:bCs/>
                <w:color w:val="auto"/>
                <w:spacing w:val="0"/>
                <w:sz w:val="24"/>
                <w:szCs w:val="24"/>
                <w:highlight w:val="none"/>
                <w:u w:val="none"/>
                <w:lang w:val="en-US" w:eastAsia="zh-CN"/>
              </w:rPr>
              <w:t>10、与《江西省鄱阳湖流域总磷污染防治条例》（江西省第十四届人民代表大会常务委员会公告 第24号）</w:t>
            </w:r>
            <w:r>
              <w:rPr>
                <w:rFonts w:hint="default" w:ascii="Times New Roman" w:hAnsi="Times New Roman" w:eastAsia="宋体" w:cs="Times New Roman"/>
                <w:b/>
                <w:bCs/>
                <w:color w:val="auto"/>
                <w:spacing w:val="0"/>
                <w:sz w:val="24"/>
                <w:szCs w:val="24"/>
                <w:highlight w:val="none"/>
                <w:u w:val="none"/>
                <w:lang w:val="en-US" w:eastAsia="zh-CN"/>
              </w:rPr>
              <w:t>相符性分析</w:t>
            </w:r>
          </w:p>
          <w:p w14:paraId="056B1FB7">
            <w:pPr>
              <w:pStyle w:val="35"/>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360" w:lineRule="auto"/>
              <w:ind w:left="0" w:leftChars="0" w:right="0" w:rightChars="0" w:firstLine="480" w:firstLineChars="200"/>
              <w:jc w:val="both"/>
              <w:textAlignment w:val="auto"/>
              <w:rPr>
                <w:rFonts w:hint="default" w:ascii="Times New Roman" w:hAnsi="Times New Roman" w:eastAsia="宋体" w:cs="Times New Roman"/>
                <w:b/>
                <w:bCs/>
                <w:color w:val="auto"/>
                <w:sz w:val="24"/>
                <w:szCs w:val="24"/>
                <w:highlight w:val="none"/>
                <w:lang w:val="en-US" w:eastAsia="zh-CN"/>
              </w:rPr>
            </w:pPr>
            <w:r>
              <w:rPr>
                <w:rFonts w:hint="eastAsia" w:ascii="Times New Roman" w:hAnsi="Times New Roman" w:cs="Times New Roman"/>
                <w:b w:val="0"/>
                <w:bCs w:val="0"/>
                <w:color w:val="auto"/>
                <w:sz w:val="24"/>
                <w:szCs w:val="24"/>
                <w:highlight w:val="none"/>
                <w:lang w:val="en-US" w:eastAsia="zh-CN"/>
              </w:rPr>
              <w:t>本项目与《江西省鄱阳湖流域总磷污染防治条例》（江西省第十四届人民代表大会常务委员会公告 第24号）相符性分析见表1-12。</w:t>
            </w:r>
          </w:p>
          <w:p w14:paraId="3183CFF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4"/>
                <w:szCs w:val="24"/>
                <w:highlight w:val="none"/>
                <w:lang w:val="en-US" w:eastAsia="zh-CN"/>
              </w:rPr>
            </w:pPr>
            <w:r>
              <w:rPr>
                <w:rFonts w:hint="default" w:ascii="Times New Roman" w:hAnsi="Times New Roman" w:eastAsia="宋体" w:cs="Times New Roman"/>
                <w:b/>
                <w:bCs/>
                <w:color w:val="auto"/>
                <w:sz w:val="21"/>
                <w:szCs w:val="21"/>
                <w:highlight w:val="none"/>
                <w:lang w:val="en-US" w:eastAsia="zh-CN"/>
              </w:rPr>
              <w:t>表1-</w:t>
            </w:r>
            <w:r>
              <w:rPr>
                <w:rFonts w:hint="eastAsia" w:cs="Times New Roman"/>
                <w:b/>
                <w:bCs/>
                <w:color w:val="auto"/>
                <w:sz w:val="21"/>
                <w:szCs w:val="21"/>
                <w:highlight w:val="none"/>
                <w:lang w:val="en-US" w:eastAsia="zh-CN"/>
              </w:rPr>
              <w:t>12</w:t>
            </w:r>
            <w:r>
              <w:rPr>
                <w:rFonts w:hint="default" w:ascii="Times New Roman" w:hAnsi="Times New Roman" w:eastAsia="宋体" w:cs="Times New Roman"/>
                <w:b/>
                <w:bCs/>
                <w:color w:val="auto"/>
                <w:sz w:val="21"/>
                <w:szCs w:val="21"/>
                <w:highlight w:val="none"/>
                <w:lang w:val="en-US" w:eastAsia="zh-CN"/>
              </w:rPr>
              <w:t xml:space="preserve">   </w:t>
            </w:r>
            <w:r>
              <w:rPr>
                <w:rFonts w:hint="default" w:ascii="Times New Roman" w:hAnsi="Times New Roman" w:cs="Times New Roman"/>
                <w:b/>
                <w:bCs/>
                <w:color w:val="auto"/>
                <w:sz w:val="21"/>
                <w:szCs w:val="21"/>
                <w:highlight w:val="none"/>
                <w:lang w:val="en-US" w:eastAsia="zh-CN"/>
              </w:rPr>
              <w:t>与《江西省鄱阳湖流域总磷污染防治条例》（江西省第十四届人民代表大会常务委员会公告 第24号）相符性分析</w:t>
            </w:r>
          </w:p>
          <w:tbl>
            <w:tblPr>
              <w:tblStyle w:val="27"/>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103"/>
              <w:gridCol w:w="2268"/>
              <w:gridCol w:w="1090"/>
            </w:tblGrid>
            <w:tr w14:paraId="2E321A8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103" w:type="dxa"/>
                  <w:tcBorders>
                    <w:bottom w:val="single" w:color="auto" w:sz="12" w:space="0"/>
                  </w:tcBorders>
                  <w:noWrap w:val="0"/>
                  <w:vAlign w:val="center"/>
                </w:tcPr>
                <w:p w14:paraId="25C992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bCs w:val="0"/>
                      <w:color w:val="auto"/>
                      <w:sz w:val="21"/>
                      <w:szCs w:val="21"/>
                      <w:highlight w:val="none"/>
                      <w:vertAlign w:val="baseline"/>
                      <w:lang w:val="en-US" w:eastAsia="zh-CN"/>
                    </w:rPr>
                  </w:pPr>
                  <w:r>
                    <w:rPr>
                      <w:rFonts w:hint="default" w:ascii="Times New Roman" w:hAnsi="Times New Roman" w:eastAsia="宋体" w:cs="Times New Roman"/>
                      <w:b/>
                      <w:bCs w:val="0"/>
                      <w:color w:val="auto"/>
                      <w:sz w:val="21"/>
                      <w:szCs w:val="21"/>
                      <w:highlight w:val="none"/>
                      <w:vertAlign w:val="baseline"/>
                      <w:lang w:val="en-US" w:eastAsia="zh-CN"/>
                    </w:rPr>
                    <w:t>文件要求（摘录）</w:t>
                  </w:r>
                </w:p>
              </w:tc>
              <w:tc>
                <w:tcPr>
                  <w:tcW w:w="2268" w:type="dxa"/>
                  <w:tcBorders>
                    <w:bottom w:val="single" w:color="auto" w:sz="12" w:space="0"/>
                  </w:tcBorders>
                  <w:noWrap w:val="0"/>
                  <w:vAlign w:val="center"/>
                </w:tcPr>
                <w:p w14:paraId="153771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bCs w:val="0"/>
                      <w:color w:val="auto"/>
                      <w:sz w:val="21"/>
                      <w:szCs w:val="21"/>
                      <w:highlight w:val="none"/>
                      <w:vertAlign w:val="baseline"/>
                      <w:lang w:val="en-US" w:eastAsia="zh-CN"/>
                    </w:rPr>
                  </w:pPr>
                  <w:r>
                    <w:rPr>
                      <w:rFonts w:hint="eastAsia" w:ascii="Times New Roman" w:hAnsi="Times New Roman" w:eastAsia="宋体" w:cs="Times New Roman"/>
                      <w:b/>
                      <w:bCs w:val="0"/>
                      <w:color w:val="auto"/>
                      <w:sz w:val="21"/>
                      <w:szCs w:val="21"/>
                      <w:highlight w:val="none"/>
                      <w:vertAlign w:val="baseline"/>
                      <w:lang w:val="en-US" w:eastAsia="zh-CN"/>
                    </w:rPr>
                    <w:t>本项目</w:t>
                  </w:r>
                </w:p>
              </w:tc>
              <w:tc>
                <w:tcPr>
                  <w:tcW w:w="1090" w:type="dxa"/>
                  <w:tcBorders>
                    <w:bottom w:val="single" w:color="auto" w:sz="12" w:space="0"/>
                  </w:tcBorders>
                  <w:noWrap w:val="0"/>
                  <w:vAlign w:val="center"/>
                </w:tcPr>
                <w:p w14:paraId="0F42DC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bCs w:val="0"/>
                      <w:color w:val="auto"/>
                      <w:sz w:val="21"/>
                      <w:szCs w:val="21"/>
                      <w:highlight w:val="none"/>
                      <w:vertAlign w:val="baseline"/>
                      <w:lang w:val="en-US" w:eastAsia="zh-CN"/>
                    </w:rPr>
                  </w:pPr>
                  <w:r>
                    <w:rPr>
                      <w:rFonts w:hint="default" w:ascii="Times New Roman" w:hAnsi="Times New Roman" w:eastAsia="宋体" w:cs="Times New Roman"/>
                      <w:b/>
                      <w:bCs w:val="0"/>
                      <w:color w:val="auto"/>
                      <w:sz w:val="21"/>
                      <w:szCs w:val="21"/>
                      <w:highlight w:val="none"/>
                      <w:vertAlign w:val="baseline"/>
                      <w:lang w:val="en-US" w:eastAsia="zh-CN"/>
                    </w:rPr>
                    <w:t>相符性</w:t>
                  </w:r>
                </w:p>
              </w:tc>
            </w:tr>
            <w:tr w14:paraId="463E3F2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103" w:type="dxa"/>
                  <w:tcBorders>
                    <w:tl2br w:val="nil"/>
                    <w:tr2bl w:val="nil"/>
                  </w:tcBorders>
                  <w:shd w:val="clear" w:color="auto" w:fill="auto"/>
                  <w:noWrap w:val="0"/>
                  <w:vAlign w:val="center"/>
                </w:tcPr>
                <w:p w14:paraId="43FEE8A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default" w:ascii="Times New Roman" w:hAnsi="Times New Roman" w:eastAsia="宋体" w:cs="微软雅黑"/>
                      <w:b w:val="0"/>
                      <w:i w:val="0"/>
                      <w:iCs w:val="0"/>
                      <w:caps w:val="0"/>
                      <w:color w:val="auto"/>
                      <w:spacing w:val="0"/>
                      <w:sz w:val="21"/>
                      <w:szCs w:val="19"/>
                      <w:shd w:val="clear" w:fill="FFFFFF"/>
                      <w:lang w:val="en-US" w:eastAsia="zh-CN"/>
                    </w:rPr>
                  </w:pPr>
                  <w:r>
                    <w:rPr>
                      <w:rFonts w:hint="default" w:ascii="Times New Roman" w:hAnsi="Times New Roman" w:eastAsia="宋体" w:cs="微软雅黑"/>
                      <w:b/>
                      <w:bCs/>
                      <w:i w:val="0"/>
                      <w:iCs w:val="0"/>
                      <w:caps w:val="0"/>
                      <w:color w:val="auto"/>
                      <w:spacing w:val="0"/>
                      <w:sz w:val="21"/>
                      <w:szCs w:val="19"/>
                      <w:shd w:val="clear" w:fill="FFFFFF"/>
                      <w:lang w:val="en-US" w:eastAsia="zh-CN"/>
                    </w:rPr>
                    <w:t xml:space="preserve">第六条 </w:t>
                  </w:r>
                  <w:r>
                    <w:rPr>
                      <w:rFonts w:hint="default" w:ascii="Times New Roman" w:hAnsi="Times New Roman" w:eastAsia="宋体" w:cs="微软雅黑"/>
                      <w:b w:val="0"/>
                      <w:i w:val="0"/>
                      <w:iCs w:val="0"/>
                      <w:caps w:val="0"/>
                      <w:color w:val="auto"/>
                      <w:spacing w:val="0"/>
                      <w:sz w:val="21"/>
                      <w:szCs w:val="19"/>
                      <w:shd w:val="clear" w:fill="FFFFFF"/>
                      <w:lang w:val="en-US" w:eastAsia="zh-CN"/>
                    </w:rPr>
                    <w:t>县级以上人民政府生态环境主管部门对鄱阳湖流域总磷污染防治工作实施统一监督管理，组织实施鄱阳湖流域总磷监测，采取定期与不定期相结合的方式开展总磷污染防治执法检查，负责协调推进农村生活污水总磷污染防治工作。</w:t>
                  </w:r>
                </w:p>
                <w:p w14:paraId="7CFAA09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jc w:val="left"/>
                    <w:textAlignment w:val="auto"/>
                    <w:rPr>
                      <w:rFonts w:hint="default" w:ascii="Times New Roman" w:hAnsi="Times New Roman" w:eastAsia="宋体" w:cs="微软雅黑"/>
                      <w:b w:val="0"/>
                      <w:i w:val="0"/>
                      <w:iCs w:val="0"/>
                      <w:caps w:val="0"/>
                      <w:color w:val="auto"/>
                      <w:spacing w:val="0"/>
                      <w:sz w:val="21"/>
                      <w:szCs w:val="19"/>
                      <w:shd w:val="clear" w:fill="FFFFFF"/>
                      <w:lang w:val="en-US" w:eastAsia="zh-CN"/>
                    </w:rPr>
                  </w:pPr>
                  <w:r>
                    <w:rPr>
                      <w:rFonts w:hint="default" w:ascii="Times New Roman" w:hAnsi="Times New Roman" w:eastAsia="宋体" w:cs="微软雅黑"/>
                      <w:b w:val="0"/>
                      <w:i w:val="0"/>
                      <w:iCs w:val="0"/>
                      <w:caps w:val="0"/>
                      <w:color w:val="auto"/>
                      <w:spacing w:val="0"/>
                      <w:sz w:val="21"/>
                      <w:szCs w:val="19"/>
                      <w:shd w:val="clear" w:fill="FFFFFF"/>
                      <w:lang w:val="en-US" w:eastAsia="zh-CN"/>
                    </w:rPr>
                    <w:t>县级以上人民政府农业农村主管部门负责组织鄱阳湖流域种植业、畜禽与水产养殖业总磷污染源头减量等防控工作。县级以上人民政府住房和城乡建设或者城市管理部门负责城镇生活污水总磷污染防治工作。</w:t>
                  </w:r>
                </w:p>
                <w:p w14:paraId="65A8F43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jc w:val="left"/>
                    <w:textAlignment w:val="auto"/>
                    <w:rPr>
                      <w:rFonts w:hint="default" w:ascii="Times New Roman" w:hAnsi="Times New Roman" w:eastAsia="宋体" w:cs="微软雅黑"/>
                      <w:b w:val="0"/>
                      <w:i w:val="0"/>
                      <w:iCs w:val="0"/>
                      <w:caps w:val="0"/>
                      <w:color w:val="auto"/>
                      <w:spacing w:val="0"/>
                      <w:sz w:val="21"/>
                      <w:szCs w:val="19"/>
                      <w:shd w:val="clear" w:fill="FFFFFF"/>
                      <w:lang w:val="en-US" w:eastAsia="zh-CN"/>
                    </w:rPr>
                  </w:pPr>
                  <w:r>
                    <w:rPr>
                      <w:rFonts w:hint="default" w:ascii="Times New Roman" w:hAnsi="Times New Roman" w:eastAsia="宋体" w:cs="微软雅黑"/>
                      <w:b w:val="0"/>
                      <w:i w:val="0"/>
                      <w:iCs w:val="0"/>
                      <w:caps w:val="0"/>
                      <w:color w:val="auto"/>
                      <w:spacing w:val="0"/>
                      <w:sz w:val="21"/>
                      <w:szCs w:val="19"/>
                      <w:shd w:val="clear" w:fill="FFFFFF"/>
                      <w:lang w:val="en-US" w:eastAsia="zh-CN"/>
                    </w:rPr>
                    <w:t>县级以上人民政府工业和信息化主管部门负责推动行业企业技术改造转型升级、推进磷化工行业淘汰落后产能等工作。县级以上人民政府交通运输或者港口航运主管部门负责鄱阳湖流域通航水域防治船舶及其作业活动总磷污染的监督管理工作。渔业船舶（含拆解作业）、军事船舶、体育运动船舶按照相关法律、行政法规的规定执行。</w:t>
                  </w:r>
                </w:p>
                <w:p w14:paraId="6253CC3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jc w:val="left"/>
                    <w:textAlignment w:val="auto"/>
                    <w:rPr>
                      <w:rFonts w:hint="default" w:ascii="Times New Roman" w:hAnsi="Times New Roman" w:eastAsia="宋体" w:cs="微软雅黑"/>
                      <w:b w:val="0"/>
                      <w:i w:val="0"/>
                      <w:iCs w:val="0"/>
                      <w:caps w:val="0"/>
                      <w:color w:val="auto"/>
                      <w:spacing w:val="0"/>
                      <w:sz w:val="21"/>
                      <w:szCs w:val="19"/>
                      <w:shd w:val="clear" w:fill="FFFFFF"/>
                      <w:lang w:val="en-US" w:eastAsia="zh-CN"/>
                    </w:rPr>
                  </w:pPr>
                  <w:r>
                    <w:rPr>
                      <w:rFonts w:hint="default" w:ascii="Times New Roman" w:hAnsi="Times New Roman" w:eastAsia="宋体" w:cs="微软雅黑"/>
                      <w:b w:val="0"/>
                      <w:i w:val="0"/>
                      <w:iCs w:val="0"/>
                      <w:caps w:val="0"/>
                      <w:color w:val="auto"/>
                      <w:spacing w:val="0"/>
                      <w:sz w:val="21"/>
                      <w:szCs w:val="19"/>
                      <w:shd w:val="clear" w:fill="FFFFFF"/>
                      <w:lang w:val="en-US" w:eastAsia="zh-CN"/>
                    </w:rPr>
                    <w:t>县级以上人民政府水行政主管部门负责水土保持、河道采砂监管、河湖岸线管控、水资源调度和河湖生态流量保障等总磷污染防治相关工作。</w:t>
                  </w:r>
                </w:p>
                <w:p w14:paraId="79DA390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jc w:val="left"/>
                    <w:textAlignment w:val="auto"/>
                    <w:rPr>
                      <w:rFonts w:hint="default" w:ascii="Times New Roman" w:hAnsi="Times New Roman" w:eastAsia="宋体" w:cs="微软雅黑"/>
                      <w:b w:val="0"/>
                      <w:i w:val="0"/>
                      <w:iCs w:val="0"/>
                      <w:caps w:val="0"/>
                      <w:color w:val="auto"/>
                      <w:spacing w:val="0"/>
                      <w:sz w:val="21"/>
                      <w:szCs w:val="19"/>
                      <w:shd w:val="clear" w:fill="FFFFFF"/>
                      <w:lang w:val="en-US" w:eastAsia="zh-CN"/>
                    </w:rPr>
                  </w:pPr>
                  <w:r>
                    <w:rPr>
                      <w:rFonts w:hint="default" w:ascii="Times New Roman" w:hAnsi="Times New Roman" w:eastAsia="宋体" w:cs="微软雅黑"/>
                      <w:b w:val="0"/>
                      <w:i w:val="0"/>
                      <w:iCs w:val="0"/>
                      <w:caps w:val="0"/>
                      <w:color w:val="auto"/>
                      <w:spacing w:val="0"/>
                      <w:sz w:val="21"/>
                      <w:szCs w:val="19"/>
                      <w:shd w:val="clear" w:fill="FFFFFF"/>
                      <w:lang w:val="en-US" w:eastAsia="zh-CN"/>
                    </w:rPr>
                    <w:t>县级以上人民政府林业主管部门负责总磷污染防治中的湿地资源和各类自然保护地的监督管理工作。</w:t>
                  </w:r>
                </w:p>
                <w:p w14:paraId="3564384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jc w:val="left"/>
                    <w:textAlignment w:val="auto"/>
                    <w:rPr>
                      <w:rFonts w:hint="default" w:ascii="Times New Roman" w:hAnsi="Times New Roman" w:eastAsia="宋体" w:cs="微软雅黑"/>
                      <w:b w:val="0"/>
                      <w:i w:val="0"/>
                      <w:iCs w:val="0"/>
                      <w:caps w:val="0"/>
                      <w:color w:val="auto"/>
                      <w:spacing w:val="0"/>
                      <w:sz w:val="21"/>
                      <w:szCs w:val="19"/>
                      <w:shd w:val="clear" w:fill="FFFFFF"/>
                      <w:lang w:val="en-US" w:eastAsia="zh-CN"/>
                    </w:rPr>
                  </w:pPr>
                  <w:r>
                    <w:rPr>
                      <w:rFonts w:hint="default" w:ascii="Times New Roman" w:hAnsi="Times New Roman" w:eastAsia="宋体" w:cs="微软雅黑"/>
                      <w:b w:val="0"/>
                      <w:i w:val="0"/>
                      <w:iCs w:val="0"/>
                      <w:caps w:val="0"/>
                      <w:color w:val="auto"/>
                      <w:spacing w:val="0"/>
                      <w:sz w:val="21"/>
                      <w:szCs w:val="19"/>
                      <w:shd w:val="clear" w:fill="FFFFFF"/>
                      <w:lang w:val="en-US" w:eastAsia="zh-CN"/>
                    </w:rPr>
                    <w:t>县级以上人民政府发展改革、科技、公安、财政、自然资源、商务、卫生健康、市场监督管理等部门和气象主管机构在各自职责范围内，做好鄱阳湖流域总磷污染防治相关工作。</w:t>
                  </w:r>
                </w:p>
              </w:tc>
              <w:tc>
                <w:tcPr>
                  <w:tcW w:w="2268" w:type="dxa"/>
                  <w:tcBorders>
                    <w:tl2br w:val="nil"/>
                    <w:tr2bl w:val="nil"/>
                  </w:tcBorders>
                  <w:shd w:val="clear" w:color="auto" w:fill="auto"/>
                  <w:noWrap w:val="0"/>
                  <w:vAlign w:val="center"/>
                </w:tcPr>
                <w:p w14:paraId="63E6E6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default" w:ascii="Times New Roman" w:hAnsi="Times New Roman" w:eastAsia="宋体" w:cs="Times New Roman"/>
                      <w:b w:val="0"/>
                      <w:color w:val="auto"/>
                      <w:kern w:val="2"/>
                      <w:sz w:val="21"/>
                      <w:szCs w:val="21"/>
                      <w:highlight w:val="none"/>
                      <w:vertAlign w:val="baseline"/>
                      <w:lang w:val="en-US" w:eastAsia="zh-CN" w:bidi="ar-SA"/>
                    </w:rPr>
                  </w:pPr>
                  <w:r>
                    <w:rPr>
                      <w:rFonts w:hint="eastAsia" w:cs="Times New Roman"/>
                      <w:b w:val="0"/>
                      <w:color w:val="auto"/>
                      <w:kern w:val="2"/>
                      <w:sz w:val="21"/>
                      <w:szCs w:val="21"/>
                      <w:highlight w:val="none"/>
                      <w:vertAlign w:val="baseline"/>
                      <w:lang w:val="en-US" w:eastAsia="zh-CN" w:bidi="ar-SA"/>
                    </w:rPr>
                    <w:t>本项目生产废水、</w:t>
                  </w:r>
                  <w:r>
                    <w:rPr>
                      <w:rFonts w:hint="default" w:ascii="Times New Roman" w:hAnsi="Times New Roman" w:eastAsia="宋体" w:cs="Times New Roman"/>
                      <w:b w:val="0"/>
                      <w:color w:val="auto"/>
                      <w:kern w:val="2"/>
                      <w:sz w:val="21"/>
                      <w:szCs w:val="21"/>
                      <w:highlight w:val="none"/>
                      <w:vertAlign w:val="baseline"/>
                      <w:lang w:val="en-US" w:eastAsia="zh-CN" w:bidi="ar-SA"/>
                    </w:rPr>
                    <w:t>网板清洗废水循环使用，更换的清洗废水作为危废送有资质的单位处理，不外排。注塑间接冷却水循环使用，不外排。</w:t>
                  </w:r>
                  <w:r>
                    <w:rPr>
                      <w:rFonts w:hint="eastAsia" w:cs="Times New Roman"/>
                      <w:b w:val="0"/>
                      <w:color w:val="auto"/>
                      <w:kern w:val="2"/>
                      <w:sz w:val="21"/>
                      <w:szCs w:val="21"/>
                      <w:highlight w:val="none"/>
                      <w:vertAlign w:val="baseline"/>
                      <w:lang w:val="en-US" w:eastAsia="zh-CN" w:bidi="ar-SA"/>
                    </w:rPr>
                    <w:t>生活污水</w:t>
                  </w:r>
                  <w:r>
                    <w:rPr>
                      <w:rFonts w:hint="default" w:ascii="Times New Roman" w:hAnsi="Times New Roman" w:eastAsia="宋体" w:cs="Times New Roman"/>
                      <w:b w:val="0"/>
                      <w:color w:val="auto"/>
                      <w:kern w:val="2"/>
                      <w:sz w:val="21"/>
                      <w:szCs w:val="21"/>
                      <w:highlight w:val="none"/>
                      <w:vertAlign w:val="baseline"/>
                      <w:lang w:val="en-US" w:eastAsia="zh-CN" w:bidi="ar-SA"/>
                    </w:rPr>
                    <w:t>经隔油池+化粪池预处理后排入园区污水管网，接入乐平市金山工业区一期污水站处理</w:t>
                  </w:r>
                  <w:r>
                    <w:rPr>
                      <w:rFonts w:hint="eastAsia" w:cs="Times New Roman"/>
                      <w:b w:val="0"/>
                      <w:color w:val="auto"/>
                      <w:kern w:val="2"/>
                      <w:sz w:val="21"/>
                      <w:szCs w:val="21"/>
                      <w:highlight w:val="none"/>
                      <w:vertAlign w:val="baseline"/>
                      <w:lang w:val="en-US" w:eastAsia="zh-CN" w:bidi="ar-SA"/>
                    </w:rPr>
                    <w:t>。不属于</w:t>
                  </w:r>
                  <w:r>
                    <w:rPr>
                      <w:rFonts w:hint="default" w:ascii="Times New Roman" w:hAnsi="Times New Roman" w:eastAsia="宋体" w:cs="微软雅黑"/>
                      <w:b w:val="0"/>
                      <w:i w:val="0"/>
                      <w:iCs w:val="0"/>
                      <w:caps w:val="0"/>
                      <w:color w:val="auto"/>
                      <w:spacing w:val="0"/>
                      <w:sz w:val="21"/>
                      <w:szCs w:val="19"/>
                      <w:shd w:val="clear" w:fill="FFFFFF"/>
                      <w:lang w:val="en-US" w:eastAsia="zh-CN"/>
                    </w:rPr>
                    <w:t>磷化工行业淘汰落后产能</w:t>
                  </w:r>
                  <w:r>
                    <w:rPr>
                      <w:rFonts w:hint="eastAsia" w:cs="微软雅黑"/>
                      <w:b w:val="0"/>
                      <w:i w:val="0"/>
                      <w:iCs w:val="0"/>
                      <w:caps w:val="0"/>
                      <w:color w:val="auto"/>
                      <w:spacing w:val="0"/>
                      <w:sz w:val="21"/>
                      <w:szCs w:val="19"/>
                      <w:shd w:val="clear" w:fill="FFFFFF"/>
                      <w:lang w:val="en-US" w:eastAsia="zh-CN"/>
                    </w:rPr>
                    <w:t>企业。</w:t>
                  </w:r>
                </w:p>
              </w:tc>
              <w:tc>
                <w:tcPr>
                  <w:tcW w:w="1090" w:type="dxa"/>
                  <w:tcBorders>
                    <w:tl2br w:val="nil"/>
                    <w:tr2bl w:val="nil"/>
                  </w:tcBorders>
                  <w:noWrap w:val="0"/>
                  <w:vAlign w:val="center"/>
                </w:tcPr>
                <w:p w14:paraId="5685EB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color w:val="auto"/>
                      <w:sz w:val="21"/>
                      <w:szCs w:val="21"/>
                      <w:highlight w:val="none"/>
                      <w:lang w:val="en-US" w:eastAsia="zh-CN"/>
                    </w:rPr>
                  </w:pPr>
                  <w:r>
                    <w:rPr>
                      <w:rFonts w:hint="eastAsia" w:cs="Times New Roman"/>
                      <w:b w:val="0"/>
                      <w:color w:val="auto"/>
                      <w:sz w:val="21"/>
                      <w:szCs w:val="21"/>
                      <w:highlight w:val="none"/>
                      <w:lang w:val="en-US" w:eastAsia="zh-CN"/>
                    </w:rPr>
                    <w:t>符合</w:t>
                  </w:r>
                </w:p>
              </w:tc>
            </w:tr>
            <w:tr w14:paraId="0F566E9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103" w:type="dxa"/>
                  <w:tcBorders>
                    <w:tl2br w:val="nil"/>
                    <w:tr2bl w:val="nil"/>
                  </w:tcBorders>
                  <w:shd w:val="clear" w:color="auto" w:fill="auto"/>
                  <w:noWrap w:val="0"/>
                  <w:vAlign w:val="center"/>
                </w:tcPr>
                <w:p w14:paraId="3A25BAB2">
                  <w:pPr>
                    <w:pStyle w:val="1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jc w:val="left"/>
                    <w:textAlignment w:val="auto"/>
                    <w:rPr>
                      <w:rFonts w:hint="default" w:ascii="Times New Roman" w:hAnsi="Times New Roman" w:eastAsia="宋体" w:cs="微软雅黑"/>
                      <w:i w:val="0"/>
                      <w:iCs w:val="0"/>
                      <w:caps w:val="0"/>
                      <w:color w:val="auto"/>
                      <w:spacing w:val="0"/>
                      <w:sz w:val="21"/>
                      <w:szCs w:val="21"/>
                    </w:rPr>
                  </w:pPr>
                  <w:r>
                    <w:rPr>
                      <w:rStyle w:val="29"/>
                      <w:rFonts w:hint="default" w:ascii="Times New Roman" w:hAnsi="Times New Roman" w:eastAsia="宋体" w:cs="楷体"/>
                      <w:i w:val="0"/>
                      <w:iCs w:val="0"/>
                      <w:caps w:val="0"/>
                      <w:color w:val="auto"/>
                      <w:spacing w:val="0"/>
                      <w:sz w:val="21"/>
                      <w:szCs w:val="21"/>
                    </w:rPr>
                    <w:t>第十二条</w:t>
                  </w:r>
                  <w:r>
                    <w:rPr>
                      <w:rStyle w:val="29"/>
                      <w:rFonts w:hint="eastAsia" w:ascii="Times New Roman" w:hAnsi="Times New Roman" w:eastAsia="宋体" w:cs="楷体"/>
                      <w:i w:val="0"/>
                      <w:iCs w:val="0"/>
                      <w:caps w:val="0"/>
                      <w:color w:val="auto"/>
                      <w:spacing w:val="0"/>
                      <w:sz w:val="21"/>
                      <w:szCs w:val="21"/>
                      <w:lang w:val="en-US" w:eastAsia="zh-CN"/>
                    </w:rPr>
                    <w:t xml:space="preserve"> </w:t>
                  </w:r>
                  <w:r>
                    <w:rPr>
                      <w:rFonts w:hint="eastAsia" w:ascii="Times New Roman" w:hAnsi="Times New Roman" w:eastAsia="宋体" w:cs="微软雅黑"/>
                      <w:i w:val="0"/>
                      <w:iCs w:val="0"/>
                      <w:caps w:val="0"/>
                      <w:color w:val="auto"/>
                      <w:spacing w:val="0"/>
                      <w:sz w:val="21"/>
                      <w:szCs w:val="21"/>
                    </w:rPr>
                    <w:t>县级以上人民政府应当建立健全污水治理设施管护经费保障机制，完善城镇生活污水集中处理设施与配套管网的建设及改造，提高城镇生活污水收集率与处理率，推进城市面源污染治理；积极推进农村生活污水处理设施建设，加强运行维护的监督管理，保障其正常运行。</w:t>
                  </w:r>
                </w:p>
                <w:p w14:paraId="4A062D20">
                  <w:pPr>
                    <w:pStyle w:val="1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firstLine="420" w:firstLineChars="200"/>
                    <w:jc w:val="left"/>
                    <w:textAlignment w:val="auto"/>
                    <w:rPr>
                      <w:rFonts w:hint="eastAsia" w:ascii="Times New Roman" w:hAnsi="Times New Roman" w:eastAsia="宋体" w:cs="微软雅黑"/>
                      <w:i w:val="0"/>
                      <w:iCs w:val="0"/>
                      <w:caps w:val="0"/>
                      <w:color w:val="auto"/>
                      <w:spacing w:val="0"/>
                      <w:sz w:val="21"/>
                      <w:szCs w:val="21"/>
                    </w:rPr>
                  </w:pPr>
                  <w:r>
                    <w:rPr>
                      <w:rFonts w:hint="eastAsia" w:ascii="Times New Roman" w:hAnsi="Times New Roman" w:eastAsia="宋体" w:cs="微软雅黑"/>
                      <w:i w:val="0"/>
                      <w:iCs w:val="0"/>
                      <w:caps w:val="0"/>
                      <w:color w:val="auto"/>
                      <w:spacing w:val="0"/>
                      <w:sz w:val="21"/>
                      <w:szCs w:val="21"/>
                    </w:rPr>
                    <w:t>县级以上人民政府住房和城乡建设或者城市管理部门应当加强对新建住宅阳台、露台污水收集系统设计、施工的监督管理。新建、改建住宅阳台、露台应当设置污水管道，纳入污水收集系统，并逐步对有条件的老旧住宅实施管道改造。</w:t>
                  </w:r>
                </w:p>
                <w:p w14:paraId="14003093">
                  <w:pPr>
                    <w:pStyle w:val="1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firstLine="420" w:firstLineChars="200"/>
                    <w:jc w:val="left"/>
                    <w:textAlignment w:val="auto"/>
                    <w:rPr>
                      <w:rFonts w:hint="default" w:ascii="Times New Roman" w:hAnsi="Times New Roman" w:eastAsia="宋体" w:cs="Times New Roman"/>
                      <w:b w:val="0"/>
                      <w:color w:val="auto"/>
                      <w:kern w:val="2"/>
                      <w:sz w:val="21"/>
                      <w:szCs w:val="21"/>
                      <w:highlight w:val="none"/>
                      <w:vertAlign w:val="baseline"/>
                      <w:lang w:val="en-US" w:eastAsia="zh-CN" w:bidi="ar-SA"/>
                    </w:rPr>
                  </w:pPr>
                  <w:r>
                    <w:rPr>
                      <w:rFonts w:hint="eastAsia" w:ascii="Times New Roman" w:hAnsi="Times New Roman" w:eastAsia="宋体" w:cs="微软雅黑"/>
                      <w:i w:val="0"/>
                      <w:iCs w:val="0"/>
                      <w:caps w:val="0"/>
                      <w:color w:val="auto"/>
                      <w:spacing w:val="0"/>
                      <w:sz w:val="21"/>
                      <w:szCs w:val="21"/>
                    </w:rPr>
                    <w:t>县级以上人民政府生态环境主管部门负责农村生活污水治理相关技术指导和执法监管，督促、指导农村生活污水处理项目推进。</w:t>
                  </w:r>
                </w:p>
              </w:tc>
              <w:tc>
                <w:tcPr>
                  <w:tcW w:w="2268" w:type="dxa"/>
                  <w:tcBorders>
                    <w:tl2br w:val="nil"/>
                    <w:tr2bl w:val="nil"/>
                  </w:tcBorders>
                  <w:shd w:val="clear" w:color="auto" w:fill="auto"/>
                  <w:noWrap w:val="0"/>
                  <w:vAlign w:val="center"/>
                </w:tcPr>
                <w:p w14:paraId="7E1770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eastAsia" w:ascii="Times New Roman" w:hAnsi="Times New Roman" w:eastAsia="宋体" w:cs="Times New Roman"/>
                      <w:b w:val="0"/>
                      <w:color w:val="auto"/>
                      <w:kern w:val="2"/>
                      <w:sz w:val="21"/>
                      <w:szCs w:val="21"/>
                      <w:highlight w:val="none"/>
                      <w:vertAlign w:val="baseline"/>
                      <w:lang w:val="en-US" w:eastAsia="zh-CN" w:bidi="ar-SA"/>
                    </w:rPr>
                  </w:pPr>
                  <w:r>
                    <w:rPr>
                      <w:rFonts w:hint="eastAsia" w:cs="Times New Roman"/>
                      <w:b w:val="0"/>
                      <w:color w:val="auto"/>
                      <w:kern w:val="2"/>
                      <w:sz w:val="21"/>
                      <w:szCs w:val="21"/>
                      <w:highlight w:val="none"/>
                      <w:vertAlign w:val="baseline"/>
                      <w:lang w:val="en-US" w:eastAsia="zh-CN" w:bidi="ar-SA"/>
                    </w:rPr>
                    <w:t>本项目生产废水、</w:t>
                  </w:r>
                  <w:r>
                    <w:rPr>
                      <w:rFonts w:hint="default" w:ascii="Times New Roman" w:hAnsi="Times New Roman" w:eastAsia="宋体" w:cs="Times New Roman"/>
                      <w:b w:val="0"/>
                      <w:color w:val="auto"/>
                      <w:kern w:val="2"/>
                      <w:sz w:val="21"/>
                      <w:szCs w:val="21"/>
                      <w:highlight w:val="none"/>
                      <w:vertAlign w:val="baseline"/>
                      <w:lang w:val="en-US" w:eastAsia="zh-CN" w:bidi="ar-SA"/>
                    </w:rPr>
                    <w:t>网板清洗废水循环使用，更换的清洗废水作为危废送有资质的单位处理，不外排。注塑间接冷却水循环使用，不外排。</w:t>
                  </w:r>
                  <w:r>
                    <w:rPr>
                      <w:rFonts w:hint="eastAsia" w:cs="Times New Roman"/>
                      <w:b w:val="0"/>
                      <w:color w:val="auto"/>
                      <w:kern w:val="2"/>
                      <w:sz w:val="21"/>
                      <w:szCs w:val="21"/>
                      <w:highlight w:val="none"/>
                      <w:vertAlign w:val="baseline"/>
                      <w:lang w:val="en-US" w:eastAsia="zh-CN" w:bidi="ar-SA"/>
                    </w:rPr>
                    <w:t>生活污水</w:t>
                  </w:r>
                  <w:r>
                    <w:rPr>
                      <w:rFonts w:hint="default" w:ascii="Times New Roman" w:hAnsi="Times New Roman" w:eastAsia="宋体" w:cs="Times New Roman"/>
                      <w:b w:val="0"/>
                      <w:color w:val="auto"/>
                      <w:kern w:val="2"/>
                      <w:sz w:val="21"/>
                      <w:szCs w:val="21"/>
                      <w:highlight w:val="none"/>
                      <w:vertAlign w:val="baseline"/>
                      <w:lang w:val="en-US" w:eastAsia="zh-CN" w:bidi="ar-SA"/>
                    </w:rPr>
                    <w:t>经隔油池+化粪池预处理后排入园区污水管网，接入乐平市金山工业区一期污水站处理</w:t>
                  </w:r>
                  <w:r>
                    <w:rPr>
                      <w:rFonts w:hint="eastAsia" w:cs="Times New Roman"/>
                      <w:b w:val="0"/>
                      <w:color w:val="auto"/>
                      <w:kern w:val="2"/>
                      <w:sz w:val="21"/>
                      <w:szCs w:val="21"/>
                      <w:highlight w:val="none"/>
                      <w:vertAlign w:val="baseline"/>
                      <w:lang w:val="en-US" w:eastAsia="zh-CN" w:bidi="ar-SA"/>
                    </w:rPr>
                    <w:t>。厂区内未经允许不得违法改造</w:t>
                  </w:r>
                  <w:r>
                    <w:rPr>
                      <w:rFonts w:hint="eastAsia" w:ascii="Times New Roman" w:hAnsi="Times New Roman" w:eastAsia="宋体" w:cs="微软雅黑"/>
                      <w:i w:val="0"/>
                      <w:iCs w:val="0"/>
                      <w:caps w:val="0"/>
                      <w:color w:val="auto"/>
                      <w:spacing w:val="0"/>
                      <w:sz w:val="21"/>
                      <w:szCs w:val="21"/>
                    </w:rPr>
                    <w:t>污水管道，</w:t>
                  </w:r>
                  <w:r>
                    <w:rPr>
                      <w:rFonts w:hint="eastAsia" w:cs="微软雅黑"/>
                      <w:i w:val="0"/>
                      <w:iCs w:val="0"/>
                      <w:caps w:val="0"/>
                      <w:color w:val="auto"/>
                      <w:spacing w:val="0"/>
                      <w:sz w:val="21"/>
                      <w:szCs w:val="21"/>
                      <w:lang w:val="en-US" w:eastAsia="zh-CN"/>
                    </w:rPr>
                    <w:t>不得阻碍污水进</w:t>
                  </w:r>
                  <w:r>
                    <w:rPr>
                      <w:rFonts w:hint="eastAsia" w:ascii="Times New Roman" w:hAnsi="Times New Roman" w:eastAsia="宋体" w:cs="微软雅黑"/>
                      <w:i w:val="0"/>
                      <w:iCs w:val="0"/>
                      <w:caps w:val="0"/>
                      <w:color w:val="auto"/>
                      <w:spacing w:val="0"/>
                      <w:sz w:val="21"/>
                      <w:szCs w:val="21"/>
                    </w:rPr>
                    <w:t>入污水收集系统</w:t>
                  </w:r>
                  <w:r>
                    <w:rPr>
                      <w:rFonts w:hint="eastAsia" w:cs="微软雅黑"/>
                      <w:i w:val="0"/>
                      <w:iCs w:val="0"/>
                      <w:caps w:val="0"/>
                      <w:color w:val="auto"/>
                      <w:spacing w:val="0"/>
                      <w:sz w:val="21"/>
                      <w:szCs w:val="21"/>
                      <w:lang w:eastAsia="zh-CN"/>
                    </w:rPr>
                    <w:t>。</w:t>
                  </w:r>
                </w:p>
              </w:tc>
              <w:tc>
                <w:tcPr>
                  <w:tcW w:w="1090" w:type="dxa"/>
                  <w:tcBorders>
                    <w:tl2br w:val="nil"/>
                    <w:tr2bl w:val="nil"/>
                  </w:tcBorders>
                  <w:noWrap w:val="0"/>
                  <w:vAlign w:val="center"/>
                </w:tcPr>
                <w:p w14:paraId="755DA8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color w:val="auto"/>
                      <w:sz w:val="21"/>
                      <w:szCs w:val="21"/>
                      <w:highlight w:val="none"/>
                      <w:vertAlign w:val="baseline"/>
                      <w:lang w:val="en-US" w:eastAsia="zh-CN"/>
                    </w:rPr>
                  </w:pPr>
                  <w:r>
                    <w:rPr>
                      <w:rFonts w:hint="eastAsia" w:cs="Times New Roman"/>
                      <w:b w:val="0"/>
                      <w:color w:val="auto"/>
                      <w:sz w:val="21"/>
                      <w:szCs w:val="21"/>
                      <w:highlight w:val="none"/>
                      <w:vertAlign w:val="baseline"/>
                      <w:lang w:val="en-US" w:eastAsia="zh-CN"/>
                    </w:rPr>
                    <w:t>符合</w:t>
                  </w:r>
                </w:p>
              </w:tc>
            </w:tr>
            <w:tr w14:paraId="5EC151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103" w:type="dxa"/>
                  <w:tcBorders>
                    <w:tl2br w:val="nil"/>
                    <w:tr2bl w:val="nil"/>
                  </w:tcBorders>
                  <w:shd w:val="clear" w:color="auto" w:fill="auto"/>
                  <w:noWrap w:val="0"/>
                  <w:vAlign w:val="center"/>
                </w:tcPr>
                <w:p w14:paraId="4CA41264">
                  <w:pPr>
                    <w:pStyle w:val="1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jc w:val="left"/>
                    <w:textAlignment w:val="auto"/>
                    <w:rPr>
                      <w:rFonts w:hint="default" w:ascii="Times New Roman" w:hAnsi="Times New Roman" w:eastAsia="宋体" w:cs="微软雅黑"/>
                      <w:i w:val="0"/>
                      <w:iCs w:val="0"/>
                      <w:caps w:val="0"/>
                      <w:color w:val="auto"/>
                      <w:spacing w:val="0"/>
                      <w:sz w:val="21"/>
                      <w:szCs w:val="21"/>
                    </w:rPr>
                  </w:pPr>
                  <w:r>
                    <w:rPr>
                      <w:rStyle w:val="29"/>
                      <w:rFonts w:hint="default" w:ascii="Times New Roman" w:hAnsi="Times New Roman" w:eastAsia="宋体" w:cs="楷体"/>
                      <w:i w:val="0"/>
                      <w:iCs w:val="0"/>
                      <w:caps w:val="0"/>
                      <w:color w:val="auto"/>
                      <w:spacing w:val="0"/>
                      <w:sz w:val="21"/>
                      <w:szCs w:val="21"/>
                    </w:rPr>
                    <w:t>第二十四条</w:t>
                  </w:r>
                  <w:r>
                    <w:rPr>
                      <w:rStyle w:val="29"/>
                      <w:rFonts w:hint="eastAsia" w:ascii="Times New Roman" w:hAnsi="Times New Roman" w:eastAsia="宋体" w:cs="楷体"/>
                      <w:i w:val="0"/>
                      <w:iCs w:val="0"/>
                      <w:caps w:val="0"/>
                      <w:color w:val="auto"/>
                      <w:spacing w:val="0"/>
                      <w:sz w:val="21"/>
                      <w:szCs w:val="21"/>
                      <w:lang w:val="en-US" w:eastAsia="zh-CN"/>
                    </w:rPr>
                    <w:t xml:space="preserve"> </w:t>
                  </w:r>
                  <w:r>
                    <w:rPr>
                      <w:rFonts w:hint="eastAsia" w:ascii="Times New Roman" w:hAnsi="Times New Roman" w:eastAsia="宋体" w:cs="微软雅黑"/>
                      <w:i w:val="0"/>
                      <w:iCs w:val="0"/>
                      <w:caps w:val="0"/>
                      <w:color w:val="auto"/>
                      <w:spacing w:val="0"/>
                      <w:sz w:val="21"/>
                      <w:szCs w:val="21"/>
                    </w:rPr>
                    <w:t>任何单位和个人应当提高总磷污染防治意识，不得生产、销售、使用不合格的含磷洗涤剂，鼓励、引导使用无磷洗涤剂，不用或者少用含磷洗涤剂。不得违法改变阳台、露台污水管道等户内污水收集系统。</w:t>
                  </w:r>
                </w:p>
                <w:p w14:paraId="57C943A2">
                  <w:pPr>
                    <w:pStyle w:val="18"/>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firstLine="420" w:firstLineChars="200"/>
                    <w:jc w:val="left"/>
                    <w:textAlignment w:val="auto"/>
                    <w:rPr>
                      <w:rFonts w:hint="default" w:ascii="Times New Roman" w:hAnsi="Times New Roman" w:eastAsia="宋体" w:cs="Times New Roman"/>
                      <w:b w:val="0"/>
                      <w:color w:val="auto"/>
                      <w:kern w:val="2"/>
                      <w:sz w:val="21"/>
                      <w:szCs w:val="21"/>
                      <w:highlight w:val="none"/>
                      <w:vertAlign w:val="baseline"/>
                      <w:lang w:val="en-US" w:eastAsia="zh-CN" w:bidi="ar-SA"/>
                    </w:rPr>
                  </w:pPr>
                  <w:r>
                    <w:rPr>
                      <w:rFonts w:hint="eastAsia" w:ascii="Times New Roman" w:hAnsi="Times New Roman" w:eastAsia="宋体" w:cs="微软雅黑"/>
                      <w:i w:val="0"/>
                      <w:iCs w:val="0"/>
                      <w:caps w:val="0"/>
                      <w:color w:val="auto"/>
                      <w:spacing w:val="0"/>
                      <w:sz w:val="21"/>
                      <w:szCs w:val="21"/>
                    </w:rPr>
                    <w:t>鼓励工业生产、城市绿化、道路清扫、车辆冲洗、建筑施工、维护生态景观工作等优先使用再生水</w:t>
                  </w:r>
                  <w:r>
                    <w:rPr>
                      <w:rFonts w:hint="eastAsia" w:ascii="Times New Roman" w:hAnsi="Times New Roman" w:cs="微软雅黑"/>
                      <w:i w:val="0"/>
                      <w:iCs w:val="0"/>
                      <w:caps w:val="0"/>
                      <w:color w:val="auto"/>
                      <w:spacing w:val="0"/>
                      <w:sz w:val="21"/>
                      <w:szCs w:val="21"/>
                      <w:lang w:eastAsia="zh-CN"/>
                    </w:rPr>
                    <w:t>；</w:t>
                  </w:r>
                  <w:r>
                    <w:rPr>
                      <w:rFonts w:hint="eastAsia" w:ascii="Times New Roman" w:hAnsi="Times New Roman" w:eastAsia="宋体" w:cs="微软雅黑"/>
                      <w:i w:val="0"/>
                      <w:iCs w:val="0"/>
                      <w:caps w:val="0"/>
                      <w:color w:val="auto"/>
                      <w:spacing w:val="0"/>
                      <w:sz w:val="21"/>
                      <w:szCs w:val="21"/>
                    </w:rPr>
                    <w:t>鼓励城镇污水处理厂建设生产再生水设施，配备回用设备。</w:t>
                  </w:r>
                </w:p>
              </w:tc>
              <w:tc>
                <w:tcPr>
                  <w:tcW w:w="2268" w:type="dxa"/>
                  <w:tcBorders>
                    <w:tl2br w:val="nil"/>
                    <w:tr2bl w:val="nil"/>
                  </w:tcBorders>
                  <w:shd w:val="clear" w:color="auto" w:fill="auto"/>
                  <w:noWrap w:val="0"/>
                  <w:vAlign w:val="center"/>
                </w:tcPr>
                <w:p w14:paraId="0D5726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eastAsia" w:ascii="Times New Roman" w:hAnsi="Times New Roman" w:eastAsia="宋体" w:cs="Times New Roman"/>
                      <w:b w:val="0"/>
                      <w:color w:val="auto"/>
                      <w:kern w:val="2"/>
                      <w:sz w:val="21"/>
                      <w:szCs w:val="21"/>
                      <w:highlight w:val="none"/>
                      <w:vertAlign w:val="baseline"/>
                      <w:lang w:val="en-US" w:eastAsia="zh-CN" w:bidi="ar-SA"/>
                    </w:rPr>
                  </w:pPr>
                  <w:r>
                    <w:rPr>
                      <w:rFonts w:hint="eastAsia" w:cs="Times New Roman"/>
                      <w:b w:val="0"/>
                      <w:color w:val="auto"/>
                      <w:kern w:val="2"/>
                      <w:sz w:val="21"/>
                      <w:szCs w:val="21"/>
                      <w:highlight w:val="none"/>
                      <w:vertAlign w:val="baseline"/>
                      <w:lang w:val="en-US" w:eastAsia="zh-CN" w:bidi="ar-SA"/>
                    </w:rPr>
                    <w:t>本项目食堂要求采用</w:t>
                  </w:r>
                  <w:r>
                    <w:rPr>
                      <w:rFonts w:hint="eastAsia" w:ascii="Times New Roman" w:hAnsi="Times New Roman" w:eastAsia="宋体" w:cs="微软雅黑"/>
                      <w:i w:val="0"/>
                      <w:iCs w:val="0"/>
                      <w:caps w:val="0"/>
                      <w:color w:val="auto"/>
                      <w:spacing w:val="0"/>
                      <w:sz w:val="21"/>
                      <w:szCs w:val="21"/>
                    </w:rPr>
                    <w:t>无磷洗涤剂</w:t>
                  </w:r>
                  <w:r>
                    <w:rPr>
                      <w:rFonts w:hint="eastAsia" w:cs="微软雅黑"/>
                      <w:i w:val="0"/>
                      <w:iCs w:val="0"/>
                      <w:caps w:val="0"/>
                      <w:color w:val="auto"/>
                      <w:spacing w:val="0"/>
                      <w:sz w:val="21"/>
                      <w:szCs w:val="21"/>
                      <w:lang w:eastAsia="zh-CN"/>
                    </w:rPr>
                    <w:t>，</w:t>
                  </w:r>
                  <w:r>
                    <w:rPr>
                      <w:rFonts w:hint="eastAsia" w:cs="微软雅黑"/>
                      <w:i w:val="0"/>
                      <w:iCs w:val="0"/>
                      <w:caps w:val="0"/>
                      <w:color w:val="auto"/>
                      <w:spacing w:val="0"/>
                      <w:sz w:val="21"/>
                      <w:szCs w:val="21"/>
                      <w:lang w:val="en-US" w:eastAsia="zh-CN"/>
                    </w:rPr>
                    <w:t>不得使用</w:t>
                  </w:r>
                  <w:r>
                    <w:rPr>
                      <w:rFonts w:hint="eastAsia" w:ascii="Times New Roman" w:hAnsi="Times New Roman" w:eastAsia="宋体" w:cs="微软雅黑"/>
                      <w:i w:val="0"/>
                      <w:iCs w:val="0"/>
                      <w:caps w:val="0"/>
                      <w:color w:val="auto"/>
                      <w:spacing w:val="0"/>
                      <w:sz w:val="21"/>
                      <w:szCs w:val="21"/>
                    </w:rPr>
                    <w:t>含磷洗涤剂</w:t>
                  </w:r>
                  <w:r>
                    <w:rPr>
                      <w:rFonts w:hint="eastAsia" w:cs="微软雅黑"/>
                      <w:i w:val="0"/>
                      <w:iCs w:val="0"/>
                      <w:caps w:val="0"/>
                      <w:color w:val="auto"/>
                      <w:spacing w:val="0"/>
                      <w:sz w:val="21"/>
                      <w:szCs w:val="21"/>
                      <w:lang w:eastAsia="zh-CN"/>
                    </w:rPr>
                    <w:t>。</w:t>
                  </w:r>
                  <w:r>
                    <w:rPr>
                      <w:rFonts w:hint="eastAsia" w:cs="Times New Roman"/>
                      <w:b w:val="0"/>
                      <w:color w:val="auto"/>
                      <w:kern w:val="2"/>
                      <w:sz w:val="21"/>
                      <w:szCs w:val="21"/>
                      <w:highlight w:val="none"/>
                      <w:vertAlign w:val="baseline"/>
                      <w:lang w:val="en-US" w:eastAsia="zh-CN" w:bidi="ar-SA"/>
                    </w:rPr>
                    <w:t>厂区内未经允许不得违法改造</w:t>
                  </w:r>
                  <w:r>
                    <w:rPr>
                      <w:rFonts w:hint="eastAsia" w:ascii="Times New Roman" w:hAnsi="Times New Roman" w:eastAsia="宋体" w:cs="微软雅黑"/>
                      <w:i w:val="0"/>
                      <w:iCs w:val="0"/>
                      <w:caps w:val="0"/>
                      <w:color w:val="auto"/>
                      <w:spacing w:val="0"/>
                      <w:sz w:val="21"/>
                      <w:szCs w:val="21"/>
                    </w:rPr>
                    <w:t>污水管道，</w:t>
                  </w:r>
                  <w:r>
                    <w:rPr>
                      <w:rFonts w:hint="eastAsia" w:cs="微软雅黑"/>
                      <w:i w:val="0"/>
                      <w:iCs w:val="0"/>
                      <w:caps w:val="0"/>
                      <w:color w:val="auto"/>
                      <w:spacing w:val="0"/>
                      <w:sz w:val="21"/>
                      <w:szCs w:val="21"/>
                      <w:lang w:val="en-US" w:eastAsia="zh-CN"/>
                    </w:rPr>
                    <w:t>不得阻碍污水进</w:t>
                  </w:r>
                  <w:r>
                    <w:rPr>
                      <w:rFonts w:hint="eastAsia" w:ascii="Times New Roman" w:hAnsi="Times New Roman" w:eastAsia="宋体" w:cs="微软雅黑"/>
                      <w:i w:val="0"/>
                      <w:iCs w:val="0"/>
                      <w:caps w:val="0"/>
                      <w:color w:val="auto"/>
                      <w:spacing w:val="0"/>
                      <w:sz w:val="21"/>
                      <w:szCs w:val="21"/>
                    </w:rPr>
                    <w:t>入污水收集系统</w:t>
                  </w:r>
                  <w:r>
                    <w:rPr>
                      <w:rFonts w:hint="eastAsia" w:cs="微软雅黑"/>
                      <w:i w:val="0"/>
                      <w:iCs w:val="0"/>
                      <w:caps w:val="0"/>
                      <w:color w:val="auto"/>
                      <w:spacing w:val="0"/>
                      <w:sz w:val="21"/>
                      <w:szCs w:val="21"/>
                      <w:lang w:eastAsia="zh-CN"/>
                    </w:rPr>
                    <w:t>。</w:t>
                  </w:r>
                </w:p>
              </w:tc>
              <w:tc>
                <w:tcPr>
                  <w:tcW w:w="1090" w:type="dxa"/>
                  <w:tcBorders>
                    <w:tl2br w:val="nil"/>
                    <w:tr2bl w:val="nil"/>
                  </w:tcBorders>
                  <w:shd w:val="clear" w:color="auto" w:fill="auto"/>
                  <w:noWrap w:val="0"/>
                  <w:vAlign w:val="center"/>
                </w:tcPr>
                <w:p w14:paraId="06CEC0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color w:val="auto"/>
                      <w:kern w:val="2"/>
                      <w:sz w:val="21"/>
                      <w:szCs w:val="21"/>
                      <w:highlight w:val="none"/>
                      <w:vertAlign w:val="baseline"/>
                      <w:lang w:val="en-US" w:eastAsia="zh-CN" w:bidi="ar-SA"/>
                    </w:rPr>
                  </w:pPr>
                  <w:r>
                    <w:rPr>
                      <w:rFonts w:hint="eastAsia" w:cs="Times New Roman"/>
                      <w:b w:val="0"/>
                      <w:color w:val="auto"/>
                      <w:sz w:val="21"/>
                      <w:szCs w:val="21"/>
                      <w:highlight w:val="none"/>
                      <w:vertAlign w:val="baseline"/>
                      <w:lang w:val="en-US" w:eastAsia="zh-CN"/>
                    </w:rPr>
                    <w:t>符合</w:t>
                  </w:r>
                </w:p>
              </w:tc>
            </w:tr>
          </w:tbl>
          <w:p w14:paraId="62814C96">
            <w:pPr>
              <w:pStyle w:val="9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firstLine="480" w:firstLineChars="200"/>
              <w:jc w:val="both"/>
              <w:textAlignment w:val="auto"/>
              <w:rPr>
                <w:rFonts w:hint="eastAsia" w:ascii="Times New Roman" w:hAnsi="Times New Roman" w:eastAsia="宋体" w:cs="Times New Roman"/>
                <w:b w:val="0"/>
                <w:bCs w:val="0"/>
                <w:color w:val="auto"/>
                <w:spacing w:val="0"/>
                <w:sz w:val="24"/>
                <w:szCs w:val="24"/>
                <w:highlight w:val="none"/>
                <w:u w:val="none"/>
                <w:lang w:val="en-US" w:eastAsia="zh-CN"/>
              </w:rPr>
            </w:pPr>
            <w:r>
              <w:rPr>
                <w:rFonts w:hint="eastAsia" w:ascii="Times New Roman" w:hAnsi="Times New Roman" w:eastAsia="宋体" w:cs="Times New Roman"/>
                <w:b w:val="0"/>
                <w:bCs w:val="0"/>
                <w:color w:val="auto"/>
                <w:spacing w:val="0"/>
                <w:sz w:val="24"/>
                <w:szCs w:val="24"/>
                <w:highlight w:val="none"/>
                <w:u w:val="none"/>
                <w:lang w:val="en-US" w:eastAsia="zh-CN"/>
              </w:rPr>
              <w:t>综上所述，本项目与《江西省鄱阳湖流域总磷污染防治条例》（江西省第十四届人民代表大会常务委员会公告 第24号）相符。</w:t>
            </w:r>
          </w:p>
          <w:p w14:paraId="042881EB">
            <w:pPr>
              <w:pStyle w:val="9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firstLine="482" w:firstLineChars="200"/>
              <w:jc w:val="both"/>
              <w:textAlignment w:val="auto"/>
              <w:rPr>
                <w:rFonts w:hint="eastAsia" w:ascii="Times New Roman" w:hAnsi="Times New Roman" w:eastAsia="宋体" w:cs="Times New Roman"/>
                <w:b/>
                <w:bCs/>
                <w:color w:val="auto"/>
                <w:spacing w:val="0"/>
                <w:sz w:val="24"/>
                <w:szCs w:val="24"/>
                <w:highlight w:val="none"/>
                <w:u w:val="none"/>
                <w:lang w:val="en-US" w:eastAsia="zh-CN"/>
              </w:rPr>
            </w:pPr>
            <w:r>
              <w:rPr>
                <w:rFonts w:hint="eastAsia" w:ascii="Times New Roman" w:hAnsi="Times New Roman" w:eastAsia="宋体" w:cs="Times New Roman"/>
                <w:b/>
                <w:bCs/>
                <w:color w:val="auto"/>
                <w:spacing w:val="0"/>
                <w:sz w:val="24"/>
                <w:szCs w:val="24"/>
                <w:highlight w:val="none"/>
                <w:u w:val="none"/>
                <w:lang w:val="en-US" w:eastAsia="zh-CN"/>
              </w:rPr>
              <w:t>11、与《江西省加强塑料污染治理的实施方案》（赣发改环资〔2020〕559号）</w:t>
            </w:r>
            <w:r>
              <w:rPr>
                <w:rFonts w:hint="default" w:ascii="Times New Roman" w:hAnsi="Times New Roman" w:eastAsia="宋体" w:cs="Times New Roman"/>
                <w:b/>
                <w:bCs/>
                <w:color w:val="auto"/>
                <w:spacing w:val="0"/>
                <w:sz w:val="24"/>
                <w:szCs w:val="24"/>
                <w:highlight w:val="none"/>
                <w:u w:val="none"/>
                <w:lang w:val="en-US" w:eastAsia="zh-CN"/>
              </w:rPr>
              <w:t>相符性分析</w:t>
            </w:r>
          </w:p>
          <w:p w14:paraId="6C72DB3B">
            <w:pPr>
              <w:pStyle w:val="35"/>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360" w:lineRule="auto"/>
              <w:ind w:left="0" w:leftChars="0" w:right="0" w:rightChars="0" w:firstLine="480" w:firstLineChars="200"/>
              <w:jc w:val="both"/>
              <w:textAlignment w:val="auto"/>
              <w:rPr>
                <w:rFonts w:hint="default" w:ascii="Times New Roman" w:hAnsi="Times New Roman" w:eastAsia="宋体" w:cs="Times New Roman"/>
                <w:b/>
                <w:bCs/>
                <w:color w:val="auto"/>
                <w:sz w:val="24"/>
                <w:szCs w:val="24"/>
                <w:highlight w:val="none"/>
                <w:lang w:val="en-US" w:eastAsia="zh-CN"/>
              </w:rPr>
            </w:pPr>
            <w:r>
              <w:rPr>
                <w:rFonts w:hint="eastAsia" w:ascii="Times New Roman" w:hAnsi="Times New Roman" w:cs="Times New Roman"/>
                <w:b w:val="0"/>
                <w:bCs w:val="0"/>
                <w:color w:val="auto"/>
                <w:sz w:val="24"/>
                <w:szCs w:val="24"/>
                <w:highlight w:val="none"/>
                <w:lang w:val="en-US" w:eastAsia="zh-CN"/>
              </w:rPr>
              <w:t>本项目与《江西省加强塑料污染治理的实施方案》（赣发改环资〔2020〕559号）相符性分析见表1-13。</w:t>
            </w:r>
          </w:p>
          <w:p w14:paraId="48C6E7F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4"/>
                <w:szCs w:val="24"/>
                <w:highlight w:val="none"/>
                <w:lang w:val="en-US" w:eastAsia="zh-CN"/>
              </w:rPr>
            </w:pPr>
            <w:r>
              <w:rPr>
                <w:rFonts w:hint="default" w:ascii="Times New Roman" w:hAnsi="Times New Roman" w:eastAsia="宋体" w:cs="Times New Roman"/>
                <w:b/>
                <w:bCs/>
                <w:color w:val="auto"/>
                <w:sz w:val="21"/>
                <w:szCs w:val="21"/>
                <w:highlight w:val="none"/>
                <w:lang w:val="en-US" w:eastAsia="zh-CN"/>
              </w:rPr>
              <w:t>表1-</w:t>
            </w:r>
            <w:r>
              <w:rPr>
                <w:rFonts w:hint="eastAsia" w:cs="Times New Roman"/>
                <w:b/>
                <w:bCs/>
                <w:color w:val="auto"/>
                <w:sz w:val="21"/>
                <w:szCs w:val="21"/>
                <w:highlight w:val="none"/>
                <w:lang w:val="en-US" w:eastAsia="zh-CN"/>
              </w:rPr>
              <w:t>13</w:t>
            </w:r>
            <w:r>
              <w:rPr>
                <w:rFonts w:hint="default" w:ascii="Times New Roman" w:hAnsi="Times New Roman" w:eastAsia="宋体" w:cs="Times New Roman"/>
                <w:b/>
                <w:bCs/>
                <w:color w:val="auto"/>
                <w:sz w:val="21"/>
                <w:szCs w:val="21"/>
                <w:highlight w:val="none"/>
                <w:lang w:val="en-US" w:eastAsia="zh-CN"/>
              </w:rPr>
              <w:t xml:space="preserve">   </w:t>
            </w:r>
            <w:r>
              <w:rPr>
                <w:rFonts w:hint="default" w:ascii="Times New Roman" w:hAnsi="Times New Roman" w:cs="Times New Roman"/>
                <w:b/>
                <w:bCs/>
                <w:color w:val="auto"/>
                <w:sz w:val="21"/>
                <w:szCs w:val="21"/>
                <w:highlight w:val="none"/>
                <w:lang w:val="en-US" w:eastAsia="zh-CN"/>
              </w:rPr>
              <w:t>与《江西省加强塑料污染治理的实施方案》（赣发改环资〔2020〕559号）相符性分析</w:t>
            </w:r>
          </w:p>
          <w:tbl>
            <w:tblPr>
              <w:tblStyle w:val="27"/>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103"/>
              <w:gridCol w:w="2268"/>
              <w:gridCol w:w="1090"/>
            </w:tblGrid>
            <w:tr w14:paraId="0045AF5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103" w:type="dxa"/>
                  <w:tcBorders>
                    <w:bottom w:val="single" w:color="auto" w:sz="12" w:space="0"/>
                  </w:tcBorders>
                  <w:noWrap w:val="0"/>
                  <w:vAlign w:val="center"/>
                </w:tcPr>
                <w:p w14:paraId="2E979F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bCs w:val="0"/>
                      <w:color w:val="auto"/>
                      <w:sz w:val="21"/>
                      <w:szCs w:val="21"/>
                      <w:highlight w:val="none"/>
                      <w:vertAlign w:val="baseline"/>
                      <w:lang w:val="en-US" w:eastAsia="zh-CN"/>
                    </w:rPr>
                  </w:pPr>
                  <w:r>
                    <w:rPr>
                      <w:rFonts w:hint="default" w:ascii="Times New Roman" w:hAnsi="Times New Roman" w:eastAsia="宋体" w:cs="Times New Roman"/>
                      <w:b/>
                      <w:bCs w:val="0"/>
                      <w:color w:val="auto"/>
                      <w:sz w:val="21"/>
                      <w:szCs w:val="21"/>
                      <w:highlight w:val="none"/>
                      <w:vertAlign w:val="baseline"/>
                      <w:lang w:val="en-US" w:eastAsia="zh-CN"/>
                    </w:rPr>
                    <w:t>文件要求（摘录）</w:t>
                  </w:r>
                </w:p>
              </w:tc>
              <w:tc>
                <w:tcPr>
                  <w:tcW w:w="2268" w:type="dxa"/>
                  <w:tcBorders>
                    <w:bottom w:val="single" w:color="auto" w:sz="12" w:space="0"/>
                  </w:tcBorders>
                  <w:noWrap w:val="0"/>
                  <w:vAlign w:val="center"/>
                </w:tcPr>
                <w:p w14:paraId="0F2823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bCs w:val="0"/>
                      <w:color w:val="auto"/>
                      <w:sz w:val="21"/>
                      <w:szCs w:val="21"/>
                      <w:highlight w:val="none"/>
                      <w:vertAlign w:val="baseline"/>
                      <w:lang w:val="en-US" w:eastAsia="zh-CN"/>
                    </w:rPr>
                  </w:pPr>
                  <w:r>
                    <w:rPr>
                      <w:rFonts w:hint="eastAsia" w:ascii="Times New Roman" w:hAnsi="Times New Roman" w:eastAsia="宋体" w:cs="Times New Roman"/>
                      <w:b/>
                      <w:bCs w:val="0"/>
                      <w:color w:val="auto"/>
                      <w:sz w:val="21"/>
                      <w:szCs w:val="21"/>
                      <w:highlight w:val="none"/>
                      <w:vertAlign w:val="baseline"/>
                      <w:lang w:val="en-US" w:eastAsia="zh-CN"/>
                    </w:rPr>
                    <w:t>本项目</w:t>
                  </w:r>
                </w:p>
              </w:tc>
              <w:tc>
                <w:tcPr>
                  <w:tcW w:w="1090" w:type="dxa"/>
                  <w:tcBorders>
                    <w:bottom w:val="single" w:color="auto" w:sz="12" w:space="0"/>
                  </w:tcBorders>
                  <w:noWrap w:val="0"/>
                  <w:vAlign w:val="center"/>
                </w:tcPr>
                <w:p w14:paraId="2407D7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bCs w:val="0"/>
                      <w:color w:val="auto"/>
                      <w:sz w:val="21"/>
                      <w:szCs w:val="21"/>
                      <w:highlight w:val="none"/>
                      <w:vertAlign w:val="baseline"/>
                      <w:lang w:val="en-US" w:eastAsia="zh-CN"/>
                    </w:rPr>
                  </w:pPr>
                  <w:r>
                    <w:rPr>
                      <w:rFonts w:hint="default" w:ascii="Times New Roman" w:hAnsi="Times New Roman" w:eastAsia="宋体" w:cs="Times New Roman"/>
                      <w:b/>
                      <w:bCs w:val="0"/>
                      <w:color w:val="auto"/>
                      <w:sz w:val="21"/>
                      <w:szCs w:val="21"/>
                      <w:highlight w:val="none"/>
                      <w:vertAlign w:val="baseline"/>
                      <w:lang w:val="en-US" w:eastAsia="zh-CN"/>
                    </w:rPr>
                    <w:t>相符性</w:t>
                  </w:r>
                </w:p>
              </w:tc>
            </w:tr>
            <w:tr w14:paraId="3075322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103" w:type="dxa"/>
                  <w:tcBorders>
                    <w:tl2br w:val="nil"/>
                    <w:tr2bl w:val="nil"/>
                  </w:tcBorders>
                  <w:shd w:val="clear" w:color="auto" w:fill="auto"/>
                  <w:noWrap w:val="0"/>
                  <w:vAlign w:val="center"/>
                </w:tcPr>
                <w:p w14:paraId="6D5BACA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default" w:ascii="Times New Roman" w:hAnsi="Times New Roman" w:eastAsia="宋体" w:cs="微软雅黑"/>
                      <w:b w:val="0"/>
                      <w:i w:val="0"/>
                      <w:iCs w:val="0"/>
                      <w:caps w:val="0"/>
                      <w:color w:val="auto"/>
                      <w:spacing w:val="0"/>
                      <w:sz w:val="21"/>
                      <w:szCs w:val="19"/>
                      <w:shd w:val="clear" w:fill="FFFFFF"/>
                      <w:lang w:val="en-US" w:eastAsia="zh-CN"/>
                    </w:rPr>
                  </w:pPr>
                  <w:r>
                    <w:rPr>
                      <w:rFonts w:hint="default" w:ascii="Times New Roman" w:hAnsi="Times New Roman" w:eastAsia="宋体" w:cs="微软雅黑"/>
                      <w:b w:val="0"/>
                      <w:i w:val="0"/>
                      <w:iCs w:val="0"/>
                      <w:caps w:val="0"/>
                      <w:color w:val="auto"/>
                      <w:spacing w:val="0"/>
                      <w:sz w:val="21"/>
                      <w:szCs w:val="19"/>
                      <w:shd w:val="clear" w:fill="FFFFFF"/>
                      <w:lang w:val="en-US" w:eastAsia="zh-CN"/>
                    </w:rPr>
                    <w:t>1.强化塑料制品市场监管。对生产纳入淘汰产品目录塑料制品的企业要求停产限期整改，对生产塑料制品禁限目录中塑料产品的企业加强转产转型指导，对在生产塑料制品中违规添加对人体、环境有害的化学添加剂的企业依法实施惩戒。依法严肃查处违规销售塑料制品行为。加强重大典型案件的督查督办。</w:t>
                  </w:r>
                </w:p>
              </w:tc>
              <w:tc>
                <w:tcPr>
                  <w:tcW w:w="2268" w:type="dxa"/>
                  <w:tcBorders>
                    <w:tl2br w:val="nil"/>
                    <w:tr2bl w:val="nil"/>
                  </w:tcBorders>
                  <w:shd w:val="clear" w:color="auto" w:fill="auto"/>
                  <w:noWrap w:val="0"/>
                  <w:vAlign w:val="center"/>
                </w:tcPr>
                <w:p w14:paraId="24385F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default" w:ascii="Times New Roman" w:hAnsi="Times New Roman" w:eastAsia="宋体" w:cs="Times New Roman"/>
                      <w:b w:val="0"/>
                      <w:color w:val="auto"/>
                      <w:kern w:val="2"/>
                      <w:sz w:val="21"/>
                      <w:szCs w:val="21"/>
                      <w:highlight w:val="none"/>
                      <w:vertAlign w:val="baseline"/>
                      <w:lang w:val="en-US" w:eastAsia="zh-CN" w:bidi="ar-SA"/>
                    </w:rPr>
                  </w:pPr>
                  <w:r>
                    <w:rPr>
                      <w:rFonts w:hint="default" w:ascii="Times New Roman" w:hAnsi="Times New Roman" w:eastAsia="宋体" w:cs="Times New Roman"/>
                      <w:b w:val="0"/>
                      <w:color w:val="auto"/>
                      <w:kern w:val="2"/>
                      <w:sz w:val="21"/>
                      <w:szCs w:val="21"/>
                      <w:highlight w:val="none"/>
                      <w:vertAlign w:val="baseline"/>
                      <w:lang w:val="en-US" w:eastAsia="zh-CN" w:bidi="ar-SA"/>
                    </w:rPr>
                    <w:t>根据国家发展和改革委员会《产业结构调整指导目录（2024年本）》，</w:t>
                  </w:r>
                  <w:r>
                    <w:rPr>
                      <w:rFonts w:hint="eastAsia" w:cs="Times New Roman"/>
                      <w:b w:val="0"/>
                      <w:color w:val="auto"/>
                      <w:kern w:val="2"/>
                      <w:sz w:val="21"/>
                      <w:szCs w:val="21"/>
                      <w:highlight w:val="none"/>
                      <w:vertAlign w:val="baseline"/>
                      <w:lang w:val="en-US" w:eastAsia="zh-CN" w:bidi="ar-SA"/>
                    </w:rPr>
                    <w:t>本</w:t>
                  </w:r>
                  <w:r>
                    <w:rPr>
                      <w:rFonts w:hint="default" w:ascii="Times New Roman" w:hAnsi="Times New Roman" w:eastAsia="宋体" w:cs="Times New Roman"/>
                      <w:b w:val="0"/>
                      <w:color w:val="auto"/>
                      <w:kern w:val="2"/>
                      <w:sz w:val="21"/>
                      <w:szCs w:val="21"/>
                      <w:highlight w:val="none"/>
                      <w:vertAlign w:val="baseline"/>
                      <w:lang w:val="en-US" w:eastAsia="zh-CN" w:bidi="ar-SA"/>
                    </w:rPr>
                    <w:t>项目不属于其中的鼓励类、限制类、淘汰类，项目属于产业政策中的允许类项目。</w:t>
                  </w:r>
                  <w:r>
                    <w:rPr>
                      <w:rFonts w:hint="eastAsia" w:cs="Times New Roman"/>
                      <w:b w:val="0"/>
                      <w:color w:val="auto"/>
                      <w:kern w:val="2"/>
                      <w:sz w:val="21"/>
                      <w:szCs w:val="21"/>
                      <w:highlight w:val="none"/>
                      <w:vertAlign w:val="baseline"/>
                      <w:lang w:val="en-US" w:eastAsia="zh-CN" w:bidi="ar-SA"/>
                    </w:rPr>
                    <w:t>未被纳入</w:t>
                  </w:r>
                  <w:r>
                    <w:rPr>
                      <w:rFonts w:hint="default" w:ascii="Times New Roman" w:hAnsi="Times New Roman" w:eastAsia="宋体" w:cs="微软雅黑"/>
                      <w:b w:val="0"/>
                      <w:i w:val="0"/>
                      <w:iCs w:val="0"/>
                      <w:caps w:val="0"/>
                      <w:color w:val="auto"/>
                      <w:spacing w:val="0"/>
                      <w:sz w:val="21"/>
                      <w:szCs w:val="19"/>
                      <w:shd w:val="clear" w:fill="FFFFFF"/>
                      <w:lang w:val="en-US" w:eastAsia="zh-CN"/>
                    </w:rPr>
                    <w:t>淘汰产品目录</w:t>
                  </w:r>
                  <w:r>
                    <w:rPr>
                      <w:rFonts w:hint="eastAsia" w:cs="微软雅黑"/>
                      <w:b w:val="0"/>
                      <w:i w:val="0"/>
                      <w:iCs w:val="0"/>
                      <w:caps w:val="0"/>
                      <w:color w:val="auto"/>
                      <w:spacing w:val="0"/>
                      <w:sz w:val="21"/>
                      <w:szCs w:val="19"/>
                      <w:shd w:val="clear" w:fill="FFFFFF"/>
                      <w:lang w:val="en-US" w:eastAsia="zh-CN"/>
                    </w:rPr>
                    <w:t>，本项目涉及塑料的原辅料均购自正规厂家，未添加</w:t>
                  </w:r>
                  <w:r>
                    <w:rPr>
                      <w:rFonts w:hint="default" w:ascii="Times New Roman" w:hAnsi="Times New Roman" w:eastAsia="宋体" w:cs="微软雅黑"/>
                      <w:b w:val="0"/>
                      <w:i w:val="0"/>
                      <w:iCs w:val="0"/>
                      <w:caps w:val="0"/>
                      <w:color w:val="auto"/>
                      <w:spacing w:val="0"/>
                      <w:sz w:val="21"/>
                      <w:szCs w:val="19"/>
                      <w:shd w:val="clear" w:fill="FFFFFF"/>
                      <w:lang w:val="en-US" w:eastAsia="zh-CN"/>
                    </w:rPr>
                    <w:t>对人体、环境有害的化学添加剂</w:t>
                  </w:r>
                  <w:r>
                    <w:rPr>
                      <w:rFonts w:hint="eastAsia" w:cs="微软雅黑"/>
                      <w:b w:val="0"/>
                      <w:i w:val="0"/>
                      <w:iCs w:val="0"/>
                      <w:caps w:val="0"/>
                      <w:color w:val="auto"/>
                      <w:spacing w:val="0"/>
                      <w:sz w:val="21"/>
                      <w:szCs w:val="19"/>
                      <w:shd w:val="clear" w:fill="FFFFFF"/>
                      <w:lang w:val="en-US" w:eastAsia="zh-CN"/>
                    </w:rPr>
                    <w:t>。</w:t>
                  </w:r>
                </w:p>
              </w:tc>
              <w:tc>
                <w:tcPr>
                  <w:tcW w:w="1090" w:type="dxa"/>
                  <w:tcBorders>
                    <w:tl2br w:val="nil"/>
                    <w:tr2bl w:val="nil"/>
                  </w:tcBorders>
                  <w:noWrap w:val="0"/>
                  <w:vAlign w:val="center"/>
                </w:tcPr>
                <w:p w14:paraId="6A439C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color w:val="auto"/>
                      <w:sz w:val="21"/>
                      <w:szCs w:val="21"/>
                      <w:highlight w:val="none"/>
                      <w:lang w:val="en-US" w:eastAsia="zh-CN"/>
                    </w:rPr>
                  </w:pPr>
                  <w:r>
                    <w:rPr>
                      <w:rFonts w:hint="eastAsia" w:cs="Times New Roman"/>
                      <w:b w:val="0"/>
                      <w:color w:val="auto"/>
                      <w:sz w:val="21"/>
                      <w:szCs w:val="21"/>
                      <w:highlight w:val="none"/>
                      <w:lang w:val="en-US" w:eastAsia="zh-CN"/>
                    </w:rPr>
                    <w:t>符合</w:t>
                  </w:r>
                </w:p>
              </w:tc>
            </w:tr>
            <w:tr w14:paraId="2AA1E4C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103" w:type="dxa"/>
                  <w:tcBorders>
                    <w:tl2br w:val="nil"/>
                    <w:tr2bl w:val="nil"/>
                  </w:tcBorders>
                  <w:shd w:val="clear" w:color="auto" w:fill="auto"/>
                  <w:noWrap w:val="0"/>
                  <w:vAlign w:val="center"/>
                </w:tcPr>
                <w:p w14:paraId="4C3E616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default" w:ascii="Times New Roman" w:hAnsi="Times New Roman" w:eastAsia="宋体" w:cs="微软雅黑"/>
                      <w:b w:val="0"/>
                      <w:i w:val="0"/>
                      <w:iCs w:val="0"/>
                      <w:caps w:val="0"/>
                      <w:color w:val="auto"/>
                      <w:spacing w:val="0"/>
                      <w:sz w:val="21"/>
                      <w:szCs w:val="19"/>
                      <w:shd w:val="clear" w:fill="FFFFFF"/>
                      <w:lang w:val="en-US" w:eastAsia="zh-CN"/>
                    </w:rPr>
                  </w:pPr>
                  <w:r>
                    <w:rPr>
                      <w:rFonts w:hint="default" w:ascii="Times New Roman" w:hAnsi="Times New Roman" w:eastAsia="宋体" w:cs="微软雅黑"/>
                      <w:b w:val="0"/>
                      <w:i w:val="0"/>
                      <w:iCs w:val="0"/>
                      <w:caps w:val="0"/>
                      <w:color w:val="auto"/>
                      <w:spacing w:val="0"/>
                      <w:sz w:val="21"/>
                      <w:szCs w:val="19"/>
                      <w:shd w:val="clear" w:fill="FFFFFF"/>
                      <w:lang w:val="en-US" w:eastAsia="zh-CN"/>
                    </w:rPr>
                    <w:t>9.加强塑料废弃物回收和清理。结合实施垃圾分类，加大塑料废弃物等可回收物分类收集和处理力度，禁止随意堆放、倾倒。在商业综合体、车站、机场、港口码头等塑料废弃物产生量大的场所增加投放设施，提高清运频次，完善转运、转移协作制度和监管制度。推动菜鸟驿站等快递收运站点设置快递包装的回收设施。鼓励电商外卖平台、环卫部门、回收企业合作开展塑料包装回收处置，在写字楼等重点区域投放快递包装、外卖餐盒等回收设施，重点支持专业化智能化回收设施投放运营等项目实施。探索建立塑料制品押金回收制度、回收现金返还制度、积分奖励制度。规范废旧渔网渔具回收处置，建立健全农业生产塑料制品生产者责任延伸制，鼓励农用塑料制品的销售经营者回收购买者交回的废旧农用塑料制品，构建全过程监管体系。</w:t>
                  </w:r>
                </w:p>
              </w:tc>
              <w:tc>
                <w:tcPr>
                  <w:tcW w:w="2268" w:type="dxa"/>
                  <w:tcBorders>
                    <w:tl2br w:val="nil"/>
                    <w:tr2bl w:val="nil"/>
                  </w:tcBorders>
                  <w:shd w:val="clear" w:color="auto" w:fill="auto"/>
                  <w:noWrap w:val="0"/>
                  <w:vAlign w:val="center"/>
                </w:tcPr>
                <w:p w14:paraId="6D24AC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default" w:ascii="Times New Roman" w:hAnsi="Times New Roman" w:eastAsia="宋体" w:cs="Times New Roman"/>
                      <w:b w:val="0"/>
                      <w:color w:val="auto"/>
                      <w:kern w:val="2"/>
                      <w:sz w:val="21"/>
                      <w:szCs w:val="21"/>
                      <w:highlight w:val="none"/>
                      <w:vertAlign w:val="baseline"/>
                      <w:lang w:val="en-US" w:eastAsia="zh-CN" w:bidi="ar-SA"/>
                    </w:rPr>
                  </w:pPr>
                  <w:r>
                    <w:rPr>
                      <w:rFonts w:hint="eastAsia" w:cs="Times New Roman"/>
                      <w:b w:val="0"/>
                      <w:color w:val="auto"/>
                      <w:kern w:val="2"/>
                      <w:sz w:val="21"/>
                      <w:szCs w:val="21"/>
                      <w:highlight w:val="none"/>
                      <w:vertAlign w:val="baseline"/>
                      <w:lang w:val="en-US" w:eastAsia="zh-CN" w:bidi="ar-SA"/>
                    </w:rPr>
                    <w:t>本项目产生的废包装袋暂存于一般固废间，后</w:t>
                  </w:r>
                  <w:r>
                    <w:rPr>
                      <w:rFonts w:hint="default" w:ascii="Times New Roman" w:hAnsi="Times New Roman" w:eastAsia="宋体" w:cs="Times New Roman"/>
                      <w:color w:val="auto"/>
                      <w:kern w:val="2"/>
                      <w:sz w:val="21"/>
                      <w:szCs w:val="24"/>
                      <w:highlight w:val="none"/>
                      <w:lang w:val="en-US" w:eastAsia="zh-CN" w:bidi="ar-SA"/>
                    </w:rPr>
                    <w:t>外售综合利用</w:t>
                  </w:r>
                  <w:r>
                    <w:rPr>
                      <w:rFonts w:hint="eastAsia" w:cs="Times New Roman"/>
                      <w:color w:val="auto"/>
                      <w:kern w:val="2"/>
                      <w:sz w:val="21"/>
                      <w:szCs w:val="24"/>
                      <w:highlight w:val="none"/>
                      <w:lang w:val="en-US" w:eastAsia="zh-CN" w:bidi="ar-SA"/>
                    </w:rPr>
                    <w:t>，不</w:t>
                  </w:r>
                  <w:r>
                    <w:rPr>
                      <w:rFonts w:hint="default" w:ascii="Times New Roman" w:hAnsi="Times New Roman" w:eastAsia="宋体" w:cs="微软雅黑"/>
                      <w:b w:val="0"/>
                      <w:i w:val="0"/>
                      <w:iCs w:val="0"/>
                      <w:caps w:val="0"/>
                      <w:color w:val="auto"/>
                      <w:spacing w:val="0"/>
                      <w:sz w:val="21"/>
                      <w:szCs w:val="19"/>
                      <w:shd w:val="clear" w:fill="FFFFFF"/>
                      <w:lang w:val="en-US" w:eastAsia="zh-CN"/>
                    </w:rPr>
                    <w:t>随意堆放、倾倒。</w:t>
                  </w:r>
                  <w:r>
                    <w:rPr>
                      <w:rFonts w:hint="eastAsia" w:cs="微软雅黑"/>
                      <w:b w:val="0"/>
                      <w:i w:val="0"/>
                      <w:iCs w:val="0"/>
                      <w:caps w:val="0"/>
                      <w:color w:val="auto"/>
                      <w:spacing w:val="0"/>
                      <w:sz w:val="21"/>
                      <w:szCs w:val="19"/>
                      <w:shd w:val="clear" w:fill="FFFFFF"/>
                      <w:lang w:val="en-US" w:eastAsia="zh-CN"/>
                    </w:rPr>
                    <w:t>并且设有台账，</w:t>
                  </w:r>
                  <w:r>
                    <w:rPr>
                      <w:rFonts w:hint="default" w:ascii="Times New Roman" w:hAnsi="Times New Roman" w:eastAsia="宋体" w:cs="微软雅黑"/>
                      <w:b w:val="0"/>
                      <w:i w:val="0"/>
                      <w:iCs w:val="0"/>
                      <w:caps w:val="0"/>
                      <w:color w:val="auto"/>
                      <w:spacing w:val="0"/>
                      <w:sz w:val="21"/>
                      <w:szCs w:val="19"/>
                      <w:shd w:val="clear" w:fill="FFFFFF"/>
                      <w:lang w:val="en-US" w:eastAsia="zh-CN"/>
                    </w:rPr>
                    <w:t>构建全过程闭环监管体系</w:t>
                  </w:r>
                  <w:r>
                    <w:rPr>
                      <w:rFonts w:hint="eastAsia" w:cs="微软雅黑"/>
                      <w:b w:val="0"/>
                      <w:i w:val="0"/>
                      <w:iCs w:val="0"/>
                      <w:caps w:val="0"/>
                      <w:color w:val="auto"/>
                      <w:spacing w:val="0"/>
                      <w:sz w:val="21"/>
                      <w:szCs w:val="19"/>
                      <w:shd w:val="clear" w:fill="FFFFFF"/>
                      <w:lang w:val="en-US" w:eastAsia="zh-CN"/>
                    </w:rPr>
                    <w:t>。</w:t>
                  </w:r>
                </w:p>
              </w:tc>
              <w:tc>
                <w:tcPr>
                  <w:tcW w:w="1090" w:type="dxa"/>
                  <w:tcBorders>
                    <w:tl2br w:val="nil"/>
                    <w:tr2bl w:val="nil"/>
                  </w:tcBorders>
                  <w:shd w:val="clear" w:color="auto" w:fill="auto"/>
                  <w:noWrap w:val="0"/>
                  <w:vAlign w:val="center"/>
                </w:tcPr>
                <w:p w14:paraId="53C2CC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color w:val="auto"/>
                      <w:kern w:val="2"/>
                      <w:sz w:val="21"/>
                      <w:szCs w:val="21"/>
                      <w:highlight w:val="none"/>
                      <w:vertAlign w:val="baseline"/>
                      <w:lang w:val="en-US" w:eastAsia="zh-CN" w:bidi="ar-SA"/>
                    </w:rPr>
                  </w:pPr>
                  <w:r>
                    <w:rPr>
                      <w:rFonts w:hint="eastAsia" w:cs="Times New Roman"/>
                      <w:b w:val="0"/>
                      <w:color w:val="auto"/>
                      <w:sz w:val="21"/>
                      <w:szCs w:val="21"/>
                      <w:highlight w:val="none"/>
                      <w:lang w:val="en-US" w:eastAsia="zh-CN"/>
                    </w:rPr>
                    <w:t>符合</w:t>
                  </w:r>
                </w:p>
              </w:tc>
            </w:tr>
          </w:tbl>
          <w:p w14:paraId="50E3B4AE">
            <w:pPr>
              <w:pStyle w:val="9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firstLine="480" w:firstLineChars="200"/>
              <w:jc w:val="both"/>
              <w:textAlignment w:val="auto"/>
              <w:rPr>
                <w:rFonts w:hint="eastAsia" w:ascii="Times New Roman" w:hAnsi="Times New Roman" w:eastAsia="宋体" w:cs="Times New Roman"/>
                <w:b w:val="0"/>
                <w:bCs w:val="0"/>
                <w:color w:val="auto"/>
                <w:spacing w:val="0"/>
                <w:sz w:val="24"/>
                <w:szCs w:val="24"/>
                <w:highlight w:val="none"/>
                <w:u w:val="none"/>
                <w:lang w:val="en-US" w:eastAsia="zh-CN"/>
              </w:rPr>
            </w:pPr>
            <w:r>
              <w:rPr>
                <w:rFonts w:hint="eastAsia" w:ascii="Times New Roman" w:hAnsi="Times New Roman" w:eastAsia="宋体" w:cs="Times New Roman"/>
                <w:b w:val="0"/>
                <w:bCs w:val="0"/>
                <w:color w:val="auto"/>
                <w:spacing w:val="0"/>
                <w:sz w:val="24"/>
                <w:szCs w:val="24"/>
                <w:highlight w:val="none"/>
                <w:u w:val="none"/>
                <w:lang w:val="en-US" w:eastAsia="zh-CN"/>
              </w:rPr>
              <w:t>综上所述，本项目与</w:t>
            </w:r>
            <w:r>
              <w:rPr>
                <w:rFonts w:hint="eastAsia" w:ascii="Times New Roman" w:hAnsi="Times New Roman" w:eastAsia="宋体" w:cs="Times New Roman"/>
                <w:b w:val="0"/>
                <w:bCs w:val="0"/>
                <w:color w:val="auto"/>
                <w:sz w:val="24"/>
                <w:szCs w:val="24"/>
                <w:highlight w:val="none"/>
                <w:lang w:val="en-US" w:eastAsia="zh-CN"/>
              </w:rPr>
              <w:t>《江西省加强塑料污染治理的实施方案》（赣发改环资〔2020〕559号）</w:t>
            </w:r>
            <w:r>
              <w:rPr>
                <w:rFonts w:hint="eastAsia" w:ascii="Times New Roman" w:hAnsi="Times New Roman" w:eastAsia="宋体" w:cs="Times New Roman"/>
                <w:b w:val="0"/>
                <w:bCs w:val="0"/>
                <w:color w:val="auto"/>
                <w:spacing w:val="0"/>
                <w:sz w:val="24"/>
                <w:szCs w:val="24"/>
                <w:highlight w:val="none"/>
                <w:u w:val="none"/>
                <w:lang w:val="en-US" w:eastAsia="zh-CN"/>
              </w:rPr>
              <w:t>相符。</w:t>
            </w:r>
          </w:p>
          <w:p w14:paraId="113FC468">
            <w:pPr>
              <w:pStyle w:val="9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firstLine="482" w:firstLineChars="200"/>
              <w:jc w:val="both"/>
              <w:textAlignment w:val="auto"/>
              <w:rPr>
                <w:rFonts w:hint="default" w:ascii="Times New Roman" w:hAnsi="Times New Roman" w:eastAsia="宋体" w:cs="Times New Roman"/>
                <w:b/>
                <w:bCs/>
                <w:color w:val="auto"/>
                <w:spacing w:val="0"/>
                <w:sz w:val="24"/>
                <w:szCs w:val="24"/>
                <w:highlight w:val="none"/>
                <w:u w:val="none"/>
                <w:lang w:val="en-US" w:eastAsia="zh-CN"/>
              </w:rPr>
            </w:pPr>
            <w:r>
              <w:rPr>
                <w:rFonts w:hint="eastAsia" w:ascii="Times New Roman" w:hAnsi="Times New Roman" w:eastAsia="宋体" w:cs="Times New Roman"/>
                <w:b/>
                <w:bCs/>
                <w:color w:val="auto"/>
                <w:spacing w:val="0"/>
                <w:sz w:val="24"/>
                <w:szCs w:val="24"/>
                <w:highlight w:val="none"/>
                <w:u w:val="none"/>
                <w:lang w:val="en-US" w:eastAsia="zh-CN"/>
              </w:rPr>
              <w:t>12</w:t>
            </w:r>
            <w:r>
              <w:rPr>
                <w:rFonts w:hint="default" w:ascii="Times New Roman" w:hAnsi="Times New Roman" w:eastAsia="宋体" w:cs="Times New Roman"/>
                <w:b/>
                <w:bCs/>
                <w:color w:val="auto"/>
                <w:spacing w:val="0"/>
                <w:sz w:val="24"/>
                <w:szCs w:val="24"/>
                <w:highlight w:val="none"/>
                <w:u w:val="none"/>
                <w:lang w:val="en-US" w:eastAsia="zh-CN"/>
              </w:rPr>
              <w:t>、与《鄱阳湖生态经济区保护条例》相符性分析</w:t>
            </w:r>
          </w:p>
          <w:p w14:paraId="53E2E128">
            <w:pPr>
              <w:pStyle w:val="9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textAlignment w:val="auto"/>
              <w:rPr>
                <w:rFonts w:hint="default" w:ascii="Times New Roman" w:hAnsi="Times New Roman" w:eastAsia="宋体" w:cs="Times New Roman"/>
                <w:color w:val="auto"/>
                <w:spacing w:val="0"/>
                <w:sz w:val="24"/>
                <w:szCs w:val="24"/>
                <w:highlight w:val="none"/>
              </w:rPr>
            </w:pPr>
            <w:r>
              <w:rPr>
                <w:rFonts w:hint="default" w:ascii="Times New Roman" w:hAnsi="Times New Roman" w:eastAsia="宋体" w:cs="Times New Roman"/>
                <w:color w:val="auto"/>
                <w:spacing w:val="0"/>
                <w:sz w:val="24"/>
                <w:szCs w:val="24"/>
                <w:highlight w:val="none"/>
              </w:rPr>
              <w:t>《鄱阳湖生态经济区规划》范围包括南昌、景德镇、鹰潭3市，以及九江、新余、抚州、宜春、上饶、吉安的部分县（市、区），共38个县（市、区），面积5.12万平方公里。发展定位为：全国大湖流域综合开发示范区、长江中下游水生态安全保障区、加快中部崛起重要带动区、国际生态经济合作重要平台。围绕上述定位，着力构建安全可靠的生态环境保护体系、调配有效的水利保障体系、清洁安全的能源供应体系、高效便捷的综合交通运输体系；重点建设区域性优质农产品生产基地，生态旅游基地，光电、新能源、生物及航空产业基地，改造提升铜、钢铁、化工、汽车等传统产业基地。该规划功能分区为湖体核心保护区：范围为鄱阳湖水体和湿地；区域功能是：强化生态功能，禁止开发建设。滨湖控制开发带：范围为沿湖岸线邻水区域，以最高水位线为界限；区域功能是：构建生态屏障，严格控制开发。高效集约发展区：范围为区域其他地区，面积4.22万平方公里。</w:t>
            </w:r>
          </w:p>
          <w:p w14:paraId="632DFBB5">
            <w:pPr>
              <w:pStyle w:val="9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textAlignment w:val="auto"/>
              <w:rPr>
                <w:rFonts w:hint="eastAsia" w:ascii="Times New Roman" w:hAnsi="Times New Roman" w:cs="Times New Roman"/>
                <w:color w:val="auto"/>
                <w:spacing w:val="0"/>
                <w:sz w:val="24"/>
                <w:szCs w:val="24"/>
                <w:highlight w:val="none"/>
                <w:lang w:val="en-US" w:eastAsia="zh-CN"/>
              </w:rPr>
            </w:pPr>
            <w:r>
              <w:rPr>
                <w:rFonts w:hint="default" w:ascii="Times New Roman" w:hAnsi="Times New Roman" w:cs="Times New Roman"/>
                <w:color w:val="auto"/>
                <w:spacing w:val="0"/>
                <w:sz w:val="24"/>
                <w:szCs w:val="24"/>
                <w:highlight w:val="none"/>
                <w:lang w:val="en-US" w:eastAsia="zh-CN"/>
              </w:rPr>
              <w:t>本项目位于</w:t>
            </w:r>
            <w:r>
              <w:rPr>
                <w:rFonts w:hint="eastAsia" w:ascii="Times New Roman" w:hAnsi="Times New Roman" w:cs="Times New Roman"/>
                <w:color w:val="auto"/>
                <w:spacing w:val="0"/>
                <w:sz w:val="24"/>
                <w:szCs w:val="24"/>
                <w:highlight w:val="none"/>
                <w:lang w:val="en-US" w:eastAsia="zh-CN"/>
              </w:rPr>
              <w:t>江西省景德镇市乐平市金山工业园</w:t>
            </w:r>
            <w:r>
              <w:rPr>
                <w:rFonts w:hint="default" w:ascii="Times New Roman" w:hAnsi="Times New Roman" w:cs="Times New Roman"/>
                <w:color w:val="auto"/>
                <w:spacing w:val="0"/>
                <w:sz w:val="24"/>
                <w:szCs w:val="24"/>
                <w:highlight w:val="none"/>
                <w:lang w:val="en-US" w:eastAsia="zh-CN"/>
              </w:rPr>
              <w:t>内，属于高效集约发展区</w:t>
            </w:r>
            <w:r>
              <w:rPr>
                <w:rFonts w:hint="default" w:ascii="Times New Roman" w:hAnsi="Times New Roman" w:eastAsia="宋体" w:cs="Times New Roman"/>
                <w:color w:val="auto"/>
                <w:spacing w:val="0"/>
                <w:sz w:val="24"/>
                <w:szCs w:val="24"/>
                <w:highlight w:val="none"/>
              </w:rPr>
              <w:t>范围</w:t>
            </w:r>
            <w:r>
              <w:rPr>
                <w:rFonts w:hint="default" w:ascii="Times New Roman" w:hAnsi="Times New Roman" w:cs="Times New Roman"/>
                <w:color w:val="auto"/>
                <w:spacing w:val="0"/>
                <w:sz w:val="24"/>
                <w:szCs w:val="24"/>
                <w:highlight w:val="none"/>
                <w:lang w:val="en-US" w:eastAsia="zh-CN"/>
              </w:rPr>
              <w:t>，根据《鄱阳湖生态经济区环境保护条例》第</w:t>
            </w:r>
            <w:r>
              <w:rPr>
                <w:rFonts w:hint="eastAsia" w:ascii="Times New Roman" w:hAnsi="Times New Roman" w:cs="Times New Roman"/>
                <w:color w:val="auto"/>
                <w:spacing w:val="0"/>
                <w:sz w:val="24"/>
                <w:szCs w:val="24"/>
                <w:highlight w:val="none"/>
                <w:lang w:val="en-US" w:eastAsia="zh-CN"/>
              </w:rPr>
              <w:t>三十一</w:t>
            </w:r>
            <w:r>
              <w:rPr>
                <w:rFonts w:hint="default" w:ascii="Times New Roman" w:hAnsi="Times New Roman" w:cs="Times New Roman"/>
                <w:color w:val="auto"/>
                <w:spacing w:val="0"/>
                <w:sz w:val="24"/>
                <w:szCs w:val="24"/>
                <w:highlight w:val="none"/>
                <w:lang w:val="en-US" w:eastAsia="zh-CN"/>
              </w:rPr>
              <w:t>条规定，在高效集约发展区内，县级以上人民政府应当科学划分生态保护、农业发展、城镇建设和产业集聚区域。在高效集约发展区内进行开发建设活动，不得影响自然保护区、自然和文化遗产、风景名胜区、森林公园、湿地公园、地质公园以及饮用水源地、水源涵养区的生态环境和安全</w:t>
            </w:r>
            <w:r>
              <w:rPr>
                <w:rFonts w:hint="eastAsia" w:ascii="Times New Roman" w:hAnsi="Times New Roman" w:cs="Times New Roman"/>
                <w:color w:val="auto"/>
                <w:spacing w:val="0"/>
                <w:sz w:val="24"/>
                <w:szCs w:val="24"/>
                <w:highlight w:val="none"/>
                <w:lang w:val="en-US" w:eastAsia="zh-CN"/>
              </w:rPr>
              <w:t>；第三十二条规定，在高效集约发展区内，县级以上人民政府应当根据鄱阳湖生态经济区规划和国家的产业政策，将节能、节水、节地、节材、资源综合利用、可再生能源、可循环利用项目列为重点投资领域；鼓励发展低能耗、高附加值的高新技术产业，控制高耗能、高污染、资源性项目；鼓励对废水、废气、固体废弃物等的循环利用，推进传统产业升级改造，优化产业结构。</w:t>
            </w:r>
          </w:p>
          <w:p w14:paraId="2B6C75D3">
            <w:pPr>
              <w:pStyle w:val="2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cs="Times New Roman"/>
                <w:color w:val="auto"/>
                <w:spacing w:val="0"/>
                <w:sz w:val="24"/>
                <w:szCs w:val="24"/>
                <w:highlight w:val="none"/>
                <w:lang w:val="en-US" w:eastAsia="zh-CN"/>
              </w:rPr>
            </w:pPr>
            <w:r>
              <w:rPr>
                <w:rFonts w:hint="default" w:ascii="Times New Roman" w:hAnsi="Times New Roman" w:cs="Times New Roman"/>
                <w:color w:val="auto"/>
                <w:spacing w:val="0"/>
                <w:sz w:val="24"/>
                <w:szCs w:val="24"/>
                <w:highlight w:val="none"/>
                <w:lang w:val="en-US" w:eastAsia="zh-CN"/>
              </w:rPr>
              <w:t>本项目位于</w:t>
            </w:r>
            <w:r>
              <w:rPr>
                <w:rFonts w:hint="eastAsia" w:cs="Times New Roman"/>
                <w:color w:val="auto"/>
                <w:spacing w:val="0"/>
                <w:sz w:val="24"/>
                <w:szCs w:val="24"/>
                <w:highlight w:val="none"/>
                <w:lang w:val="en-US" w:eastAsia="zh-CN"/>
              </w:rPr>
              <w:t>江西省景德镇市乐平市金山工业园</w:t>
            </w:r>
            <w:r>
              <w:rPr>
                <w:rFonts w:hint="default" w:ascii="Times New Roman" w:hAnsi="Times New Roman" w:cs="Times New Roman"/>
                <w:color w:val="auto"/>
                <w:spacing w:val="0"/>
                <w:sz w:val="24"/>
                <w:szCs w:val="24"/>
                <w:highlight w:val="none"/>
                <w:lang w:val="en-US" w:eastAsia="zh-CN"/>
              </w:rPr>
              <w:t>内</w:t>
            </w:r>
            <w:r>
              <w:rPr>
                <w:rFonts w:hint="eastAsia" w:ascii="Times New Roman" w:hAnsi="Times New Roman" w:cs="Times New Roman"/>
                <w:color w:val="auto"/>
                <w:spacing w:val="0"/>
                <w:sz w:val="24"/>
                <w:szCs w:val="24"/>
                <w:highlight w:val="none"/>
                <w:lang w:val="en-US" w:eastAsia="zh-CN"/>
              </w:rPr>
              <w:t>，项目</w:t>
            </w:r>
            <w:r>
              <w:rPr>
                <w:rFonts w:hint="default" w:ascii="Times New Roman" w:hAnsi="Times New Roman" w:cs="Times New Roman"/>
                <w:color w:val="auto"/>
                <w:spacing w:val="0"/>
                <w:sz w:val="24"/>
                <w:szCs w:val="24"/>
                <w:highlight w:val="none"/>
                <w:lang w:val="en-US" w:eastAsia="zh-CN"/>
              </w:rPr>
              <w:t>主要为</w:t>
            </w:r>
            <w:r>
              <w:rPr>
                <w:rFonts w:hint="eastAsia" w:cs="Times New Roman"/>
                <w:color w:val="auto"/>
                <w:spacing w:val="0"/>
                <w:sz w:val="24"/>
                <w:szCs w:val="24"/>
                <w:highlight w:val="none"/>
                <w:lang w:val="en-US" w:eastAsia="zh-CN"/>
              </w:rPr>
              <w:t>光学配件玻璃产品制造</w:t>
            </w:r>
            <w:r>
              <w:rPr>
                <w:rFonts w:hint="default" w:ascii="Times New Roman" w:hAnsi="Times New Roman" w:cs="Times New Roman"/>
                <w:color w:val="auto"/>
                <w:spacing w:val="0"/>
                <w:sz w:val="24"/>
                <w:szCs w:val="24"/>
                <w:highlight w:val="none"/>
                <w:lang w:val="en-US" w:eastAsia="zh-CN"/>
              </w:rPr>
              <w:t>，</w:t>
            </w:r>
            <w:r>
              <w:rPr>
                <w:rFonts w:hint="eastAsia" w:ascii="Times New Roman" w:hAnsi="Times New Roman" w:cs="Times New Roman"/>
                <w:color w:val="auto"/>
                <w:spacing w:val="0"/>
                <w:sz w:val="24"/>
                <w:szCs w:val="24"/>
                <w:highlight w:val="none"/>
                <w:lang w:val="en-US" w:eastAsia="zh-CN"/>
              </w:rPr>
              <w:t>不涉及自然保护区、自然和文化遗产、风景名胜区、森林公园、湿地公园、地质公园以及饮用水源地、水源涵养区等</w:t>
            </w:r>
            <w:r>
              <w:rPr>
                <w:rFonts w:hint="default" w:ascii="Times New Roman" w:hAnsi="Times New Roman" w:cs="Times New Roman"/>
                <w:color w:val="auto"/>
                <w:spacing w:val="0"/>
                <w:sz w:val="24"/>
                <w:szCs w:val="24"/>
                <w:highlight w:val="none"/>
                <w:lang w:val="en-US" w:eastAsia="zh-CN"/>
              </w:rPr>
              <w:t>，</w:t>
            </w:r>
            <w:r>
              <w:rPr>
                <w:rFonts w:hint="default" w:ascii="Times New Roman" w:hAnsi="Times New Roman" w:eastAsia="宋体" w:cs="Times New Roman"/>
                <w:color w:val="auto"/>
                <w:spacing w:val="0"/>
                <w:sz w:val="24"/>
                <w:szCs w:val="24"/>
                <w:highlight w:val="none"/>
              </w:rPr>
              <w:t>项目运营过程采用先进设备工艺，</w:t>
            </w:r>
            <w:r>
              <w:rPr>
                <w:rFonts w:hint="default" w:ascii="Times New Roman" w:hAnsi="Times New Roman" w:eastAsia="宋体" w:cs="Times New Roman"/>
                <w:color w:val="auto"/>
                <w:spacing w:val="0"/>
                <w:sz w:val="24"/>
                <w:szCs w:val="24"/>
                <w:highlight w:val="none"/>
                <w:lang w:eastAsia="zh-CN"/>
              </w:rPr>
              <w:t>各项污染物均采取了有效治理措施</w:t>
            </w:r>
            <w:r>
              <w:rPr>
                <w:rFonts w:hint="eastAsia" w:ascii="Times New Roman" w:hAnsi="Times New Roman" w:eastAsia="宋体" w:cs="Times New Roman"/>
                <w:color w:val="auto"/>
                <w:spacing w:val="0"/>
                <w:sz w:val="24"/>
                <w:szCs w:val="24"/>
                <w:highlight w:val="none"/>
                <w:lang w:val="en-US" w:eastAsia="zh-CN"/>
              </w:rPr>
              <w:t>处理</w:t>
            </w:r>
            <w:r>
              <w:rPr>
                <w:rFonts w:hint="default" w:ascii="Times New Roman" w:hAnsi="Times New Roman" w:eastAsia="宋体" w:cs="Times New Roman"/>
                <w:color w:val="auto"/>
                <w:spacing w:val="0"/>
                <w:sz w:val="24"/>
                <w:szCs w:val="24"/>
                <w:highlight w:val="none"/>
                <w:lang w:eastAsia="zh-CN"/>
              </w:rPr>
              <w:t>，对周边环境影响较小，</w:t>
            </w:r>
            <w:r>
              <w:rPr>
                <w:rFonts w:hint="default" w:ascii="Times New Roman" w:hAnsi="Times New Roman" w:eastAsia="宋体" w:cs="Times New Roman"/>
                <w:color w:val="auto"/>
                <w:spacing w:val="0"/>
                <w:sz w:val="24"/>
                <w:szCs w:val="24"/>
                <w:highlight w:val="none"/>
              </w:rPr>
              <w:t>不会对鄱阳湖造成影响</w:t>
            </w:r>
            <w:r>
              <w:rPr>
                <w:rFonts w:hint="default" w:ascii="Times New Roman" w:hAnsi="Times New Roman" w:eastAsia="宋体" w:cs="Times New Roman"/>
                <w:color w:val="auto"/>
                <w:spacing w:val="0"/>
                <w:sz w:val="24"/>
                <w:szCs w:val="24"/>
                <w:highlight w:val="none"/>
                <w:lang w:eastAsia="zh-CN"/>
              </w:rPr>
              <w:t>，</w:t>
            </w:r>
            <w:r>
              <w:rPr>
                <w:rFonts w:hint="default" w:ascii="Times New Roman" w:hAnsi="Times New Roman" w:cs="Times New Roman"/>
                <w:color w:val="auto"/>
                <w:spacing w:val="0"/>
                <w:sz w:val="24"/>
                <w:szCs w:val="24"/>
                <w:highlight w:val="none"/>
                <w:lang w:val="en-US" w:eastAsia="zh-CN"/>
              </w:rPr>
              <w:t>因此，本项目的建设</w:t>
            </w:r>
            <w:r>
              <w:rPr>
                <w:rFonts w:hint="eastAsia" w:ascii="Times New Roman" w:hAnsi="Times New Roman" w:cs="Times New Roman"/>
                <w:color w:val="auto"/>
                <w:spacing w:val="0"/>
                <w:sz w:val="24"/>
                <w:szCs w:val="24"/>
                <w:highlight w:val="none"/>
                <w:lang w:val="en-US" w:eastAsia="zh-CN"/>
              </w:rPr>
              <w:t>与</w:t>
            </w:r>
            <w:r>
              <w:rPr>
                <w:rFonts w:hint="default" w:ascii="Times New Roman" w:hAnsi="Times New Roman" w:cs="Times New Roman"/>
                <w:color w:val="auto"/>
                <w:spacing w:val="0"/>
                <w:sz w:val="24"/>
                <w:szCs w:val="24"/>
                <w:highlight w:val="none"/>
                <w:lang w:val="en-US" w:eastAsia="zh-CN"/>
              </w:rPr>
              <w:t>《鄱阳湖生态经济区环境保护条例》</w:t>
            </w:r>
            <w:r>
              <w:rPr>
                <w:rFonts w:hint="eastAsia" w:ascii="Times New Roman" w:hAnsi="Times New Roman" w:cs="Times New Roman"/>
                <w:color w:val="auto"/>
                <w:spacing w:val="0"/>
                <w:sz w:val="24"/>
                <w:szCs w:val="24"/>
                <w:highlight w:val="none"/>
                <w:lang w:val="en-US" w:eastAsia="zh-CN"/>
              </w:rPr>
              <w:t>相符</w:t>
            </w:r>
            <w:r>
              <w:rPr>
                <w:rFonts w:hint="default" w:ascii="Times New Roman" w:hAnsi="Times New Roman" w:cs="Times New Roman"/>
                <w:color w:val="auto"/>
                <w:spacing w:val="0"/>
                <w:sz w:val="24"/>
                <w:szCs w:val="24"/>
                <w:highlight w:val="none"/>
                <w:lang w:val="en-US" w:eastAsia="zh-CN"/>
              </w:rPr>
              <w:t>。</w:t>
            </w:r>
          </w:p>
          <w:p w14:paraId="40168942">
            <w:pPr>
              <w:pStyle w:val="2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cs="Times New Roman"/>
                <w:color w:val="auto"/>
                <w:kern w:val="2"/>
                <w:sz w:val="24"/>
                <w:szCs w:val="24"/>
                <w:highlight w:val="none"/>
                <w:lang w:val="en-US" w:eastAsia="zh-CN" w:bidi="ar-SA"/>
              </w:rPr>
            </w:pPr>
            <w:r>
              <w:rPr>
                <w:rFonts w:hint="eastAsia" w:cs="Times New Roman"/>
                <w:b/>
                <w:bCs/>
                <w:color w:val="auto"/>
                <w:kern w:val="2"/>
                <w:sz w:val="24"/>
                <w:szCs w:val="24"/>
                <w:highlight w:val="none"/>
                <w:lang w:val="en-US" w:eastAsia="zh-CN" w:bidi="ar-SA"/>
              </w:rPr>
              <w:t>13、与《江西省生态环境厅关于印发江西省重点行业挥发性有机物综合治理方案的通知》（赣环大气〔2019〕20号）相符性分析</w:t>
            </w:r>
          </w:p>
          <w:p w14:paraId="10BC9FCF">
            <w:pPr>
              <w:pStyle w:val="8"/>
              <w:keepNext w:val="0"/>
              <w:keepLines w:val="0"/>
              <w:suppressLineNumbers w:val="0"/>
              <w:bidi w:val="0"/>
              <w:spacing w:before="0" w:beforeAutospacing="0" w:after="0" w:afterAutospacing="0"/>
              <w:ind w:left="0" w:right="0"/>
              <w:jc w:val="center"/>
              <w:rPr>
                <w:rFonts w:hint="default" w:ascii="Times New Roman" w:hAnsi="Times New Roman" w:eastAsia="宋体" w:cs="Times New Roman"/>
                <w:b/>
                <w:bCs/>
                <w:color w:val="auto"/>
                <w:highlight w:val="none"/>
                <w:lang w:val="en-US" w:eastAsia="zh-CN"/>
              </w:rPr>
            </w:pPr>
            <w:r>
              <w:rPr>
                <w:rFonts w:hint="eastAsia" w:ascii="Times New Roman" w:hAnsi="Times New Roman" w:eastAsia="宋体" w:cs="Times New Roman"/>
                <w:b/>
                <w:bCs/>
                <w:color w:val="auto"/>
                <w:highlight w:val="none"/>
                <w:lang w:val="en-US" w:eastAsia="zh-CN"/>
              </w:rPr>
              <w:t>表1-</w:t>
            </w:r>
            <w:r>
              <w:rPr>
                <w:rFonts w:hint="eastAsia" w:cs="Times New Roman"/>
                <w:b/>
                <w:bCs/>
                <w:color w:val="auto"/>
                <w:highlight w:val="none"/>
                <w:lang w:val="en-US" w:eastAsia="zh-CN"/>
              </w:rPr>
              <w:t>14</w:t>
            </w:r>
            <w:r>
              <w:rPr>
                <w:rFonts w:hint="eastAsia" w:ascii="Times New Roman" w:hAnsi="Times New Roman" w:eastAsia="宋体" w:cs="Times New Roman"/>
                <w:b/>
                <w:bCs/>
                <w:color w:val="auto"/>
                <w:highlight w:val="none"/>
                <w:lang w:val="en-US" w:eastAsia="zh-CN"/>
              </w:rPr>
              <w:t xml:space="preserve">   与江西省重点行业挥发性有机物综合治理方案相符性分析</w:t>
            </w:r>
          </w:p>
          <w:tbl>
            <w:tblPr>
              <w:tblStyle w:val="27"/>
              <w:tblW w:w="4997" w:type="pct"/>
              <w:tblInd w:w="5"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3852"/>
              <w:gridCol w:w="2402"/>
              <w:gridCol w:w="1203"/>
            </w:tblGrid>
            <w:tr w14:paraId="44CA7B2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582" w:type="pct"/>
                  <w:tcBorders>
                    <w:tl2br w:val="nil"/>
                    <w:tr2bl w:val="nil"/>
                  </w:tcBorders>
                  <w:noWrap w:val="0"/>
                  <w:vAlign w:val="center"/>
                </w:tcPr>
                <w:p w14:paraId="029F70D7">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auto"/>
                    <w:rPr>
                      <w:rFonts w:hint="default"/>
                      <w:b/>
                      <w:bCs/>
                      <w:color w:val="auto"/>
                      <w:highlight w:val="none"/>
                    </w:rPr>
                  </w:pPr>
                  <w:r>
                    <w:rPr>
                      <w:rFonts w:hint="eastAsia"/>
                      <w:b/>
                      <w:bCs/>
                      <w:color w:val="auto"/>
                      <w:highlight w:val="none"/>
                    </w:rPr>
                    <w:t>内容</w:t>
                  </w:r>
                </w:p>
              </w:tc>
              <w:tc>
                <w:tcPr>
                  <w:tcW w:w="1610" w:type="pct"/>
                  <w:tcBorders>
                    <w:tl2br w:val="nil"/>
                    <w:tr2bl w:val="nil"/>
                  </w:tcBorders>
                  <w:noWrap w:val="0"/>
                  <w:vAlign w:val="center"/>
                </w:tcPr>
                <w:p w14:paraId="15C4CA03">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auto"/>
                    <w:rPr>
                      <w:rFonts w:hint="default"/>
                      <w:b/>
                      <w:bCs/>
                      <w:color w:val="auto"/>
                      <w:highlight w:val="none"/>
                    </w:rPr>
                  </w:pPr>
                  <w:r>
                    <w:rPr>
                      <w:rFonts w:hint="eastAsia"/>
                      <w:b/>
                      <w:bCs/>
                      <w:color w:val="auto"/>
                      <w:highlight w:val="none"/>
                    </w:rPr>
                    <w:t>本项目情况</w:t>
                  </w:r>
                </w:p>
              </w:tc>
              <w:tc>
                <w:tcPr>
                  <w:tcW w:w="806" w:type="pct"/>
                  <w:tcBorders>
                    <w:tl2br w:val="nil"/>
                    <w:tr2bl w:val="nil"/>
                  </w:tcBorders>
                  <w:noWrap w:val="0"/>
                  <w:vAlign w:val="center"/>
                </w:tcPr>
                <w:p w14:paraId="50E23A27">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eastAsia="宋体"/>
                      <w:b/>
                      <w:bCs/>
                      <w:color w:val="auto"/>
                      <w:highlight w:val="none"/>
                      <w:lang w:eastAsia="zh-CN"/>
                    </w:rPr>
                  </w:pPr>
                  <w:r>
                    <w:rPr>
                      <w:rFonts w:hint="default"/>
                      <w:b/>
                      <w:bCs/>
                      <w:color w:val="auto"/>
                      <w:highlight w:val="none"/>
                    </w:rPr>
                    <w:t>相符</w:t>
                  </w:r>
                  <w:r>
                    <w:rPr>
                      <w:rFonts w:hint="eastAsia"/>
                      <w:b/>
                      <w:bCs/>
                      <w:color w:val="auto"/>
                      <w:highlight w:val="none"/>
                      <w:lang w:val="en-US" w:eastAsia="zh-CN"/>
                    </w:rPr>
                    <w:t>情况</w:t>
                  </w:r>
                </w:p>
              </w:tc>
            </w:tr>
            <w:tr w14:paraId="3973250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582" w:type="pct"/>
                  <w:tcBorders>
                    <w:tl2br w:val="nil"/>
                    <w:tr2bl w:val="nil"/>
                  </w:tcBorders>
                  <w:noWrap w:val="0"/>
                  <w:vAlign w:val="center"/>
                </w:tcPr>
                <w:p w14:paraId="25CFBC7D">
                  <w:pPr>
                    <w:keepNext w:val="0"/>
                    <w:keepLines w:val="0"/>
                    <w:suppressLineNumbers w:val="0"/>
                    <w:adjustRightInd w:val="0"/>
                    <w:snapToGrid w:val="0"/>
                    <w:spacing w:before="0" w:beforeAutospacing="0" w:after="0" w:afterAutospacing="0" w:line="240" w:lineRule="auto"/>
                    <w:ind w:left="0" w:right="0" w:firstLine="0" w:firstLineChars="0"/>
                    <w:jc w:val="both"/>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1、</w:t>
                  </w:r>
                  <w:r>
                    <w:rPr>
                      <w:rFonts w:hint="default" w:ascii="Times New Roman" w:hAnsi="Times New Roman" w:eastAsia="宋体" w:cs="Times New Roman"/>
                      <w:color w:val="auto"/>
                      <w:sz w:val="21"/>
                      <w:szCs w:val="21"/>
                      <w:highlight w:val="none"/>
                    </w:rPr>
                    <w:t>大力推进</w:t>
                  </w:r>
                  <w:r>
                    <w:rPr>
                      <w:rFonts w:hint="eastAsia" w:ascii="Times New Roman" w:hAnsi="Times New Roman" w:eastAsia="宋体" w:cs="Times New Roman"/>
                      <w:color w:val="auto"/>
                      <w:sz w:val="21"/>
                      <w:szCs w:val="21"/>
                      <w:highlight w:val="none"/>
                      <w:lang w:val="en-US" w:eastAsia="zh-CN"/>
                    </w:rPr>
                    <w:t>源</w:t>
                  </w:r>
                  <w:r>
                    <w:rPr>
                      <w:rFonts w:hint="default" w:ascii="Times New Roman" w:hAnsi="Times New Roman" w:eastAsia="宋体" w:cs="Times New Roman"/>
                      <w:color w:val="auto"/>
                      <w:sz w:val="21"/>
                      <w:szCs w:val="21"/>
                      <w:highlight w:val="none"/>
                    </w:rPr>
                    <w:t>头控制。有机化工行业要推广使用低（无）VOCs含量、低反应活性的原</w:t>
                  </w:r>
                  <w:r>
                    <w:rPr>
                      <w:rFonts w:hint="eastAsia" w:ascii="Times New Roman" w:hAnsi="Times New Roman" w:eastAsia="宋体" w:cs="Times New Roman"/>
                      <w:color w:val="auto"/>
                      <w:sz w:val="21"/>
                      <w:szCs w:val="21"/>
                      <w:highlight w:val="none"/>
                      <w:lang w:val="en-US" w:eastAsia="zh-CN"/>
                    </w:rPr>
                    <w:t>辅</w:t>
                  </w:r>
                  <w:r>
                    <w:rPr>
                      <w:rFonts w:hint="default" w:ascii="Times New Roman" w:hAnsi="Times New Roman" w:eastAsia="宋体" w:cs="Times New Roman"/>
                      <w:color w:val="auto"/>
                      <w:sz w:val="21"/>
                      <w:szCs w:val="21"/>
                      <w:highlight w:val="none"/>
                    </w:rPr>
                    <w:t>材料，加快对芳香烃、含卤素有机化合物的绿色替代</w:t>
                  </w:r>
                  <w:r>
                    <w:rPr>
                      <w:rFonts w:hint="eastAsia" w:ascii="Times New Roman" w:hAnsi="Times New Roman" w:eastAsia="宋体" w:cs="Times New Roman"/>
                      <w:color w:val="auto"/>
                      <w:sz w:val="21"/>
                      <w:szCs w:val="21"/>
                      <w:highlight w:val="none"/>
                      <w:lang w:eastAsia="zh-CN"/>
                    </w:rPr>
                    <w:t>。</w:t>
                  </w:r>
                </w:p>
              </w:tc>
              <w:tc>
                <w:tcPr>
                  <w:tcW w:w="1610" w:type="pct"/>
                  <w:tcBorders>
                    <w:tl2br w:val="nil"/>
                    <w:tr2bl w:val="nil"/>
                  </w:tcBorders>
                  <w:noWrap w:val="0"/>
                  <w:vAlign w:val="center"/>
                </w:tcPr>
                <w:p w14:paraId="669417FE">
                  <w:pPr>
                    <w:keepNext w:val="0"/>
                    <w:keepLines w:val="0"/>
                    <w:suppressLineNumbers w:val="0"/>
                    <w:adjustRightInd w:val="0"/>
                    <w:snapToGrid w:val="0"/>
                    <w:spacing w:before="0" w:beforeAutospacing="0" w:after="0" w:afterAutospacing="0" w:line="240" w:lineRule="auto"/>
                    <w:ind w:left="0" w:right="0" w:firstLine="0" w:firstLineChars="0"/>
                    <w:jc w:val="both"/>
                    <w:rPr>
                      <w:rFonts w:hint="eastAsia"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rPr>
                    <w:t>本项目使用低（无）VOCs含量、低反应活性的原</w:t>
                  </w:r>
                  <w:r>
                    <w:rPr>
                      <w:rFonts w:hint="default" w:ascii="Times New Roman" w:hAnsi="Times New Roman" w:eastAsia="宋体" w:cs="Times New Roman"/>
                      <w:color w:val="auto"/>
                      <w:sz w:val="21"/>
                      <w:szCs w:val="21"/>
                      <w:highlight w:val="none"/>
                      <w:lang w:val="en-US" w:eastAsia="zh-CN"/>
                    </w:rPr>
                    <w:t>辅</w:t>
                  </w:r>
                  <w:r>
                    <w:rPr>
                      <w:rFonts w:hint="default" w:ascii="Times New Roman" w:hAnsi="Times New Roman" w:eastAsia="宋体" w:cs="Times New Roman"/>
                      <w:color w:val="auto"/>
                      <w:sz w:val="21"/>
                      <w:szCs w:val="21"/>
                      <w:highlight w:val="none"/>
                    </w:rPr>
                    <w:t>材料</w:t>
                  </w:r>
                  <w:r>
                    <w:rPr>
                      <w:rFonts w:hint="eastAsia" w:cs="Times New Roman"/>
                      <w:color w:val="auto"/>
                      <w:sz w:val="21"/>
                      <w:szCs w:val="21"/>
                      <w:highlight w:val="none"/>
                      <w:lang w:eastAsia="zh-CN"/>
                    </w:rPr>
                    <w:t>，</w:t>
                  </w:r>
                  <w:r>
                    <w:rPr>
                      <w:rFonts w:hint="eastAsia" w:cs="Times New Roman"/>
                      <w:color w:val="auto"/>
                      <w:sz w:val="21"/>
                      <w:szCs w:val="21"/>
                      <w:highlight w:val="none"/>
                      <w:lang w:val="en-US" w:eastAsia="zh-CN"/>
                    </w:rPr>
                    <w:t>不涉及芳香烃、含卤素有机化合物</w:t>
                  </w:r>
                  <w:r>
                    <w:rPr>
                      <w:rFonts w:hint="eastAsia" w:ascii="Times New Roman" w:hAnsi="Times New Roman" w:eastAsia="宋体" w:cs="Times New Roman"/>
                      <w:color w:val="auto"/>
                      <w:sz w:val="21"/>
                      <w:szCs w:val="21"/>
                      <w:highlight w:val="none"/>
                      <w:lang w:eastAsia="zh-CN"/>
                    </w:rPr>
                    <w:t>。</w:t>
                  </w:r>
                </w:p>
              </w:tc>
              <w:tc>
                <w:tcPr>
                  <w:tcW w:w="806" w:type="pct"/>
                  <w:tcBorders>
                    <w:tl2br w:val="nil"/>
                    <w:tr2bl w:val="nil"/>
                  </w:tcBorders>
                  <w:noWrap w:val="0"/>
                  <w:vAlign w:val="center"/>
                </w:tcPr>
                <w:p w14:paraId="7C0E7BA2">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auto"/>
                    <w:rPr>
                      <w:rFonts w:hint="default"/>
                      <w:color w:val="auto"/>
                      <w:highlight w:val="none"/>
                    </w:rPr>
                  </w:pPr>
                  <w:r>
                    <w:rPr>
                      <w:rFonts w:hint="eastAsia"/>
                      <w:color w:val="auto"/>
                      <w:highlight w:val="none"/>
                    </w:rPr>
                    <w:t>符合</w:t>
                  </w:r>
                </w:p>
              </w:tc>
            </w:tr>
            <w:tr w14:paraId="6648AC6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582" w:type="pct"/>
                  <w:tcBorders>
                    <w:tl2br w:val="nil"/>
                    <w:tr2bl w:val="nil"/>
                  </w:tcBorders>
                  <w:noWrap w:val="0"/>
                  <w:vAlign w:val="center"/>
                </w:tcPr>
                <w:p w14:paraId="09411038">
                  <w:pPr>
                    <w:keepNext w:val="0"/>
                    <w:keepLines w:val="0"/>
                    <w:suppressLineNumbers w:val="0"/>
                    <w:adjustRightInd w:val="0"/>
                    <w:snapToGrid w:val="0"/>
                    <w:spacing w:before="0" w:beforeAutospacing="0" w:after="0" w:afterAutospacing="0" w:line="240" w:lineRule="auto"/>
                    <w:ind w:left="0" w:right="0" w:firstLine="0" w:firstLineChars="0"/>
                    <w:jc w:val="both"/>
                    <w:rPr>
                      <w:rFonts w:hint="eastAsia"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2、</w:t>
                  </w:r>
                  <w:r>
                    <w:rPr>
                      <w:rFonts w:hint="default" w:ascii="Times New Roman" w:hAnsi="Times New Roman" w:eastAsia="宋体" w:cs="Times New Roman"/>
                      <w:color w:val="auto"/>
                      <w:sz w:val="21"/>
                      <w:szCs w:val="21"/>
                      <w:highlight w:val="none"/>
                    </w:rPr>
                    <w:t>全面</w:t>
                  </w:r>
                  <w:r>
                    <w:rPr>
                      <w:rFonts w:hint="eastAsia" w:ascii="Times New Roman" w:hAnsi="Times New Roman" w:eastAsia="宋体" w:cs="Times New Roman"/>
                      <w:color w:val="auto"/>
                      <w:sz w:val="21"/>
                      <w:szCs w:val="21"/>
                      <w:highlight w:val="none"/>
                      <w:lang w:val="en-US" w:eastAsia="zh-CN"/>
                    </w:rPr>
                    <w:t>加</w:t>
                  </w:r>
                  <w:r>
                    <w:rPr>
                      <w:rFonts w:hint="default" w:ascii="Times New Roman" w:hAnsi="Times New Roman" w:eastAsia="宋体" w:cs="Times New Roman"/>
                      <w:color w:val="auto"/>
                      <w:sz w:val="21"/>
                      <w:szCs w:val="21"/>
                      <w:highlight w:val="none"/>
                    </w:rPr>
                    <w:t>强无组织排放控制。重点对含VOCs物料（包括含VOCs原辅材料、含VOCs产品、含VOCs废料以及有机聚合物材料等</w:t>
                  </w:r>
                  <w:r>
                    <w:rPr>
                      <w:rFonts w:hint="eastAsia"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储存、转移和输送</w:t>
                  </w:r>
                  <w:r>
                    <w:rPr>
                      <w:rFonts w:hint="eastAsia"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设备与管线组件滑漏、敝开液面逸散以及工艺过程等五类排放源实施管控，通过采取设备与场所密闭、工艺改进、废气有效收集等措施，削减VOCs无组织排放。</w:t>
                  </w:r>
                </w:p>
              </w:tc>
              <w:tc>
                <w:tcPr>
                  <w:tcW w:w="1610" w:type="pct"/>
                  <w:tcBorders>
                    <w:tl2br w:val="nil"/>
                    <w:tr2bl w:val="nil"/>
                  </w:tcBorders>
                  <w:noWrap w:val="0"/>
                  <w:vAlign w:val="center"/>
                </w:tcPr>
                <w:p w14:paraId="5047A961">
                  <w:pPr>
                    <w:keepNext w:val="0"/>
                    <w:keepLines w:val="0"/>
                    <w:suppressLineNumbers w:val="0"/>
                    <w:adjustRightInd w:val="0"/>
                    <w:snapToGrid w:val="0"/>
                    <w:spacing w:before="0" w:beforeAutospacing="0" w:after="0" w:afterAutospacing="0" w:line="240" w:lineRule="auto"/>
                    <w:ind w:left="0" w:right="0" w:firstLine="0" w:firstLineChars="0"/>
                    <w:jc w:val="both"/>
                    <w:rPr>
                      <w:rFonts w:hint="eastAsia"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rPr>
                    <w:t>本项目</w:t>
                  </w:r>
                  <w:r>
                    <w:rPr>
                      <w:rFonts w:hint="eastAsia" w:cs="Times New Roman"/>
                      <w:color w:val="auto"/>
                      <w:sz w:val="21"/>
                      <w:szCs w:val="21"/>
                      <w:highlight w:val="none"/>
                      <w:lang w:val="en-US" w:eastAsia="zh-CN"/>
                    </w:rPr>
                    <w:t>使用</w:t>
                  </w:r>
                  <w:r>
                    <w:rPr>
                      <w:rFonts w:hint="default" w:ascii="Times New Roman" w:hAnsi="Times New Roman" w:eastAsia="宋体" w:cs="Times New Roman"/>
                      <w:color w:val="auto"/>
                      <w:sz w:val="21"/>
                      <w:szCs w:val="21"/>
                      <w:highlight w:val="none"/>
                    </w:rPr>
                    <w:t>含VOCs物料</w:t>
                  </w:r>
                  <w:r>
                    <w:rPr>
                      <w:rFonts w:hint="eastAsia" w:cs="Times New Roman"/>
                      <w:color w:val="auto"/>
                      <w:sz w:val="21"/>
                      <w:szCs w:val="21"/>
                      <w:highlight w:val="none"/>
                      <w:lang w:val="en-US" w:eastAsia="zh-CN"/>
                    </w:rPr>
                    <w:t>主要为PU胶、油墨、EVA处理剂、TPR处理剂，储存、转移和输送过程中采用密封罐密封，</w:t>
                  </w:r>
                  <w:r>
                    <w:rPr>
                      <w:rFonts w:hint="eastAsia" w:ascii="Times New Roman" w:hAnsi="Times New Roman" w:eastAsia="宋体" w:cs="Times New Roman"/>
                      <w:color w:val="auto"/>
                      <w:sz w:val="21"/>
                      <w:szCs w:val="21"/>
                      <w:highlight w:val="none"/>
                      <w:lang w:val="en-US" w:eastAsia="zh-CN"/>
                    </w:rPr>
                    <w:t>实施管控，</w:t>
                  </w:r>
                  <w:r>
                    <w:rPr>
                      <w:rFonts w:hint="eastAsia" w:cs="Times New Roman"/>
                      <w:color w:val="auto"/>
                      <w:sz w:val="21"/>
                      <w:szCs w:val="21"/>
                      <w:highlight w:val="none"/>
                      <w:lang w:val="en-US" w:eastAsia="zh-CN"/>
                    </w:rPr>
                    <w:t>生产过程</w:t>
                  </w:r>
                  <w:r>
                    <w:rPr>
                      <w:rFonts w:hint="default" w:ascii="Times New Roman" w:hAnsi="Times New Roman" w:eastAsia="宋体" w:cs="Times New Roman"/>
                      <w:color w:val="auto"/>
                      <w:sz w:val="21"/>
                      <w:szCs w:val="21"/>
                      <w:highlight w:val="none"/>
                    </w:rPr>
                    <w:t>废气</w:t>
                  </w:r>
                  <w:r>
                    <w:rPr>
                      <w:rFonts w:hint="default" w:ascii="Times New Roman" w:hAnsi="Times New Roman" w:eastAsia="宋体" w:cs="Times New Roman"/>
                      <w:color w:val="auto"/>
                      <w:sz w:val="21"/>
                      <w:szCs w:val="21"/>
                      <w:highlight w:val="none"/>
                      <w:lang w:val="en-US" w:eastAsia="zh-CN"/>
                    </w:rPr>
                    <w:t>采用半密闭集气罩</w:t>
                  </w:r>
                  <w:r>
                    <w:rPr>
                      <w:rFonts w:hint="default" w:ascii="Times New Roman" w:hAnsi="Times New Roman" w:eastAsia="宋体" w:cs="Times New Roman"/>
                      <w:color w:val="auto"/>
                      <w:sz w:val="21"/>
                      <w:szCs w:val="21"/>
                      <w:highlight w:val="none"/>
                    </w:rPr>
                    <w:t>有效收集等，削减VOCs无组织排放</w:t>
                  </w:r>
                  <w:r>
                    <w:rPr>
                      <w:rFonts w:hint="eastAsia" w:ascii="Times New Roman" w:hAnsi="Times New Roman" w:eastAsia="宋体" w:cs="Times New Roman"/>
                      <w:color w:val="auto"/>
                      <w:sz w:val="21"/>
                      <w:szCs w:val="21"/>
                      <w:highlight w:val="none"/>
                      <w:lang w:eastAsia="zh-CN"/>
                    </w:rPr>
                    <w:t>。</w:t>
                  </w:r>
                </w:p>
              </w:tc>
              <w:tc>
                <w:tcPr>
                  <w:tcW w:w="806" w:type="pct"/>
                  <w:tcBorders>
                    <w:tl2br w:val="nil"/>
                    <w:tr2bl w:val="nil"/>
                  </w:tcBorders>
                  <w:noWrap w:val="0"/>
                  <w:vAlign w:val="center"/>
                </w:tcPr>
                <w:p w14:paraId="3D341832">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color w:val="auto"/>
                      <w:highlight w:val="none"/>
                    </w:rPr>
                  </w:pPr>
                  <w:r>
                    <w:rPr>
                      <w:rFonts w:hint="eastAsia"/>
                      <w:color w:val="auto"/>
                      <w:highlight w:val="none"/>
                    </w:rPr>
                    <w:t>符合</w:t>
                  </w:r>
                </w:p>
              </w:tc>
            </w:tr>
            <w:tr w14:paraId="6D758D2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582" w:type="pct"/>
                  <w:tcBorders>
                    <w:tl2br w:val="nil"/>
                    <w:tr2bl w:val="nil"/>
                  </w:tcBorders>
                  <w:noWrap w:val="0"/>
                  <w:vAlign w:val="center"/>
                </w:tcPr>
                <w:p w14:paraId="2FB39772">
                  <w:pPr>
                    <w:keepNext w:val="0"/>
                    <w:keepLines w:val="0"/>
                    <w:suppressLineNumbers w:val="0"/>
                    <w:adjustRightInd w:val="0"/>
                    <w:snapToGrid w:val="0"/>
                    <w:spacing w:before="0" w:beforeAutospacing="0" w:after="0" w:afterAutospacing="0" w:line="240" w:lineRule="auto"/>
                    <w:ind w:left="0" w:right="0" w:firstLine="0" w:firstLineChars="0"/>
                    <w:jc w:val="both"/>
                    <w:rPr>
                      <w:rFonts w:hint="eastAsia"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3、</w:t>
                  </w:r>
                  <w:r>
                    <w:rPr>
                      <w:rFonts w:hint="default" w:ascii="Times New Roman" w:hAnsi="Times New Roman" w:eastAsia="宋体" w:cs="Times New Roman"/>
                      <w:color w:val="auto"/>
                      <w:sz w:val="21"/>
                      <w:szCs w:val="21"/>
                      <w:highlight w:val="none"/>
                    </w:rPr>
                    <w:t>推进建设适宜高效的治污设施。推进企业新建治污设施或现有治污设施改造，对生产过程中通过排气筒所排放的有组织VOCs废气，应根据生产废气的产生量、污染物的组分和性质、温度、压力等因素进行综合分析后选择适宜的工艺路线进行治理。在不影响企业正常生产的前提下，要求治理设备必须同时设置前置采样口和后置采样口，企业不得以未设置采样口为由逃避监测。</w:t>
                  </w:r>
                </w:p>
              </w:tc>
              <w:tc>
                <w:tcPr>
                  <w:tcW w:w="1610" w:type="pct"/>
                  <w:tcBorders>
                    <w:tl2br w:val="nil"/>
                    <w:tr2bl w:val="nil"/>
                  </w:tcBorders>
                  <w:noWrap w:val="0"/>
                  <w:vAlign w:val="center"/>
                </w:tcPr>
                <w:p w14:paraId="0CA06BBB">
                  <w:pPr>
                    <w:keepNext w:val="0"/>
                    <w:keepLines w:val="0"/>
                    <w:suppressLineNumbers w:val="0"/>
                    <w:adjustRightInd w:val="0"/>
                    <w:snapToGrid w:val="0"/>
                    <w:spacing w:before="0" w:beforeAutospacing="0" w:after="0" w:afterAutospacing="0" w:line="240" w:lineRule="auto"/>
                    <w:ind w:left="0" w:right="0" w:firstLine="0" w:firstLineChars="0"/>
                    <w:jc w:val="both"/>
                    <w:rPr>
                      <w:rFonts w:hint="eastAsia"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rPr>
                    <w:t>本项目</w:t>
                  </w:r>
                  <w:r>
                    <w:rPr>
                      <w:rFonts w:hint="eastAsia" w:cs="Times New Roman"/>
                      <w:color w:val="auto"/>
                      <w:sz w:val="21"/>
                      <w:szCs w:val="21"/>
                      <w:highlight w:val="none"/>
                      <w:lang w:val="en-US" w:eastAsia="zh-CN"/>
                    </w:rPr>
                    <w:t>有机废气采用活性炭吸附处理</w:t>
                  </w:r>
                  <w:r>
                    <w:rPr>
                      <w:rFonts w:hint="eastAsia"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本项目治理设备同时设置前置采样口和后置采样口</w:t>
                  </w:r>
                  <w:r>
                    <w:rPr>
                      <w:rFonts w:hint="eastAsia" w:ascii="Times New Roman" w:hAnsi="Times New Roman" w:eastAsia="宋体" w:cs="Times New Roman"/>
                      <w:color w:val="auto"/>
                      <w:sz w:val="21"/>
                      <w:szCs w:val="21"/>
                      <w:highlight w:val="none"/>
                      <w:lang w:eastAsia="zh-CN"/>
                    </w:rPr>
                    <w:t>。</w:t>
                  </w:r>
                </w:p>
              </w:tc>
              <w:tc>
                <w:tcPr>
                  <w:tcW w:w="806" w:type="pct"/>
                  <w:tcBorders>
                    <w:tl2br w:val="nil"/>
                    <w:tr2bl w:val="nil"/>
                  </w:tcBorders>
                  <w:noWrap w:val="0"/>
                  <w:vAlign w:val="center"/>
                </w:tcPr>
                <w:p w14:paraId="21332130">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color w:val="auto"/>
                      <w:highlight w:val="none"/>
                    </w:rPr>
                  </w:pPr>
                  <w:r>
                    <w:rPr>
                      <w:rFonts w:hint="eastAsia"/>
                      <w:color w:val="auto"/>
                      <w:highlight w:val="none"/>
                    </w:rPr>
                    <w:t>符合</w:t>
                  </w:r>
                </w:p>
              </w:tc>
            </w:tr>
          </w:tbl>
          <w:p w14:paraId="0C9CE6CB">
            <w:pPr>
              <w:pStyle w:val="2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color w:val="auto"/>
                <w:kern w:val="2"/>
                <w:sz w:val="24"/>
                <w:szCs w:val="24"/>
                <w:highlight w:val="none"/>
                <w:lang w:val="en-US" w:eastAsia="zh-CN" w:bidi="ar-SA"/>
              </w:rPr>
            </w:pPr>
            <w:r>
              <w:rPr>
                <w:rFonts w:hint="eastAsia" w:ascii="Times New Roman" w:hAnsi="Times New Roman" w:cs="Times New Roman"/>
                <w:b w:val="0"/>
                <w:color w:val="auto"/>
                <w:kern w:val="2"/>
                <w:sz w:val="24"/>
                <w:szCs w:val="24"/>
                <w:highlight w:val="none"/>
                <w:lang w:val="en-US" w:eastAsia="zh-CN" w:bidi="ar-SA"/>
              </w:rPr>
              <w:t>由表1-</w:t>
            </w:r>
            <w:r>
              <w:rPr>
                <w:rFonts w:hint="eastAsia" w:cs="Times New Roman"/>
                <w:b w:val="0"/>
                <w:color w:val="auto"/>
                <w:kern w:val="2"/>
                <w:sz w:val="24"/>
                <w:szCs w:val="24"/>
                <w:highlight w:val="none"/>
                <w:lang w:val="en-US" w:eastAsia="zh-CN" w:bidi="ar-SA"/>
              </w:rPr>
              <w:t>14</w:t>
            </w:r>
            <w:r>
              <w:rPr>
                <w:rFonts w:hint="eastAsia" w:ascii="Times New Roman" w:hAnsi="Times New Roman" w:cs="Times New Roman"/>
                <w:b w:val="0"/>
                <w:color w:val="auto"/>
                <w:kern w:val="2"/>
                <w:sz w:val="24"/>
                <w:szCs w:val="24"/>
                <w:highlight w:val="none"/>
                <w:lang w:val="en-US" w:eastAsia="zh-CN" w:bidi="ar-SA"/>
              </w:rPr>
              <w:t>可知，本项目与《江西省生态环境厅关于印发江西省重点行业挥发性有机物综合治理方案的通知》（赣环大气〔2019〕20号）要求相符。</w:t>
            </w:r>
          </w:p>
          <w:p w14:paraId="40F7C1C9">
            <w:pPr>
              <w:pStyle w:val="2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Times New Roman" w:hAnsi="Times New Roman" w:cs="Times New Roman"/>
                <w:b w:val="0"/>
                <w:color w:val="auto"/>
                <w:kern w:val="2"/>
                <w:sz w:val="24"/>
                <w:szCs w:val="24"/>
                <w:highlight w:val="none"/>
                <w:lang w:val="en-US" w:eastAsia="zh-CN" w:bidi="ar-SA"/>
              </w:rPr>
            </w:pPr>
            <w:r>
              <w:rPr>
                <w:rFonts w:hint="eastAsia" w:cs="Times New Roman"/>
                <w:b/>
                <w:bCs/>
                <w:color w:val="auto"/>
                <w:kern w:val="2"/>
                <w:sz w:val="24"/>
                <w:szCs w:val="24"/>
                <w:highlight w:val="none"/>
                <w:lang w:val="en-US" w:eastAsia="zh-CN" w:bidi="ar-SA"/>
              </w:rPr>
              <w:t>14</w:t>
            </w:r>
            <w:r>
              <w:rPr>
                <w:rFonts w:hint="eastAsia" w:ascii="Times New Roman" w:hAnsi="Times New Roman" w:cs="Times New Roman"/>
                <w:b/>
                <w:bCs/>
                <w:color w:val="auto"/>
                <w:kern w:val="2"/>
                <w:sz w:val="24"/>
                <w:szCs w:val="24"/>
                <w:highlight w:val="none"/>
                <w:lang w:val="en-US" w:eastAsia="zh-CN" w:bidi="ar-SA"/>
              </w:rPr>
              <w:t>、与《江西省深入打好污染防治攻坚战挥发性有机物治理专项行动实施方案》（赣环委办字〔2022〕22号）相符性分析</w:t>
            </w:r>
          </w:p>
          <w:p w14:paraId="1CE5231F">
            <w:pPr>
              <w:pStyle w:val="8"/>
              <w:keepNext w:val="0"/>
              <w:keepLines w:val="0"/>
              <w:suppressLineNumbers w:val="0"/>
              <w:bidi w:val="0"/>
              <w:spacing w:before="0" w:beforeAutospacing="0" w:after="0" w:afterAutospacing="0"/>
              <w:ind w:left="0" w:right="0"/>
              <w:jc w:val="center"/>
              <w:rPr>
                <w:rFonts w:hint="default" w:ascii="Times New Roman" w:hAnsi="Times New Roman" w:eastAsia="宋体" w:cs="Times New Roman"/>
                <w:b/>
                <w:bCs/>
                <w:color w:val="auto"/>
                <w:highlight w:val="none"/>
                <w:lang w:val="en-US" w:eastAsia="zh-CN"/>
              </w:rPr>
            </w:pPr>
            <w:r>
              <w:rPr>
                <w:rFonts w:hint="eastAsia" w:ascii="Times New Roman" w:hAnsi="Times New Roman" w:eastAsia="宋体" w:cs="Times New Roman"/>
                <w:b/>
                <w:bCs/>
                <w:color w:val="auto"/>
                <w:highlight w:val="none"/>
                <w:lang w:val="en-US" w:eastAsia="zh-CN"/>
              </w:rPr>
              <w:t>表1-</w:t>
            </w:r>
            <w:r>
              <w:rPr>
                <w:rFonts w:hint="eastAsia" w:cs="Times New Roman"/>
                <w:b/>
                <w:bCs/>
                <w:color w:val="auto"/>
                <w:highlight w:val="none"/>
                <w:lang w:val="en-US" w:eastAsia="zh-CN"/>
              </w:rPr>
              <w:t>15</w:t>
            </w:r>
            <w:r>
              <w:rPr>
                <w:rFonts w:hint="eastAsia" w:ascii="Times New Roman" w:hAnsi="Times New Roman" w:eastAsia="宋体" w:cs="Times New Roman"/>
                <w:b/>
                <w:bCs/>
                <w:color w:val="auto"/>
                <w:highlight w:val="none"/>
                <w:lang w:val="en-US" w:eastAsia="zh-CN"/>
              </w:rPr>
              <w:t xml:space="preserve">   与江西省深入打好污染防治攻坚战挥发性有机物治理专项行动实施方案相符性分析</w:t>
            </w:r>
          </w:p>
          <w:tbl>
            <w:tblPr>
              <w:tblStyle w:val="27"/>
              <w:tblW w:w="4996" w:type="pct"/>
              <w:tblInd w:w="5"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066"/>
              <w:gridCol w:w="2257"/>
              <w:gridCol w:w="1132"/>
            </w:tblGrid>
            <w:tr w14:paraId="6C419C4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773" w:type="pct"/>
                  <w:tcBorders>
                    <w:tl2br w:val="nil"/>
                    <w:tr2bl w:val="nil"/>
                  </w:tcBorders>
                  <w:noWrap w:val="0"/>
                  <w:vAlign w:val="center"/>
                </w:tcPr>
                <w:p w14:paraId="471073F2">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auto"/>
                    <w:rPr>
                      <w:rFonts w:hint="default"/>
                      <w:b/>
                      <w:bCs/>
                      <w:color w:val="auto"/>
                      <w:highlight w:val="none"/>
                    </w:rPr>
                  </w:pPr>
                  <w:r>
                    <w:rPr>
                      <w:rFonts w:hint="eastAsia"/>
                      <w:b/>
                      <w:bCs/>
                      <w:color w:val="auto"/>
                      <w:highlight w:val="none"/>
                    </w:rPr>
                    <w:t>内容</w:t>
                  </w:r>
                </w:p>
              </w:tc>
              <w:tc>
                <w:tcPr>
                  <w:tcW w:w="1421" w:type="pct"/>
                  <w:tcBorders>
                    <w:tl2br w:val="nil"/>
                    <w:tr2bl w:val="nil"/>
                  </w:tcBorders>
                  <w:noWrap w:val="0"/>
                  <w:vAlign w:val="center"/>
                </w:tcPr>
                <w:p w14:paraId="1B20176A">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auto"/>
                    <w:rPr>
                      <w:rFonts w:hint="default"/>
                      <w:b/>
                      <w:bCs/>
                      <w:color w:val="auto"/>
                      <w:highlight w:val="none"/>
                    </w:rPr>
                  </w:pPr>
                  <w:r>
                    <w:rPr>
                      <w:rFonts w:hint="eastAsia"/>
                      <w:b/>
                      <w:bCs/>
                      <w:color w:val="auto"/>
                      <w:highlight w:val="none"/>
                    </w:rPr>
                    <w:t>本项目情况</w:t>
                  </w:r>
                </w:p>
              </w:tc>
              <w:tc>
                <w:tcPr>
                  <w:tcW w:w="805" w:type="pct"/>
                  <w:tcBorders>
                    <w:tl2br w:val="nil"/>
                    <w:tr2bl w:val="nil"/>
                  </w:tcBorders>
                  <w:noWrap w:val="0"/>
                  <w:vAlign w:val="center"/>
                </w:tcPr>
                <w:p w14:paraId="1E125483">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eastAsia="宋体"/>
                      <w:b/>
                      <w:bCs/>
                      <w:color w:val="auto"/>
                      <w:highlight w:val="none"/>
                      <w:lang w:eastAsia="zh-CN"/>
                    </w:rPr>
                  </w:pPr>
                  <w:r>
                    <w:rPr>
                      <w:rFonts w:hint="default"/>
                      <w:b/>
                      <w:bCs/>
                      <w:color w:val="auto"/>
                      <w:highlight w:val="none"/>
                    </w:rPr>
                    <w:t>相符</w:t>
                  </w:r>
                  <w:r>
                    <w:rPr>
                      <w:rFonts w:hint="eastAsia"/>
                      <w:b/>
                      <w:bCs/>
                      <w:color w:val="auto"/>
                      <w:highlight w:val="none"/>
                      <w:lang w:val="en-US" w:eastAsia="zh-CN"/>
                    </w:rPr>
                    <w:t>情况</w:t>
                  </w:r>
                </w:p>
              </w:tc>
            </w:tr>
            <w:tr w14:paraId="1D3B4B5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773" w:type="pct"/>
                  <w:tcBorders>
                    <w:tl2br w:val="nil"/>
                    <w:tr2bl w:val="nil"/>
                  </w:tcBorders>
                  <w:noWrap w:val="0"/>
                  <w:vAlign w:val="center"/>
                </w:tcPr>
                <w:p w14:paraId="74EFB691">
                  <w:pPr>
                    <w:keepNext w:val="0"/>
                    <w:keepLines w:val="0"/>
                    <w:suppressLineNumbers w:val="0"/>
                    <w:adjustRightInd w:val="0"/>
                    <w:snapToGrid w:val="0"/>
                    <w:spacing w:before="0" w:beforeAutospacing="0" w:after="0" w:afterAutospacing="0" w:line="240" w:lineRule="auto"/>
                    <w:ind w:left="0" w:right="0" w:firstLine="0" w:firstLineChars="0"/>
                    <w:jc w:val="left"/>
                    <w:rPr>
                      <w:rFonts w:hint="eastAsia"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全面加强VOCs无组织排放控制。加强含VOCs物料全方位、全链条、全环节密闭管理，做好VOCs物料储存、转移和输送、设备与管线组件泄漏、敞开液面逸散以及工艺过程等无组织排放环节的管理。生产应优先采用密闭设备、在密闭空间中操作或采用全密闭集气罩收集方式，原则上应保持微负压状态，并根据相关规范合理设置通风量；采用局部集气罩的，距集气罩开口面最远处的VOCs无组织排放位置控制风速应不低于0.3米/秒。对VOCs物料储罐和污水集输、储存、处理设施开展排查，督促企业按要求开展专项治理。</w:t>
                  </w:r>
                </w:p>
              </w:tc>
              <w:tc>
                <w:tcPr>
                  <w:tcW w:w="1421" w:type="pct"/>
                  <w:tcBorders>
                    <w:tl2br w:val="nil"/>
                    <w:tr2bl w:val="nil"/>
                  </w:tcBorders>
                  <w:noWrap w:val="0"/>
                  <w:vAlign w:val="center"/>
                </w:tcPr>
                <w:p w14:paraId="7C79CBC2">
                  <w:pPr>
                    <w:keepNext w:val="0"/>
                    <w:keepLines w:val="0"/>
                    <w:suppressLineNumbers w:val="0"/>
                    <w:adjustRightInd w:val="0"/>
                    <w:snapToGrid w:val="0"/>
                    <w:spacing w:before="0" w:beforeAutospacing="0" w:after="0" w:afterAutospacing="0" w:line="240" w:lineRule="auto"/>
                    <w:ind w:left="0" w:right="0" w:firstLine="0" w:firstLineChars="0"/>
                    <w:jc w:val="left"/>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eastAsia="zh-CN"/>
                    </w:rPr>
                    <w:t>本项目</w:t>
                  </w:r>
                  <w:r>
                    <w:rPr>
                      <w:rFonts w:hint="eastAsia" w:ascii="Times New Roman" w:hAnsi="Times New Roman" w:eastAsia="宋体" w:cs="Times New Roman"/>
                      <w:color w:val="auto"/>
                      <w:sz w:val="21"/>
                      <w:szCs w:val="21"/>
                      <w:highlight w:val="none"/>
                      <w:lang w:val="en-US" w:eastAsia="zh-CN"/>
                    </w:rPr>
                    <w:t>使用</w:t>
                  </w:r>
                  <w:r>
                    <w:rPr>
                      <w:rFonts w:hint="eastAsia" w:ascii="Times New Roman" w:hAnsi="Times New Roman" w:eastAsia="宋体" w:cs="Times New Roman"/>
                      <w:color w:val="auto"/>
                      <w:sz w:val="21"/>
                      <w:szCs w:val="21"/>
                      <w:highlight w:val="none"/>
                      <w:lang w:eastAsia="zh-CN"/>
                    </w:rPr>
                    <w:t>含VOCs物料</w:t>
                  </w:r>
                  <w:r>
                    <w:rPr>
                      <w:rFonts w:hint="eastAsia" w:ascii="Times New Roman" w:hAnsi="Times New Roman" w:eastAsia="宋体" w:cs="Times New Roman"/>
                      <w:color w:val="auto"/>
                      <w:sz w:val="21"/>
                      <w:szCs w:val="21"/>
                      <w:highlight w:val="none"/>
                      <w:lang w:val="en-US" w:eastAsia="zh-CN"/>
                    </w:rPr>
                    <w:t>主要为</w:t>
                  </w:r>
                  <w:r>
                    <w:rPr>
                      <w:rFonts w:hint="eastAsia" w:cs="Times New Roman"/>
                      <w:color w:val="auto"/>
                      <w:sz w:val="21"/>
                      <w:szCs w:val="21"/>
                      <w:highlight w:val="none"/>
                      <w:lang w:val="en-US" w:eastAsia="zh-CN"/>
                    </w:rPr>
                    <w:t>PU胶、油墨、EVA处理剂、TPR处理剂</w:t>
                  </w:r>
                  <w:r>
                    <w:rPr>
                      <w:rFonts w:hint="eastAsia" w:ascii="Times New Roman" w:hAnsi="Times New Roman" w:eastAsia="宋体" w:cs="Times New Roman"/>
                      <w:color w:val="auto"/>
                      <w:sz w:val="21"/>
                      <w:szCs w:val="21"/>
                      <w:highlight w:val="none"/>
                      <w:lang w:val="en-US" w:eastAsia="zh-CN"/>
                    </w:rPr>
                    <w:t>，储存、转移和输送过程中采用密封罐密封，实施管控，生产过程</w:t>
                  </w:r>
                  <w:r>
                    <w:rPr>
                      <w:rFonts w:hint="eastAsia" w:ascii="Times New Roman" w:hAnsi="Times New Roman" w:eastAsia="宋体" w:cs="Times New Roman"/>
                      <w:color w:val="auto"/>
                      <w:sz w:val="21"/>
                      <w:szCs w:val="21"/>
                      <w:highlight w:val="none"/>
                      <w:lang w:eastAsia="zh-CN"/>
                    </w:rPr>
                    <w:t>废气</w:t>
                  </w:r>
                  <w:r>
                    <w:rPr>
                      <w:rFonts w:hint="eastAsia" w:ascii="Times New Roman" w:hAnsi="Times New Roman" w:eastAsia="宋体" w:cs="Times New Roman"/>
                      <w:color w:val="auto"/>
                      <w:sz w:val="21"/>
                      <w:szCs w:val="21"/>
                      <w:highlight w:val="none"/>
                      <w:lang w:val="en-US" w:eastAsia="zh-CN"/>
                    </w:rPr>
                    <w:t>采用半密闭集气罩</w:t>
                  </w:r>
                  <w:r>
                    <w:rPr>
                      <w:rFonts w:hint="eastAsia" w:ascii="Times New Roman" w:hAnsi="Times New Roman" w:eastAsia="宋体" w:cs="Times New Roman"/>
                      <w:color w:val="auto"/>
                      <w:sz w:val="21"/>
                      <w:szCs w:val="21"/>
                      <w:highlight w:val="none"/>
                      <w:lang w:eastAsia="zh-CN"/>
                    </w:rPr>
                    <w:t>有效收集，</w:t>
                  </w:r>
                  <w:r>
                    <w:rPr>
                      <w:rFonts w:hint="eastAsia" w:ascii="Times New Roman" w:hAnsi="Times New Roman" w:eastAsia="宋体" w:cs="Times New Roman"/>
                      <w:color w:val="auto"/>
                      <w:sz w:val="21"/>
                      <w:szCs w:val="21"/>
                      <w:highlight w:val="none"/>
                      <w:lang w:val="en-US" w:eastAsia="zh-CN"/>
                    </w:rPr>
                    <w:t>距集气罩开口面最远处的VOCs无组织排放位置控制风速不低于0.3米/秒</w:t>
                  </w:r>
                  <w:r>
                    <w:rPr>
                      <w:rFonts w:hint="eastAsia" w:ascii="Times New Roman" w:hAnsi="Times New Roman" w:eastAsia="宋体" w:cs="Times New Roman"/>
                      <w:color w:val="auto"/>
                      <w:sz w:val="21"/>
                      <w:szCs w:val="21"/>
                      <w:highlight w:val="none"/>
                      <w:lang w:eastAsia="zh-CN"/>
                    </w:rPr>
                    <w:t>。</w:t>
                  </w:r>
                </w:p>
              </w:tc>
              <w:tc>
                <w:tcPr>
                  <w:tcW w:w="805" w:type="pct"/>
                  <w:tcBorders>
                    <w:tl2br w:val="nil"/>
                    <w:tr2bl w:val="nil"/>
                  </w:tcBorders>
                  <w:noWrap w:val="0"/>
                  <w:vAlign w:val="center"/>
                </w:tcPr>
                <w:p w14:paraId="653A7A02">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color w:val="auto"/>
                      <w:highlight w:val="none"/>
                    </w:rPr>
                  </w:pPr>
                  <w:r>
                    <w:rPr>
                      <w:rFonts w:hint="eastAsia"/>
                      <w:color w:val="auto"/>
                      <w:highlight w:val="none"/>
                    </w:rPr>
                    <w:t>符合</w:t>
                  </w:r>
                </w:p>
              </w:tc>
            </w:tr>
            <w:tr w14:paraId="3291899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773" w:type="pct"/>
                  <w:tcBorders>
                    <w:tl2br w:val="nil"/>
                    <w:tr2bl w:val="nil"/>
                  </w:tcBorders>
                  <w:noWrap w:val="0"/>
                  <w:vAlign w:val="center"/>
                </w:tcPr>
                <w:p w14:paraId="13426379">
                  <w:pPr>
                    <w:keepNext w:val="0"/>
                    <w:keepLines w:val="0"/>
                    <w:suppressLineNumbers w:val="0"/>
                    <w:adjustRightInd w:val="0"/>
                    <w:snapToGrid w:val="0"/>
                    <w:spacing w:before="0" w:beforeAutospacing="0" w:after="0" w:afterAutospacing="0" w:line="240" w:lineRule="auto"/>
                    <w:ind w:left="0" w:right="0" w:firstLine="0" w:firstLineChars="0"/>
                    <w:jc w:val="left"/>
                    <w:rPr>
                      <w:rFonts w:hint="eastAsia"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持续提升治污设施</w:t>
                  </w:r>
                  <w:r>
                    <w:rPr>
                      <w:rFonts w:hint="eastAsia" w:eastAsia="宋体" w:cs="Times New Roman"/>
                      <w:color w:val="auto"/>
                      <w:sz w:val="21"/>
                      <w:szCs w:val="21"/>
                      <w:highlight w:val="none"/>
                      <w:lang w:val="en-US" w:eastAsia="zh-CN"/>
                    </w:rPr>
                    <w:t>“</w:t>
                  </w:r>
                  <w:r>
                    <w:rPr>
                      <w:rFonts w:hint="eastAsia" w:ascii="Times New Roman" w:hAnsi="Times New Roman" w:eastAsia="宋体" w:cs="Times New Roman"/>
                      <w:color w:val="auto"/>
                      <w:sz w:val="21"/>
                      <w:szCs w:val="21"/>
                      <w:highlight w:val="none"/>
                      <w:lang w:val="en-US" w:eastAsia="zh-CN"/>
                    </w:rPr>
                    <w:t>三率</w:t>
                  </w:r>
                  <w:r>
                    <w:rPr>
                      <w:rFonts w:hint="eastAsia" w:eastAsia="宋体" w:cs="Times New Roman"/>
                      <w:color w:val="auto"/>
                      <w:sz w:val="21"/>
                      <w:szCs w:val="21"/>
                      <w:highlight w:val="none"/>
                      <w:lang w:val="en-US" w:eastAsia="zh-CN"/>
                    </w:rPr>
                    <w:t>”</w:t>
                  </w:r>
                  <w:r>
                    <w:rPr>
                      <w:rFonts w:hint="eastAsia" w:ascii="Times New Roman" w:hAnsi="Times New Roman" w:eastAsia="宋体" w:cs="Times New Roman"/>
                      <w:color w:val="auto"/>
                      <w:sz w:val="21"/>
                      <w:szCs w:val="21"/>
                      <w:highlight w:val="none"/>
                      <w:lang w:val="en-US" w:eastAsia="zh-CN"/>
                    </w:rPr>
                    <w:t>。组织开展现有VOCs废气收集率、治理设施同步运行率和去除率自查，对达不到要求的VOCs收集、治理设施进行更换或升级改造，实现达标排放。对单一采用光氧化、光催化、低温等离子、一次活性炭吸附、喷淋吸收、生物法等工艺设施的，要重点加强效果评估。行业排放标准中规定特别排放限值和控制要求的，应按相关规定执行；未制定行业标准的应执行《大气污染物综合排放标准》和《挥发性有机物无组织排放控制标准》。</w:t>
                  </w:r>
                </w:p>
              </w:tc>
              <w:tc>
                <w:tcPr>
                  <w:tcW w:w="1421" w:type="pct"/>
                  <w:tcBorders>
                    <w:tl2br w:val="nil"/>
                    <w:tr2bl w:val="nil"/>
                  </w:tcBorders>
                  <w:noWrap w:val="0"/>
                  <w:vAlign w:val="center"/>
                </w:tcPr>
                <w:p w14:paraId="26D849C8">
                  <w:pPr>
                    <w:keepNext w:val="0"/>
                    <w:keepLines w:val="0"/>
                    <w:suppressLineNumbers w:val="0"/>
                    <w:adjustRightInd w:val="0"/>
                    <w:snapToGrid w:val="0"/>
                    <w:spacing w:before="0" w:beforeAutospacing="0" w:after="0" w:afterAutospacing="0" w:line="240" w:lineRule="auto"/>
                    <w:ind w:left="0" w:right="0" w:firstLine="0" w:firstLineChars="0"/>
                    <w:jc w:val="left"/>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本项目的VOCs收集、治理设施可达到要求，挥发性有机物有组织排放执行《挥发性有机物排放标准第4部分：塑料制品业》（DB36/1101.4-2019）标准</w:t>
                  </w:r>
                  <w:r>
                    <w:rPr>
                      <w:rFonts w:hint="eastAsia" w:cs="Times New Roman"/>
                      <w:color w:val="auto"/>
                      <w:sz w:val="21"/>
                      <w:szCs w:val="21"/>
                      <w:highlight w:val="none"/>
                      <w:lang w:val="en-US" w:eastAsia="zh-CN"/>
                    </w:rPr>
                    <w:t>、</w:t>
                  </w:r>
                  <w:r>
                    <w:rPr>
                      <w:rFonts w:hint="eastAsia" w:ascii="Times New Roman" w:hAnsi="Times New Roman" w:eastAsia="宋体" w:cs="Times New Roman"/>
                      <w:color w:val="auto"/>
                      <w:sz w:val="21"/>
                      <w:szCs w:val="21"/>
                      <w:highlight w:val="none"/>
                      <w:lang w:val="en-US" w:eastAsia="zh-CN"/>
                    </w:rPr>
                    <w:t>《大气污染物综合排放标准》和《挥发性有机物无组织排放控制标准》</w:t>
                  </w:r>
                  <w:r>
                    <w:rPr>
                      <w:rFonts w:hint="eastAsia" w:cs="Times New Roman"/>
                      <w:color w:val="auto"/>
                      <w:sz w:val="21"/>
                      <w:szCs w:val="21"/>
                      <w:highlight w:val="none"/>
                      <w:lang w:val="en-US" w:eastAsia="zh-CN"/>
                    </w:rPr>
                    <w:t>。</w:t>
                  </w:r>
                </w:p>
              </w:tc>
              <w:tc>
                <w:tcPr>
                  <w:tcW w:w="805" w:type="pct"/>
                  <w:tcBorders>
                    <w:tl2br w:val="nil"/>
                    <w:tr2bl w:val="nil"/>
                  </w:tcBorders>
                  <w:noWrap w:val="0"/>
                  <w:vAlign w:val="center"/>
                </w:tcPr>
                <w:p w14:paraId="3CDBB9B2">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color w:val="auto"/>
                      <w:highlight w:val="none"/>
                    </w:rPr>
                  </w:pPr>
                  <w:r>
                    <w:rPr>
                      <w:rFonts w:hint="eastAsia"/>
                      <w:color w:val="auto"/>
                      <w:highlight w:val="none"/>
                    </w:rPr>
                    <w:t>符合</w:t>
                  </w:r>
                </w:p>
              </w:tc>
            </w:tr>
            <w:tr w14:paraId="1890890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773" w:type="pct"/>
                  <w:tcBorders>
                    <w:tl2br w:val="nil"/>
                    <w:tr2bl w:val="nil"/>
                  </w:tcBorders>
                  <w:noWrap w:val="0"/>
                  <w:vAlign w:val="center"/>
                </w:tcPr>
                <w:p w14:paraId="43B283CA">
                  <w:pPr>
                    <w:keepNext w:val="0"/>
                    <w:keepLines w:val="0"/>
                    <w:suppressLineNumbers w:val="0"/>
                    <w:adjustRightInd w:val="0"/>
                    <w:snapToGrid w:val="0"/>
                    <w:spacing w:before="0" w:beforeAutospacing="0" w:after="0" w:afterAutospacing="0" w:line="240" w:lineRule="auto"/>
                    <w:ind w:left="0" w:right="0" w:firstLine="0" w:firstLineChars="0"/>
                    <w:jc w:val="left"/>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协同推进VOCs和NOx污染减排。聚焦重点行业、重点企业、重点工业园区，以更高要求、更高标准、更严措施，对全省涉VOCs排放企业，分行业、分领域、全环节开展全面自检，科学制定减排计划，将减排任务落实到重点行业重点企业的减排工程项目，推动建设一批示范项目、示范园区；推动钢铁等行业超低排放改造，积极推动老旧柴油货车淘汰，开展非标油联合执法行动，实现VOCs、NOx减排量满足</w:t>
                  </w:r>
                  <w:r>
                    <w:rPr>
                      <w:rFonts w:hint="eastAsia" w:eastAsia="宋体" w:cs="Times New Roman"/>
                      <w:color w:val="auto"/>
                      <w:sz w:val="21"/>
                      <w:szCs w:val="21"/>
                      <w:highlight w:val="none"/>
                      <w:lang w:val="en-US" w:eastAsia="zh-CN"/>
                    </w:rPr>
                    <w:t>“</w:t>
                  </w:r>
                  <w:r>
                    <w:rPr>
                      <w:rFonts w:hint="eastAsia" w:ascii="Times New Roman" w:hAnsi="Times New Roman" w:eastAsia="宋体" w:cs="Times New Roman"/>
                      <w:color w:val="auto"/>
                      <w:sz w:val="21"/>
                      <w:szCs w:val="21"/>
                      <w:highlight w:val="none"/>
                      <w:lang w:val="en-US" w:eastAsia="zh-CN"/>
                    </w:rPr>
                    <w:t>十四五</w:t>
                  </w:r>
                  <w:r>
                    <w:rPr>
                      <w:rFonts w:hint="eastAsia" w:eastAsia="宋体" w:cs="Times New Roman"/>
                      <w:color w:val="auto"/>
                      <w:sz w:val="21"/>
                      <w:szCs w:val="21"/>
                      <w:highlight w:val="none"/>
                      <w:lang w:val="en-US" w:eastAsia="zh-CN"/>
                    </w:rPr>
                    <w:t>”</w:t>
                  </w:r>
                  <w:r>
                    <w:rPr>
                      <w:rFonts w:hint="eastAsia" w:ascii="Times New Roman" w:hAnsi="Times New Roman" w:eastAsia="宋体" w:cs="Times New Roman"/>
                      <w:color w:val="auto"/>
                      <w:sz w:val="21"/>
                      <w:szCs w:val="21"/>
                      <w:highlight w:val="none"/>
                      <w:lang w:val="en-US" w:eastAsia="zh-CN"/>
                    </w:rPr>
                    <w:t>规划时序进度要求。</w:t>
                  </w:r>
                </w:p>
              </w:tc>
              <w:tc>
                <w:tcPr>
                  <w:tcW w:w="1421" w:type="pct"/>
                  <w:tcBorders>
                    <w:tl2br w:val="nil"/>
                    <w:tr2bl w:val="nil"/>
                  </w:tcBorders>
                  <w:noWrap w:val="0"/>
                  <w:vAlign w:val="center"/>
                </w:tcPr>
                <w:p w14:paraId="7E5A90C2">
                  <w:pPr>
                    <w:keepNext w:val="0"/>
                    <w:keepLines w:val="0"/>
                    <w:suppressLineNumbers w:val="0"/>
                    <w:adjustRightInd w:val="0"/>
                    <w:snapToGrid w:val="0"/>
                    <w:spacing w:before="0" w:beforeAutospacing="0" w:after="0" w:afterAutospacing="0" w:line="240" w:lineRule="auto"/>
                    <w:ind w:left="0" w:right="0" w:firstLine="0" w:firstLineChars="0"/>
                    <w:jc w:val="left"/>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eastAsia="zh-CN"/>
                    </w:rPr>
                    <w:t>本项目</w:t>
                  </w:r>
                  <w:r>
                    <w:rPr>
                      <w:rFonts w:hint="eastAsia" w:cs="Times New Roman"/>
                      <w:color w:val="auto"/>
                      <w:sz w:val="21"/>
                      <w:szCs w:val="21"/>
                      <w:highlight w:val="none"/>
                      <w:lang w:val="en-US" w:eastAsia="zh-CN"/>
                    </w:rPr>
                    <w:t>有机废气</w:t>
                  </w:r>
                  <w:r>
                    <w:rPr>
                      <w:rFonts w:hint="eastAsia" w:ascii="Times New Roman" w:hAnsi="Times New Roman" w:eastAsia="宋体" w:cs="Times New Roman"/>
                      <w:color w:val="auto"/>
                      <w:sz w:val="21"/>
                      <w:szCs w:val="21"/>
                      <w:highlight w:val="none"/>
                      <w:lang w:val="en-US" w:eastAsia="zh-CN"/>
                    </w:rPr>
                    <w:t>采用活性炭吸附装置处理，废气经处理后可达到排放标准。</w:t>
                  </w:r>
                </w:p>
              </w:tc>
              <w:tc>
                <w:tcPr>
                  <w:tcW w:w="805" w:type="pct"/>
                  <w:tcBorders>
                    <w:tl2br w:val="nil"/>
                    <w:tr2bl w:val="nil"/>
                  </w:tcBorders>
                  <w:noWrap w:val="0"/>
                  <w:vAlign w:val="center"/>
                </w:tcPr>
                <w:p w14:paraId="7B451739">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color w:val="auto"/>
                      <w:highlight w:val="none"/>
                    </w:rPr>
                  </w:pPr>
                  <w:r>
                    <w:rPr>
                      <w:rFonts w:hint="eastAsia"/>
                      <w:color w:val="auto"/>
                      <w:highlight w:val="none"/>
                    </w:rPr>
                    <w:t>符合</w:t>
                  </w:r>
                </w:p>
              </w:tc>
            </w:tr>
          </w:tbl>
          <w:p w14:paraId="1B6C2877">
            <w:pPr>
              <w:pStyle w:val="2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color w:val="auto"/>
                <w:kern w:val="2"/>
                <w:sz w:val="24"/>
                <w:szCs w:val="24"/>
                <w:highlight w:val="none"/>
                <w:lang w:val="en-US" w:eastAsia="zh-CN" w:bidi="ar-SA"/>
              </w:rPr>
            </w:pPr>
            <w:r>
              <w:rPr>
                <w:rFonts w:hint="eastAsia" w:ascii="Times New Roman" w:hAnsi="Times New Roman" w:cs="Times New Roman"/>
                <w:b w:val="0"/>
                <w:color w:val="auto"/>
                <w:kern w:val="2"/>
                <w:sz w:val="24"/>
                <w:szCs w:val="24"/>
                <w:highlight w:val="none"/>
                <w:lang w:val="en-US" w:eastAsia="zh-CN" w:bidi="ar-SA"/>
              </w:rPr>
              <w:t>由表1-</w:t>
            </w:r>
            <w:r>
              <w:rPr>
                <w:rFonts w:hint="eastAsia" w:cs="Times New Roman"/>
                <w:b w:val="0"/>
                <w:color w:val="auto"/>
                <w:kern w:val="2"/>
                <w:sz w:val="24"/>
                <w:szCs w:val="24"/>
                <w:highlight w:val="none"/>
                <w:lang w:val="en-US" w:eastAsia="zh-CN" w:bidi="ar-SA"/>
              </w:rPr>
              <w:t>15</w:t>
            </w:r>
            <w:r>
              <w:rPr>
                <w:rFonts w:hint="eastAsia" w:ascii="Times New Roman" w:hAnsi="Times New Roman" w:cs="Times New Roman"/>
                <w:b w:val="0"/>
                <w:color w:val="auto"/>
                <w:kern w:val="2"/>
                <w:sz w:val="24"/>
                <w:szCs w:val="24"/>
                <w:highlight w:val="none"/>
                <w:lang w:val="en-US" w:eastAsia="zh-CN" w:bidi="ar-SA"/>
              </w:rPr>
              <w:t>可知，本项目与《江西省深入打好污染防治攻坚战挥发性有机物治理专项行动实施方案》（赣环委办字〔2022〕22号）要求相符。</w:t>
            </w:r>
          </w:p>
          <w:p w14:paraId="448479D8">
            <w:pPr>
              <w:pStyle w:val="2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default" w:ascii="Times New Roman" w:hAnsi="Times New Roman" w:cs="Times New Roman"/>
                <w:b w:val="0"/>
                <w:color w:val="auto"/>
                <w:kern w:val="2"/>
                <w:sz w:val="24"/>
                <w:szCs w:val="24"/>
                <w:highlight w:val="none"/>
                <w:lang w:val="en-US" w:eastAsia="zh-CN" w:bidi="ar-SA"/>
              </w:rPr>
            </w:pPr>
            <w:r>
              <w:rPr>
                <w:rFonts w:hint="eastAsia" w:cs="Times New Roman"/>
                <w:b/>
                <w:bCs/>
                <w:color w:val="auto"/>
                <w:kern w:val="2"/>
                <w:sz w:val="24"/>
                <w:szCs w:val="24"/>
                <w:highlight w:val="none"/>
                <w:lang w:val="en-US" w:eastAsia="zh-CN" w:bidi="ar-SA"/>
              </w:rPr>
              <w:t>15</w:t>
            </w:r>
            <w:r>
              <w:rPr>
                <w:rFonts w:hint="eastAsia" w:ascii="Times New Roman" w:hAnsi="Times New Roman" w:cs="Times New Roman"/>
                <w:b/>
                <w:bCs/>
                <w:color w:val="auto"/>
                <w:kern w:val="2"/>
                <w:sz w:val="24"/>
                <w:szCs w:val="24"/>
                <w:highlight w:val="none"/>
                <w:lang w:val="en-US" w:eastAsia="zh-CN" w:bidi="ar-SA"/>
              </w:rPr>
              <w:t>、与《挥发性有机物（VOCs）污染防治技术政策》（公告2013年第31号）相符性分析</w:t>
            </w:r>
          </w:p>
          <w:p w14:paraId="2A6D2599">
            <w:pPr>
              <w:pStyle w:val="8"/>
              <w:keepNext w:val="0"/>
              <w:keepLines w:val="0"/>
              <w:suppressLineNumbers w:val="0"/>
              <w:bidi w:val="0"/>
              <w:spacing w:before="0" w:beforeAutospacing="0" w:after="0" w:afterAutospacing="0"/>
              <w:ind w:left="0" w:right="0"/>
              <w:jc w:val="center"/>
              <w:rPr>
                <w:rFonts w:hint="default" w:ascii="Times New Roman" w:hAnsi="Times New Roman" w:eastAsia="宋体" w:cs="Times New Roman"/>
                <w:b/>
                <w:bCs/>
                <w:color w:val="auto"/>
                <w:highlight w:val="none"/>
                <w:lang w:val="en-US" w:eastAsia="zh-CN"/>
              </w:rPr>
            </w:pPr>
            <w:r>
              <w:rPr>
                <w:rFonts w:hint="eastAsia" w:ascii="Times New Roman" w:hAnsi="Times New Roman" w:eastAsia="宋体" w:cs="Times New Roman"/>
                <w:b/>
                <w:bCs/>
                <w:color w:val="auto"/>
                <w:highlight w:val="none"/>
                <w:lang w:val="en-US" w:eastAsia="zh-CN"/>
              </w:rPr>
              <w:t>表1-</w:t>
            </w:r>
            <w:r>
              <w:rPr>
                <w:rFonts w:hint="eastAsia" w:cs="Times New Roman"/>
                <w:b/>
                <w:bCs/>
                <w:color w:val="auto"/>
                <w:highlight w:val="none"/>
                <w:lang w:val="en-US" w:eastAsia="zh-CN"/>
              </w:rPr>
              <w:t>16</w:t>
            </w:r>
            <w:r>
              <w:rPr>
                <w:rFonts w:hint="eastAsia" w:ascii="Times New Roman" w:hAnsi="Times New Roman" w:eastAsia="宋体" w:cs="Times New Roman"/>
                <w:b/>
                <w:bCs/>
                <w:color w:val="auto"/>
                <w:highlight w:val="none"/>
                <w:lang w:val="en-US" w:eastAsia="zh-CN"/>
              </w:rPr>
              <w:t xml:space="preserve">   与挥发性有机物（VOCs）污染防治技术政策相符性分析</w:t>
            </w:r>
          </w:p>
          <w:tbl>
            <w:tblPr>
              <w:tblStyle w:val="27"/>
              <w:tblW w:w="4995" w:type="pct"/>
              <w:tblInd w:w="5"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042"/>
              <w:gridCol w:w="2452"/>
              <w:gridCol w:w="960"/>
            </w:tblGrid>
            <w:tr w14:paraId="09C6A74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710" w:type="pct"/>
                  <w:tcBorders>
                    <w:tl2br w:val="nil"/>
                    <w:tr2bl w:val="nil"/>
                  </w:tcBorders>
                  <w:noWrap w:val="0"/>
                  <w:vAlign w:val="center"/>
                </w:tcPr>
                <w:p w14:paraId="0C8DC057">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auto"/>
                    <w:rPr>
                      <w:rFonts w:hint="default"/>
                      <w:b/>
                      <w:bCs/>
                      <w:color w:val="auto"/>
                      <w:highlight w:val="none"/>
                    </w:rPr>
                  </w:pPr>
                  <w:r>
                    <w:rPr>
                      <w:rFonts w:hint="eastAsia"/>
                      <w:b/>
                      <w:bCs/>
                      <w:color w:val="auto"/>
                      <w:highlight w:val="none"/>
                    </w:rPr>
                    <w:t>内容</w:t>
                  </w:r>
                </w:p>
              </w:tc>
              <w:tc>
                <w:tcPr>
                  <w:tcW w:w="1644" w:type="pct"/>
                  <w:tcBorders>
                    <w:tl2br w:val="nil"/>
                    <w:tr2bl w:val="nil"/>
                  </w:tcBorders>
                  <w:noWrap w:val="0"/>
                  <w:vAlign w:val="center"/>
                </w:tcPr>
                <w:p w14:paraId="21AB584B">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auto"/>
                    <w:rPr>
                      <w:rFonts w:hint="default"/>
                      <w:b/>
                      <w:bCs/>
                      <w:color w:val="auto"/>
                      <w:highlight w:val="none"/>
                    </w:rPr>
                  </w:pPr>
                  <w:r>
                    <w:rPr>
                      <w:rFonts w:hint="eastAsia"/>
                      <w:b/>
                      <w:bCs/>
                      <w:color w:val="auto"/>
                      <w:highlight w:val="none"/>
                    </w:rPr>
                    <w:t>本项目情况</w:t>
                  </w:r>
                </w:p>
              </w:tc>
              <w:tc>
                <w:tcPr>
                  <w:tcW w:w="644" w:type="pct"/>
                  <w:tcBorders>
                    <w:tl2br w:val="nil"/>
                    <w:tr2bl w:val="nil"/>
                  </w:tcBorders>
                  <w:noWrap w:val="0"/>
                  <w:vAlign w:val="center"/>
                </w:tcPr>
                <w:p w14:paraId="29599466">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eastAsia="宋体"/>
                      <w:b/>
                      <w:bCs/>
                      <w:color w:val="auto"/>
                      <w:highlight w:val="none"/>
                      <w:lang w:eastAsia="zh-CN"/>
                    </w:rPr>
                  </w:pPr>
                  <w:r>
                    <w:rPr>
                      <w:rFonts w:hint="default"/>
                      <w:b/>
                      <w:bCs/>
                      <w:color w:val="auto"/>
                      <w:highlight w:val="none"/>
                    </w:rPr>
                    <w:t>相符</w:t>
                  </w:r>
                  <w:r>
                    <w:rPr>
                      <w:rFonts w:hint="eastAsia"/>
                      <w:b/>
                      <w:bCs/>
                      <w:color w:val="auto"/>
                      <w:highlight w:val="none"/>
                      <w:lang w:val="en-US" w:eastAsia="zh-CN"/>
                    </w:rPr>
                    <w:t>情况</w:t>
                  </w:r>
                </w:p>
              </w:tc>
            </w:tr>
            <w:tr w14:paraId="4BCF749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710" w:type="pct"/>
                  <w:tcBorders>
                    <w:tl2br w:val="nil"/>
                    <w:tr2bl w:val="nil"/>
                  </w:tcBorders>
                  <w:noWrap w:val="0"/>
                  <w:vAlign w:val="center"/>
                </w:tcPr>
                <w:p w14:paraId="1CB06DB3">
                  <w:pPr>
                    <w:keepNext w:val="0"/>
                    <w:keepLines w:val="0"/>
                    <w:suppressLineNumbers w:val="0"/>
                    <w:adjustRightInd w:val="0"/>
                    <w:snapToGrid w:val="0"/>
                    <w:spacing w:before="0" w:beforeAutospacing="0" w:after="0" w:afterAutospacing="0" w:line="240" w:lineRule="auto"/>
                    <w:ind w:left="0" w:right="0" w:firstLine="0" w:firstLineChars="0"/>
                    <w:jc w:val="both"/>
                    <w:rPr>
                      <w:rFonts w:hint="eastAsia"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rPr>
                    <w:t>涂料、油墨、胶粘剂、农药等以VOCs为原料的生产行业的VOCs污染防治技术措施包括：</w:t>
                  </w:r>
                </w:p>
                <w:p w14:paraId="10A15B0F">
                  <w:pPr>
                    <w:keepNext w:val="0"/>
                    <w:keepLines w:val="0"/>
                    <w:suppressLineNumbers w:val="0"/>
                    <w:adjustRightInd w:val="0"/>
                    <w:snapToGrid w:val="0"/>
                    <w:spacing w:before="0" w:beforeAutospacing="0" w:after="0" w:afterAutospacing="0" w:line="240" w:lineRule="auto"/>
                    <w:ind w:left="0" w:right="0" w:firstLine="0" w:firstLineChars="0"/>
                    <w:jc w:val="both"/>
                    <w:rPr>
                      <w:rFonts w:hint="eastAsia"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rPr>
                    <w:t>1.鼓励符合环境标志产品技术要求的水基型、无有机溶剂型、低有机溶剂型的涂料、油墨和胶粘剂等的生产和销售；</w:t>
                  </w:r>
                </w:p>
                <w:p w14:paraId="085194A1">
                  <w:pPr>
                    <w:keepNext w:val="0"/>
                    <w:keepLines w:val="0"/>
                    <w:suppressLineNumbers w:val="0"/>
                    <w:adjustRightInd w:val="0"/>
                    <w:snapToGrid w:val="0"/>
                    <w:spacing w:before="0" w:beforeAutospacing="0" w:after="0" w:afterAutospacing="0" w:line="240" w:lineRule="auto"/>
                    <w:ind w:left="0" w:right="0" w:firstLine="0" w:firstLineChars="0"/>
                    <w:jc w:val="both"/>
                    <w:rPr>
                      <w:rFonts w:hint="eastAsia"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rPr>
                    <w:t>2.鼓励采用密闭一体化生产技术，并对生产过程中产生的废气分类收集后处理。</w:t>
                  </w:r>
                </w:p>
              </w:tc>
              <w:tc>
                <w:tcPr>
                  <w:tcW w:w="1644" w:type="pct"/>
                  <w:tcBorders>
                    <w:tl2br w:val="nil"/>
                    <w:tr2bl w:val="nil"/>
                  </w:tcBorders>
                  <w:noWrap w:val="0"/>
                  <w:vAlign w:val="center"/>
                </w:tcPr>
                <w:p w14:paraId="2D6745AD">
                  <w:pPr>
                    <w:keepNext w:val="0"/>
                    <w:keepLines w:val="0"/>
                    <w:suppressLineNumbers w:val="0"/>
                    <w:adjustRightInd w:val="0"/>
                    <w:snapToGrid w:val="0"/>
                    <w:spacing w:before="0" w:beforeAutospacing="0" w:after="0" w:afterAutospacing="0" w:line="240" w:lineRule="auto"/>
                    <w:ind w:left="0" w:right="0" w:firstLine="0" w:firstLineChars="0"/>
                    <w:jc w:val="both"/>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eastAsia="zh-CN"/>
                    </w:rPr>
                    <w:t>本项目</w:t>
                  </w:r>
                  <w:r>
                    <w:rPr>
                      <w:rFonts w:hint="eastAsia" w:ascii="Times New Roman" w:hAnsi="Times New Roman" w:eastAsia="宋体" w:cs="Times New Roman"/>
                      <w:color w:val="auto"/>
                      <w:sz w:val="21"/>
                      <w:szCs w:val="21"/>
                      <w:highlight w:val="none"/>
                      <w:lang w:val="en-US" w:eastAsia="zh-CN"/>
                    </w:rPr>
                    <w:t>生产过程</w:t>
                  </w:r>
                  <w:r>
                    <w:rPr>
                      <w:rFonts w:hint="eastAsia" w:ascii="Times New Roman" w:hAnsi="Times New Roman" w:eastAsia="宋体" w:cs="Times New Roman"/>
                      <w:color w:val="auto"/>
                      <w:sz w:val="21"/>
                      <w:szCs w:val="21"/>
                      <w:highlight w:val="none"/>
                      <w:lang w:eastAsia="zh-CN"/>
                    </w:rPr>
                    <w:t>废气</w:t>
                  </w:r>
                  <w:r>
                    <w:rPr>
                      <w:rFonts w:hint="eastAsia" w:cs="Times New Roman"/>
                      <w:color w:val="auto"/>
                      <w:sz w:val="21"/>
                      <w:szCs w:val="21"/>
                      <w:highlight w:val="none"/>
                      <w:lang w:val="en-US" w:eastAsia="zh-CN"/>
                    </w:rPr>
                    <w:t>采用集气罩</w:t>
                  </w:r>
                  <w:r>
                    <w:rPr>
                      <w:rFonts w:hint="eastAsia" w:ascii="Times New Roman" w:hAnsi="Times New Roman" w:eastAsia="宋体" w:cs="Times New Roman"/>
                      <w:color w:val="auto"/>
                      <w:sz w:val="21"/>
                      <w:szCs w:val="21"/>
                      <w:highlight w:val="none"/>
                      <w:lang w:eastAsia="zh-CN"/>
                    </w:rPr>
                    <w:t>有效收集；</w:t>
                  </w:r>
                  <w:r>
                    <w:rPr>
                      <w:rFonts w:hint="eastAsia" w:ascii="Times New Roman" w:hAnsi="Times New Roman" w:eastAsia="宋体" w:cs="Times New Roman"/>
                      <w:color w:val="auto"/>
                      <w:sz w:val="21"/>
                      <w:szCs w:val="21"/>
                      <w:highlight w:val="none"/>
                      <w:lang w:val="en-US" w:eastAsia="zh-CN"/>
                    </w:rPr>
                    <w:t>本项目废气分类收集处理达标后排放</w:t>
                  </w:r>
                  <w:r>
                    <w:rPr>
                      <w:rFonts w:hint="eastAsia" w:ascii="Times New Roman" w:hAnsi="Times New Roman" w:eastAsia="宋体" w:cs="Times New Roman"/>
                      <w:color w:val="auto"/>
                      <w:sz w:val="21"/>
                      <w:szCs w:val="21"/>
                      <w:highlight w:val="none"/>
                      <w:lang w:eastAsia="zh-CN"/>
                    </w:rPr>
                    <w:t>。</w:t>
                  </w:r>
                </w:p>
              </w:tc>
              <w:tc>
                <w:tcPr>
                  <w:tcW w:w="644" w:type="pct"/>
                  <w:tcBorders>
                    <w:tl2br w:val="nil"/>
                    <w:tr2bl w:val="nil"/>
                  </w:tcBorders>
                  <w:noWrap w:val="0"/>
                  <w:vAlign w:val="center"/>
                </w:tcPr>
                <w:p w14:paraId="5AD07201">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color w:val="auto"/>
                      <w:highlight w:val="none"/>
                    </w:rPr>
                  </w:pPr>
                  <w:r>
                    <w:rPr>
                      <w:rFonts w:hint="eastAsia"/>
                      <w:color w:val="auto"/>
                      <w:highlight w:val="none"/>
                    </w:rPr>
                    <w:t>符合</w:t>
                  </w:r>
                </w:p>
              </w:tc>
            </w:tr>
            <w:tr w14:paraId="4ACB7CE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710" w:type="pct"/>
                  <w:tcBorders>
                    <w:tl2br w:val="nil"/>
                    <w:tr2bl w:val="nil"/>
                  </w:tcBorders>
                  <w:noWrap w:val="0"/>
                  <w:vAlign w:val="center"/>
                </w:tcPr>
                <w:p w14:paraId="1039652B">
                  <w:pPr>
                    <w:keepNext w:val="0"/>
                    <w:keepLines w:val="0"/>
                    <w:suppressLineNumbers w:val="0"/>
                    <w:adjustRightInd w:val="0"/>
                    <w:snapToGrid w:val="0"/>
                    <w:spacing w:before="0" w:beforeAutospacing="0" w:after="0" w:afterAutospacing="0" w:line="240" w:lineRule="auto"/>
                    <w:ind w:left="0" w:right="0" w:firstLine="0" w:firstLineChars="0"/>
                    <w:jc w:val="both"/>
                    <w:rPr>
                      <w:rFonts w:hint="eastAsia"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rPr>
                    <w:t>在涂装、印刷、粘合、工业清洗等含VOCs产品的使用过程中的VOCs污染防治技术措施包括：</w:t>
                  </w:r>
                </w:p>
                <w:p w14:paraId="6A59CDF0">
                  <w:pPr>
                    <w:keepNext w:val="0"/>
                    <w:keepLines w:val="0"/>
                    <w:suppressLineNumbers w:val="0"/>
                    <w:adjustRightInd w:val="0"/>
                    <w:snapToGrid w:val="0"/>
                    <w:spacing w:before="0" w:beforeAutospacing="0" w:after="0" w:afterAutospacing="0" w:line="240" w:lineRule="auto"/>
                    <w:ind w:left="0" w:right="0" w:firstLine="0" w:firstLineChars="0"/>
                    <w:jc w:val="both"/>
                    <w:rPr>
                      <w:rFonts w:hint="eastAsia"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rPr>
                    <w:t>1.鼓励使用通过环境标志产品认证的环保型涂料、油墨、胶粘剂和清洗剂；</w:t>
                  </w:r>
                </w:p>
                <w:p w14:paraId="0BD9EB02">
                  <w:pPr>
                    <w:keepNext w:val="0"/>
                    <w:keepLines w:val="0"/>
                    <w:suppressLineNumbers w:val="0"/>
                    <w:adjustRightInd w:val="0"/>
                    <w:snapToGrid w:val="0"/>
                    <w:spacing w:before="0" w:beforeAutospacing="0" w:after="0" w:afterAutospacing="0" w:line="240" w:lineRule="auto"/>
                    <w:ind w:left="0" w:right="0" w:firstLine="0" w:firstLineChars="0"/>
                    <w:jc w:val="both"/>
                    <w:rPr>
                      <w:rFonts w:hint="eastAsia"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rPr>
                    <w:t>2.根据涂装工艺的不同，鼓励使用水性涂料、高固份涂料、粉末涂料、紫外光固化（UV）涂料等环保型涂料；推广采用静电喷涂、淋涂、辊涂、浸涂等效率较高的涂装工艺；应尽量避免无VOCs净化、回收措施的露天喷涂作业；</w:t>
                  </w:r>
                </w:p>
                <w:p w14:paraId="197423D1">
                  <w:pPr>
                    <w:keepNext w:val="0"/>
                    <w:keepLines w:val="0"/>
                    <w:suppressLineNumbers w:val="0"/>
                    <w:adjustRightInd w:val="0"/>
                    <w:snapToGrid w:val="0"/>
                    <w:spacing w:before="0" w:beforeAutospacing="0" w:after="0" w:afterAutospacing="0" w:line="240" w:lineRule="auto"/>
                    <w:ind w:left="0" w:right="0" w:firstLine="0" w:firstLineChars="0"/>
                    <w:jc w:val="both"/>
                    <w:rPr>
                      <w:rFonts w:hint="eastAsia"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rPr>
                    <w:t>3.在印刷工艺中推广使用水性油墨，印铁制罐行业鼓励使用紫外光固化（UV）油墨，书刊印刷行业鼓励使用预涂膜技术；</w:t>
                  </w:r>
                </w:p>
                <w:p w14:paraId="0ABA8C83">
                  <w:pPr>
                    <w:keepNext w:val="0"/>
                    <w:keepLines w:val="0"/>
                    <w:suppressLineNumbers w:val="0"/>
                    <w:adjustRightInd w:val="0"/>
                    <w:snapToGrid w:val="0"/>
                    <w:spacing w:before="0" w:beforeAutospacing="0" w:after="0" w:afterAutospacing="0" w:line="240" w:lineRule="auto"/>
                    <w:ind w:left="0" w:right="0" w:firstLine="0" w:firstLineChars="0"/>
                    <w:jc w:val="both"/>
                    <w:rPr>
                      <w:rFonts w:hint="eastAsia"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rPr>
                    <w:t>4.鼓励在人造板、制鞋、皮革制品、包装材料等粘合过程中使用水基型、热熔型等环保型胶粘剂，在复合膜的生产中推广无溶剂复合及共挤出复合技术；</w:t>
                  </w:r>
                </w:p>
                <w:p w14:paraId="27620B75">
                  <w:pPr>
                    <w:keepNext w:val="0"/>
                    <w:keepLines w:val="0"/>
                    <w:suppressLineNumbers w:val="0"/>
                    <w:adjustRightInd w:val="0"/>
                    <w:snapToGrid w:val="0"/>
                    <w:spacing w:before="0" w:beforeAutospacing="0" w:after="0" w:afterAutospacing="0" w:line="240" w:lineRule="auto"/>
                    <w:ind w:left="0" w:right="0" w:firstLine="0" w:firstLineChars="0"/>
                    <w:jc w:val="both"/>
                    <w:rPr>
                      <w:rFonts w:hint="eastAsia"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rPr>
                    <w:t>5.淘汰以三氟三氯乙烷、甲基氯仿和四氯化碳为清洗剂或溶剂的生产工艺。清洗过程中产生的废溶剂宜密闭收集，有回收价值的废溶剂经处理后回用，其他废溶剂应妥善处置；</w:t>
                  </w:r>
                </w:p>
                <w:p w14:paraId="72A7EA15">
                  <w:pPr>
                    <w:keepNext w:val="0"/>
                    <w:keepLines w:val="0"/>
                    <w:suppressLineNumbers w:val="0"/>
                    <w:adjustRightInd w:val="0"/>
                    <w:snapToGrid w:val="0"/>
                    <w:spacing w:before="0" w:beforeAutospacing="0" w:after="0" w:afterAutospacing="0" w:line="240" w:lineRule="auto"/>
                    <w:ind w:left="0" w:right="0" w:firstLine="0" w:firstLineChars="0"/>
                    <w:jc w:val="both"/>
                    <w:rPr>
                      <w:rFonts w:hint="eastAsia"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rPr>
                    <w:t>6.含VOCs产品的使用过程中，应采取废气收集措施，提高废气收集效率，减少废气的无组织排放与逸散，并对收集后的废气进行回收或处理后达标排放。</w:t>
                  </w:r>
                </w:p>
              </w:tc>
              <w:tc>
                <w:tcPr>
                  <w:tcW w:w="1644" w:type="pct"/>
                  <w:tcBorders>
                    <w:tl2br w:val="nil"/>
                    <w:tr2bl w:val="nil"/>
                  </w:tcBorders>
                  <w:noWrap w:val="0"/>
                  <w:vAlign w:val="center"/>
                </w:tcPr>
                <w:p w14:paraId="47A913A3">
                  <w:pPr>
                    <w:keepNext w:val="0"/>
                    <w:keepLines w:val="0"/>
                    <w:suppressLineNumbers w:val="0"/>
                    <w:adjustRightInd w:val="0"/>
                    <w:snapToGrid w:val="0"/>
                    <w:spacing w:before="0" w:beforeAutospacing="0" w:after="0" w:afterAutospacing="0" w:line="240" w:lineRule="auto"/>
                    <w:ind w:left="0" w:right="0" w:firstLine="0" w:firstLineChars="0"/>
                    <w:jc w:val="both"/>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本项目</w:t>
                  </w:r>
                  <w:r>
                    <w:rPr>
                      <w:rFonts w:hint="eastAsia" w:cs="Times New Roman"/>
                      <w:color w:val="auto"/>
                      <w:sz w:val="21"/>
                      <w:szCs w:val="21"/>
                      <w:highlight w:val="none"/>
                      <w:lang w:val="en-US" w:eastAsia="zh-CN"/>
                    </w:rPr>
                    <w:t>使用PU胶、油墨、EVA处理剂、TPR处理剂等，有机</w:t>
                  </w:r>
                  <w:r>
                    <w:rPr>
                      <w:rFonts w:hint="eastAsia" w:ascii="Times New Roman" w:hAnsi="Times New Roman" w:eastAsia="宋体" w:cs="Times New Roman"/>
                      <w:color w:val="auto"/>
                      <w:sz w:val="21"/>
                      <w:szCs w:val="21"/>
                      <w:highlight w:val="none"/>
                      <w:lang w:val="en-US" w:eastAsia="zh-CN"/>
                    </w:rPr>
                    <w:t>废气采用</w:t>
                  </w:r>
                  <w:r>
                    <w:rPr>
                      <w:rFonts w:hint="eastAsia" w:cs="Times New Roman"/>
                      <w:color w:val="auto"/>
                      <w:sz w:val="21"/>
                      <w:szCs w:val="21"/>
                      <w:highlight w:val="none"/>
                      <w:lang w:val="en-US" w:eastAsia="zh-CN"/>
                    </w:rPr>
                    <w:t>半密闭</w:t>
                  </w:r>
                  <w:r>
                    <w:rPr>
                      <w:rFonts w:hint="eastAsia" w:ascii="Times New Roman" w:hAnsi="Times New Roman" w:eastAsia="宋体" w:cs="Times New Roman"/>
                      <w:color w:val="auto"/>
                      <w:sz w:val="21"/>
                      <w:szCs w:val="21"/>
                      <w:highlight w:val="none"/>
                      <w:lang w:val="en-US" w:eastAsia="zh-CN"/>
                    </w:rPr>
                    <w:t>集气罩收集</w:t>
                  </w:r>
                  <w:r>
                    <w:rPr>
                      <w:rFonts w:hint="eastAsia" w:cs="Times New Roman"/>
                      <w:color w:val="auto"/>
                      <w:sz w:val="21"/>
                      <w:szCs w:val="21"/>
                      <w:highlight w:val="none"/>
                      <w:lang w:val="en-US" w:eastAsia="zh-CN"/>
                    </w:rPr>
                    <w:t>、活性炭吸附</w:t>
                  </w:r>
                  <w:r>
                    <w:rPr>
                      <w:rFonts w:hint="eastAsia" w:ascii="Times New Roman" w:hAnsi="Times New Roman" w:eastAsia="宋体" w:cs="Times New Roman"/>
                      <w:color w:val="auto"/>
                      <w:sz w:val="21"/>
                      <w:szCs w:val="21"/>
                      <w:highlight w:val="none"/>
                      <w:lang w:val="en-US" w:eastAsia="zh-CN"/>
                    </w:rPr>
                    <w:t>处理后达标排放</w:t>
                  </w:r>
                  <w:r>
                    <w:rPr>
                      <w:rFonts w:hint="eastAsia" w:cs="Times New Roman"/>
                      <w:color w:val="auto"/>
                      <w:sz w:val="21"/>
                      <w:szCs w:val="21"/>
                      <w:highlight w:val="none"/>
                      <w:lang w:val="en-US" w:eastAsia="zh-CN"/>
                    </w:rPr>
                    <w:t>，</w:t>
                  </w:r>
                  <w:r>
                    <w:rPr>
                      <w:rFonts w:hint="eastAsia" w:ascii="Times New Roman" w:hAnsi="Times New Roman" w:eastAsia="宋体" w:cs="Times New Roman"/>
                      <w:color w:val="auto"/>
                      <w:sz w:val="21"/>
                      <w:szCs w:val="21"/>
                      <w:highlight w:val="none"/>
                      <w:lang w:val="en-US" w:eastAsia="zh-CN"/>
                    </w:rPr>
                    <w:t>减少无组织排放。</w:t>
                  </w:r>
                </w:p>
              </w:tc>
              <w:tc>
                <w:tcPr>
                  <w:tcW w:w="644" w:type="pct"/>
                  <w:tcBorders>
                    <w:tl2br w:val="nil"/>
                    <w:tr2bl w:val="nil"/>
                  </w:tcBorders>
                  <w:noWrap w:val="0"/>
                  <w:vAlign w:val="center"/>
                </w:tcPr>
                <w:p w14:paraId="41B02A10">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color w:val="auto"/>
                      <w:highlight w:val="none"/>
                    </w:rPr>
                  </w:pPr>
                  <w:r>
                    <w:rPr>
                      <w:rFonts w:hint="eastAsia"/>
                      <w:color w:val="auto"/>
                      <w:highlight w:val="none"/>
                    </w:rPr>
                    <w:t>符合</w:t>
                  </w:r>
                </w:p>
              </w:tc>
            </w:tr>
            <w:tr w14:paraId="3713306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710" w:type="pct"/>
                  <w:tcBorders>
                    <w:tl2br w:val="nil"/>
                    <w:tr2bl w:val="nil"/>
                  </w:tcBorders>
                  <w:noWrap w:val="0"/>
                  <w:vAlign w:val="center"/>
                </w:tcPr>
                <w:p w14:paraId="75883B56">
                  <w:pPr>
                    <w:keepNext w:val="0"/>
                    <w:keepLines w:val="0"/>
                    <w:suppressLineNumbers w:val="0"/>
                    <w:adjustRightInd w:val="0"/>
                    <w:snapToGrid w:val="0"/>
                    <w:spacing w:before="0" w:beforeAutospacing="0" w:after="0" w:afterAutospacing="0" w:line="240" w:lineRule="auto"/>
                    <w:ind w:left="0" w:right="0" w:firstLine="0" w:firstLineChars="0"/>
                    <w:jc w:val="both"/>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鼓励企业自行开展VOCs监测，并及时主动向当地环保行政主管部门报送监测结果。</w:t>
                  </w:r>
                </w:p>
              </w:tc>
              <w:tc>
                <w:tcPr>
                  <w:tcW w:w="1644" w:type="pct"/>
                  <w:tcBorders>
                    <w:tl2br w:val="nil"/>
                    <w:tr2bl w:val="nil"/>
                  </w:tcBorders>
                  <w:noWrap w:val="0"/>
                  <w:vAlign w:val="center"/>
                </w:tcPr>
                <w:p w14:paraId="613AE583">
                  <w:pPr>
                    <w:keepNext w:val="0"/>
                    <w:keepLines w:val="0"/>
                    <w:suppressLineNumbers w:val="0"/>
                    <w:adjustRightInd w:val="0"/>
                    <w:snapToGrid w:val="0"/>
                    <w:spacing w:before="0" w:beforeAutospacing="0" w:after="0" w:afterAutospacing="0" w:line="240" w:lineRule="auto"/>
                    <w:ind w:left="0" w:right="0" w:firstLine="0" w:firstLineChars="0"/>
                    <w:jc w:val="both"/>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eastAsia="zh-CN"/>
                    </w:rPr>
                    <w:t>本项目</w:t>
                  </w:r>
                  <w:r>
                    <w:rPr>
                      <w:rFonts w:hint="eastAsia" w:ascii="Times New Roman" w:hAnsi="Times New Roman" w:eastAsia="宋体" w:cs="Times New Roman"/>
                      <w:color w:val="auto"/>
                      <w:sz w:val="21"/>
                      <w:szCs w:val="21"/>
                      <w:highlight w:val="none"/>
                      <w:lang w:val="en-US" w:eastAsia="zh-CN"/>
                    </w:rPr>
                    <w:t>制定自行监测方案，企业按要求自行开展VOCs监测并及时主动向当地环保行政主管部门报送监测结果。</w:t>
                  </w:r>
                </w:p>
              </w:tc>
              <w:tc>
                <w:tcPr>
                  <w:tcW w:w="644" w:type="pct"/>
                  <w:tcBorders>
                    <w:tl2br w:val="nil"/>
                    <w:tr2bl w:val="nil"/>
                  </w:tcBorders>
                  <w:noWrap w:val="0"/>
                  <w:vAlign w:val="center"/>
                </w:tcPr>
                <w:p w14:paraId="3A3C4BED">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color w:val="auto"/>
                      <w:highlight w:val="none"/>
                    </w:rPr>
                  </w:pPr>
                  <w:r>
                    <w:rPr>
                      <w:rFonts w:hint="eastAsia"/>
                      <w:color w:val="auto"/>
                      <w:highlight w:val="none"/>
                    </w:rPr>
                    <w:t>符合</w:t>
                  </w:r>
                </w:p>
              </w:tc>
            </w:tr>
            <w:tr w14:paraId="352A5B0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710" w:type="pct"/>
                  <w:tcBorders>
                    <w:tl2br w:val="nil"/>
                    <w:tr2bl w:val="nil"/>
                  </w:tcBorders>
                  <w:noWrap w:val="0"/>
                  <w:vAlign w:val="center"/>
                </w:tcPr>
                <w:p w14:paraId="29568A52">
                  <w:pPr>
                    <w:keepNext w:val="0"/>
                    <w:keepLines w:val="0"/>
                    <w:suppressLineNumbers w:val="0"/>
                    <w:adjustRightInd w:val="0"/>
                    <w:snapToGrid w:val="0"/>
                    <w:spacing w:before="0" w:beforeAutospacing="0" w:after="0" w:afterAutospacing="0" w:line="240" w:lineRule="auto"/>
                    <w:ind w:left="0" w:right="0" w:firstLine="0" w:firstLineChars="0"/>
                    <w:jc w:val="both"/>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企业应建立健全VOCs治理设施的运行维护规程</w:t>
                  </w:r>
                  <w:r>
                    <w:rPr>
                      <w:rFonts w:hint="eastAsia" w:cs="Times New Roman"/>
                      <w:color w:val="auto"/>
                      <w:sz w:val="21"/>
                      <w:szCs w:val="21"/>
                      <w:highlight w:val="none"/>
                      <w:lang w:val="en-US" w:eastAsia="zh-CN"/>
                    </w:rPr>
                    <w:t>和台账</w:t>
                  </w:r>
                  <w:r>
                    <w:rPr>
                      <w:rFonts w:hint="eastAsia" w:ascii="Times New Roman" w:hAnsi="Times New Roman" w:eastAsia="宋体" w:cs="Times New Roman"/>
                      <w:color w:val="auto"/>
                      <w:sz w:val="21"/>
                      <w:szCs w:val="21"/>
                      <w:highlight w:val="none"/>
                      <w:lang w:val="en-US" w:eastAsia="zh-CN"/>
                    </w:rPr>
                    <w:t>等日常管理制度，并根据工艺要求定期对各类设备、电气、自控仪表等进行检修维护，确保设施的稳定运行。</w:t>
                  </w:r>
                </w:p>
              </w:tc>
              <w:tc>
                <w:tcPr>
                  <w:tcW w:w="1644" w:type="pct"/>
                  <w:tcBorders>
                    <w:tl2br w:val="nil"/>
                    <w:tr2bl w:val="nil"/>
                  </w:tcBorders>
                  <w:noWrap w:val="0"/>
                  <w:vAlign w:val="center"/>
                </w:tcPr>
                <w:p w14:paraId="0DEF1C64">
                  <w:pPr>
                    <w:keepNext w:val="0"/>
                    <w:keepLines w:val="0"/>
                    <w:suppressLineNumbers w:val="0"/>
                    <w:adjustRightInd w:val="0"/>
                    <w:snapToGrid w:val="0"/>
                    <w:spacing w:before="0" w:beforeAutospacing="0" w:after="0" w:afterAutospacing="0" w:line="240" w:lineRule="auto"/>
                    <w:ind w:left="0" w:right="0" w:firstLine="0" w:firstLineChars="0"/>
                    <w:jc w:val="both"/>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val="en-US" w:eastAsia="zh-CN"/>
                    </w:rPr>
                    <w:t>企业按要求建立健全VOCs治理设施的运行维护规程</w:t>
                  </w:r>
                  <w:r>
                    <w:rPr>
                      <w:rFonts w:hint="eastAsia" w:cs="Times New Roman"/>
                      <w:color w:val="auto"/>
                      <w:sz w:val="21"/>
                      <w:szCs w:val="21"/>
                      <w:highlight w:val="none"/>
                      <w:lang w:val="en-US" w:eastAsia="zh-CN"/>
                    </w:rPr>
                    <w:t>和台账</w:t>
                  </w:r>
                  <w:r>
                    <w:rPr>
                      <w:rFonts w:hint="eastAsia" w:ascii="Times New Roman" w:hAnsi="Times New Roman" w:eastAsia="宋体" w:cs="Times New Roman"/>
                      <w:color w:val="auto"/>
                      <w:sz w:val="21"/>
                      <w:szCs w:val="21"/>
                      <w:highlight w:val="none"/>
                      <w:lang w:val="en-US" w:eastAsia="zh-CN"/>
                    </w:rPr>
                    <w:t>等日常管理制度，并定期对各类设备、电气、自控仪表等进行检修，确保设施的稳定运行。</w:t>
                  </w:r>
                </w:p>
              </w:tc>
              <w:tc>
                <w:tcPr>
                  <w:tcW w:w="644" w:type="pct"/>
                  <w:tcBorders>
                    <w:tl2br w:val="nil"/>
                    <w:tr2bl w:val="nil"/>
                  </w:tcBorders>
                  <w:noWrap w:val="0"/>
                  <w:vAlign w:val="center"/>
                </w:tcPr>
                <w:p w14:paraId="01DD9D78">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color w:val="auto"/>
                      <w:highlight w:val="none"/>
                    </w:rPr>
                  </w:pPr>
                  <w:r>
                    <w:rPr>
                      <w:rFonts w:hint="eastAsia"/>
                      <w:color w:val="auto"/>
                      <w:highlight w:val="none"/>
                    </w:rPr>
                    <w:t>符合</w:t>
                  </w:r>
                </w:p>
              </w:tc>
            </w:tr>
          </w:tbl>
          <w:p w14:paraId="3F5533F9">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val="0"/>
                <w:color w:val="auto"/>
                <w:sz w:val="24"/>
                <w:highlight w:val="none"/>
                <w:shd w:val="clear" w:color="auto" w:fill="FFFFFF"/>
                <w:lang w:val="en-US" w:eastAsia="zh-CN"/>
              </w:rPr>
            </w:pPr>
            <w:r>
              <w:rPr>
                <w:rFonts w:hint="default" w:ascii="Times New Roman" w:hAnsi="Times New Roman" w:cs="Times New Roman"/>
                <w:b w:val="0"/>
                <w:bCs w:val="0"/>
                <w:color w:val="auto"/>
                <w:sz w:val="24"/>
                <w:highlight w:val="none"/>
                <w:shd w:val="clear" w:color="auto" w:fill="FFFFFF"/>
                <w:lang w:val="en-US" w:eastAsia="zh-CN"/>
              </w:rPr>
              <w:t>由表1-1</w:t>
            </w:r>
            <w:r>
              <w:rPr>
                <w:rFonts w:hint="eastAsia" w:cs="Times New Roman"/>
                <w:b w:val="0"/>
                <w:bCs w:val="0"/>
                <w:color w:val="auto"/>
                <w:sz w:val="24"/>
                <w:highlight w:val="none"/>
                <w:shd w:val="clear" w:color="auto" w:fill="FFFFFF"/>
                <w:lang w:val="en-US" w:eastAsia="zh-CN"/>
              </w:rPr>
              <w:t>6</w:t>
            </w:r>
            <w:r>
              <w:rPr>
                <w:rFonts w:hint="default" w:ascii="Times New Roman" w:hAnsi="Times New Roman" w:cs="Times New Roman"/>
                <w:b w:val="0"/>
                <w:bCs w:val="0"/>
                <w:color w:val="auto"/>
                <w:sz w:val="24"/>
                <w:highlight w:val="none"/>
                <w:shd w:val="clear" w:color="auto" w:fill="FFFFFF"/>
                <w:lang w:val="en-US" w:eastAsia="zh-CN"/>
              </w:rPr>
              <w:t>可知，本项目与《挥发性有机物（VOCs）污染防治技术政策》（公告2013年第31号）要求相符。</w:t>
            </w:r>
          </w:p>
          <w:p w14:paraId="43AFBE69">
            <w:pPr>
              <w:pStyle w:val="2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default" w:ascii="Times New Roman" w:hAnsi="Times New Roman" w:cs="Times New Roman"/>
                <w:b w:val="0"/>
                <w:color w:val="auto"/>
                <w:kern w:val="2"/>
                <w:sz w:val="24"/>
                <w:szCs w:val="24"/>
                <w:highlight w:val="none"/>
                <w:lang w:val="en-US" w:eastAsia="zh-CN" w:bidi="ar-SA"/>
              </w:rPr>
            </w:pPr>
            <w:r>
              <w:rPr>
                <w:rFonts w:hint="eastAsia" w:cs="Times New Roman"/>
                <w:b/>
                <w:bCs/>
                <w:color w:val="auto"/>
                <w:kern w:val="2"/>
                <w:sz w:val="24"/>
                <w:szCs w:val="24"/>
                <w:highlight w:val="none"/>
                <w:lang w:val="en-US" w:eastAsia="zh-CN" w:bidi="ar-SA"/>
              </w:rPr>
              <w:t>16</w:t>
            </w:r>
            <w:r>
              <w:rPr>
                <w:rFonts w:hint="eastAsia" w:ascii="Times New Roman" w:hAnsi="Times New Roman" w:cs="Times New Roman"/>
                <w:b/>
                <w:bCs/>
                <w:color w:val="auto"/>
                <w:kern w:val="2"/>
                <w:sz w:val="24"/>
                <w:szCs w:val="24"/>
                <w:highlight w:val="none"/>
                <w:lang w:val="en-US" w:eastAsia="zh-CN" w:bidi="ar-SA"/>
              </w:rPr>
              <w:t>、与《挥发性有机物无组织排放控制标准》（GB37822-2019）相符性分析</w:t>
            </w:r>
          </w:p>
          <w:p w14:paraId="03667969">
            <w:pPr>
              <w:pStyle w:val="8"/>
              <w:keepNext w:val="0"/>
              <w:keepLines w:val="0"/>
              <w:suppressLineNumbers w:val="0"/>
              <w:bidi w:val="0"/>
              <w:spacing w:before="0" w:beforeAutospacing="0" w:after="0" w:afterAutospacing="0"/>
              <w:ind w:left="0" w:right="0"/>
              <w:jc w:val="center"/>
              <w:rPr>
                <w:rFonts w:hint="eastAsia" w:ascii="Times New Roman" w:hAnsi="Times New Roman" w:eastAsia="宋体" w:cs="Times New Roman"/>
                <w:b/>
                <w:bCs/>
                <w:color w:val="auto"/>
                <w:highlight w:val="none"/>
                <w:lang w:val="en-US" w:eastAsia="zh-CN"/>
              </w:rPr>
            </w:pPr>
            <w:r>
              <w:rPr>
                <w:rFonts w:hint="eastAsia" w:ascii="Times New Roman" w:hAnsi="Times New Roman" w:eastAsia="宋体" w:cs="Times New Roman"/>
                <w:b/>
                <w:bCs/>
                <w:color w:val="auto"/>
                <w:highlight w:val="none"/>
                <w:lang w:val="en-US" w:eastAsia="zh-CN"/>
              </w:rPr>
              <w:t>表1-</w:t>
            </w:r>
            <w:r>
              <w:rPr>
                <w:rFonts w:hint="eastAsia" w:cs="Times New Roman"/>
                <w:b/>
                <w:bCs/>
                <w:color w:val="auto"/>
                <w:highlight w:val="none"/>
                <w:lang w:val="en-US" w:eastAsia="zh-CN"/>
              </w:rPr>
              <w:t>17</w:t>
            </w:r>
            <w:r>
              <w:rPr>
                <w:rFonts w:hint="eastAsia" w:ascii="Times New Roman" w:hAnsi="Times New Roman" w:eastAsia="宋体" w:cs="Times New Roman"/>
                <w:b/>
                <w:bCs/>
                <w:color w:val="auto"/>
                <w:highlight w:val="none"/>
                <w:lang w:val="en-US" w:eastAsia="zh-CN"/>
              </w:rPr>
              <w:t xml:space="preserve">   与挥发性有机物无组织排放控制标准相符性分析</w:t>
            </w:r>
          </w:p>
          <w:tbl>
            <w:tblPr>
              <w:tblStyle w:val="26"/>
              <w:tblW w:w="7422" w:type="dxa"/>
              <w:tblInd w:w="5"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Layout w:type="autofit"/>
              <w:tblCellMar>
                <w:top w:w="0" w:type="dxa"/>
                <w:left w:w="108" w:type="dxa"/>
                <w:bottom w:w="0" w:type="dxa"/>
                <w:right w:w="108" w:type="dxa"/>
              </w:tblCellMar>
            </w:tblPr>
            <w:tblGrid>
              <w:gridCol w:w="742"/>
              <w:gridCol w:w="742"/>
              <w:gridCol w:w="2690"/>
              <w:gridCol w:w="2513"/>
              <w:gridCol w:w="735"/>
            </w:tblGrid>
            <w:tr w14:paraId="24E96AE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40" w:hRule="atLeast"/>
              </w:trPr>
              <w:tc>
                <w:tcPr>
                  <w:tcW w:w="999" w:type="pct"/>
                  <w:gridSpan w:val="2"/>
                  <w:tcBorders>
                    <w:bottom w:val="single" w:color="000000" w:sz="12" w:space="0"/>
                  </w:tcBorders>
                  <w:shd w:val="clear" w:color="auto" w:fill="auto"/>
                  <w:vAlign w:val="center"/>
                </w:tcPr>
                <w:p w14:paraId="3EA808C7">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bCs/>
                      <w:color w:val="auto"/>
                      <w:sz w:val="21"/>
                      <w:highlight w:val="none"/>
                    </w:rPr>
                  </w:pPr>
                  <w:r>
                    <w:rPr>
                      <w:rFonts w:hint="eastAsia" w:ascii="Times New Roman" w:hAnsi="Times New Roman" w:eastAsia="宋体" w:cs="Times New Roman"/>
                      <w:b/>
                      <w:bCs/>
                      <w:color w:val="auto"/>
                      <w:sz w:val="21"/>
                      <w:highlight w:val="none"/>
                    </w:rPr>
                    <w:t>控制环节</w:t>
                  </w:r>
                </w:p>
              </w:tc>
              <w:tc>
                <w:tcPr>
                  <w:tcW w:w="1812" w:type="pct"/>
                  <w:tcBorders>
                    <w:bottom w:val="single" w:color="000000" w:sz="12" w:space="0"/>
                  </w:tcBorders>
                  <w:shd w:val="clear" w:color="auto" w:fill="auto"/>
                  <w:vAlign w:val="center"/>
                </w:tcPr>
                <w:p w14:paraId="4AECAEA5">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bCs/>
                      <w:color w:val="auto"/>
                      <w:sz w:val="21"/>
                      <w:highlight w:val="none"/>
                    </w:rPr>
                  </w:pPr>
                  <w:r>
                    <w:rPr>
                      <w:rFonts w:hint="eastAsia" w:ascii="Times New Roman" w:hAnsi="Times New Roman" w:eastAsia="宋体" w:cs="Times New Roman"/>
                      <w:b/>
                      <w:bCs/>
                      <w:color w:val="auto"/>
                      <w:sz w:val="21"/>
                      <w:highlight w:val="none"/>
                    </w:rPr>
                    <w:t>控制要求</w:t>
                  </w:r>
                </w:p>
              </w:tc>
              <w:tc>
                <w:tcPr>
                  <w:tcW w:w="1692" w:type="pct"/>
                  <w:tcBorders>
                    <w:bottom w:val="single" w:color="000000" w:sz="12" w:space="0"/>
                  </w:tcBorders>
                  <w:shd w:val="clear" w:color="auto" w:fill="auto"/>
                  <w:vAlign w:val="center"/>
                </w:tcPr>
                <w:p w14:paraId="614658E5">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bCs/>
                      <w:color w:val="auto"/>
                      <w:sz w:val="21"/>
                      <w:highlight w:val="none"/>
                      <w:lang w:val="en-US"/>
                    </w:rPr>
                  </w:pPr>
                  <w:r>
                    <w:rPr>
                      <w:rFonts w:hint="eastAsia" w:eastAsia="宋体" w:cs="Times New Roman"/>
                      <w:b/>
                      <w:bCs/>
                      <w:color w:val="auto"/>
                      <w:sz w:val="21"/>
                      <w:highlight w:val="none"/>
                      <w:lang w:val="en-US" w:eastAsia="zh-CN"/>
                    </w:rPr>
                    <w:t>本项目情况</w:t>
                  </w:r>
                </w:p>
              </w:tc>
              <w:tc>
                <w:tcPr>
                  <w:tcW w:w="495" w:type="pct"/>
                  <w:tcBorders>
                    <w:bottom w:val="single" w:color="000000" w:sz="12" w:space="0"/>
                  </w:tcBorders>
                  <w:shd w:val="clear" w:color="auto" w:fill="auto"/>
                  <w:vAlign w:val="center"/>
                </w:tcPr>
                <w:p w14:paraId="75C4EAC3">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eastAsia" w:ascii="Times New Roman" w:hAnsi="Times New Roman" w:eastAsia="宋体" w:cs="Times New Roman"/>
                      <w:b w:val="0"/>
                      <w:color w:val="auto"/>
                      <w:sz w:val="21"/>
                      <w:highlight w:val="none"/>
                      <w:lang w:val="en-US" w:eastAsia="zh-CN"/>
                    </w:rPr>
                  </w:pPr>
                  <w:r>
                    <w:rPr>
                      <w:rFonts w:hint="default" w:eastAsia="宋体"/>
                      <w:b/>
                      <w:bCs/>
                      <w:color w:val="auto"/>
                      <w:sz w:val="21"/>
                      <w:highlight w:val="none"/>
                    </w:rPr>
                    <w:t>相符</w:t>
                  </w:r>
                  <w:r>
                    <w:rPr>
                      <w:rFonts w:hint="eastAsia" w:eastAsia="宋体"/>
                      <w:b/>
                      <w:bCs/>
                      <w:color w:val="auto"/>
                      <w:sz w:val="21"/>
                      <w:highlight w:val="none"/>
                      <w:lang w:val="en-US" w:eastAsia="zh-CN"/>
                    </w:rPr>
                    <w:t>情况</w:t>
                  </w:r>
                </w:p>
              </w:tc>
            </w:tr>
            <w:tr w14:paraId="09B747A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40" w:hRule="atLeast"/>
              </w:trPr>
              <w:tc>
                <w:tcPr>
                  <w:tcW w:w="999" w:type="pct"/>
                  <w:gridSpan w:val="2"/>
                  <w:tcBorders>
                    <w:top w:val="single" w:color="000000" w:sz="12" w:space="0"/>
                    <w:tl2br w:val="nil"/>
                    <w:tr2bl w:val="nil"/>
                  </w:tcBorders>
                  <w:shd w:val="clear" w:color="auto" w:fill="auto"/>
                  <w:vAlign w:val="center"/>
                </w:tcPr>
                <w:p w14:paraId="67852C97">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VOC</w:t>
                  </w:r>
                  <w:r>
                    <w:rPr>
                      <w:rFonts w:hint="eastAsia" w:eastAsia="宋体" w:cs="Times New Roman"/>
                      <w:b w:val="0"/>
                      <w:color w:val="auto"/>
                      <w:sz w:val="21"/>
                      <w:highlight w:val="none"/>
                      <w:lang w:val="en-US" w:eastAsia="zh-CN"/>
                    </w:rPr>
                    <w:t>s</w:t>
                  </w:r>
                </w:p>
                <w:p w14:paraId="03C27C11">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物料存放</w:t>
                  </w:r>
                </w:p>
              </w:tc>
              <w:tc>
                <w:tcPr>
                  <w:tcW w:w="1812" w:type="pct"/>
                  <w:tcBorders>
                    <w:top w:val="single" w:color="000000" w:sz="12" w:space="0"/>
                    <w:tl2br w:val="nil"/>
                    <w:tr2bl w:val="nil"/>
                  </w:tcBorders>
                  <w:shd w:val="clear" w:color="auto" w:fill="auto"/>
                  <w:vAlign w:val="center"/>
                </w:tcPr>
                <w:p w14:paraId="6039EF89">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1、VOC</w:t>
                  </w:r>
                  <w:r>
                    <w:rPr>
                      <w:rFonts w:hint="eastAsia" w:eastAsia="宋体" w:cs="Times New Roman"/>
                      <w:b w:val="0"/>
                      <w:color w:val="auto"/>
                      <w:sz w:val="21"/>
                      <w:highlight w:val="none"/>
                      <w:lang w:val="en-US" w:eastAsia="zh-CN"/>
                    </w:rPr>
                    <w:t>s</w:t>
                  </w:r>
                  <w:r>
                    <w:rPr>
                      <w:rFonts w:hint="eastAsia" w:ascii="Times New Roman" w:hAnsi="Times New Roman" w:eastAsia="宋体" w:cs="Times New Roman"/>
                      <w:b w:val="0"/>
                      <w:color w:val="auto"/>
                      <w:sz w:val="21"/>
                      <w:highlight w:val="none"/>
                    </w:rPr>
                    <w:t>物料应储存于密闭的容器、包装袋、储罐、储库、料仓中；</w:t>
                  </w:r>
                </w:p>
                <w:p w14:paraId="2E55CA7B">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2、盛装VOC</w:t>
                  </w:r>
                  <w:r>
                    <w:rPr>
                      <w:rFonts w:hint="eastAsia" w:eastAsia="宋体" w:cs="Times New Roman"/>
                      <w:b w:val="0"/>
                      <w:color w:val="auto"/>
                      <w:sz w:val="21"/>
                      <w:highlight w:val="none"/>
                      <w:lang w:val="en-US" w:eastAsia="zh-CN"/>
                    </w:rPr>
                    <w:t>s</w:t>
                  </w:r>
                  <w:r>
                    <w:rPr>
                      <w:rFonts w:hint="eastAsia" w:ascii="Times New Roman" w:hAnsi="Times New Roman" w:eastAsia="宋体" w:cs="Times New Roman"/>
                      <w:b w:val="0"/>
                      <w:color w:val="auto"/>
                      <w:sz w:val="21"/>
                      <w:highlight w:val="none"/>
                    </w:rPr>
                    <w:t>物料的容器或包装袋应存放于室内、或存放于设置有雨棚、遮阳和防渗设施的专用场地。盛装VOC</w:t>
                  </w:r>
                  <w:r>
                    <w:rPr>
                      <w:rFonts w:hint="eastAsia" w:eastAsia="宋体" w:cs="Times New Roman"/>
                      <w:b w:val="0"/>
                      <w:color w:val="auto"/>
                      <w:sz w:val="21"/>
                      <w:highlight w:val="none"/>
                      <w:lang w:val="en-US" w:eastAsia="zh-CN"/>
                    </w:rPr>
                    <w:t>s</w:t>
                  </w:r>
                  <w:r>
                    <w:rPr>
                      <w:rFonts w:hint="eastAsia" w:ascii="Times New Roman" w:hAnsi="Times New Roman" w:eastAsia="宋体" w:cs="Times New Roman"/>
                      <w:b w:val="0"/>
                      <w:color w:val="auto"/>
                      <w:sz w:val="21"/>
                      <w:highlight w:val="none"/>
                    </w:rPr>
                    <w:t>物料的容器或包装袋在非取用状态时应加盖、封口，保持密闭；</w:t>
                  </w:r>
                </w:p>
                <w:p w14:paraId="2400B825">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3、VOC</w:t>
                  </w:r>
                  <w:r>
                    <w:rPr>
                      <w:rFonts w:hint="eastAsia" w:eastAsia="宋体" w:cs="Times New Roman"/>
                      <w:b w:val="0"/>
                      <w:color w:val="auto"/>
                      <w:sz w:val="21"/>
                      <w:highlight w:val="none"/>
                      <w:lang w:val="en-US" w:eastAsia="zh-CN"/>
                    </w:rPr>
                    <w:t>s</w:t>
                  </w:r>
                  <w:r>
                    <w:rPr>
                      <w:rFonts w:hint="eastAsia" w:ascii="Times New Roman" w:hAnsi="Times New Roman" w:eastAsia="宋体" w:cs="Times New Roman"/>
                      <w:b w:val="0"/>
                      <w:color w:val="auto"/>
                      <w:sz w:val="21"/>
                      <w:highlight w:val="none"/>
                    </w:rPr>
                    <w:t>物料储罐应密封良好；</w:t>
                  </w:r>
                </w:p>
                <w:p w14:paraId="7A039317">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4、VOC</w:t>
                  </w:r>
                  <w:r>
                    <w:rPr>
                      <w:rFonts w:hint="eastAsia" w:eastAsia="宋体" w:cs="Times New Roman"/>
                      <w:b w:val="0"/>
                      <w:color w:val="auto"/>
                      <w:sz w:val="21"/>
                      <w:highlight w:val="none"/>
                      <w:lang w:val="en-US" w:eastAsia="zh-CN"/>
                    </w:rPr>
                    <w:t>s</w:t>
                  </w:r>
                  <w:r>
                    <w:rPr>
                      <w:rFonts w:hint="eastAsia" w:ascii="Times New Roman" w:hAnsi="Times New Roman" w:eastAsia="宋体" w:cs="Times New Roman"/>
                      <w:b w:val="0"/>
                      <w:color w:val="auto"/>
                      <w:sz w:val="21"/>
                      <w:highlight w:val="none"/>
                    </w:rPr>
                    <w:t>物料储库、料仓应满足3.6条对密闭空间的要求。</w:t>
                  </w:r>
                </w:p>
              </w:tc>
              <w:tc>
                <w:tcPr>
                  <w:tcW w:w="1692" w:type="pct"/>
                  <w:tcBorders>
                    <w:top w:val="single" w:color="000000" w:sz="12" w:space="0"/>
                    <w:tl2br w:val="nil"/>
                    <w:tr2bl w:val="nil"/>
                  </w:tcBorders>
                  <w:shd w:val="clear" w:color="auto" w:fill="auto"/>
                  <w:vAlign w:val="center"/>
                </w:tcPr>
                <w:p w14:paraId="496A2B8D">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本项目PU胶聚氨酯胶粘剂、EVA处理剂、TPR处理剂、脱模剂、台面胶、水性印花油墨等储存于密闭的容器</w:t>
                  </w:r>
                  <w:r>
                    <w:rPr>
                      <w:rFonts w:hint="eastAsia" w:ascii="Times New Roman" w:hAnsi="Times New Roman" w:eastAsia="宋体" w:cs="Times New Roman"/>
                      <w:b w:val="0"/>
                      <w:color w:val="auto"/>
                      <w:sz w:val="21"/>
                      <w:highlight w:val="none"/>
                      <w:lang w:val="en-US" w:eastAsia="zh-CN"/>
                    </w:rPr>
                    <w:t>内</w:t>
                  </w:r>
                  <w:r>
                    <w:rPr>
                      <w:rFonts w:hint="eastAsia" w:ascii="Times New Roman" w:hAnsi="Times New Roman" w:eastAsia="宋体" w:cs="Times New Roman"/>
                      <w:b w:val="0"/>
                      <w:color w:val="auto"/>
                      <w:sz w:val="21"/>
                      <w:highlight w:val="none"/>
                    </w:rPr>
                    <w:t>，存放于室内化学品仓库，在非取用状态时加盖、封口，保持密闭。</w:t>
                  </w:r>
                </w:p>
              </w:tc>
              <w:tc>
                <w:tcPr>
                  <w:tcW w:w="495" w:type="pct"/>
                  <w:tcBorders>
                    <w:top w:val="single" w:color="000000" w:sz="12" w:space="0"/>
                    <w:tl2br w:val="nil"/>
                    <w:tr2bl w:val="nil"/>
                  </w:tcBorders>
                  <w:shd w:val="clear" w:color="auto" w:fill="auto"/>
                  <w:vAlign w:val="center"/>
                </w:tcPr>
                <w:p w14:paraId="2947A843">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eastAsia" w:ascii="Times New Roman" w:hAnsi="Times New Roman" w:eastAsia="宋体" w:cs="Times New Roman"/>
                      <w:b w:val="0"/>
                      <w:color w:val="auto"/>
                      <w:sz w:val="21"/>
                      <w:highlight w:val="none"/>
                      <w:lang w:val="en-US" w:eastAsia="zh-CN"/>
                    </w:rPr>
                  </w:pPr>
                  <w:r>
                    <w:rPr>
                      <w:rFonts w:hint="eastAsia" w:eastAsia="宋体" w:cs="Times New Roman"/>
                      <w:b w:val="0"/>
                      <w:color w:val="auto"/>
                      <w:sz w:val="21"/>
                      <w:highlight w:val="none"/>
                      <w:lang w:val="en-US" w:eastAsia="zh-CN"/>
                    </w:rPr>
                    <w:t>相符</w:t>
                  </w:r>
                </w:p>
              </w:tc>
            </w:tr>
            <w:tr w14:paraId="6BD0FBB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1103" w:hRule="atLeast"/>
              </w:trPr>
              <w:tc>
                <w:tcPr>
                  <w:tcW w:w="999" w:type="pct"/>
                  <w:gridSpan w:val="2"/>
                  <w:vMerge w:val="restart"/>
                  <w:tcBorders>
                    <w:tl2br w:val="nil"/>
                    <w:tr2bl w:val="nil"/>
                  </w:tcBorders>
                  <w:shd w:val="clear" w:color="auto" w:fill="auto"/>
                  <w:vAlign w:val="center"/>
                </w:tcPr>
                <w:p w14:paraId="15D8D6EC">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VOC</w:t>
                  </w:r>
                  <w:r>
                    <w:rPr>
                      <w:rFonts w:hint="eastAsia" w:eastAsia="宋体" w:cs="Times New Roman"/>
                      <w:b w:val="0"/>
                      <w:color w:val="auto"/>
                      <w:sz w:val="21"/>
                      <w:highlight w:val="none"/>
                      <w:lang w:val="en-US" w:eastAsia="zh-CN"/>
                    </w:rPr>
                    <w:t>s</w:t>
                  </w:r>
                  <w:r>
                    <w:rPr>
                      <w:rFonts w:hint="eastAsia" w:ascii="Times New Roman" w:hAnsi="Times New Roman" w:eastAsia="宋体" w:cs="Times New Roman"/>
                      <w:b w:val="0"/>
                      <w:color w:val="auto"/>
                      <w:sz w:val="21"/>
                      <w:highlight w:val="none"/>
                    </w:rPr>
                    <w:t>物料</w:t>
                  </w:r>
                </w:p>
                <w:p w14:paraId="63CC06F2">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转移和输送</w:t>
                  </w:r>
                </w:p>
              </w:tc>
              <w:tc>
                <w:tcPr>
                  <w:tcW w:w="1812" w:type="pct"/>
                  <w:tcBorders>
                    <w:tl2br w:val="nil"/>
                    <w:tr2bl w:val="nil"/>
                  </w:tcBorders>
                  <w:shd w:val="clear" w:color="auto" w:fill="auto"/>
                  <w:vAlign w:val="center"/>
                </w:tcPr>
                <w:p w14:paraId="35CC79D6">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液态VOC</w:t>
                  </w:r>
                  <w:r>
                    <w:rPr>
                      <w:rFonts w:hint="eastAsia" w:eastAsia="宋体" w:cs="Times New Roman"/>
                      <w:b w:val="0"/>
                      <w:color w:val="auto"/>
                      <w:sz w:val="21"/>
                      <w:highlight w:val="none"/>
                      <w:lang w:val="en-US" w:eastAsia="zh-CN"/>
                    </w:rPr>
                    <w:t>s</w:t>
                  </w:r>
                  <w:r>
                    <w:rPr>
                      <w:rFonts w:hint="eastAsia" w:ascii="Times New Roman" w:hAnsi="Times New Roman" w:eastAsia="宋体" w:cs="Times New Roman"/>
                      <w:b w:val="0"/>
                      <w:color w:val="auto"/>
                      <w:sz w:val="21"/>
                      <w:highlight w:val="none"/>
                    </w:rPr>
                    <w:t>物料应采用管道密闭输送。采用非管道输送方式转移液态VOC</w:t>
                  </w:r>
                  <w:r>
                    <w:rPr>
                      <w:rFonts w:hint="eastAsia" w:eastAsia="宋体" w:cs="Times New Roman"/>
                      <w:b w:val="0"/>
                      <w:color w:val="auto"/>
                      <w:sz w:val="21"/>
                      <w:highlight w:val="none"/>
                      <w:lang w:val="en-US" w:eastAsia="zh-CN"/>
                    </w:rPr>
                    <w:t>s</w:t>
                  </w:r>
                  <w:r>
                    <w:rPr>
                      <w:rFonts w:hint="eastAsia" w:ascii="Times New Roman" w:hAnsi="Times New Roman" w:eastAsia="宋体" w:cs="Times New Roman"/>
                      <w:b w:val="0"/>
                      <w:color w:val="auto"/>
                      <w:sz w:val="21"/>
                      <w:highlight w:val="none"/>
                    </w:rPr>
                    <w:t>物料时，应采用密闭容器、罐车。</w:t>
                  </w:r>
                </w:p>
              </w:tc>
              <w:tc>
                <w:tcPr>
                  <w:tcW w:w="1692" w:type="pct"/>
                  <w:tcBorders>
                    <w:tl2br w:val="nil"/>
                    <w:tr2bl w:val="nil"/>
                  </w:tcBorders>
                  <w:shd w:val="clear" w:color="auto" w:fill="auto"/>
                  <w:vAlign w:val="center"/>
                </w:tcPr>
                <w:p w14:paraId="3E0727FE">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eastAsia" w:ascii="Times New Roman" w:hAnsi="Times New Roman" w:eastAsia="宋体" w:cs="Times New Roman"/>
                      <w:b w:val="0"/>
                      <w:color w:val="auto"/>
                      <w:sz w:val="21"/>
                      <w:highlight w:val="none"/>
                      <w:lang w:eastAsia="zh-CN"/>
                    </w:rPr>
                  </w:pPr>
                  <w:r>
                    <w:rPr>
                      <w:rFonts w:hint="eastAsia" w:ascii="Times New Roman" w:hAnsi="Times New Roman" w:eastAsia="宋体" w:cs="Times New Roman"/>
                      <w:b w:val="0"/>
                      <w:color w:val="auto"/>
                      <w:sz w:val="21"/>
                      <w:highlight w:val="none"/>
                    </w:rPr>
                    <w:t>本项目液态VOC</w:t>
                  </w:r>
                  <w:r>
                    <w:rPr>
                      <w:rFonts w:hint="eastAsia" w:eastAsia="宋体" w:cs="Times New Roman"/>
                      <w:b w:val="0"/>
                      <w:color w:val="auto"/>
                      <w:sz w:val="21"/>
                      <w:highlight w:val="none"/>
                      <w:lang w:val="en-US" w:eastAsia="zh-CN"/>
                    </w:rPr>
                    <w:t>s</w:t>
                  </w:r>
                  <w:r>
                    <w:rPr>
                      <w:rFonts w:hint="eastAsia" w:ascii="Times New Roman" w:hAnsi="Times New Roman" w:eastAsia="宋体" w:cs="Times New Roman"/>
                      <w:b w:val="0"/>
                      <w:color w:val="auto"/>
                      <w:sz w:val="21"/>
                      <w:highlight w:val="none"/>
                    </w:rPr>
                    <w:t>物料采用管道密闭输送</w:t>
                  </w:r>
                  <w:r>
                    <w:rPr>
                      <w:rFonts w:hint="eastAsia" w:ascii="Times New Roman" w:hAnsi="Times New Roman" w:eastAsia="宋体" w:cs="Times New Roman"/>
                      <w:b w:val="0"/>
                      <w:color w:val="auto"/>
                      <w:sz w:val="21"/>
                      <w:highlight w:val="none"/>
                      <w:lang w:eastAsia="zh-CN"/>
                    </w:rPr>
                    <w:t>。</w:t>
                  </w:r>
                </w:p>
              </w:tc>
              <w:tc>
                <w:tcPr>
                  <w:tcW w:w="495" w:type="pct"/>
                  <w:tcBorders>
                    <w:tl2br w:val="nil"/>
                    <w:tr2bl w:val="nil"/>
                  </w:tcBorders>
                  <w:shd w:val="clear" w:color="auto" w:fill="auto"/>
                  <w:vAlign w:val="center"/>
                </w:tcPr>
                <w:p w14:paraId="775186F6">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eastAsia" w:ascii="Times New Roman" w:hAnsi="Times New Roman" w:eastAsia="宋体" w:cs="Times New Roman"/>
                      <w:b w:val="0"/>
                      <w:color w:val="auto"/>
                      <w:sz w:val="21"/>
                      <w:highlight w:val="none"/>
                    </w:rPr>
                  </w:pPr>
                  <w:r>
                    <w:rPr>
                      <w:rFonts w:hint="eastAsia" w:eastAsia="宋体" w:cs="Times New Roman"/>
                      <w:b w:val="0"/>
                      <w:color w:val="auto"/>
                      <w:sz w:val="21"/>
                      <w:highlight w:val="none"/>
                      <w:lang w:val="en-US" w:eastAsia="zh-CN"/>
                    </w:rPr>
                    <w:t>相符</w:t>
                  </w:r>
                </w:p>
              </w:tc>
            </w:tr>
            <w:tr w14:paraId="001D7DB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40" w:hRule="atLeast"/>
              </w:trPr>
              <w:tc>
                <w:tcPr>
                  <w:tcW w:w="999" w:type="pct"/>
                  <w:gridSpan w:val="2"/>
                  <w:vMerge w:val="continue"/>
                  <w:tcBorders>
                    <w:tl2br w:val="nil"/>
                    <w:tr2bl w:val="nil"/>
                  </w:tcBorders>
                  <w:shd w:val="clear" w:color="auto" w:fill="auto"/>
                  <w:vAlign w:val="center"/>
                </w:tcPr>
                <w:p w14:paraId="31D7B861">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p>
              </w:tc>
              <w:tc>
                <w:tcPr>
                  <w:tcW w:w="1812" w:type="pct"/>
                  <w:tcBorders>
                    <w:tl2br w:val="nil"/>
                    <w:tr2bl w:val="nil"/>
                  </w:tcBorders>
                  <w:shd w:val="clear" w:color="auto" w:fill="auto"/>
                  <w:vAlign w:val="center"/>
                </w:tcPr>
                <w:p w14:paraId="76DAB9B2">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粉状、粒状VOC</w:t>
                  </w:r>
                  <w:r>
                    <w:rPr>
                      <w:rFonts w:hint="eastAsia" w:eastAsia="宋体" w:cs="Times New Roman"/>
                      <w:b w:val="0"/>
                      <w:color w:val="auto"/>
                      <w:sz w:val="21"/>
                      <w:highlight w:val="none"/>
                      <w:lang w:val="en-US" w:eastAsia="zh-CN"/>
                    </w:rPr>
                    <w:t>s</w:t>
                  </w:r>
                  <w:r>
                    <w:rPr>
                      <w:rFonts w:hint="eastAsia" w:ascii="Times New Roman" w:hAnsi="Times New Roman" w:eastAsia="宋体" w:cs="Times New Roman"/>
                      <w:b w:val="0"/>
                      <w:color w:val="auto"/>
                      <w:sz w:val="21"/>
                      <w:highlight w:val="none"/>
                    </w:rPr>
                    <w:t>物料采用气力输送设备、管状带式输送机、螺旋输送机等密闭输送方式，或者采用密闭的包装袋、容器或罐车进行物料转移。</w:t>
                  </w:r>
                </w:p>
              </w:tc>
              <w:tc>
                <w:tcPr>
                  <w:tcW w:w="1692" w:type="pct"/>
                  <w:tcBorders>
                    <w:tl2br w:val="nil"/>
                    <w:tr2bl w:val="nil"/>
                  </w:tcBorders>
                  <w:shd w:val="clear" w:color="auto" w:fill="auto"/>
                  <w:vAlign w:val="center"/>
                </w:tcPr>
                <w:p w14:paraId="20AC5840">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eastAsia" w:ascii="Times New Roman" w:hAnsi="Times New Roman" w:eastAsia="宋体" w:cs="Times New Roman"/>
                      <w:b w:val="0"/>
                      <w:color w:val="auto"/>
                      <w:sz w:val="21"/>
                      <w:highlight w:val="none"/>
                      <w:lang w:eastAsia="zh-CN"/>
                    </w:rPr>
                  </w:pPr>
                  <w:r>
                    <w:rPr>
                      <w:rFonts w:hint="eastAsia" w:ascii="Times New Roman" w:hAnsi="Times New Roman" w:eastAsia="宋体" w:cs="Times New Roman"/>
                      <w:b w:val="0"/>
                      <w:color w:val="auto"/>
                      <w:sz w:val="21"/>
                      <w:highlight w:val="none"/>
                    </w:rPr>
                    <w:t>项目原料</w:t>
                  </w:r>
                  <w:r>
                    <w:rPr>
                      <w:rFonts w:hint="eastAsia" w:cs="Times New Roman"/>
                      <w:b w:val="0"/>
                      <w:color w:val="auto"/>
                      <w:sz w:val="21"/>
                      <w:highlight w:val="none"/>
                      <w:lang w:val="en-US" w:eastAsia="zh-CN"/>
                    </w:rPr>
                    <w:t>不涉及</w:t>
                  </w:r>
                  <w:r>
                    <w:rPr>
                      <w:rFonts w:hint="eastAsia" w:ascii="Times New Roman" w:hAnsi="Times New Roman" w:eastAsia="宋体" w:cs="Times New Roman"/>
                      <w:b w:val="0"/>
                      <w:color w:val="auto"/>
                      <w:sz w:val="21"/>
                      <w:highlight w:val="none"/>
                    </w:rPr>
                    <w:t>粉状、粒状VOC</w:t>
                  </w:r>
                  <w:r>
                    <w:rPr>
                      <w:rFonts w:hint="eastAsia" w:eastAsia="宋体" w:cs="Times New Roman"/>
                      <w:b w:val="0"/>
                      <w:color w:val="auto"/>
                      <w:sz w:val="21"/>
                      <w:highlight w:val="none"/>
                      <w:lang w:val="en-US" w:eastAsia="zh-CN"/>
                    </w:rPr>
                    <w:t>s</w:t>
                  </w:r>
                  <w:r>
                    <w:rPr>
                      <w:rFonts w:hint="eastAsia" w:ascii="Times New Roman" w:hAnsi="Times New Roman" w:eastAsia="宋体" w:cs="Times New Roman"/>
                      <w:b w:val="0"/>
                      <w:color w:val="auto"/>
                      <w:sz w:val="21"/>
                      <w:highlight w:val="none"/>
                    </w:rPr>
                    <w:t>物料</w:t>
                  </w:r>
                  <w:r>
                    <w:rPr>
                      <w:rFonts w:hint="eastAsia" w:ascii="Times New Roman" w:hAnsi="Times New Roman" w:eastAsia="宋体" w:cs="Times New Roman"/>
                      <w:b w:val="0"/>
                      <w:color w:val="auto"/>
                      <w:sz w:val="21"/>
                      <w:highlight w:val="none"/>
                      <w:lang w:eastAsia="zh-CN"/>
                    </w:rPr>
                    <w:t>。</w:t>
                  </w:r>
                </w:p>
              </w:tc>
              <w:tc>
                <w:tcPr>
                  <w:tcW w:w="495" w:type="pct"/>
                  <w:tcBorders>
                    <w:tl2br w:val="nil"/>
                    <w:tr2bl w:val="nil"/>
                  </w:tcBorders>
                  <w:shd w:val="clear" w:color="auto" w:fill="auto"/>
                  <w:vAlign w:val="center"/>
                </w:tcPr>
                <w:p w14:paraId="4FFA688F">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eastAsia" w:ascii="Times New Roman" w:hAnsi="Times New Roman" w:eastAsia="宋体" w:cs="Times New Roman"/>
                      <w:b w:val="0"/>
                      <w:color w:val="auto"/>
                      <w:sz w:val="21"/>
                      <w:highlight w:val="none"/>
                    </w:rPr>
                  </w:pPr>
                  <w:r>
                    <w:rPr>
                      <w:rFonts w:hint="eastAsia" w:eastAsia="宋体" w:cs="Times New Roman"/>
                      <w:b w:val="0"/>
                      <w:color w:val="auto"/>
                      <w:sz w:val="21"/>
                      <w:highlight w:val="none"/>
                      <w:lang w:val="en-US" w:eastAsia="zh-CN"/>
                    </w:rPr>
                    <w:t>相符</w:t>
                  </w:r>
                </w:p>
              </w:tc>
            </w:tr>
            <w:tr w14:paraId="4CC2948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40" w:hRule="atLeast"/>
              </w:trPr>
              <w:tc>
                <w:tcPr>
                  <w:tcW w:w="499" w:type="pct"/>
                  <w:vMerge w:val="restart"/>
                  <w:tcBorders>
                    <w:tl2br w:val="nil"/>
                    <w:tr2bl w:val="nil"/>
                  </w:tcBorders>
                  <w:shd w:val="clear" w:color="auto" w:fill="auto"/>
                  <w:vAlign w:val="center"/>
                </w:tcPr>
                <w:p w14:paraId="0357B606">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工艺过程VOC</w:t>
                  </w:r>
                  <w:r>
                    <w:rPr>
                      <w:rFonts w:hint="eastAsia" w:eastAsia="宋体" w:cs="Times New Roman"/>
                      <w:b w:val="0"/>
                      <w:color w:val="auto"/>
                      <w:sz w:val="21"/>
                      <w:highlight w:val="none"/>
                      <w:lang w:val="en-US" w:eastAsia="zh-CN"/>
                    </w:rPr>
                    <w:t>s</w:t>
                  </w:r>
                  <w:r>
                    <w:rPr>
                      <w:rFonts w:hint="eastAsia" w:ascii="Times New Roman" w:hAnsi="Times New Roman" w:eastAsia="宋体" w:cs="Times New Roman"/>
                      <w:b w:val="0"/>
                      <w:color w:val="auto"/>
                      <w:sz w:val="21"/>
                      <w:highlight w:val="none"/>
                    </w:rPr>
                    <w:t>无组织排放</w:t>
                  </w:r>
                </w:p>
              </w:tc>
              <w:tc>
                <w:tcPr>
                  <w:tcW w:w="499" w:type="pct"/>
                  <w:tcBorders>
                    <w:tl2br w:val="nil"/>
                    <w:tr2bl w:val="nil"/>
                  </w:tcBorders>
                  <w:shd w:val="clear" w:color="auto" w:fill="auto"/>
                  <w:vAlign w:val="center"/>
                </w:tcPr>
                <w:p w14:paraId="1BAFCE6D">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含VOC</w:t>
                  </w:r>
                  <w:r>
                    <w:rPr>
                      <w:rFonts w:hint="eastAsia" w:eastAsia="宋体" w:cs="Times New Roman"/>
                      <w:b w:val="0"/>
                      <w:color w:val="auto"/>
                      <w:sz w:val="21"/>
                      <w:highlight w:val="none"/>
                      <w:lang w:val="en-US" w:eastAsia="zh-CN"/>
                    </w:rPr>
                    <w:t>s</w:t>
                  </w:r>
                  <w:r>
                    <w:rPr>
                      <w:rFonts w:hint="eastAsia" w:ascii="Times New Roman" w:hAnsi="Times New Roman" w:eastAsia="宋体" w:cs="Times New Roman"/>
                      <w:b w:val="0"/>
                      <w:color w:val="auto"/>
                      <w:sz w:val="21"/>
                      <w:highlight w:val="none"/>
                    </w:rPr>
                    <w:t>产品的使用过程</w:t>
                  </w:r>
                </w:p>
              </w:tc>
              <w:tc>
                <w:tcPr>
                  <w:tcW w:w="1812" w:type="pct"/>
                  <w:tcBorders>
                    <w:tl2br w:val="nil"/>
                    <w:tr2bl w:val="nil"/>
                  </w:tcBorders>
                  <w:shd w:val="clear" w:color="auto" w:fill="auto"/>
                  <w:vAlign w:val="center"/>
                </w:tcPr>
                <w:p w14:paraId="45E2A269">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VOC</w:t>
                  </w:r>
                  <w:r>
                    <w:rPr>
                      <w:rFonts w:hint="eastAsia" w:eastAsia="宋体" w:cs="Times New Roman"/>
                      <w:b w:val="0"/>
                      <w:color w:val="auto"/>
                      <w:sz w:val="21"/>
                      <w:highlight w:val="none"/>
                      <w:lang w:val="en-US" w:eastAsia="zh-CN"/>
                    </w:rPr>
                    <w:t>s</w:t>
                  </w:r>
                  <w:r>
                    <w:rPr>
                      <w:rFonts w:hint="eastAsia" w:ascii="Times New Roman" w:hAnsi="Times New Roman" w:eastAsia="宋体" w:cs="Times New Roman"/>
                      <w:b w:val="0"/>
                      <w:color w:val="auto"/>
                      <w:sz w:val="21"/>
                      <w:highlight w:val="none"/>
                    </w:rPr>
                    <w:t>质量占比大于等于10%的含VOC</w:t>
                  </w:r>
                  <w:r>
                    <w:rPr>
                      <w:rFonts w:hint="eastAsia" w:eastAsia="宋体" w:cs="Times New Roman"/>
                      <w:b w:val="0"/>
                      <w:color w:val="auto"/>
                      <w:sz w:val="21"/>
                      <w:highlight w:val="none"/>
                      <w:lang w:val="en-US" w:eastAsia="zh-CN"/>
                    </w:rPr>
                    <w:t>s</w:t>
                  </w:r>
                  <w:r>
                    <w:rPr>
                      <w:rFonts w:hint="eastAsia" w:ascii="Times New Roman" w:hAnsi="Times New Roman" w:eastAsia="宋体" w:cs="Times New Roman"/>
                      <w:b w:val="0"/>
                      <w:color w:val="auto"/>
                      <w:sz w:val="21"/>
                      <w:highlight w:val="none"/>
                    </w:rPr>
                    <w:t>产品，其使用过程应采用密闭设备或在密闭空间内操作，废气应排至VOC</w:t>
                  </w:r>
                  <w:r>
                    <w:rPr>
                      <w:rFonts w:hint="eastAsia" w:eastAsia="宋体" w:cs="Times New Roman"/>
                      <w:b w:val="0"/>
                      <w:color w:val="auto"/>
                      <w:sz w:val="21"/>
                      <w:highlight w:val="none"/>
                      <w:lang w:val="en-US" w:eastAsia="zh-CN"/>
                    </w:rPr>
                    <w:t>s</w:t>
                  </w:r>
                  <w:r>
                    <w:rPr>
                      <w:rFonts w:hint="eastAsia" w:ascii="Times New Roman" w:hAnsi="Times New Roman" w:eastAsia="宋体" w:cs="Times New Roman"/>
                      <w:b w:val="0"/>
                      <w:color w:val="auto"/>
                      <w:sz w:val="21"/>
                      <w:highlight w:val="none"/>
                    </w:rPr>
                    <w:t>废气收集处理系统；无法密闭的，应采取局部气体收集措施，废气应排至VOC</w:t>
                  </w:r>
                  <w:r>
                    <w:rPr>
                      <w:rFonts w:hint="eastAsia" w:eastAsia="宋体" w:cs="Times New Roman"/>
                      <w:b w:val="0"/>
                      <w:color w:val="auto"/>
                      <w:sz w:val="21"/>
                      <w:highlight w:val="none"/>
                      <w:lang w:val="en-US" w:eastAsia="zh-CN"/>
                    </w:rPr>
                    <w:t>s</w:t>
                  </w:r>
                  <w:r>
                    <w:rPr>
                      <w:rFonts w:hint="eastAsia" w:ascii="Times New Roman" w:hAnsi="Times New Roman" w:eastAsia="宋体" w:cs="Times New Roman"/>
                      <w:b w:val="0"/>
                      <w:color w:val="auto"/>
                      <w:sz w:val="21"/>
                      <w:highlight w:val="none"/>
                    </w:rPr>
                    <w:t>废气收集处理系统。</w:t>
                  </w:r>
                </w:p>
              </w:tc>
              <w:tc>
                <w:tcPr>
                  <w:tcW w:w="1692" w:type="pct"/>
                  <w:tcBorders>
                    <w:tl2br w:val="nil"/>
                    <w:tr2bl w:val="nil"/>
                  </w:tcBorders>
                  <w:shd w:val="clear" w:color="auto" w:fill="auto"/>
                  <w:vAlign w:val="center"/>
                </w:tcPr>
                <w:p w14:paraId="7A4B9D5C">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项目原料本项目PU胶聚氨酯胶粘剂、EVA处理剂、TPR处理剂</w:t>
                  </w:r>
                  <w:r>
                    <w:rPr>
                      <w:rFonts w:hint="eastAsia" w:cs="Times New Roman"/>
                      <w:b w:val="0"/>
                      <w:color w:val="auto"/>
                      <w:sz w:val="21"/>
                      <w:highlight w:val="none"/>
                      <w:lang w:val="en-US" w:eastAsia="zh-CN"/>
                    </w:rPr>
                    <w:t>桶</w:t>
                  </w:r>
                  <w:r>
                    <w:rPr>
                      <w:rFonts w:hint="eastAsia" w:ascii="Times New Roman" w:hAnsi="Times New Roman" w:eastAsia="宋体" w:cs="Times New Roman"/>
                      <w:b w:val="0"/>
                      <w:color w:val="auto"/>
                      <w:sz w:val="21"/>
                      <w:highlight w:val="none"/>
                    </w:rPr>
                    <w:t>装密封储存，</w:t>
                  </w:r>
                  <w:r>
                    <w:rPr>
                      <w:rFonts w:hint="eastAsia" w:cs="Times New Roman"/>
                      <w:b w:val="0"/>
                      <w:color w:val="auto"/>
                      <w:sz w:val="21"/>
                      <w:highlight w:val="none"/>
                      <w:lang w:val="en-US" w:eastAsia="zh-CN"/>
                    </w:rPr>
                    <w:t>采用计量泵</w:t>
                  </w:r>
                  <w:r>
                    <w:rPr>
                      <w:rFonts w:hint="eastAsia" w:ascii="Times New Roman" w:hAnsi="Times New Roman" w:eastAsia="宋体" w:cs="Times New Roman"/>
                      <w:b w:val="0"/>
                      <w:color w:val="auto"/>
                      <w:sz w:val="21"/>
                      <w:highlight w:val="none"/>
                    </w:rPr>
                    <w:t>输送，出料处废气采取</w:t>
                  </w:r>
                  <w:r>
                    <w:rPr>
                      <w:rFonts w:hint="eastAsia" w:cs="Times New Roman"/>
                      <w:color w:val="auto"/>
                      <w:sz w:val="21"/>
                      <w:szCs w:val="21"/>
                      <w:highlight w:val="none"/>
                      <w:lang w:val="en-US" w:eastAsia="zh-CN"/>
                    </w:rPr>
                    <w:t>半密闭</w:t>
                  </w:r>
                  <w:r>
                    <w:rPr>
                      <w:rFonts w:hint="eastAsia" w:ascii="Times New Roman" w:hAnsi="Times New Roman" w:eastAsia="宋体" w:cs="Times New Roman"/>
                      <w:b w:val="0"/>
                      <w:color w:val="auto"/>
                      <w:sz w:val="21"/>
                      <w:highlight w:val="none"/>
                    </w:rPr>
                    <w:t>集气罩收集，经</w:t>
                  </w:r>
                  <w:r>
                    <w:rPr>
                      <w:rFonts w:hint="eastAsia" w:cs="Times New Roman"/>
                      <w:b w:val="0"/>
                      <w:color w:val="auto"/>
                      <w:sz w:val="21"/>
                      <w:highlight w:val="none"/>
                      <w:lang w:val="en-US" w:eastAsia="zh-CN"/>
                    </w:rPr>
                    <w:t>五级活性炭</w:t>
                  </w:r>
                  <w:r>
                    <w:rPr>
                      <w:rFonts w:hint="eastAsia" w:eastAsia="宋体" w:cs="Times New Roman"/>
                      <w:b w:val="0"/>
                      <w:color w:val="auto"/>
                      <w:sz w:val="21"/>
                      <w:highlight w:val="none"/>
                      <w:lang w:eastAsia="zh-CN"/>
                    </w:rPr>
                    <w:t>吸附</w:t>
                  </w:r>
                  <w:r>
                    <w:rPr>
                      <w:rFonts w:hint="eastAsia" w:ascii="Times New Roman" w:hAnsi="Times New Roman" w:eastAsia="宋体" w:cs="Times New Roman"/>
                      <w:b w:val="0"/>
                      <w:color w:val="auto"/>
                      <w:sz w:val="21"/>
                      <w:highlight w:val="none"/>
                    </w:rPr>
                    <w:t>，经15m排气筒排放。</w:t>
                  </w:r>
                </w:p>
              </w:tc>
              <w:tc>
                <w:tcPr>
                  <w:tcW w:w="495" w:type="pct"/>
                  <w:tcBorders>
                    <w:tl2br w:val="nil"/>
                    <w:tr2bl w:val="nil"/>
                  </w:tcBorders>
                  <w:shd w:val="clear" w:color="auto" w:fill="auto"/>
                  <w:vAlign w:val="center"/>
                </w:tcPr>
                <w:p w14:paraId="27ADBDEF">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eastAsia" w:ascii="Times New Roman" w:hAnsi="Times New Roman" w:eastAsia="宋体" w:cs="Times New Roman"/>
                      <w:b w:val="0"/>
                      <w:color w:val="auto"/>
                      <w:sz w:val="21"/>
                      <w:highlight w:val="none"/>
                    </w:rPr>
                  </w:pPr>
                  <w:r>
                    <w:rPr>
                      <w:rFonts w:hint="eastAsia" w:eastAsia="宋体" w:cs="Times New Roman"/>
                      <w:b w:val="0"/>
                      <w:color w:val="auto"/>
                      <w:sz w:val="21"/>
                      <w:highlight w:val="none"/>
                      <w:lang w:val="en-US" w:eastAsia="zh-CN"/>
                    </w:rPr>
                    <w:t>相符</w:t>
                  </w:r>
                </w:p>
              </w:tc>
            </w:tr>
            <w:tr w14:paraId="141482B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499" w:type="pct"/>
                  <w:vMerge w:val="continue"/>
                  <w:tcBorders>
                    <w:tl2br w:val="nil"/>
                    <w:tr2bl w:val="nil"/>
                  </w:tcBorders>
                  <w:shd w:val="clear" w:color="auto" w:fill="auto"/>
                  <w:vAlign w:val="center"/>
                </w:tcPr>
                <w:p w14:paraId="2FE0CD7E">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p>
              </w:tc>
              <w:tc>
                <w:tcPr>
                  <w:tcW w:w="499" w:type="pct"/>
                  <w:tcBorders>
                    <w:tl2br w:val="nil"/>
                    <w:tr2bl w:val="nil"/>
                  </w:tcBorders>
                  <w:shd w:val="clear" w:color="auto" w:fill="auto"/>
                  <w:vAlign w:val="center"/>
                </w:tcPr>
                <w:p w14:paraId="3CC11A8F">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其他</w:t>
                  </w:r>
                </w:p>
                <w:p w14:paraId="2ED58FC0">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要求</w:t>
                  </w:r>
                </w:p>
              </w:tc>
              <w:tc>
                <w:tcPr>
                  <w:tcW w:w="1812" w:type="pct"/>
                  <w:tcBorders>
                    <w:tl2br w:val="nil"/>
                    <w:tr2bl w:val="nil"/>
                  </w:tcBorders>
                  <w:shd w:val="clear" w:color="auto" w:fill="auto"/>
                  <w:vAlign w:val="center"/>
                </w:tcPr>
                <w:p w14:paraId="3274FB97">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1、企业应</w:t>
                  </w:r>
                  <w:r>
                    <w:rPr>
                      <w:rFonts w:hint="eastAsia" w:cs="Times New Roman"/>
                      <w:b w:val="0"/>
                      <w:color w:val="auto"/>
                      <w:sz w:val="21"/>
                      <w:highlight w:val="none"/>
                      <w:lang w:eastAsia="zh-CN"/>
                    </w:rPr>
                    <w:t>建立台账</w:t>
                  </w:r>
                  <w:r>
                    <w:rPr>
                      <w:rFonts w:hint="eastAsia" w:ascii="Times New Roman" w:hAnsi="Times New Roman" w:eastAsia="宋体" w:cs="Times New Roman"/>
                      <w:b w:val="0"/>
                      <w:color w:val="auto"/>
                      <w:sz w:val="21"/>
                      <w:highlight w:val="none"/>
                    </w:rPr>
                    <w:t>，记录含VOC</w:t>
                  </w:r>
                  <w:r>
                    <w:rPr>
                      <w:rFonts w:hint="eastAsia" w:eastAsia="宋体" w:cs="Times New Roman"/>
                      <w:b w:val="0"/>
                      <w:color w:val="auto"/>
                      <w:sz w:val="21"/>
                      <w:highlight w:val="none"/>
                      <w:lang w:val="en-US" w:eastAsia="zh-CN"/>
                    </w:rPr>
                    <w:t>s</w:t>
                  </w:r>
                  <w:r>
                    <w:rPr>
                      <w:rFonts w:hint="eastAsia" w:ascii="Times New Roman" w:hAnsi="Times New Roman" w:eastAsia="宋体" w:cs="Times New Roman"/>
                      <w:b w:val="0"/>
                      <w:color w:val="auto"/>
                      <w:sz w:val="21"/>
                      <w:highlight w:val="none"/>
                    </w:rPr>
                    <w:t>原辅材料和含VOC</w:t>
                  </w:r>
                  <w:r>
                    <w:rPr>
                      <w:rFonts w:hint="eastAsia" w:eastAsia="宋体" w:cs="Times New Roman"/>
                      <w:b w:val="0"/>
                      <w:color w:val="auto"/>
                      <w:sz w:val="21"/>
                      <w:highlight w:val="none"/>
                      <w:lang w:val="en-US" w:eastAsia="zh-CN"/>
                    </w:rPr>
                    <w:t>s</w:t>
                  </w:r>
                  <w:r>
                    <w:rPr>
                      <w:rFonts w:hint="eastAsia" w:ascii="Times New Roman" w:hAnsi="Times New Roman" w:eastAsia="宋体" w:cs="Times New Roman"/>
                      <w:b w:val="0"/>
                      <w:color w:val="auto"/>
                      <w:sz w:val="21"/>
                      <w:highlight w:val="none"/>
                    </w:rPr>
                    <w:t>产品的名称、使用量、回收量、废气量、去向以及VOC</w:t>
                  </w:r>
                  <w:r>
                    <w:rPr>
                      <w:rFonts w:hint="eastAsia" w:eastAsia="宋体" w:cs="Times New Roman"/>
                      <w:b w:val="0"/>
                      <w:color w:val="auto"/>
                      <w:sz w:val="21"/>
                      <w:highlight w:val="none"/>
                      <w:lang w:val="en-US" w:eastAsia="zh-CN"/>
                    </w:rPr>
                    <w:t>s</w:t>
                  </w:r>
                  <w:r>
                    <w:rPr>
                      <w:rFonts w:hint="eastAsia" w:ascii="Times New Roman" w:hAnsi="Times New Roman" w:eastAsia="宋体" w:cs="Times New Roman"/>
                      <w:b w:val="0"/>
                      <w:color w:val="auto"/>
                      <w:sz w:val="21"/>
                      <w:highlight w:val="none"/>
                    </w:rPr>
                    <w:t>含量等信息。</w:t>
                  </w:r>
                  <w:r>
                    <w:rPr>
                      <w:rFonts w:hint="eastAsia" w:cs="Times New Roman"/>
                      <w:b w:val="0"/>
                      <w:color w:val="auto"/>
                      <w:sz w:val="21"/>
                      <w:highlight w:val="none"/>
                      <w:lang w:eastAsia="zh-CN"/>
                    </w:rPr>
                    <w:t>台账</w:t>
                  </w:r>
                  <w:r>
                    <w:rPr>
                      <w:rFonts w:hint="eastAsia" w:ascii="Times New Roman" w:hAnsi="Times New Roman" w:eastAsia="宋体" w:cs="Times New Roman"/>
                      <w:b w:val="0"/>
                      <w:color w:val="auto"/>
                      <w:sz w:val="21"/>
                      <w:highlight w:val="none"/>
                    </w:rPr>
                    <w:t>保存期限不少于3年；</w:t>
                  </w:r>
                </w:p>
                <w:p w14:paraId="5FC53257">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2、通风生产设备、操作工位、车间厂房等应在符合安全生产、职业卫生相关规定的前提下，根据行业作业规程与标准、工业建筑及洁净厂房通风设计规范等的要求，采用合理的通风量；</w:t>
                  </w:r>
                </w:p>
                <w:p w14:paraId="0EC98084">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3、工艺过程产生的含VOC</w:t>
                  </w:r>
                  <w:r>
                    <w:rPr>
                      <w:rFonts w:hint="eastAsia" w:eastAsia="宋体" w:cs="Times New Roman"/>
                      <w:b w:val="0"/>
                      <w:color w:val="auto"/>
                      <w:sz w:val="21"/>
                      <w:highlight w:val="none"/>
                      <w:lang w:val="en-US" w:eastAsia="zh-CN"/>
                    </w:rPr>
                    <w:t>s</w:t>
                  </w:r>
                  <w:r>
                    <w:rPr>
                      <w:rFonts w:hint="eastAsia" w:ascii="Times New Roman" w:hAnsi="Times New Roman" w:eastAsia="宋体" w:cs="Times New Roman"/>
                      <w:b w:val="0"/>
                      <w:color w:val="auto"/>
                      <w:sz w:val="21"/>
                      <w:highlight w:val="none"/>
                    </w:rPr>
                    <w:t>废料</w:t>
                  </w:r>
                  <w:r>
                    <w:rPr>
                      <w:rFonts w:hint="eastAsia" w:ascii="Times New Roman" w:hAnsi="Times New Roman" w:eastAsia="宋体" w:cs="Times New Roman"/>
                      <w:b w:val="0"/>
                      <w:color w:val="auto"/>
                      <w:sz w:val="21"/>
                      <w:highlight w:val="none"/>
                      <w:lang w:eastAsia="zh-CN"/>
                    </w:rPr>
                    <w:t>（</w:t>
                  </w:r>
                  <w:r>
                    <w:rPr>
                      <w:rFonts w:hint="eastAsia" w:ascii="Times New Roman" w:hAnsi="Times New Roman" w:eastAsia="宋体" w:cs="Times New Roman"/>
                      <w:b w:val="0"/>
                      <w:color w:val="auto"/>
                      <w:sz w:val="21"/>
                      <w:highlight w:val="none"/>
                    </w:rPr>
                    <w:t>渣、液</w:t>
                  </w:r>
                  <w:r>
                    <w:rPr>
                      <w:rFonts w:hint="eastAsia" w:ascii="Times New Roman" w:hAnsi="Times New Roman" w:eastAsia="宋体" w:cs="Times New Roman"/>
                      <w:b w:val="0"/>
                      <w:color w:val="auto"/>
                      <w:sz w:val="21"/>
                      <w:highlight w:val="none"/>
                      <w:lang w:eastAsia="zh-CN"/>
                    </w:rPr>
                    <w:t>）</w:t>
                  </w:r>
                  <w:r>
                    <w:rPr>
                      <w:rFonts w:hint="eastAsia" w:ascii="Times New Roman" w:hAnsi="Times New Roman" w:eastAsia="宋体" w:cs="Times New Roman"/>
                      <w:b w:val="0"/>
                      <w:color w:val="auto"/>
                      <w:sz w:val="21"/>
                      <w:highlight w:val="none"/>
                    </w:rPr>
                    <w:t>应按要求进行储存、转移和输送。盛装过VOC</w:t>
                  </w:r>
                  <w:r>
                    <w:rPr>
                      <w:rFonts w:hint="eastAsia" w:eastAsia="宋体" w:cs="Times New Roman"/>
                      <w:b w:val="0"/>
                      <w:color w:val="auto"/>
                      <w:sz w:val="21"/>
                      <w:highlight w:val="none"/>
                      <w:lang w:val="en-US" w:eastAsia="zh-CN"/>
                    </w:rPr>
                    <w:t>s</w:t>
                  </w:r>
                  <w:r>
                    <w:rPr>
                      <w:rFonts w:hint="eastAsia" w:ascii="Times New Roman" w:hAnsi="Times New Roman" w:eastAsia="宋体" w:cs="Times New Roman"/>
                      <w:b w:val="0"/>
                      <w:color w:val="auto"/>
                      <w:sz w:val="21"/>
                      <w:highlight w:val="none"/>
                    </w:rPr>
                    <w:t>物料的废包装容器应加盖密闭。</w:t>
                  </w:r>
                </w:p>
              </w:tc>
              <w:tc>
                <w:tcPr>
                  <w:tcW w:w="1692" w:type="pct"/>
                  <w:tcBorders>
                    <w:tl2br w:val="nil"/>
                    <w:tr2bl w:val="nil"/>
                  </w:tcBorders>
                  <w:shd w:val="clear" w:color="auto" w:fill="auto"/>
                  <w:vAlign w:val="center"/>
                </w:tcPr>
                <w:p w14:paraId="10960F06">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1、本评价要求企业</w:t>
                  </w:r>
                  <w:r>
                    <w:rPr>
                      <w:rFonts w:hint="eastAsia" w:cs="Times New Roman"/>
                      <w:b w:val="0"/>
                      <w:color w:val="auto"/>
                      <w:sz w:val="21"/>
                      <w:highlight w:val="none"/>
                      <w:lang w:eastAsia="zh-CN"/>
                    </w:rPr>
                    <w:t>建立台账</w:t>
                  </w:r>
                  <w:r>
                    <w:rPr>
                      <w:rFonts w:hint="eastAsia" w:ascii="Times New Roman" w:hAnsi="Times New Roman" w:eastAsia="宋体" w:cs="Times New Roman"/>
                      <w:b w:val="0"/>
                      <w:color w:val="auto"/>
                      <w:sz w:val="21"/>
                      <w:highlight w:val="none"/>
                    </w:rPr>
                    <w:t>记录相关信息；</w:t>
                  </w:r>
                </w:p>
                <w:p w14:paraId="168EE049">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2、项目应办理安评手续，且车间通风满足工业建筑设计；</w:t>
                  </w:r>
                </w:p>
                <w:p w14:paraId="4A33726D">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3、</w:t>
                  </w:r>
                  <w:r>
                    <w:rPr>
                      <w:rFonts w:hint="eastAsia" w:ascii="Times New Roman" w:hAnsi="Times New Roman" w:eastAsia="宋体" w:cs="Times New Roman"/>
                      <w:b w:val="0"/>
                      <w:color w:val="auto"/>
                      <w:sz w:val="21"/>
                      <w:highlight w:val="none"/>
                      <w:lang w:val="en-US" w:eastAsia="zh-CN"/>
                    </w:rPr>
                    <w:t>本</w:t>
                  </w:r>
                  <w:r>
                    <w:rPr>
                      <w:rFonts w:hint="eastAsia" w:ascii="Times New Roman" w:hAnsi="Times New Roman" w:eastAsia="宋体" w:cs="Times New Roman"/>
                      <w:b w:val="0"/>
                      <w:color w:val="auto"/>
                      <w:sz w:val="21"/>
                      <w:highlight w:val="none"/>
                    </w:rPr>
                    <w:t>项目</w:t>
                  </w:r>
                  <w:r>
                    <w:rPr>
                      <w:rFonts w:hint="eastAsia" w:ascii="Times New Roman" w:hAnsi="Times New Roman" w:eastAsia="宋体" w:cs="Times New Roman"/>
                      <w:b w:val="0"/>
                      <w:color w:val="auto"/>
                      <w:sz w:val="21"/>
                      <w:highlight w:val="none"/>
                      <w:lang w:val="en-US" w:eastAsia="zh-CN"/>
                    </w:rPr>
                    <w:t>废活性炭</w:t>
                  </w:r>
                  <w:r>
                    <w:rPr>
                      <w:rFonts w:hint="eastAsia" w:ascii="Times New Roman" w:hAnsi="Times New Roman" w:eastAsia="宋体" w:cs="Times New Roman"/>
                      <w:b w:val="0"/>
                      <w:color w:val="auto"/>
                      <w:sz w:val="21"/>
                      <w:highlight w:val="none"/>
                    </w:rPr>
                    <w:t>含VOC</w:t>
                  </w:r>
                  <w:r>
                    <w:rPr>
                      <w:rFonts w:hint="eastAsia" w:eastAsia="宋体" w:cs="Times New Roman"/>
                      <w:b w:val="0"/>
                      <w:color w:val="auto"/>
                      <w:sz w:val="21"/>
                      <w:highlight w:val="none"/>
                      <w:lang w:val="en-US" w:eastAsia="zh-CN"/>
                    </w:rPr>
                    <w:t>s，</w:t>
                  </w:r>
                  <w:r>
                    <w:rPr>
                      <w:rFonts w:hint="eastAsia" w:ascii="Times New Roman" w:hAnsi="Times New Roman" w:eastAsia="宋体" w:cs="Times New Roman"/>
                      <w:b w:val="0"/>
                      <w:color w:val="auto"/>
                      <w:sz w:val="21"/>
                      <w:highlight w:val="none"/>
                    </w:rPr>
                    <w:t>储存、转移和输送。盛装过VOC</w:t>
                  </w:r>
                  <w:r>
                    <w:rPr>
                      <w:rFonts w:hint="eastAsia" w:eastAsia="宋体" w:cs="Times New Roman"/>
                      <w:b w:val="0"/>
                      <w:color w:val="auto"/>
                      <w:sz w:val="21"/>
                      <w:highlight w:val="none"/>
                      <w:lang w:val="en-US" w:eastAsia="zh-CN"/>
                    </w:rPr>
                    <w:t>s</w:t>
                  </w:r>
                  <w:r>
                    <w:rPr>
                      <w:rFonts w:hint="eastAsia" w:ascii="Times New Roman" w:hAnsi="Times New Roman" w:eastAsia="宋体" w:cs="Times New Roman"/>
                      <w:b w:val="0"/>
                      <w:color w:val="auto"/>
                      <w:sz w:val="21"/>
                      <w:highlight w:val="none"/>
                    </w:rPr>
                    <w:t>物料的废包装容器应加盖密闭。</w:t>
                  </w:r>
                </w:p>
              </w:tc>
              <w:tc>
                <w:tcPr>
                  <w:tcW w:w="495" w:type="pct"/>
                  <w:tcBorders>
                    <w:tl2br w:val="nil"/>
                    <w:tr2bl w:val="nil"/>
                  </w:tcBorders>
                  <w:shd w:val="clear" w:color="auto" w:fill="auto"/>
                  <w:vAlign w:val="center"/>
                </w:tcPr>
                <w:p w14:paraId="24772F4A">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eastAsia" w:ascii="Times New Roman" w:hAnsi="Times New Roman" w:eastAsia="宋体" w:cs="Times New Roman"/>
                      <w:b w:val="0"/>
                      <w:color w:val="auto"/>
                      <w:sz w:val="21"/>
                      <w:highlight w:val="none"/>
                    </w:rPr>
                  </w:pPr>
                  <w:r>
                    <w:rPr>
                      <w:rFonts w:hint="eastAsia" w:eastAsia="宋体" w:cs="Times New Roman"/>
                      <w:b w:val="0"/>
                      <w:color w:val="auto"/>
                      <w:sz w:val="21"/>
                      <w:highlight w:val="none"/>
                      <w:lang w:val="en-US" w:eastAsia="zh-CN"/>
                    </w:rPr>
                    <w:t>相符</w:t>
                  </w:r>
                </w:p>
              </w:tc>
            </w:tr>
            <w:tr w14:paraId="0D12743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499" w:type="pct"/>
                  <w:vMerge w:val="restart"/>
                  <w:tcBorders>
                    <w:tl2br w:val="nil"/>
                    <w:tr2bl w:val="nil"/>
                  </w:tcBorders>
                  <w:shd w:val="clear" w:color="auto" w:fill="auto"/>
                  <w:vAlign w:val="center"/>
                </w:tcPr>
                <w:p w14:paraId="0FD1EB08">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VOC</w:t>
                  </w:r>
                  <w:r>
                    <w:rPr>
                      <w:rFonts w:hint="eastAsia" w:eastAsia="宋体" w:cs="Times New Roman"/>
                      <w:b w:val="0"/>
                      <w:color w:val="auto"/>
                      <w:sz w:val="21"/>
                      <w:highlight w:val="none"/>
                      <w:lang w:val="en-US" w:eastAsia="zh-CN"/>
                    </w:rPr>
                    <w:t>s</w:t>
                  </w:r>
                  <w:r>
                    <w:rPr>
                      <w:rFonts w:hint="eastAsia" w:ascii="Times New Roman" w:hAnsi="Times New Roman" w:eastAsia="宋体" w:cs="Times New Roman"/>
                      <w:b w:val="0"/>
                      <w:color w:val="auto"/>
                      <w:sz w:val="21"/>
                      <w:highlight w:val="none"/>
                    </w:rPr>
                    <w:t>无组织废气收集处理系统</w:t>
                  </w:r>
                </w:p>
              </w:tc>
              <w:tc>
                <w:tcPr>
                  <w:tcW w:w="499" w:type="pct"/>
                  <w:tcBorders>
                    <w:tl2br w:val="nil"/>
                    <w:tr2bl w:val="nil"/>
                  </w:tcBorders>
                  <w:shd w:val="clear" w:color="auto" w:fill="auto"/>
                  <w:vAlign w:val="center"/>
                </w:tcPr>
                <w:p w14:paraId="7D3E06B2">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基本</w:t>
                  </w:r>
                </w:p>
                <w:p w14:paraId="542F5A5C">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要求</w:t>
                  </w:r>
                </w:p>
              </w:tc>
              <w:tc>
                <w:tcPr>
                  <w:tcW w:w="1812" w:type="pct"/>
                  <w:tcBorders>
                    <w:tl2br w:val="nil"/>
                    <w:tr2bl w:val="nil"/>
                  </w:tcBorders>
                  <w:shd w:val="clear" w:color="auto" w:fill="auto"/>
                  <w:vAlign w:val="center"/>
                </w:tcPr>
                <w:p w14:paraId="7A152E99">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VOC</w:t>
                  </w:r>
                  <w:r>
                    <w:rPr>
                      <w:rFonts w:hint="eastAsia" w:eastAsia="宋体" w:cs="Times New Roman"/>
                      <w:b w:val="0"/>
                      <w:color w:val="auto"/>
                      <w:sz w:val="21"/>
                      <w:highlight w:val="none"/>
                      <w:lang w:val="en-US" w:eastAsia="zh-CN"/>
                    </w:rPr>
                    <w:t>s</w:t>
                  </w:r>
                  <w:r>
                    <w:rPr>
                      <w:rFonts w:hint="eastAsia" w:ascii="Times New Roman" w:hAnsi="Times New Roman" w:eastAsia="宋体" w:cs="Times New Roman"/>
                      <w:b w:val="0"/>
                      <w:color w:val="auto"/>
                      <w:sz w:val="21"/>
                      <w:highlight w:val="none"/>
                    </w:rPr>
                    <w:t>废气收集处理系统与生产工艺设备同步运行。VOC</w:t>
                  </w:r>
                  <w:r>
                    <w:rPr>
                      <w:rFonts w:hint="eastAsia" w:eastAsia="宋体" w:cs="Times New Roman"/>
                      <w:b w:val="0"/>
                      <w:color w:val="auto"/>
                      <w:sz w:val="21"/>
                      <w:highlight w:val="none"/>
                      <w:lang w:val="en-US" w:eastAsia="zh-CN"/>
                    </w:rPr>
                    <w:t>s</w:t>
                  </w:r>
                  <w:r>
                    <w:rPr>
                      <w:rFonts w:hint="eastAsia" w:ascii="Times New Roman" w:hAnsi="Times New Roman" w:eastAsia="宋体" w:cs="Times New Roman"/>
                      <w:b w:val="0"/>
                      <w:color w:val="auto"/>
                      <w:sz w:val="21"/>
                      <w:highlight w:val="none"/>
                    </w:rPr>
                    <w:t>废气收集处理系统发生故障或检修时，对应的生产工艺设备应停止运行，待检修完毕后同步投入使用；生产工艺设备不能停止运行或不能及时停止运行的，应设置废气应急处理设施或采取其他替代措施。</w:t>
                  </w:r>
                </w:p>
              </w:tc>
              <w:tc>
                <w:tcPr>
                  <w:tcW w:w="1692" w:type="pct"/>
                  <w:tcBorders>
                    <w:tl2br w:val="nil"/>
                    <w:tr2bl w:val="nil"/>
                  </w:tcBorders>
                  <w:shd w:val="clear" w:color="auto" w:fill="auto"/>
                  <w:vAlign w:val="center"/>
                </w:tcPr>
                <w:p w14:paraId="6144D2BB">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本项目废气收集系统与生产工艺设备同步运行。若废气收集系统发生故障或检修时，立刻停止生产设备，检修完毕后方可复产，符合要求。</w:t>
                  </w:r>
                </w:p>
              </w:tc>
              <w:tc>
                <w:tcPr>
                  <w:tcW w:w="495" w:type="pct"/>
                  <w:tcBorders>
                    <w:tl2br w:val="nil"/>
                    <w:tr2bl w:val="nil"/>
                  </w:tcBorders>
                  <w:shd w:val="clear" w:color="auto" w:fill="auto"/>
                  <w:vAlign w:val="center"/>
                </w:tcPr>
                <w:p w14:paraId="045FEB79">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eastAsia" w:ascii="Times New Roman" w:hAnsi="Times New Roman" w:eastAsia="宋体" w:cs="Times New Roman"/>
                      <w:b w:val="0"/>
                      <w:color w:val="auto"/>
                      <w:sz w:val="21"/>
                      <w:highlight w:val="none"/>
                    </w:rPr>
                  </w:pPr>
                  <w:r>
                    <w:rPr>
                      <w:rFonts w:hint="eastAsia" w:eastAsia="宋体" w:cs="Times New Roman"/>
                      <w:b w:val="0"/>
                      <w:color w:val="auto"/>
                      <w:sz w:val="21"/>
                      <w:highlight w:val="none"/>
                      <w:lang w:val="en-US" w:eastAsia="zh-CN"/>
                    </w:rPr>
                    <w:t>相符</w:t>
                  </w:r>
                </w:p>
              </w:tc>
            </w:tr>
            <w:tr w14:paraId="182B6C5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499" w:type="pct"/>
                  <w:vMerge w:val="continue"/>
                  <w:tcBorders>
                    <w:tl2br w:val="nil"/>
                    <w:tr2bl w:val="nil"/>
                  </w:tcBorders>
                  <w:shd w:val="clear" w:color="auto" w:fill="auto"/>
                  <w:vAlign w:val="center"/>
                </w:tcPr>
                <w:p w14:paraId="1180D2BA">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p>
              </w:tc>
              <w:tc>
                <w:tcPr>
                  <w:tcW w:w="499" w:type="pct"/>
                  <w:tcBorders>
                    <w:tl2br w:val="nil"/>
                    <w:tr2bl w:val="nil"/>
                  </w:tcBorders>
                  <w:shd w:val="clear" w:color="auto" w:fill="auto"/>
                  <w:vAlign w:val="center"/>
                </w:tcPr>
                <w:p w14:paraId="35BDCE1C">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废气</w:t>
                  </w:r>
                </w:p>
                <w:p w14:paraId="06137EBE">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收集</w:t>
                  </w:r>
                </w:p>
                <w:p w14:paraId="4769A96F">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系统</w:t>
                  </w:r>
                </w:p>
                <w:p w14:paraId="3A8F88FB">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要求</w:t>
                  </w:r>
                </w:p>
              </w:tc>
              <w:tc>
                <w:tcPr>
                  <w:tcW w:w="1812" w:type="pct"/>
                  <w:tcBorders>
                    <w:tl2br w:val="nil"/>
                    <w:tr2bl w:val="nil"/>
                  </w:tcBorders>
                  <w:shd w:val="clear" w:color="auto" w:fill="auto"/>
                  <w:vAlign w:val="center"/>
                </w:tcPr>
                <w:p w14:paraId="0809409C">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1、企业应考虑生产工艺、操作方式、废气性质、处理方法等因素，对VOC</w:t>
                  </w:r>
                  <w:r>
                    <w:rPr>
                      <w:rFonts w:hint="eastAsia" w:eastAsia="宋体" w:cs="Times New Roman"/>
                      <w:b w:val="0"/>
                      <w:color w:val="auto"/>
                      <w:sz w:val="21"/>
                      <w:highlight w:val="none"/>
                      <w:lang w:val="en-US" w:eastAsia="zh-CN"/>
                    </w:rPr>
                    <w:t>s</w:t>
                  </w:r>
                  <w:r>
                    <w:rPr>
                      <w:rFonts w:hint="eastAsia" w:ascii="Times New Roman" w:hAnsi="Times New Roman" w:eastAsia="宋体" w:cs="Times New Roman"/>
                      <w:b w:val="0"/>
                      <w:color w:val="auto"/>
                      <w:sz w:val="21"/>
                      <w:highlight w:val="none"/>
                    </w:rPr>
                    <w:t>废气进行分类收集；</w:t>
                  </w:r>
                </w:p>
                <w:p w14:paraId="202154B4">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2、废气收集系统排风罩（集气罩）的设置应符合GB/T16758的规定，采用外部排风罩的，应按GB/T16758、AQ/T4274-2016规定的方法测量控制风速，测量点应选取在距排风罩开口面最远处的VOC</w:t>
                  </w:r>
                  <w:r>
                    <w:rPr>
                      <w:rFonts w:hint="eastAsia" w:eastAsia="宋体" w:cs="Times New Roman"/>
                      <w:b w:val="0"/>
                      <w:color w:val="auto"/>
                      <w:sz w:val="21"/>
                      <w:highlight w:val="none"/>
                      <w:lang w:val="en-US" w:eastAsia="zh-CN"/>
                    </w:rPr>
                    <w:t>s</w:t>
                  </w:r>
                  <w:r>
                    <w:rPr>
                      <w:rFonts w:hint="eastAsia" w:ascii="Times New Roman" w:hAnsi="Times New Roman" w:eastAsia="宋体" w:cs="Times New Roman"/>
                      <w:b w:val="0"/>
                      <w:color w:val="auto"/>
                      <w:sz w:val="21"/>
                      <w:highlight w:val="none"/>
                    </w:rPr>
                    <w:t>无组织排放位置，控制风速不应低于0.3m/s（行业相关规范有具体规定的，按相关规定执行）。</w:t>
                  </w:r>
                </w:p>
              </w:tc>
              <w:tc>
                <w:tcPr>
                  <w:tcW w:w="1692" w:type="pct"/>
                  <w:tcBorders>
                    <w:tl2br w:val="nil"/>
                    <w:tr2bl w:val="nil"/>
                  </w:tcBorders>
                  <w:shd w:val="clear" w:color="auto" w:fill="auto"/>
                  <w:vAlign w:val="center"/>
                </w:tcPr>
                <w:p w14:paraId="696AFAD7">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1、项目废气主要为</w:t>
                  </w:r>
                  <w:r>
                    <w:rPr>
                      <w:rFonts w:hint="eastAsia" w:ascii="Times New Roman" w:hAnsi="Times New Roman" w:eastAsia="宋体" w:cs="Times New Roman"/>
                      <w:b w:val="0"/>
                      <w:color w:val="auto"/>
                      <w:sz w:val="21"/>
                      <w:highlight w:val="none"/>
                      <w:lang w:val="en-US" w:eastAsia="zh-CN"/>
                    </w:rPr>
                    <w:t>注塑有机废气，鞋垫制造线产生的发泡有机废气和发泡脱模有机废气，休闲鞋生产线产生的表面处理、刷胶及烘干有机废气</w:t>
                  </w:r>
                  <w:r>
                    <w:rPr>
                      <w:rFonts w:hint="eastAsia" w:ascii="Times New Roman" w:hAnsi="Times New Roman" w:eastAsia="宋体" w:cs="Times New Roman"/>
                      <w:b w:val="0"/>
                      <w:color w:val="auto"/>
                      <w:sz w:val="21"/>
                      <w:highlight w:val="none"/>
                    </w:rPr>
                    <w:t>，采取</w:t>
                  </w:r>
                  <w:r>
                    <w:rPr>
                      <w:rFonts w:hint="eastAsia" w:cs="Times New Roman"/>
                      <w:color w:val="auto"/>
                      <w:sz w:val="21"/>
                      <w:szCs w:val="21"/>
                      <w:highlight w:val="none"/>
                      <w:lang w:val="en-US" w:eastAsia="zh-CN"/>
                    </w:rPr>
                    <w:t>半密闭</w:t>
                  </w:r>
                  <w:r>
                    <w:rPr>
                      <w:rFonts w:hint="eastAsia" w:ascii="Times New Roman" w:hAnsi="Times New Roman" w:eastAsia="宋体" w:cs="Times New Roman"/>
                      <w:b w:val="0"/>
                      <w:color w:val="auto"/>
                      <w:sz w:val="21"/>
                      <w:highlight w:val="none"/>
                    </w:rPr>
                    <w:t>集气罩收集，经</w:t>
                  </w:r>
                  <w:r>
                    <w:rPr>
                      <w:rFonts w:hint="eastAsia" w:cs="Times New Roman"/>
                      <w:b w:val="0"/>
                      <w:color w:val="auto"/>
                      <w:sz w:val="21"/>
                      <w:highlight w:val="none"/>
                      <w:lang w:val="en-US" w:eastAsia="zh-CN"/>
                    </w:rPr>
                    <w:t>五级活性炭</w:t>
                  </w:r>
                  <w:r>
                    <w:rPr>
                      <w:rFonts w:hint="eastAsia" w:eastAsia="宋体" w:cs="Times New Roman"/>
                      <w:b w:val="0"/>
                      <w:color w:val="auto"/>
                      <w:sz w:val="21"/>
                      <w:highlight w:val="none"/>
                      <w:lang w:eastAsia="zh-CN"/>
                    </w:rPr>
                    <w:t>吸附</w:t>
                  </w:r>
                  <w:r>
                    <w:rPr>
                      <w:rFonts w:hint="eastAsia" w:ascii="Times New Roman" w:hAnsi="Times New Roman" w:eastAsia="宋体" w:cs="Times New Roman"/>
                      <w:b w:val="0"/>
                      <w:color w:val="auto"/>
                      <w:sz w:val="21"/>
                      <w:highlight w:val="none"/>
                    </w:rPr>
                    <w:t>，经15m排气筒排放；</w:t>
                  </w:r>
                </w:p>
                <w:p w14:paraId="36E26F89">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2、收集设施的控制风速均大于0.3m/s，可符合GB/T16758要求。</w:t>
                  </w:r>
                </w:p>
              </w:tc>
              <w:tc>
                <w:tcPr>
                  <w:tcW w:w="495" w:type="pct"/>
                  <w:tcBorders>
                    <w:tl2br w:val="nil"/>
                    <w:tr2bl w:val="nil"/>
                  </w:tcBorders>
                  <w:shd w:val="clear" w:color="auto" w:fill="auto"/>
                  <w:vAlign w:val="center"/>
                </w:tcPr>
                <w:p w14:paraId="7229148B">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eastAsia" w:ascii="Times New Roman" w:hAnsi="Times New Roman" w:eastAsia="宋体" w:cs="Times New Roman"/>
                      <w:b w:val="0"/>
                      <w:color w:val="auto"/>
                      <w:sz w:val="21"/>
                      <w:highlight w:val="none"/>
                    </w:rPr>
                  </w:pPr>
                  <w:r>
                    <w:rPr>
                      <w:rFonts w:hint="eastAsia" w:eastAsia="宋体" w:cs="Times New Roman"/>
                      <w:b w:val="0"/>
                      <w:color w:val="auto"/>
                      <w:sz w:val="21"/>
                      <w:highlight w:val="none"/>
                      <w:lang w:val="en-US" w:eastAsia="zh-CN"/>
                    </w:rPr>
                    <w:t>相符</w:t>
                  </w:r>
                </w:p>
              </w:tc>
            </w:tr>
            <w:tr w14:paraId="6348181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90" w:hRule="atLeast"/>
              </w:trPr>
              <w:tc>
                <w:tcPr>
                  <w:tcW w:w="499" w:type="pct"/>
                  <w:vMerge w:val="continue"/>
                  <w:tcBorders>
                    <w:tl2br w:val="nil"/>
                    <w:tr2bl w:val="nil"/>
                  </w:tcBorders>
                  <w:shd w:val="clear" w:color="auto" w:fill="auto"/>
                  <w:vAlign w:val="center"/>
                </w:tcPr>
                <w:p w14:paraId="2C5B81DE">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p>
              </w:tc>
              <w:tc>
                <w:tcPr>
                  <w:tcW w:w="499" w:type="pct"/>
                  <w:tcBorders>
                    <w:tl2br w:val="nil"/>
                    <w:tr2bl w:val="nil"/>
                  </w:tcBorders>
                  <w:shd w:val="clear" w:color="auto" w:fill="auto"/>
                  <w:vAlign w:val="center"/>
                </w:tcPr>
                <w:p w14:paraId="17028AEC">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VOC</w:t>
                  </w:r>
                  <w:r>
                    <w:rPr>
                      <w:rFonts w:hint="eastAsia" w:eastAsia="宋体" w:cs="Times New Roman"/>
                      <w:b w:val="0"/>
                      <w:color w:val="auto"/>
                      <w:sz w:val="21"/>
                      <w:highlight w:val="none"/>
                      <w:lang w:val="en-US" w:eastAsia="zh-CN"/>
                    </w:rPr>
                    <w:t>s</w:t>
                  </w:r>
                  <w:r>
                    <w:rPr>
                      <w:rFonts w:hint="eastAsia" w:ascii="Times New Roman" w:hAnsi="Times New Roman" w:eastAsia="宋体" w:cs="Times New Roman"/>
                      <w:b w:val="0"/>
                      <w:color w:val="auto"/>
                      <w:sz w:val="21"/>
                      <w:highlight w:val="none"/>
                    </w:rPr>
                    <w:t>排放</w:t>
                  </w:r>
                </w:p>
                <w:p w14:paraId="221642C2">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控制</w:t>
                  </w:r>
                </w:p>
                <w:p w14:paraId="135CE9AF">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要求</w:t>
                  </w:r>
                </w:p>
              </w:tc>
              <w:tc>
                <w:tcPr>
                  <w:tcW w:w="1812" w:type="pct"/>
                  <w:tcBorders>
                    <w:tl2br w:val="nil"/>
                    <w:tr2bl w:val="nil"/>
                  </w:tcBorders>
                  <w:shd w:val="clear" w:color="auto" w:fill="auto"/>
                  <w:vAlign w:val="center"/>
                </w:tcPr>
                <w:p w14:paraId="49D5326C">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1、VOC</w:t>
                  </w:r>
                  <w:r>
                    <w:rPr>
                      <w:rFonts w:hint="eastAsia" w:eastAsia="宋体" w:cs="Times New Roman"/>
                      <w:b w:val="0"/>
                      <w:color w:val="auto"/>
                      <w:sz w:val="21"/>
                      <w:highlight w:val="none"/>
                      <w:lang w:val="en-US" w:eastAsia="zh-CN"/>
                    </w:rPr>
                    <w:t>s</w:t>
                  </w:r>
                  <w:r>
                    <w:rPr>
                      <w:rFonts w:hint="eastAsia" w:ascii="Times New Roman" w:hAnsi="Times New Roman" w:eastAsia="宋体" w:cs="Times New Roman"/>
                      <w:b w:val="0"/>
                      <w:color w:val="auto"/>
                      <w:sz w:val="21"/>
                      <w:highlight w:val="none"/>
                    </w:rPr>
                    <w:t>废气收集处理系统污染物排放应符合GB16297或相关行业排放标准的规定；</w:t>
                  </w:r>
                </w:p>
                <w:p w14:paraId="2B07B4C4">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2、排气筒高度不低于15m（因安全考虑或有特殊工艺要求的除外），具体高度以及与周围建筑物的相对高度关系应根据环境影响评价文件确定。</w:t>
                  </w:r>
                </w:p>
              </w:tc>
              <w:tc>
                <w:tcPr>
                  <w:tcW w:w="1692" w:type="pct"/>
                  <w:tcBorders>
                    <w:tl2br w:val="nil"/>
                    <w:tr2bl w:val="nil"/>
                  </w:tcBorders>
                  <w:shd w:val="clear" w:color="auto" w:fill="auto"/>
                  <w:vAlign w:val="center"/>
                </w:tcPr>
                <w:p w14:paraId="74C9F010">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1、本项目</w:t>
                  </w:r>
                  <w:r>
                    <w:rPr>
                      <w:rFonts w:hint="eastAsia" w:ascii="Times New Roman" w:hAnsi="Times New Roman" w:eastAsia="宋体" w:cs="Times New Roman"/>
                      <w:b w:val="0"/>
                      <w:color w:val="auto"/>
                      <w:sz w:val="21"/>
                      <w:highlight w:val="none"/>
                      <w:lang w:val="en-US" w:eastAsia="zh-CN"/>
                    </w:rPr>
                    <w:t>表面处理、刷胶及烘干有机废气、注塑有机废气中挥发性有机物（以非甲烷总烃为表征）执行《大气污染物综合排放标准》（GB16297-1996）中表2的二级标准浓度限值及无组织排放浓度限值要求</w:t>
                  </w:r>
                  <w:r>
                    <w:rPr>
                      <w:rFonts w:hint="eastAsia" w:cs="Times New Roman"/>
                      <w:b w:val="0"/>
                      <w:color w:val="auto"/>
                      <w:sz w:val="21"/>
                      <w:highlight w:val="none"/>
                      <w:lang w:val="en-US" w:eastAsia="zh-CN"/>
                    </w:rPr>
                    <w:t>，发泡有机废气产生的挥发性有机物（以非甲烷总烃为表征）和MDI有组织废气参照执行《合成树脂工业污染物排放标准》（GB31572-2015，含2024年修改单）中表4大气污染物排放限值，</w:t>
                  </w:r>
                  <w:r>
                    <w:rPr>
                      <w:rFonts w:hint="eastAsia" w:ascii="Times New Roman" w:hAnsi="Times New Roman" w:eastAsia="宋体" w:cs="Times New Roman"/>
                      <w:b w:val="0"/>
                      <w:color w:val="auto"/>
                      <w:sz w:val="21"/>
                      <w:highlight w:val="none"/>
                    </w:rPr>
                    <w:t>厂区内有机废气满足《挥发性有机物无组织排放控制标准》（GB 37822-2019）中排放浓度限值，臭气浓度排放执行《恶臭污染物排放标准》（GB 14554-93）排放标准。</w:t>
                  </w:r>
                </w:p>
                <w:p w14:paraId="552A833A">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2、排气筒高度为15m。</w:t>
                  </w:r>
                </w:p>
              </w:tc>
              <w:tc>
                <w:tcPr>
                  <w:tcW w:w="495" w:type="pct"/>
                  <w:tcBorders>
                    <w:tl2br w:val="nil"/>
                    <w:tr2bl w:val="nil"/>
                  </w:tcBorders>
                  <w:shd w:val="clear" w:color="auto" w:fill="auto"/>
                  <w:vAlign w:val="center"/>
                </w:tcPr>
                <w:p w14:paraId="7D7B14A2">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eastAsia" w:ascii="Times New Roman" w:hAnsi="Times New Roman" w:eastAsia="宋体" w:cs="Times New Roman"/>
                      <w:b w:val="0"/>
                      <w:color w:val="auto"/>
                      <w:sz w:val="21"/>
                      <w:highlight w:val="none"/>
                    </w:rPr>
                  </w:pPr>
                  <w:r>
                    <w:rPr>
                      <w:rFonts w:hint="eastAsia" w:eastAsia="宋体" w:cs="Times New Roman"/>
                      <w:b w:val="0"/>
                      <w:color w:val="auto"/>
                      <w:sz w:val="21"/>
                      <w:highlight w:val="none"/>
                      <w:lang w:val="en-US" w:eastAsia="zh-CN"/>
                    </w:rPr>
                    <w:t>相符</w:t>
                  </w:r>
                </w:p>
              </w:tc>
            </w:tr>
            <w:tr w14:paraId="6732799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40" w:hRule="atLeast"/>
              </w:trPr>
              <w:tc>
                <w:tcPr>
                  <w:tcW w:w="499" w:type="pct"/>
                  <w:vMerge w:val="continue"/>
                  <w:tcBorders>
                    <w:tl2br w:val="nil"/>
                    <w:tr2bl w:val="nil"/>
                  </w:tcBorders>
                  <w:shd w:val="clear" w:color="auto" w:fill="auto"/>
                  <w:vAlign w:val="center"/>
                </w:tcPr>
                <w:p w14:paraId="412C8DF0">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p>
              </w:tc>
              <w:tc>
                <w:tcPr>
                  <w:tcW w:w="499" w:type="pct"/>
                  <w:tcBorders>
                    <w:tl2br w:val="nil"/>
                    <w:tr2bl w:val="nil"/>
                  </w:tcBorders>
                  <w:shd w:val="clear" w:color="auto" w:fill="auto"/>
                  <w:vAlign w:val="center"/>
                </w:tcPr>
                <w:p w14:paraId="2CF5F7F9">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记录</w:t>
                  </w:r>
                </w:p>
                <w:p w14:paraId="585D955A">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要求</w:t>
                  </w:r>
                </w:p>
              </w:tc>
              <w:tc>
                <w:tcPr>
                  <w:tcW w:w="1812" w:type="pct"/>
                  <w:tcBorders>
                    <w:tl2br w:val="nil"/>
                    <w:tr2bl w:val="nil"/>
                  </w:tcBorders>
                  <w:shd w:val="clear" w:color="auto" w:fill="auto"/>
                  <w:vAlign w:val="center"/>
                </w:tcPr>
                <w:p w14:paraId="2AB1B8D8">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企业应</w:t>
                  </w:r>
                  <w:r>
                    <w:rPr>
                      <w:rFonts w:hint="eastAsia" w:cs="Times New Roman"/>
                      <w:b w:val="0"/>
                      <w:color w:val="auto"/>
                      <w:sz w:val="21"/>
                      <w:highlight w:val="none"/>
                      <w:lang w:eastAsia="zh-CN"/>
                    </w:rPr>
                    <w:t>建立台账</w:t>
                  </w:r>
                  <w:r>
                    <w:rPr>
                      <w:rFonts w:hint="eastAsia" w:ascii="Times New Roman" w:hAnsi="Times New Roman" w:eastAsia="宋体" w:cs="Times New Roman"/>
                      <w:b w:val="0"/>
                      <w:color w:val="auto"/>
                      <w:sz w:val="21"/>
                      <w:highlight w:val="none"/>
                    </w:rPr>
                    <w:t>，记录废气收集系统、VOC</w:t>
                  </w:r>
                  <w:r>
                    <w:rPr>
                      <w:rFonts w:hint="eastAsia" w:eastAsia="宋体" w:cs="Times New Roman"/>
                      <w:b w:val="0"/>
                      <w:color w:val="auto"/>
                      <w:sz w:val="21"/>
                      <w:highlight w:val="none"/>
                      <w:lang w:val="en-US" w:eastAsia="zh-CN"/>
                    </w:rPr>
                    <w:t>s</w:t>
                  </w:r>
                  <w:r>
                    <w:rPr>
                      <w:rFonts w:hint="eastAsia" w:ascii="Times New Roman" w:hAnsi="Times New Roman" w:eastAsia="宋体" w:cs="Times New Roman"/>
                      <w:b w:val="0"/>
                      <w:color w:val="auto"/>
                      <w:sz w:val="21"/>
                      <w:highlight w:val="none"/>
                    </w:rPr>
                    <w:t>处理设施的主要运行和维护信息，如运行时间、废气处理量、操作温度、停留时间、吸附剂再生/更换周期和更换量、催化剂更换周期和更换量、吸附液pH值等关键运行参数。</w:t>
                  </w:r>
                  <w:r>
                    <w:rPr>
                      <w:rFonts w:hint="eastAsia" w:cs="Times New Roman"/>
                      <w:b w:val="0"/>
                      <w:color w:val="auto"/>
                      <w:sz w:val="21"/>
                      <w:highlight w:val="none"/>
                      <w:lang w:eastAsia="zh-CN"/>
                    </w:rPr>
                    <w:t>台账</w:t>
                  </w:r>
                  <w:r>
                    <w:rPr>
                      <w:rFonts w:hint="eastAsia" w:ascii="Times New Roman" w:hAnsi="Times New Roman" w:eastAsia="宋体" w:cs="Times New Roman"/>
                      <w:b w:val="0"/>
                      <w:color w:val="auto"/>
                      <w:sz w:val="21"/>
                      <w:highlight w:val="none"/>
                    </w:rPr>
                    <w:t>保存期限不少于3年。</w:t>
                  </w:r>
                </w:p>
              </w:tc>
              <w:tc>
                <w:tcPr>
                  <w:tcW w:w="1692" w:type="pct"/>
                  <w:tcBorders>
                    <w:tl2br w:val="nil"/>
                    <w:tr2bl w:val="nil"/>
                  </w:tcBorders>
                  <w:shd w:val="clear" w:color="auto" w:fill="auto"/>
                  <w:vAlign w:val="center"/>
                </w:tcPr>
                <w:p w14:paraId="26EBBFF5">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本评价要求企业</w:t>
                  </w:r>
                  <w:r>
                    <w:rPr>
                      <w:rFonts w:hint="eastAsia" w:cs="Times New Roman"/>
                      <w:b w:val="0"/>
                      <w:color w:val="auto"/>
                      <w:sz w:val="21"/>
                      <w:highlight w:val="none"/>
                      <w:lang w:eastAsia="zh-CN"/>
                    </w:rPr>
                    <w:t>建立台账</w:t>
                  </w:r>
                  <w:r>
                    <w:rPr>
                      <w:rFonts w:hint="eastAsia" w:ascii="Times New Roman" w:hAnsi="Times New Roman" w:eastAsia="宋体" w:cs="Times New Roman"/>
                      <w:b w:val="0"/>
                      <w:color w:val="auto"/>
                      <w:sz w:val="21"/>
                      <w:highlight w:val="none"/>
                    </w:rPr>
                    <w:t>记录相关信息。</w:t>
                  </w:r>
                </w:p>
              </w:tc>
              <w:tc>
                <w:tcPr>
                  <w:tcW w:w="495" w:type="pct"/>
                  <w:tcBorders>
                    <w:tl2br w:val="nil"/>
                    <w:tr2bl w:val="nil"/>
                  </w:tcBorders>
                  <w:shd w:val="clear" w:color="auto" w:fill="auto"/>
                  <w:vAlign w:val="center"/>
                </w:tcPr>
                <w:p w14:paraId="6B0E141D">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eastAsia" w:ascii="Times New Roman" w:hAnsi="Times New Roman" w:eastAsia="宋体" w:cs="Times New Roman"/>
                      <w:b w:val="0"/>
                      <w:color w:val="auto"/>
                      <w:sz w:val="21"/>
                      <w:highlight w:val="none"/>
                    </w:rPr>
                  </w:pPr>
                  <w:r>
                    <w:rPr>
                      <w:rFonts w:hint="eastAsia" w:eastAsia="宋体" w:cs="Times New Roman"/>
                      <w:b w:val="0"/>
                      <w:color w:val="auto"/>
                      <w:sz w:val="21"/>
                      <w:highlight w:val="none"/>
                      <w:lang w:val="en-US" w:eastAsia="zh-CN"/>
                    </w:rPr>
                    <w:t>相符</w:t>
                  </w:r>
                </w:p>
              </w:tc>
            </w:tr>
            <w:tr w14:paraId="21118F8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718" w:hRule="atLeast"/>
              </w:trPr>
              <w:tc>
                <w:tcPr>
                  <w:tcW w:w="999" w:type="pct"/>
                  <w:gridSpan w:val="2"/>
                  <w:tcBorders>
                    <w:tl2br w:val="nil"/>
                    <w:tr2bl w:val="nil"/>
                  </w:tcBorders>
                  <w:shd w:val="clear" w:color="auto" w:fill="auto"/>
                  <w:vAlign w:val="center"/>
                </w:tcPr>
                <w:p w14:paraId="35F2192B">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企业厂区内及周边污染监控要求</w:t>
                  </w:r>
                </w:p>
              </w:tc>
              <w:tc>
                <w:tcPr>
                  <w:tcW w:w="1812" w:type="pct"/>
                  <w:tcBorders>
                    <w:tl2br w:val="nil"/>
                    <w:tr2bl w:val="nil"/>
                  </w:tcBorders>
                  <w:shd w:val="clear" w:color="auto" w:fill="auto"/>
                  <w:vAlign w:val="center"/>
                </w:tcPr>
                <w:p w14:paraId="32C4A88D">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企业边界及周边VOC</w:t>
                  </w:r>
                  <w:r>
                    <w:rPr>
                      <w:rFonts w:hint="eastAsia" w:eastAsia="宋体" w:cs="Times New Roman"/>
                      <w:b w:val="0"/>
                      <w:color w:val="auto"/>
                      <w:sz w:val="21"/>
                      <w:highlight w:val="none"/>
                      <w:lang w:val="en-US" w:eastAsia="zh-CN"/>
                    </w:rPr>
                    <w:t>s</w:t>
                  </w:r>
                  <w:r>
                    <w:rPr>
                      <w:rFonts w:hint="eastAsia" w:ascii="Times New Roman" w:hAnsi="Times New Roman" w:eastAsia="宋体" w:cs="Times New Roman"/>
                      <w:b w:val="0"/>
                      <w:color w:val="auto"/>
                      <w:sz w:val="21"/>
                      <w:highlight w:val="none"/>
                    </w:rPr>
                    <w:t>监控要求执行GB16297或相关行业排放标准的规定；地方生态环境主管部门可根据当地环境保护需要，对厂区内VOC</w:t>
                  </w:r>
                  <w:r>
                    <w:rPr>
                      <w:rFonts w:hint="eastAsia" w:eastAsia="宋体" w:cs="Times New Roman"/>
                      <w:b w:val="0"/>
                      <w:color w:val="auto"/>
                      <w:sz w:val="21"/>
                      <w:highlight w:val="none"/>
                      <w:lang w:val="en-US" w:eastAsia="zh-CN"/>
                    </w:rPr>
                    <w:t>s</w:t>
                  </w:r>
                  <w:r>
                    <w:rPr>
                      <w:rFonts w:hint="eastAsia" w:ascii="Times New Roman" w:hAnsi="Times New Roman" w:eastAsia="宋体" w:cs="Times New Roman"/>
                      <w:b w:val="0"/>
                      <w:color w:val="auto"/>
                      <w:sz w:val="21"/>
                      <w:highlight w:val="none"/>
                    </w:rPr>
                    <w:t>无组织排放状况进行监控。</w:t>
                  </w:r>
                </w:p>
              </w:tc>
              <w:tc>
                <w:tcPr>
                  <w:tcW w:w="1692" w:type="pct"/>
                  <w:tcBorders>
                    <w:tl2br w:val="nil"/>
                    <w:tr2bl w:val="nil"/>
                  </w:tcBorders>
                  <w:shd w:val="clear" w:color="auto" w:fill="auto"/>
                  <w:vAlign w:val="center"/>
                </w:tcPr>
                <w:p w14:paraId="7A2F8A99">
                  <w:pPr>
                    <w:pStyle w:val="50"/>
                    <w:keepNext w:val="0"/>
                    <w:keepLines w:val="0"/>
                    <w:pageBreakBefore w:val="0"/>
                    <w:widowControl w:val="0"/>
                    <w:numPr>
                      <w:ilvl w:val="0"/>
                      <w:numId w:val="3"/>
                    </w:numPr>
                    <w:suppressLineNumbers w:val="0"/>
                    <w:kinsoku/>
                    <w:wordWrap/>
                    <w:overflowPunct/>
                    <w:topLinePunct w:val="0"/>
                    <w:autoSpaceDE/>
                    <w:autoSpaceDN/>
                    <w:bidi w:val="0"/>
                    <w:adjustRightInd/>
                    <w:snapToGrid/>
                    <w:spacing w:beforeAutospacing="0" w:afterAutospacing="0"/>
                    <w:ind w:left="0" w:right="0"/>
                    <w:textAlignment w:val="auto"/>
                    <w:rPr>
                      <w:rFonts w:hint="eastAsia"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项目有机废气，采取</w:t>
                  </w:r>
                  <w:r>
                    <w:rPr>
                      <w:rFonts w:hint="eastAsia" w:cs="Times New Roman"/>
                      <w:color w:val="auto"/>
                      <w:sz w:val="21"/>
                      <w:szCs w:val="21"/>
                      <w:highlight w:val="none"/>
                      <w:lang w:val="en-US" w:eastAsia="zh-CN"/>
                    </w:rPr>
                    <w:t>半密闭</w:t>
                  </w:r>
                  <w:r>
                    <w:rPr>
                      <w:rFonts w:hint="eastAsia" w:ascii="Times New Roman" w:hAnsi="Times New Roman" w:eastAsia="宋体" w:cs="Times New Roman"/>
                      <w:b w:val="0"/>
                      <w:color w:val="auto"/>
                      <w:sz w:val="21"/>
                      <w:highlight w:val="none"/>
                    </w:rPr>
                    <w:t>集气罩收集，经</w:t>
                  </w:r>
                  <w:r>
                    <w:rPr>
                      <w:rFonts w:hint="eastAsia" w:cs="Times New Roman"/>
                      <w:b w:val="0"/>
                      <w:color w:val="auto"/>
                      <w:sz w:val="21"/>
                      <w:highlight w:val="none"/>
                      <w:lang w:val="en-US" w:eastAsia="zh-CN"/>
                    </w:rPr>
                    <w:t>五级活性炭</w:t>
                  </w:r>
                  <w:r>
                    <w:rPr>
                      <w:rFonts w:hint="eastAsia" w:eastAsia="宋体" w:cs="Times New Roman"/>
                      <w:b w:val="0"/>
                      <w:color w:val="auto"/>
                      <w:sz w:val="21"/>
                      <w:highlight w:val="none"/>
                      <w:lang w:eastAsia="zh-CN"/>
                    </w:rPr>
                    <w:t>吸附</w:t>
                  </w:r>
                  <w:r>
                    <w:rPr>
                      <w:rFonts w:hint="eastAsia" w:ascii="Times New Roman" w:hAnsi="Times New Roman" w:eastAsia="宋体" w:cs="Times New Roman"/>
                      <w:b w:val="0"/>
                      <w:color w:val="auto"/>
                      <w:sz w:val="21"/>
                      <w:highlight w:val="none"/>
                    </w:rPr>
                    <w:t>，经15m排气筒排放</w:t>
                  </w:r>
                  <w:r>
                    <w:rPr>
                      <w:rFonts w:hint="eastAsia" w:eastAsia="宋体" w:cs="Times New Roman"/>
                      <w:b w:val="0"/>
                      <w:color w:val="auto"/>
                      <w:sz w:val="21"/>
                      <w:highlight w:val="none"/>
                      <w:lang w:eastAsia="zh-CN"/>
                    </w:rPr>
                    <w:t>，</w:t>
                  </w:r>
                  <w:r>
                    <w:rPr>
                      <w:rFonts w:hint="eastAsia" w:ascii="Times New Roman" w:hAnsi="Times New Roman" w:eastAsia="宋体" w:cs="Times New Roman"/>
                      <w:b w:val="0"/>
                      <w:color w:val="auto"/>
                      <w:sz w:val="21"/>
                      <w:highlight w:val="none"/>
                      <w:lang w:val="en-US" w:eastAsia="zh-CN"/>
                    </w:rPr>
                    <w:t>表面处理、刷胶及烘干有机废气、注塑有机废气中挥发性有机物（以非甲烷总烃为表征）执行《大气污染物综合排放标准》（GB16297-1996）中表2的二级标准浓度限值及无组织排放浓度限值要求</w:t>
                  </w:r>
                  <w:r>
                    <w:rPr>
                      <w:rFonts w:hint="eastAsia" w:cs="Times New Roman"/>
                      <w:b w:val="0"/>
                      <w:color w:val="auto"/>
                      <w:sz w:val="21"/>
                      <w:highlight w:val="none"/>
                      <w:lang w:val="en-US" w:eastAsia="zh-CN"/>
                    </w:rPr>
                    <w:t>，发泡有机废气产生的挥发性有机物（以非甲烷总烃为表征）和MDI有组织废气参照执行《合成树脂工业污染物排放标准》（GB31572-2015，含2024年修改单）中表4大气污染物排放限值，</w:t>
                  </w:r>
                  <w:r>
                    <w:rPr>
                      <w:rFonts w:hint="default" w:ascii="Times New Roman" w:hAnsi="Times New Roman" w:eastAsia="宋体" w:cs="Times New Roman"/>
                      <w:b w:val="0"/>
                      <w:color w:val="auto"/>
                      <w:sz w:val="21"/>
                      <w:szCs w:val="21"/>
                      <w:highlight w:val="none"/>
                    </w:rPr>
                    <w:t>厂区内有机废气</w:t>
                  </w:r>
                  <w:r>
                    <w:rPr>
                      <w:rFonts w:hint="eastAsia" w:ascii="Times New Roman" w:hAnsi="Times New Roman" w:eastAsia="宋体" w:cs="Times New Roman"/>
                      <w:b w:val="0"/>
                      <w:color w:val="auto"/>
                      <w:sz w:val="21"/>
                      <w:szCs w:val="21"/>
                      <w:highlight w:val="none"/>
                    </w:rPr>
                    <w:t>满足</w:t>
                  </w:r>
                  <w:r>
                    <w:rPr>
                      <w:rFonts w:hint="default" w:ascii="Times New Roman" w:hAnsi="Times New Roman" w:eastAsia="宋体" w:cs="Times New Roman"/>
                      <w:b w:val="0"/>
                      <w:color w:val="auto"/>
                      <w:sz w:val="21"/>
                      <w:szCs w:val="21"/>
                      <w:highlight w:val="none"/>
                    </w:rPr>
                    <w:t>《挥发性有机物无组织排放</w:t>
                  </w:r>
                  <w:r>
                    <w:rPr>
                      <w:rFonts w:hint="default" w:ascii="Times New Roman" w:hAnsi="Times New Roman" w:eastAsia="宋体" w:cs="Times New Roman"/>
                      <w:b w:val="0"/>
                      <w:color w:val="auto"/>
                      <w:sz w:val="21"/>
                      <w:highlight w:val="none"/>
                    </w:rPr>
                    <w:t>控制标准》（GB 37822-2019）中排放浓度限值</w:t>
                  </w:r>
                  <w:r>
                    <w:rPr>
                      <w:rFonts w:hint="eastAsia" w:ascii="Times New Roman" w:hAnsi="Times New Roman" w:eastAsia="宋体" w:cs="Times New Roman"/>
                      <w:b w:val="0"/>
                      <w:color w:val="auto"/>
                      <w:sz w:val="21"/>
                      <w:highlight w:val="none"/>
                    </w:rPr>
                    <w:t>。</w:t>
                  </w:r>
                </w:p>
                <w:p w14:paraId="34B1AD92">
                  <w:pPr>
                    <w:pStyle w:val="50"/>
                    <w:keepNext w:val="0"/>
                    <w:keepLines w:val="0"/>
                    <w:pageBreakBefore w:val="0"/>
                    <w:widowControl w:val="0"/>
                    <w:numPr>
                      <w:ilvl w:val="0"/>
                      <w:numId w:val="0"/>
                    </w:numPr>
                    <w:suppressLineNumbers w:val="0"/>
                    <w:kinsoku/>
                    <w:wordWrap/>
                    <w:overflowPunct/>
                    <w:topLinePunct w:val="0"/>
                    <w:autoSpaceDE/>
                    <w:autoSpaceDN/>
                    <w:bidi w:val="0"/>
                    <w:adjustRightInd/>
                    <w:snapToGrid/>
                    <w:spacing w:beforeAutospacing="0" w:afterAutospacing="0"/>
                    <w:ind w:left="0" w:right="0"/>
                    <w:jc w:val="both"/>
                    <w:textAlignment w:val="auto"/>
                    <w:rPr>
                      <w:rFonts w:hint="eastAsia" w:ascii="Times New Roman" w:hAnsi="Times New Roman" w:eastAsia="宋体" w:cs="Times New Roman"/>
                      <w:b w:val="0"/>
                      <w:color w:val="auto"/>
                      <w:sz w:val="21"/>
                      <w:highlight w:val="none"/>
                      <w:lang w:eastAsia="zh-CN"/>
                    </w:rPr>
                  </w:pPr>
                  <w:r>
                    <w:rPr>
                      <w:rFonts w:hint="eastAsia" w:ascii="Times New Roman" w:hAnsi="Times New Roman" w:eastAsia="宋体" w:cs="Times New Roman"/>
                      <w:b w:val="0"/>
                      <w:color w:val="auto"/>
                      <w:sz w:val="21"/>
                      <w:highlight w:val="none"/>
                    </w:rPr>
                    <w:t>2、遵守</w:t>
                  </w:r>
                  <w:r>
                    <w:rPr>
                      <w:rFonts w:hint="eastAsia" w:cs="Times New Roman"/>
                      <w:b w:val="0"/>
                      <w:color w:val="auto"/>
                      <w:sz w:val="21"/>
                      <w:highlight w:val="none"/>
                      <w:lang w:val="en-US" w:eastAsia="zh-CN"/>
                    </w:rPr>
                    <w:t>乐平市</w:t>
                  </w:r>
                  <w:r>
                    <w:rPr>
                      <w:rFonts w:hint="eastAsia" w:ascii="Times New Roman" w:hAnsi="Times New Roman" w:eastAsia="宋体" w:cs="Times New Roman"/>
                      <w:b w:val="0"/>
                      <w:color w:val="auto"/>
                      <w:sz w:val="21"/>
                      <w:highlight w:val="none"/>
                    </w:rPr>
                    <w:t>环境保护局要求开展</w:t>
                  </w:r>
                  <w:r>
                    <w:rPr>
                      <w:rFonts w:hint="eastAsia" w:cs="Times New Roman"/>
                      <w:b w:val="0"/>
                      <w:color w:val="auto"/>
                      <w:sz w:val="21"/>
                      <w:highlight w:val="none"/>
                      <w:lang w:eastAsia="zh-CN"/>
                    </w:rPr>
                    <w:t>。</w:t>
                  </w:r>
                </w:p>
              </w:tc>
              <w:tc>
                <w:tcPr>
                  <w:tcW w:w="495" w:type="pct"/>
                  <w:tcBorders>
                    <w:tl2br w:val="nil"/>
                    <w:tr2bl w:val="nil"/>
                  </w:tcBorders>
                  <w:shd w:val="clear" w:color="auto" w:fill="auto"/>
                  <w:vAlign w:val="center"/>
                </w:tcPr>
                <w:p w14:paraId="41B7B9EA">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eastAsia="宋体" w:cs="Times New Roman"/>
                      <w:b w:val="0"/>
                      <w:color w:val="auto"/>
                      <w:sz w:val="21"/>
                      <w:highlight w:val="none"/>
                      <w:lang w:val="en-US" w:eastAsia="zh-CN"/>
                    </w:rPr>
                    <w:t>相符</w:t>
                  </w:r>
                </w:p>
              </w:tc>
            </w:tr>
            <w:tr w14:paraId="312CBEC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40" w:hRule="atLeast"/>
              </w:trPr>
              <w:tc>
                <w:tcPr>
                  <w:tcW w:w="999" w:type="pct"/>
                  <w:gridSpan w:val="2"/>
                  <w:tcBorders>
                    <w:tl2br w:val="nil"/>
                    <w:tr2bl w:val="nil"/>
                  </w:tcBorders>
                  <w:shd w:val="clear" w:color="auto" w:fill="auto"/>
                  <w:vAlign w:val="center"/>
                </w:tcPr>
                <w:p w14:paraId="6DA3B42E">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污染物监测要求</w:t>
                  </w:r>
                </w:p>
              </w:tc>
              <w:tc>
                <w:tcPr>
                  <w:tcW w:w="1812" w:type="pct"/>
                  <w:tcBorders>
                    <w:tl2br w:val="nil"/>
                    <w:tr2bl w:val="nil"/>
                  </w:tcBorders>
                  <w:shd w:val="clear" w:color="auto" w:fill="auto"/>
                  <w:vAlign w:val="center"/>
                </w:tcPr>
                <w:p w14:paraId="444CFA4C">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1、企业应按照有关法律、《环境监测管理办法》和HJ819等规定，建立企业监测制度，制定企业监测方案，对污染物排放状况及其周边环境质量的影响开展自行监测，保存原始监测记录，并公布监测结果；</w:t>
                  </w:r>
                </w:p>
                <w:p w14:paraId="6B1E5C82">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2、对于挥发性有机液体储罐、挥发性有机液体装载设施以及废气收集处理系统的VOC</w:t>
                  </w:r>
                  <w:r>
                    <w:rPr>
                      <w:rFonts w:hint="eastAsia" w:eastAsia="宋体" w:cs="Times New Roman"/>
                      <w:b w:val="0"/>
                      <w:color w:val="auto"/>
                      <w:sz w:val="21"/>
                      <w:highlight w:val="none"/>
                      <w:lang w:val="en-US" w:eastAsia="zh-CN"/>
                    </w:rPr>
                    <w:t>s</w:t>
                  </w:r>
                  <w:r>
                    <w:rPr>
                      <w:rFonts w:hint="eastAsia" w:ascii="Times New Roman" w:hAnsi="Times New Roman" w:eastAsia="宋体" w:cs="Times New Roman"/>
                      <w:b w:val="0"/>
                      <w:color w:val="auto"/>
                      <w:sz w:val="21"/>
                      <w:highlight w:val="none"/>
                    </w:rPr>
                    <w:t>排放，监测采样和测定方法按GB/T16157、HJ/T397、HJ732以及HJ38、HJ1012、HJ1013的规定执行；</w:t>
                  </w:r>
                </w:p>
                <w:p w14:paraId="259854A8">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3、企业边界及周边VOC</w:t>
                  </w:r>
                  <w:r>
                    <w:rPr>
                      <w:rFonts w:hint="eastAsia" w:eastAsia="宋体" w:cs="Times New Roman"/>
                      <w:b w:val="0"/>
                      <w:color w:val="auto"/>
                      <w:sz w:val="21"/>
                      <w:highlight w:val="none"/>
                      <w:lang w:val="en-US" w:eastAsia="zh-CN"/>
                    </w:rPr>
                    <w:t>s</w:t>
                  </w:r>
                  <w:r>
                    <w:rPr>
                      <w:rFonts w:hint="eastAsia" w:ascii="Times New Roman" w:hAnsi="Times New Roman" w:eastAsia="宋体" w:cs="Times New Roman"/>
                      <w:b w:val="0"/>
                      <w:color w:val="auto"/>
                      <w:sz w:val="21"/>
                      <w:highlight w:val="none"/>
                    </w:rPr>
                    <w:t>监测按HJ/T55的规定执行。</w:t>
                  </w:r>
                </w:p>
              </w:tc>
              <w:tc>
                <w:tcPr>
                  <w:tcW w:w="1692" w:type="pct"/>
                  <w:tcBorders>
                    <w:tl2br w:val="nil"/>
                    <w:tr2bl w:val="nil"/>
                  </w:tcBorders>
                  <w:shd w:val="clear" w:color="auto" w:fill="auto"/>
                  <w:vAlign w:val="center"/>
                </w:tcPr>
                <w:p w14:paraId="4F95F37C">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eastAsia" w:eastAsia="宋体"/>
                      <w:color w:val="auto"/>
                      <w:sz w:val="21"/>
                      <w:highlight w:val="none"/>
                      <w:lang w:eastAsia="zh-CN"/>
                    </w:rPr>
                  </w:pPr>
                  <w:r>
                    <w:rPr>
                      <w:rFonts w:hint="eastAsia" w:ascii="Times New Roman" w:hAnsi="Times New Roman" w:eastAsia="宋体" w:cs="Times New Roman"/>
                      <w:b w:val="0"/>
                      <w:color w:val="auto"/>
                      <w:sz w:val="21"/>
                      <w:highlight w:val="none"/>
                    </w:rPr>
                    <w:t>1、项目属于</w:t>
                  </w:r>
                  <w:r>
                    <w:rPr>
                      <w:rFonts w:hint="eastAsia" w:ascii="Times New Roman" w:hAnsi="Times New Roman" w:eastAsia="宋体" w:cs="Times New Roman"/>
                      <w:b w:val="0"/>
                      <w:color w:val="auto"/>
                      <w:sz w:val="21"/>
                      <w:highlight w:val="none"/>
                      <w:lang w:val="en-US" w:eastAsia="zh-CN"/>
                    </w:rPr>
                    <w:t>十四、皮革、毛皮、羽毛及其制品和制鞋业19</w:t>
                  </w:r>
                  <w:r>
                    <w:rPr>
                      <w:rFonts w:hint="eastAsia" w:ascii="Times New Roman" w:hAnsi="Times New Roman" w:eastAsia="宋体" w:cs="Times New Roman"/>
                      <w:b w:val="0"/>
                      <w:color w:val="auto"/>
                      <w:sz w:val="21"/>
                      <w:highlight w:val="none"/>
                    </w:rPr>
                    <w:t>—</w:t>
                  </w:r>
                  <w:r>
                    <w:rPr>
                      <w:rFonts w:hint="eastAsia" w:ascii="Times New Roman" w:hAnsi="Times New Roman" w:eastAsia="宋体" w:cs="Times New Roman"/>
                      <w:b w:val="0"/>
                      <w:color w:val="auto"/>
                      <w:sz w:val="21"/>
                      <w:highlight w:val="none"/>
                      <w:lang w:val="en-US" w:eastAsia="zh-CN"/>
                    </w:rPr>
                    <w:t>32</w:t>
                  </w:r>
                  <w:r>
                    <w:rPr>
                      <w:rFonts w:hint="eastAsia" w:ascii="Times New Roman" w:hAnsi="Times New Roman" w:eastAsia="宋体" w:cs="Times New Roman"/>
                      <w:b w:val="0"/>
                      <w:color w:val="auto"/>
                      <w:sz w:val="21"/>
                      <w:highlight w:val="none"/>
                    </w:rPr>
                    <w:t>、</w:t>
                  </w:r>
                  <w:r>
                    <w:rPr>
                      <w:rFonts w:hint="eastAsia" w:ascii="Times New Roman" w:hAnsi="Times New Roman" w:eastAsia="宋体" w:cs="Times New Roman"/>
                      <w:b w:val="0"/>
                      <w:color w:val="auto"/>
                      <w:sz w:val="21"/>
                      <w:highlight w:val="none"/>
                      <w:lang w:val="en-US" w:eastAsia="zh-CN"/>
                    </w:rPr>
                    <w:t>制鞋业195</w:t>
                  </w:r>
                  <w:r>
                    <w:rPr>
                      <w:rFonts w:hint="eastAsia" w:ascii="Times New Roman" w:hAnsi="Times New Roman" w:eastAsia="宋体" w:cs="Times New Roman"/>
                      <w:b w:val="0"/>
                      <w:color w:val="auto"/>
                      <w:sz w:val="21"/>
                      <w:highlight w:val="none"/>
                    </w:rPr>
                    <w:t>，属于简化管理，根据《排污单位自行监测技术指南 总则》（HJ 819-2017）、《排污许可证申请与核发技术规范 制鞋工业》（HJ1123—2020）项目自行监测，建立企业监测制度，制定企业监测方案，对污染物排放状况及其周边环境质量的影响开展自行监测，保存原始监测记录，并公布监测结果</w:t>
                  </w:r>
                  <w:r>
                    <w:rPr>
                      <w:rFonts w:hint="eastAsia" w:eastAsia="宋体"/>
                      <w:color w:val="auto"/>
                      <w:sz w:val="21"/>
                      <w:highlight w:val="none"/>
                      <w:lang w:eastAsia="zh-CN"/>
                    </w:rPr>
                    <w:t>。</w:t>
                  </w:r>
                </w:p>
                <w:p w14:paraId="36324E53">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2、对于挥发性有机液体储罐、挥发性有机液体装载设施以及废气收集处理系统的VOC</w:t>
                  </w:r>
                  <w:r>
                    <w:rPr>
                      <w:rFonts w:hint="eastAsia" w:eastAsia="宋体" w:cs="Times New Roman"/>
                      <w:b w:val="0"/>
                      <w:color w:val="auto"/>
                      <w:sz w:val="21"/>
                      <w:highlight w:val="none"/>
                      <w:lang w:val="en-US" w:eastAsia="zh-CN"/>
                    </w:rPr>
                    <w:t>s</w:t>
                  </w:r>
                  <w:r>
                    <w:rPr>
                      <w:rFonts w:hint="eastAsia" w:ascii="Times New Roman" w:hAnsi="Times New Roman" w:eastAsia="宋体" w:cs="Times New Roman"/>
                      <w:b w:val="0"/>
                      <w:color w:val="auto"/>
                      <w:sz w:val="21"/>
                      <w:highlight w:val="none"/>
                    </w:rPr>
                    <w:t>排放，监测采样和测定方法按GB/T16157、HJ/T397、HJ732以及HJ38、HJ1012、HJ1013的规定执行；</w:t>
                  </w:r>
                </w:p>
                <w:p w14:paraId="26390753">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default" w:ascii="Times New Roman" w:hAnsi="Times New Roman" w:eastAsia="宋体" w:cs="Times New Roman"/>
                      <w:b w:val="0"/>
                      <w:color w:val="auto"/>
                      <w:sz w:val="21"/>
                      <w:highlight w:val="none"/>
                    </w:rPr>
                  </w:pPr>
                  <w:r>
                    <w:rPr>
                      <w:rFonts w:hint="eastAsia" w:ascii="Times New Roman" w:hAnsi="Times New Roman" w:eastAsia="宋体" w:cs="Times New Roman"/>
                      <w:b w:val="0"/>
                      <w:color w:val="auto"/>
                      <w:sz w:val="21"/>
                      <w:highlight w:val="none"/>
                    </w:rPr>
                    <w:t>3、企业边界及周边VOC</w:t>
                  </w:r>
                  <w:r>
                    <w:rPr>
                      <w:rFonts w:hint="eastAsia" w:eastAsia="宋体" w:cs="Times New Roman"/>
                      <w:b w:val="0"/>
                      <w:color w:val="auto"/>
                      <w:sz w:val="21"/>
                      <w:highlight w:val="none"/>
                      <w:lang w:val="en-US" w:eastAsia="zh-CN"/>
                    </w:rPr>
                    <w:t>s</w:t>
                  </w:r>
                  <w:r>
                    <w:rPr>
                      <w:rFonts w:hint="eastAsia" w:ascii="Times New Roman" w:hAnsi="Times New Roman" w:eastAsia="宋体" w:cs="Times New Roman"/>
                      <w:b w:val="0"/>
                      <w:color w:val="auto"/>
                      <w:sz w:val="21"/>
                      <w:highlight w:val="none"/>
                    </w:rPr>
                    <w:t>监测按HJ/T55的规定执行。</w:t>
                  </w:r>
                </w:p>
              </w:tc>
              <w:tc>
                <w:tcPr>
                  <w:tcW w:w="495" w:type="pct"/>
                  <w:tcBorders>
                    <w:tl2br w:val="nil"/>
                    <w:tr2bl w:val="nil"/>
                  </w:tcBorders>
                  <w:shd w:val="clear" w:color="auto" w:fill="auto"/>
                  <w:vAlign w:val="center"/>
                </w:tcPr>
                <w:p w14:paraId="7FC76560">
                  <w:pPr>
                    <w:pStyle w:val="50"/>
                    <w:keepNext w:val="0"/>
                    <w:keepLines w:val="0"/>
                    <w:pageBreakBefore w:val="0"/>
                    <w:widowControl w:val="0"/>
                    <w:suppressLineNumbers w:val="0"/>
                    <w:kinsoku/>
                    <w:wordWrap/>
                    <w:overflowPunct/>
                    <w:topLinePunct w:val="0"/>
                    <w:autoSpaceDE/>
                    <w:autoSpaceDN/>
                    <w:bidi w:val="0"/>
                    <w:adjustRightInd/>
                    <w:snapToGrid/>
                    <w:spacing w:beforeAutospacing="0" w:afterAutospacing="0"/>
                    <w:ind w:left="0" w:right="0"/>
                    <w:textAlignment w:val="auto"/>
                    <w:rPr>
                      <w:rFonts w:hint="eastAsia" w:ascii="Times New Roman" w:hAnsi="Times New Roman" w:eastAsia="宋体" w:cs="Times New Roman"/>
                      <w:b w:val="0"/>
                      <w:color w:val="auto"/>
                      <w:sz w:val="21"/>
                      <w:highlight w:val="none"/>
                    </w:rPr>
                  </w:pPr>
                  <w:r>
                    <w:rPr>
                      <w:rFonts w:hint="eastAsia" w:eastAsia="宋体" w:cs="Times New Roman"/>
                      <w:b w:val="0"/>
                      <w:color w:val="auto"/>
                      <w:sz w:val="21"/>
                      <w:highlight w:val="none"/>
                      <w:lang w:val="en-US" w:eastAsia="zh-CN"/>
                    </w:rPr>
                    <w:t>相符</w:t>
                  </w:r>
                </w:p>
              </w:tc>
            </w:tr>
          </w:tbl>
          <w:p w14:paraId="45F65EFF">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val="0"/>
                <w:color w:val="auto"/>
                <w:sz w:val="24"/>
                <w:highlight w:val="none"/>
                <w:shd w:val="clear" w:color="auto" w:fill="FFFFFF"/>
                <w:lang w:val="en-US" w:eastAsia="zh-CN"/>
              </w:rPr>
            </w:pPr>
            <w:r>
              <w:rPr>
                <w:rFonts w:hint="default" w:ascii="Times New Roman" w:hAnsi="Times New Roman" w:cs="Times New Roman"/>
                <w:b w:val="0"/>
                <w:bCs w:val="0"/>
                <w:color w:val="auto"/>
                <w:sz w:val="24"/>
                <w:highlight w:val="none"/>
                <w:shd w:val="clear" w:color="auto" w:fill="FFFFFF"/>
                <w:lang w:val="en-US" w:eastAsia="zh-CN"/>
              </w:rPr>
              <w:t>由表1-1</w:t>
            </w:r>
            <w:r>
              <w:rPr>
                <w:rFonts w:hint="eastAsia" w:cs="Times New Roman"/>
                <w:b w:val="0"/>
                <w:bCs w:val="0"/>
                <w:color w:val="auto"/>
                <w:sz w:val="24"/>
                <w:highlight w:val="none"/>
                <w:shd w:val="clear" w:color="auto" w:fill="FFFFFF"/>
                <w:lang w:val="en-US" w:eastAsia="zh-CN"/>
              </w:rPr>
              <w:t>7</w:t>
            </w:r>
            <w:r>
              <w:rPr>
                <w:rFonts w:hint="default" w:ascii="Times New Roman" w:hAnsi="Times New Roman" w:cs="Times New Roman"/>
                <w:b w:val="0"/>
                <w:bCs w:val="0"/>
                <w:color w:val="auto"/>
                <w:sz w:val="24"/>
                <w:highlight w:val="none"/>
                <w:shd w:val="clear" w:color="auto" w:fill="FFFFFF"/>
                <w:lang w:val="en-US" w:eastAsia="zh-CN"/>
              </w:rPr>
              <w:t>可知，本项目与《挥发性有机物无组织排放控制标准》（GB37822-2019）要求相符。</w:t>
            </w:r>
          </w:p>
          <w:p w14:paraId="23198A6D">
            <w:pPr>
              <w:pStyle w:val="16"/>
              <w:keepNext w:val="0"/>
              <w:keepLines w:val="0"/>
              <w:suppressLineNumbers w:val="0"/>
              <w:spacing w:before="0" w:beforeAutospacing="0" w:afterAutospacing="0"/>
              <w:ind w:right="0"/>
              <w:rPr>
                <w:rFonts w:hint="default"/>
                <w:color w:val="auto"/>
                <w:lang w:eastAsia="zh-CN"/>
              </w:rPr>
            </w:pPr>
          </w:p>
        </w:tc>
      </w:tr>
    </w:tbl>
    <w:p w14:paraId="30C4FDB3">
      <w:pPr>
        <w:spacing w:line="360" w:lineRule="auto"/>
        <w:outlineLvl w:val="0"/>
        <w:rPr>
          <w:rFonts w:eastAsia="黑体"/>
          <w:color w:val="auto"/>
          <w:sz w:val="30"/>
          <w:highlight w:val="none"/>
        </w:rPr>
        <w:sectPr>
          <w:footerReference r:id="rId4" w:type="default"/>
          <w:pgSz w:w="11906" w:h="16838"/>
          <w:pgMar w:top="1701" w:right="1531" w:bottom="1701" w:left="1531" w:header="851" w:footer="1077" w:gutter="0"/>
          <w:pgBorders>
            <w:top w:val="none" w:sz="0" w:space="0"/>
            <w:left w:val="none" w:sz="0" w:space="0"/>
            <w:bottom w:val="none" w:sz="0" w:space="0"/>
            <w:right w:val="none" w:sz="0" w:space="0"/>
          </w:pgBorders>
          <w:pgNumType w:fmt="decimal" w:start="1"/>
          <w:cols w:space="720" w:num="1"/>
          <w:docGrid w:linePitch="312" w:charSpace="0"/>
        </w:sectPr>
      </w:pPr>
    </w:p>
    <w:p w14:paraId="3DE130DC">
      <w:pPr>
        <w:pStyle w:val="18"/>
        <w:jc w:val="center"/>
        <w:outlineLvl w:val="0"/>
        <w:rPr>
          <w:rFonts w:cs="宋体"/>
          <w:b/>
          <w:bCs/>
          <w:snapToGrid w:val="0"/>
          <w:color w:val="auto"/>
          <w:sz w:val="30"/>
          <w:szCs w:val="30"/>
          <w:highlight w:val="none"/>
        </w:rPr>
      </w:pPr>
      <w:bookmarkStart w:id="9" w:name="_Toc12331"/>
      <w:r>
        <w:rPr>
          <w:rFonts w:hint="eastAsia" w:cs="宋体"/>
          <w:b/>
          <w:bCs/>
          <w:snapToGrid w:val="0"/>
          <w:color w:val="auto"/>
          <w:sz w:val="30"/>
          <w:szCs w:val="30"/>
          <w:highlight w:val="none"/>
        </w:rPr>
        <w:t>二、建设项目工程分析</w:t>
      </w:r>
      <w:bookmarkEnd w:id="9"/>
    </w:p>
    <w:tbl>
      <w:tblPr>
        <w:tblStyle w:val="26"/>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434"/>
        <w:gridCol w:w="8626"/>
      </w:tblGrid>
      <w:tr w14:paraId="1760010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34" w:type="dxa"/>
            <w:vAlign w:val="center"/>
          </w:tcPr>
          <w:p w14:paraId="18BD0A0B">
            <w:pPr>
              <w:pStyle w:val="18"/>
              <w:keepNext w:val="0"/>
              <w:keepLines w:val="0"/>
              <w:suppressLineNumbers w:val="0"/>
              <w:adjustRightInd w:val="0"/>
              <w:snapToGrid w:val="0"/>
              <w:spacing w:before="0" w:beforeAutospacing="0" w:after="0" w:afterAutospacing="0"/>
              <w:ind w:left="0" w:right="0"/>
              <w:jc w:val="center"/>
              <w:rPr>
                <w:rFonts w:hint="default" w:cs="宋体"/>
                <w:color w:val="auto"/>
                <w:sz w:val="21"/>
                <w:szCs w:val="21"/>
                <w:highlight w:val="none"/>
              </w:rPr>
            </w:pPr>
            <w:r>
              <w:rPr>
                <w:rFonts w:hint="eastAsia" w:cs="宋体"/>
                <w:b/>
                <w:bCs/>
                <w:color w:val="auto"/>
                <w:szCs w:val="24"/>
                <w:highlight w:val="none"/>
              </w:rPr>
              <w:t>建设内容</w:t>
            </w:r>
          </w:p>
        </w:tc>
        <w:tc>
          <w:tcPr>
            <w:tcW w:w="8626" w:type="dxa"/>
          </w:tcPr>
          <w:p w14:paraId="0402D081">
            <w:pPr>
              <w:keepNext w:val="0"/>
              <w:keepLines w:val="0"/>
              <w:suppressLineNumbers w:val="0"/>
              <w:spacing w:before="0" w:beforeAutospacing="0" w:after="0" w:afterAutospacing="0" w:line="360" w:lineRule="auto"/>
              <w:ind w:left="0" w:right="0" w:firstLine="482" w:firstLineChars="200"/>
              <w:rPr>
                <w:rFonts w:hint="default" w:ascii="Times New Roman" w:hAnsi="Times New Roman" w:eastAsia="宋体" w:cs="Times New Roman"/>
                <w:b/>
                <w:bCs/>
                <w:color w:val="auto"/>
                <w:sz w:val="24"/>
                <w:highlight w:val="none"/>
                <w:shd w:val="clear" w:color="auto" w:fill="auto"/>
                <w:lang w:val="en-US" w:eastAsia="zh-CN"/>
              </w:rPr>
            </w:pPr>
            <w:r>
              <w:rPr>
                <w:rFonts w:hint="eastAsia" w:ascii="Times New Roman" w:hAnsi="Times New Roman" w:eastAsia="宋体" w:cs="Times New Roman"/>
                <w:b/>
                <w:bCs/>
                <w:color w:val="auto"/>
                <w:sz w:val="24"/>
                <w:highlight w:val="none"/>
                <w:shd w:val="clear" w:color="auto" w:fill="auto"/>
                <w:lang w:val="en-US" w:eastAsia="zh-CN"/>
              </w:rPr>
              <w:t>1、项目概况</w:t>
            </w:r>
          </w:p>
          <w:p w14:paraId="04814082">
            <w:pPr>
              <w:keepNext w:val="0"/>
              <w:keepLines w:val="0"/>
              <w:suppressLineNumbers w:val="0"/>
              <w:spacing w:before="0" w:beforeAutospacing="0" w:after="0" w:afterAutospacing="0" w:line="360" w:lineRule="auto"/>
              <w:ind w:left="0" w:right="0" w:firstLine="480" w:firstLineChars="200"/>
              <w:rPr>
                <w:rFonts w:hint="eastAsia" w:cs="Times New Roman"/>
                <w:color w:val="auto"/>
                <w:sz w:val="24"/>
                <w:highlight w:val="none"/>
                <w:lang w:val="en-US" w:eastAsia="zh-CN"/>
              </w:rPr>
            </w:pPr>
            <w:r>
              <w:rPr>
                <w:rFonts w:hint="eastAsia" w:cs="Times New Roman"/>
                <w:color w:val="auto"/>
                <w:sz w:val="24"/>
                <w:highlight w:val="none"/>
                <w:lang w:val="en-US" w:eastAsia="zh-CN"/>
              </w:rPr>
              <w:t>江西红鲤鱼鞋业有限公司成立于2025年7月16日，注册地位于江西省景德镇市乐平市金山工业园区汽摩配小镇厂区A11（NKY-A1-04-11地块），经营范围包括：鞋制造，鞋帽批发，鞋帽零售，制鞋原辅材料销售，鞋和皮革修理等。本次投资2000万元建设年产</w:t>
            </w:r>
            <w:r>
              <w:rPr>
                <w:rFonts w:hint="default" w:ascii="Times New Roman" w:hAnsi="Times New Roman" w:eastAsia="宋体" w:cs="Times New Roman"/>
                <w:color w:val="auto"/>
                <w:sz w:val="24"/>
                <w:highlight w:val="none"/>
                <w:lang w:val="en-US" w:eastAsia="zh-CN"/>
              </w:rPr>
              <w:t>280万双休闲鞋项目</w:t>
            </w:r>
            <w:r>
              <w:rPr>
                <w:rFonts w:hint="eastAsia" w:cs="Times New Roman"/>
                <w:color w:val="auto"/>
                <w:sz w:val="24"/>
                <w:highlight w:val="none"/>
                <w:lang w:val="en-US" w:eastAsia="zh-CN"/>
              </w:rPr>
              <w:t>。目前本项目仍在筹备阶段，未进行建设，项目已取得</w:t>
            </w:r>
            <w:r>
              <w:rPr>
                <w:rFonts w:hint="default" w:ascii="Times New Roman" w:hAnsi="Times New Roman" w:cs="Times New Roman"/>
                <w:color w:val="auto"/>
                <w:sz w:val="24"/>
                <w:highlight w:val="none"/>
                <w:lang w:val="en-US" w:eastAsia="zh-CN"/>
              </w:rPr>
              <w:t>乐平市发展和改革委员会</w:t>
            </w:r>
            <w:r>
              <w:rPr>
                <w:rFonts w:hint="eastAsia" w:cs="Times New Roman"/>
                <w:color w:val="auto"/>
                <w:sz w:val="24"/>
                <w:highlight w:val="none"/>
                <w:lang w:val="en-US" w:eastAsia="zh-CN"/>
              </w:rPr>
              <w:t>的备案文件，项目备案号为</w:t>
            </w:r>
            <w:r>
              <w:rPr>
                <w:rFonts w:hint="default" w:ascii="Times New Roman" w:hAnsi="Times New Roman" w:eastAsia="宋体" w:cs="Times New Roman"/>
                <w:color w:val="auto"/>
                <w:sz w:val="24"/>
                <w:highlight w:val="none"/>
                <w:lang w:val="en-US" w:eastAsia="zh-CN"/>
              </w:rPr>
              <w:t>2512-360281-04-05-373532</w:t>
            </w:r>
            <w:r>
              <w:rPr>
                <w:rFonts w:hint="eastAsia" w:cs="Times New Roman"/>
                <w:color w:val="auto"/>
                <w:sz w:val="24"/>
                <w:highlight w:val="none"/>
                <w:lang w:val="en-US" w:eastAsia="zh-CN"/>
              </w:rPr>
              <w:t>。</w:t>
            </w:r>
          </w:p>
          <w:p w14:paraId="70D87CD6">
            <w:pPr>
              <w:keepNext w:val="0"/>
              <w:keepLines w:val="0"/>
              <w:suppressLineNumbers w:val="0"/>
              <w:spacing w:before="0" w:beforeAutospacing="0" w:after="0" w:afterAutospacing="0" w:line="360" w:lineRule="auto"/>
              <w:ind w:left="0" w:right="0" w:firstLine="480" w:firstLineChars="200"/>
              <w:rPr>
                <w:rFonts w:hint="default"/>
                <w:color w:val="auto"/>
                <w:sz w:val="24"/>
                <w:highlight w:val="none"/>
                <w:shd w:val="clear" w:color="auto" w:fill="auto"/>
              </w:rPr>
            </w:pPr>
            <w:r>
              <w:rPr>
                <w:rFonts w:hint="eastAsia"/>
                <w:color w:val="auto"/>
                <w:sz w:val="24"/>
                <w:highlight w:val="none"/>
                <w:shd w:val="clear" w:color="auto" w:fill="auto"/>
              </w:rPr>
              <w:t>根据《中华人民共和国环境保护法</w:t>
            </w:r>
            <w:r>
              <w:rPr>
                <w:rFonts w:hint="eastAsia"/>
                <w:color w:val="auto"/>
                <w:sz w:val="24"/>
                <w:highlight w:val="none"/>
                <w:shd w:val="clear" w:color="auto" w:fill="auto"/>
                <w:lang w:eastAsia="zh-CN"/>
              </w:rPr>
              <w:t>》《</w:t>
            </w:r>
            <w:r>
              <w:rPr>
                <w:rFonts w:hint="eastAsia"/>
                <w:color w:val="auto"/>
                <w:sz w:val="24"/>
                <w:highlight w:val="none"/>
                <w:shd w:val="clear" w:color="auto" w:fill="auto"/>
              </w:rPr>
              <w:t>中华人民共和国环境环境影响评价法》及《建设项目环境保护管理条例》等国家有关政策和规定，该项目需进行环境影响评价。依据《建设项目环境影响评价分类管理名录》（2021版），本项目属于</w:t>
            </w:r>
            <w:r>
              <w:rPr>
                <w:rFonts w:hint="eastAsia"/>
                <w:color w:val="auto"/>
                <w:sz w:val="24"/>
                <w:highlight w:val="none"/>
                <w:u w:val="single"/>
                <w:shd w:val="clear" w:color="auto" w:fill="auto"/>
              </w:rPr>
              <w:t>“十六、皮革、毛皮、羽毛及其制品和制鞋业 32 制鞋业 195”的“年用溶剂型胶粘剂10吨及以上的，或年用溶剂型处理剂3吨及以上的</w:t>
            </w:r>
            <w:r>
              <w:rPr>
                <w:rFonts w:hint="eastAsia"/>
                <w:color w:val="auto"/>
                <w:sz w:val="24"/>
                <w:highlight w:val="none"/>
                <w:shd w:val="clear" w:color="auto" w:fill="auto"/>
              </w:rPr>
              <w:t>”应编制环境影响报告表。特此，江西红鲤鱼鞋业有限公司委托我公司承担该项目的环境影响评价工作，接受委托后，我公司即组成编制小组，对项目拟建场址进行了实地勘查，在进行较充分的现场调查和资料收集的基础上，按照《建设项目环境影响报告表编制技术指南（污染影响类）》有关要求，编制完成了本项目环境影响报告表</w:t>
            </w:r>
            <w:r>
              <w:rPr>
                <w:rFonts w:hint="default"/>
                <w:color w:val="auto"/>
                <w:sz w:val="24"/>
                <w:highlight w:val="none"/>
                <w:shd w:val="clear" w:color="auto" w:fill="auto"/>
              </w:rPr>
              <w:t>，</w:t>
            </w:r>
            <w:r>
              <w:rPr>
                <w:rFonts w:hint="eastAsia"/>
                <w:color w:val="auto"/>
                <w:sz w:val="24"/>
                <w:highlight w:val="none"/>
                <w:shd w:val="clear" w:color="auto" w:fill="auto"/>
              </w:rPr>
              <w:t>供建设单位</w:t>
            </w:r>
            <w:r>
              <w:rPr>
                <w:rFonts w:hint="default"/>
                <w:color w:val="auto"/>
                <w:sz w:val="24"/>
                <w:highlight w:val="none"/>
                <w:shd w:val="clear" w:color="auto" w:fill="auto"/>
              </w:rPr>
              <w:t>提请有关部门审查。</w:t>
            </w:r>
          </w:p>
          <w:p w14:paraId="2240FA24">
            <w:pPr>
              <w:keepNext w:val="0"/>
              <w:keepLines w:val="0"/>
              <w:suppressLineNumbers w:val="0"/>
              <w:spacing w:before="0" w:beforeAutospacing="0" w:after="0" w:afterAutospacing="0" w:line="360" w:lineRule="auto"/>
              <w:ind w:left="0" w:right="0" w:firstLine="482" w:firstLineChars="200"/>
              <w:rPr>
                <w:rFonts w:hint="eastAsia" w:ascii="Times New Roman" w:hAnsi="Times New Roman" w:eastAsia="宋体" w:cs="Times New Roman"/>
                <w:b/>
                <w:bCs/>
                <w:color w:val="auto"/>
                <w:sz w:val="24"/>
                <w:highlight w:val="none"/>
                <w:shd w:val="clear" w:color="auto" w:fill="auto"/>
                <w:lang w:val="en-US" w:eastAsia="zh-CN"/>
              </w:rPr>
            </w:pPr>
            <w:r>
              <w:rPr>
                <w:rFonts w:hint="eastAsia" w:ascii="Times New Roman" w:hAnsi="Times New Roman" w:eastAsia="宋体" w:cs="Times New Roman"/>
                <w:b/>
                <w:bCs/>
                <w:color w:val="auto"/>
                <w:sz w:val="24"/>
                <w:highlight w:val="none"/>
                <w:shd w:val="clear" w:color="auto" w:fill="auto"/>
                <w:lang w:val="en-US" w:eastAsia="zh-CN"/>
              </w:rPr>
              <w:t>2、工程内容及规模</w:t>
            </w:r>
          </w:p>
          <w:p w14:paraId="50C9E21C">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shd w:val="clear" w:color="auto" w:fill="auto"/>
                <w:lang w:val="en-US" w:eastAsia="zh-CN"/>
              </w:rPr>
            </w:pPr>
            <w:r>
              <w:rPr>
                <w:rFonts w:hint="eastAsia" w:ascii="Times New Roman" w:hAnsi="Times New Roman" w:eastAsia="宋体" w:cs="Times New Roman"/>
                <w:color w:val="auto"/>
                <w:sz w:val="24"/>
                <w:highlight w:val="none"/>
                <w:shd w:val="clear" w:color="auto" w:fill="auto"/>
                <w:lang w:val="en-US" w:eastAsia="zh-CN"/>
              </w:rPr>
              <w:t>本项目租用乐平绿创物流有限公司现有</w:t>
            </w:r>
            <w:r>
              <w:rPr>
                <w:rFonts w:hint="eastAsia" w:cs="Times New Roman"/>
                <w:color w:val="auto"/>
                <w:sz w:val="24"/>
                <w:highlight w:val="none"/>
                <w:shd w:val="clear" w:color="auto" w:fill="auto"/>
                <w:lang w:val="en-US" w:eastAsia="zh-CN"/>
              </w:rPr>
              <w:t>1栋空置</w:t>
            </w:r>
            <w:r>
              <w:rPr>
                <w:rFonts w:hint="eastAsia" w:ascii="Times New Roman" w:hAnsi="Times New Roman" w:eastAsia="宋体" w:cs="Times New Roman"/>
                <w:color w:val="auto"/>
                <w:sz w:val="24"/>
                <w:highlight w:val="none"/>
                <w:shd w:val="clear" w:color="auto" w:fill="auto"/>
                <w:lang w:val="en-US" w:eastAsia="zh-CN"/>
              </w:rPr>
              <w:t>厂房，</w:t>
            </w:r>
            <w:r>
              <w:rPr>
                <w:rFonts w:hint="eastAsia" w:cs="Times New Roman"/>
                <w:color w:val="auto"/>
                <w:sz w:val="24"/>
                <w:highlight w:val="none"/>
                <w:shd w:val="clear" w:color="auto" w:fill="auto"/>
                <w:lang w:val="en-US" w:eastAsia="zh-CN"/>
              </w:rPr>
              <w:t>该厂房整体呈梯形，框架结构，厂</w:t>
            </w:r>
            <w:r>
              <w:rPr>
                <w:rFonts w:hint="eastAsia" w:ascii="Times New Roman" w:hAnsi="Times New Roman" w:eastAsia="宋体" w:cs="Times New Roman"/>
                <w:color w:val="auto"/>
                <w:sz w:val="24"/>
                <w:highlight w:val="none"/>
                <w:shd w:val="clear" w:color="auto" w:fill="auto"/>
                <w:lang w:val="en-US" w:eastAsia="zh-CN"/>
              </w:rPr>
              <w:t>房北侧</w:t>
            </w:r>
            <w:r>
              <w:rPr>
                <w:rFonts w:hint="eastAsia" w:cs="Times New Roman"/>
                <w:color w:val="auto"/>
                <w:sz w:val="24"/>
                <w:highlight w:val="none"/>
                <w:shd w:val="clear" w:color="auto" w:fill="auto"/>
                <w:lang w:val="en-US" w:eastAsia="zh-CN"/>
              </w:rPr>
              <w:t>为2F结构，其余均为1F结构。</w:t>
            </w:r>
            <w:r>
              <w:rPr>
                <w:rFonts w:hint="eastAsia" w:ascii="Times New Roman" w:hAnsi="Times New Roman" w:eastAsia="宋体" w:cs="Times New Roman"/>
                <w:color w:val="auto"/>
                <w:sz w:val="24"/>
                <w:highlight w:val="none"/>
                <w:shd w:val="clear" w:color="auto" w:fill="auto"/>
                <w:lang w:val="en-US" w:eastAsia="zh-CN"/>
              </w:rPr>
              <w:t>厂区占地面积36517.62m</w:t>
            </w:r>
            <w:r>
              <w:rPr>
                <w:rFonts w:hint="eastAsia" w:ascii="Times New Roman" w:hAnsi="Times New Roman" w:eastAsia="宋体" w:cs="Times New Roman"/>
                <w:color w:val="auto"/>
                <w:sz w:val="24"/>
                <w:highlight w:val="none"/>
                <w:shd w:val="clear" w:color="auto" w:fill="auto"/>
                <w:vertAlign w:val="superscript"/>
                <w:lang w:val="en-US" w:eastAsia="zh-CN"/>
              </w:rPr>
              <w:t>2</w:t>
            </w:r>
            <w:r>
              <w:rPr>
                <w:rFonts w:hint="eastAsia" w:ascii="Times New Roman" w:hAnsi="Times New Roman" w:eastAsia="宋体" w:cs="Times New Roman"/>
                <w:color w:val="auto"/>
                <w:sz w:val="24"/>
                <w:highlight w:val="none"/>
                <w:shd w:val="clear" w:color="auto" w:fill="auto"/>
                <w:lang w:val="en-US" w:eastAsia="zh-CN"/>
              </w:rPr>
              <w:t>，总建筑面积约为28524.47m</w:t>
            </w:r>
            <w:r>
              <w:rPr>
                <w:rFonts w:hint="eastAsia" w:ascii="Times New Roman" w:hAnsi="Times New Roman" w:eastAsia="宋体" w:cs="Times New Roman"/>
                <w:color w:val="auto"/>
                <w:sz w:val="24"/>
                <w:highlight w:val="none"/>
                <w:shd w:val="clear" w:color="auto" w:fill="auto"/>
                <w:vertAlign w:val="superscript"/>
                <w:lang w:val="en-US" w:eastAsia="zh-CN"/>
              </w:rPr>
              <w:t>2</w:t>
            </w:r>
            <w:r>
              <w:rPr>
                <w:rFonts w:hint="eastAsia" w:ascii="Times New Roman" w:hAnsi="Times New Roman" w:eastAsia="宋体" w:cs="Times New Roman"/>
                <w:color w:val="auto"/>
                <w:sz w:val="24"/>
                <w:highlight w:val="none"/>
                <w:shd w:val="clear" w:color="auto" w:fill="auto"/>
                <w:lang w:val="en-US" w:eastAsia="zh-CN"/>
              </w:rPr>
              <w:t>，主要建设内容为</w:t>
            </w:r>
            <w:r>
              <w:rPr>
                <w:rFonts w:hint="eastAsia" w:cs="Times New Roman"/>
                <w:color w:val="auto"/>
                <w:sz w:val="24"/>
                <w:highlight w:val="none"/>
                <w:shd w:val="clear" w:color="auto" w:fill="auto"/>
                <w:lang w:val="en-US" w:eastAsia="zh-CN"/>
              </w:rPr>
              <w:t>生产区</w:t>
            </w:r>
            <w:r>
              <w:rPr>
                <w:rFonts w:hint="eastAsia" w:ascii="Times New Roman" w:hAnsi="Times New Roman" w:eastAsia="宋体" w:cs="Times New Roman"/>
                <w:color w:val="auto"/>
                <w:sz w:val="24"/>
                <w:highlight w:val="none"/>
                <w:shd w:val="clear" w:color="auto" w:fill="auto"/>
                <w:lang w:val="en-US" w:eastAsia="zh-CN"/>
              </w:rPr>
              <w:t>、</w:t>
            </w:r>
            <w:r>
              <w:rPr>
                <w:rFonts w:hint="eastAsia" w:cs="Times New Roman"/>
                <w:color w:val="auto"/>
                <w:sz w:val="24"/>
                <w:highlight w:val="none"/>
                <w:shd w:val="clear" w:color="auto" w:fill="auto"/>
                <w:lang w:val="en-US" w:eastAsia="zh-CN"/>
              </w:rPr>
              <w:t>办公区、</w:t>
            </w:r>
            <w:r>
              <w:rPr>
                <w:rFonts w:hint="eastAsia" w:ascii="Times New Roman" w:hAnsi="Times New Roman" w:eastAsia="宋体" w:cs="Times New Roman"/>
                <w:color w:val="auto"/>
                <w:sz w:val="24"/>
                <w:highlight w:val="none"/>
                <w:shd w:val="clear" w:color="auto" w:fill="auto"/>
                <w:lang w:val="en-US" w:eastAsia="zh-CN"/>
              </w:rPr>
              <w:t>原材料堆放区、半成品暂存区、成品堆放区等及配套环保设施，建设项目组成详情见表2-1所示。</w:t>
            </w:r>
          </w:p>
          <w:p w14:paraId="39FB0480">
            <w:pPr>
              <w:pStyle w:val="88"/>
              <w:keepNext w:val="0"/>
              <w:keepLines w:val="0"/>
              <w:numPr>
                <w:ilvl w:val="5"/>
                <w:numId w:val="0"/>
              </w:numPr>
              <w:suppressLineNumbers w:val="0"/>
              <w:spacing w:before="0" w:beforeAutospacing="0" w:after="0" w:afterAutospacing="0"/>
              <w:ind w:left="0" w:leftChars="0" w:right="0"/>
              <w:jc w:val="center"/>
              <w:rPr>
                <w:rFonts w:hint="default" w:ascii="Times New Roman" w:hAnsi="Times New Roman"/>
                <w:color w:val="auto"/>
                <w:highlight w:val="none"/>
                <w:lang w:val="en-US" w:eastAsia="zh-CN"/>
              </w:rPr>
            </w:pPr>
            <w:r>
              <w:rPr>
                <w:rFonts w:hint="eastAsia" w:ascii="Times New Roman" w:hAnsi="Times New Roman" w:eastAsia="宋体" w:cs="Times New Roman"/>
                <w:b/>
                <w:color w:val="auto"/>
                <w:kern w:val="2"/>
                <w:sz w:val="21"/>
                <w:szCs w:val="21"/>
                <w:highlight w:val="none"/>
                <w:lang w:val="en-US" w:eastAsia="zh-CN" w:bidi="ar-SA"/>
              </w:rPr>
              <w:t xml:space="preserve">表2-1 </w:t>
            </w:r>
            <w:r>
              <w:rPr>
                <w:rFonts w:hint="default" w:ascii="Times New Roman" w:hAnsi="Times New Roman" w:eastAsia="宋体" w:cs="Times New Roman"/>
                <w:b/>
                <w:color w:val="auto"/>
                <w:kern w:val="2"/>
                <w:sz w:val="21"/>
                <w:szCs w:val="21"/>
                <w:highlight w:val="none"/>
                <w:lang w:val="en-US" w:eastAsia="zh-CN" w:bidi="ar-SA"/>
              </w:rPr>
              <w:t>项目建设内容一览表</w:t>
            </w:r>
          </w:p>
          <w:tbl>
            <w:tblPr>
              <w:tblStyle w:val="26"/>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30"/>
              <w:gridCol w:w="707"/>
              <w:gridCol w:w="426"/>
              <w:gridCol w:w="813"/>
              <w:gridCol w:w="4060"/>
              <w:gridCol w:w="1274"/>
            </w:tblGrid>
            <w:tr w14:paraId="3AB9897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71" w:type="pct"/>
                  <w:tcBorders>
                    <w:bottom w:val="single" w:color="auto" w:sz="12" w:space="0"/>
                  </w:tcBorders>
                  <w:noWrap w:val="0"/>
                  <w:vAlign w:val="center"/>
                </w:tcPr>
                <w:p w14:paraId="32A27DC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宋体" w:cs="宋体"/>
                      <w:b/>
                      <w:bCs/>
                      <w:color w:val="auto"/>
                      <w:sz w:val="21"/>
                      <w:szCs w:val="21"/>
                      <w:highlight w:val="none"/>
                      <w:lang w:val="zh-CN" w:eastAsia="zh-CN"/>
                    </w:rPr>
                  </w:pPr>
                  <w:r>
                    <w:rPr>
                      <w:rFonts w:hint="eastAsia" w:ascii="Times New Roman" w:hAnsi="Times New Roman" w:eastAsia="宋体" w:cs="宋体"/>
                      <w:b/>
                      <w:bCs/>
                      <w:color w:val="auto"/>
                      <w:sz w:val="21"/>
                      <w:szCs w:val="21"/>
                      <w:highlight w:val="none"/>
                      <w:lang w:val="zh-CN" w:eastAsia="zh-CN"/>
                    </w:rPr>
                    <w:t>类别</w:t>
                  </w:r>
                </w:p>
              </w:tc>
              <w:tc>
                <w:tcPr>
                  <w:tcW w:w="1156" w:type="pct"/>
                  <w:gridSpan w:val="3"/>
                  <w:tcBorders>
                    <w:bottom w:val="single" w:color="auto" w:sz="12" w:space="0"/>
                  </w:tcBorders>
                  <w:noWrap w:val="0"/>
                  <w:vAlign w:val="center"/>
                </w:tcPr>
                <w:p w14:paraId="1289018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宋体" w:cs="宋体"/>
                      <w:b/>
                      <w:bCs/>
                      <w:color w:val="auto"/>
                      <w:sz w:val="21"/>
                      <w:szCs w:val="21"/>
                      <w:highlight w:val="none"/>
                      <w:lang w:val="zh-CN" w:eastAsia="zh-CN"/>
                    </w:rPr>
                  </w:pPr>
                  <w:r>
                    <w:rPr>
                      <w:rFonts w:hint="eastAsia" w:ascii="Times New Roman" w:hAnsi="Times New Roman" w:eastAsia="宋体" w:cs="宋体"/>
                      <w:b/>
                      <w:bCs/>
                      <w:color w:val="auto"/>
                      <w:sz w:val="21"/>
                      <w:szCs w:val="21"/>
                      <w:highlight w:val="none"/>
                      <w:lang w:val="zh-CN" w:eastAsia="zh-CN"/>
                    </w:rPr>
                    <w:t>建设名称</w:t>
                  </w:r>
                </w:p>
              </w:tc>
              <w:tc>
                <w:tcPr>
                  <w:tcW w:w="2413" w:type="pct"/>
                  <w:tcBorders>
                    <w:bottom w:val="single" w:color="auto" w:sz="12" w:space="0"/>
                  </w:tcBorders>
                  <w:noWrap w:val="0"/>
                  <w:vAlign w:val="center"/>
                </w:tcPr>
                <w:p w14:paraId="46DC033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宋体" w:cs="宋体"/>
                      <w:b/>
                      <w:bCs/>
                      <w:color w:val="auto"/>
                      <w:sz w:val="21"/>
                      <w:szCs w:val="21"/>
                      <w:highlight w:val="none"/>
                      <w:lang w:val="zh-CN" w:eastAsia="zh-CN"/>
                    </w:rPr>
                  </w:pPr>
                  <w:r>
                    <w:rPr>
                      <w:rFonts w:hint="eastAsia" w:ascii="Times New Roman" w:hAnsi="Times New Roman" w:eastAsia="宋体" w:cs="宋体"/>
                      <w:b/>
                      <w:bCs/>
                      <w:color w:val="auto"/>
                      <w:sz w:val="21"/>
                      <w:szCs w:val="21"/>
                      <w:highlight w:val="none"/>
                      <w:lang w:val="zh-CN" w:eastAsia="zh-CN"/>
                    </w:rPr>
                    <w:t>工程内容</w:t>
                  </w:r>
                </w:p>
              </w:tc>
              <w:tc>
                <w:tcPr>
                  <w:tcW w:w="757" w:type="pct"/>
                  <w:tcBorders>
                    <w:bottom w:val="single" w:color="auto" w:sz="12" w:space="0"/>
                  </w:tcBorders>
                  <w:noWrap w:val="0"/>
                  <w:vAlign w:val="center"/>
                </w:tcPr>
                <w:p w14:paraId="272BA4A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宋体" w:cs="宋体"/>
                      <w:b/>
                      <w:bCs/>
                      <w:color w:val="auto"/>
                      <w:sz w:val="21"/>
                      <w:szCs w:val="21"/>
                      <w:highlight w:val="none"/>
                      <w:lang w:val="en-US" w:eastAsia="zh-CN"/>
                    </w:rPr>
                  </w:pPr>
                  <w:r>
                    <w:rPr>
                      <w:rFonts w:hint="eastAsia" w:ascii="Times New Roman" w:hAnsi="Times New Roman" w:eastAsia="宋体" w:cs="宋体"/>
                      <w:b/>
                      <w:bCs/>
                      <w:color w:val="auto"/>
                      <w:sz w:val="21"/>
                      <w:szCs w:val="21"/>
                      <w:highlight w:val="none"/>
                      <w:lang w:val="en-US" w:eastAsia="zh-CN"/>
                    </w:rPr>
                    <w:t>备注</w:t>
                  </w:r>
                </w:p>
              </w:tc>
            </w:tr>
            <w:tr w14:paraId="5C7EC7A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029" w:hRule="atLeast"/>
                <w:jc w:val="center"/>
              </w:trPr>
              <w:tc>
                <w:tcPr>
                  <w:tcW w:w="671" w:type="pct"/>
                  <w:tcBorders>
                    <w:top w:val="single" w:color="auto" w:sz="12" w:space="0"/>
                    <w:tl2br w:val="nil"/>
                    <w:tr2bl w:val="nil"/>
                  </w:tcBorders>
                  <w:noWrap w:val="0"/>
                  <w:vAlign w:val="center"/>
                </w:tcPr>
                <w:p w14:paraId="19C6D3A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宋体" w:cs="宋体"/>
                      <w:color w:val="auto"/>
                      <w:sz w:val="21"/>
                      <w:szCs w:val="21"/>
                      <w:highlight w:val="none"/>
                      <w:lang w:val="zh-CN" w:eastAsia="zh-CN"/>
                    </w:rPr>
                  </w:pPr>
                  <w:r>
                    <w:rPr>
                      <w:rFonts w:hint="eastAsia" w:ascii="Times New Roman" w:hAnsi="Times New Roman" w:eastAsia="宋体" w:cs="宋体"/>
                      <w:color w:val="auto"/>
                      <w:sz w:val="21"/>
                      <w:szCs w:val="21"/>
                      <w:highlight w:val="none"/>
                      <w:lang w:val="zh-CN" w:eastAsia="zh-CN"/>
                    </w:rPr>
                    <w:t>主体工程</w:t>
                  </w:r>
                </w:p>
              </w:tc>
              <w:tc>
                <w:tcPr>
                  <w:tcW w:w="1156" w:type="pct"/>
                  <w:gridSpan w:val="3"/>
                  <w:tcBorders>
                    <w:top w:val="single" w:color="auto" w:sz="12" w:space="0"/>
                    <w:tl2br w:val="nil"/>
                    <w:tr2bl w:val="nil"/>
                  </w:tcBorders>
                  <w:noWrap w:val="0"/>
                  <w:vAlign w:val="center"/>
                </w:tcPr>
                <w:p w14:paraId="50CD49E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宋体"/>
                      <w:color w:val="auto"/>
                      <w:sz w:val="21"/>
                      <w:szCs w:val="21"/>
                      <w:highlight w:val="none"/>
                      <w:lang w:val="en-US" w:eastAsia="zh-CN"/>
                    </w:rPr>
                  </w:pPr>
                  <w:r>
                    <w:rPr>
                      <w:rFonts w:hint="eastAsia" w:eastAsia="宋体" w:cs="宋体"/>
                      <w:color w:val="auto"/>
                      <w:sz w:val="21"/>
                      <w:szCs w:val="21"/>
                      <w:highlight w:val="none"/>
                      <w:lang w:val="en-US" w:eastAsia="zh-CN"/>
                    </w:rPr>
                    <w:t>生产区</w:t>
                  </w:r>
                </w:p>
              </w:tc>
              <w:tc>
                <w:tcPr>
                  <w:tcW w:w="2413" w:type="pct"/>
                  <w:tcBorders>
                    <w:top w:val="single" w:color="auto" w:sz="12" w:space="0"/>
                    <w:tl2br w:val="nil"/>
                    <w:tr2bl w:val="nil"/>
                  </w:tcBorders>
                  <w:noWrap w:val="0"/>
                  <w:vAlign w:val="center"/>
                </w:tcPr>
                <w:p w14:paraId="09F8FAAA">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both"/>
                    <w:textAlignment w:val="auto"/>
                    <w:rPr>
                      <w:rFonts w:hint="default" w:ascii="Times New Roman" w:hAnsi="Times New Roman" w:eastAsia="宋体" w:cs="宋体"/>
                      <w:color w:val="auto"/>
                      <w:sz w:val="21"/>
                      <w:szCs w:val="21"/>
                      <w:highlight w:val="none"/>
                      <w:lang w:val="en-US" w:eastAsia="zh-CN"/>
                    </w:rPr>
                  </w:pPr>
                  <w:r>
                    <w:rPr>
                      <w:rFonts w:hint="eastAsia" w:cs="宋体"/>
                      <w:color w:val="auto"/>
                      <w:sz w:val="21"/>
                      <w:szCs w:val="21"/>
                      <w:highlight w:val="none"/>
                      <w:lang w:val="en-US" w:eastAsia="zh-CN"/>
                    </w:rPr>
                    <w:t>位于厂房</w:t>
                  </w:r>
                  <w:r>
                    <w:rPr>
                      <w:rFonts w:hint="default" w:ascii="Times New Roman" w:hAnsi="Times New Roman" w:eastAsia="宋体" w:cs="宋体"/>
                      <w:color w:val="auto"/>
                      <w:sz w:val="21"/>
                      <w:szCs w:val="21"/>
                      <w:highlight w:val="none"/>
                      <w:lang w:val="en-US" w:eastAsia="zh-CN"/>
                    </w:rPr>
                    <w:t>一层</w:t>
                  </w:r>
                  <w:r>
                    <w:rPr>
                      <w:rFonts w:hint="eastAsia"/>
                      <w:color w:val="auto"/>
                      <w:lang w:eastAsia="zh-CN"/>
                    </w:rPr>
                    <w:t>，</w:t>
                  </w:r>
                  <w:r>
                    <w:rPr>
                      <w:rFonts w:hint="default" w:ascii="Times New Roman" w:hAnsi="Times New Roman" w:eastAsia="宋体" w:cs="宋体"/>
                      <w:color w:val="auto"/>
                      <w:sz w:val="21"/>
                      <w:szCs w:val="21"/>
                      <w:highlight w:val="none"/>
                      <w:lang w:val="en-US" w:eastAsia="zh-CN"/>
                    </w:rPr>
                    <w:t>建筑面积约</w:t>
                  </w:r>
                  <w:r>
                    <w:rPr>
                      <w:rFonts w:hint="eastAsia" w:cs="宋体"/>
                      <w:color w:val="auto"/>
                      <w:sz w:val="21"/>
                      <w:szCs w:val="21"/>
                      <w:highlight w:val="none"/>
                      <w:lang w:val="en-US" w:eastAsia="zh-CN"/>
                    </w:rPr>
                    <w:t>150</w:t>
                  </w:r>
                  <w:r>
                    <w:rPr>
                      <w:rFonts w:hint="default" w:ascii="Times New Roman" w:hAnsi="Times New Roman" w:eastAsia="宋体" w:cs="宋体"/>
                      <w:color w:val="auto"/>
                      <w:sz w:val="21"/>
                      <w:szCs w:val="21"/>
                      <w:highlight w:val="none"/>
                      <w:lang w:val="en-US" w:eastAsia="zh-CN"/>
                    </w:rPr>
                    <w:t>00m</w:t>
                  </w:r>
                  <w:r>
                    <w:rPr>
                      <w:rFonts w:hint="default" w:ascii="Times New Roman" w:hAnsi="Times New Roman" w:eastAsia="宋体" w:cs="宋体"/>
                      <w:color w:val="auto"/>
                      <w:sz w:val="21"/>
                      <w:szCs w:val="21"/>
                      <w:highlight w:val="none"/>
                      <w:vertAlign w:val="superscript"/>
                      <w:lang w:val="en-US" w:eastAsia="zh-CN"/>
                    </w:rPr>
                    <w:t>2</w:t>
                  </w:r>
                  <w:r>
                    <w:rPr>
                      <w:rFonts w:hint="default" w:ascii="Times New Roman" w:hAnsi="Times New Roman" w:eastAsia="宋体" w:cs="宋体"/>
                      <w:color w:val="auto"/>
                      <w:sz w:val="21"/>
                      <w:szCs w:val="21"/>
                      <w:highlight w:val="none"/>
                      <w:lang w:val="en-US" w:eastAsia="zh-CN"/>
                    </w:rPr>
                    <w:t>，主要用于放置3条休闲鞋生产线（皮鞋、高跟鞋、注塑鞋各1条）</w:t>
                  </w:r>
                  <w:r>
                    <w:rPr>
                      <w:rFonts w:hint="eastAsia" w:cs="宋体"/>
                      <w:color w:val="auto"/>
                      <w:sz w:val="21"/>
                      <w:szCs w:val="21"/>
                      <w:highlight w:val="none"/>
                      <w:lang w:val="en-US" w:eastAsia="zh-CN"/>
                    </w:rPr>
                    <w:t>（</w:t>
                  </w:r>
                  <w:r>
                    <w:rPr>
                      <w:rFonts w:hint="default" w:ascii="Times New Roman" w:hAnsi="Times New Roman" w:eastAsia="宋体" w:cs="宋体"/>
                      <w:color w:val="auto"/>
                      <w:sz w:val="21"/>
                      <w:szCs w:val="21"/>
                      <w:highlight w:val="none"/>
                      <w:lang w:val="en-US" w:eastAsia="zh-CN"/>
                    </w:rPr>
                    <w:t>3条休闲鞋生产线</w:t>
                  </w:r>
                  <w:r>
                    <w:rPr>
                      <w:rFonts w:hint="eastAsia" w:cs="宋体"/>
                      <w:color w:val="auto"/>
                      <w:sz w:val="21"/>
                      <w:szCs w:val="21"/>
                      <w:highlight w:val="none"/>
                      <w:lang w:val="en-US" w:eastAsia="zh-CN"/>
                    </w:rPr>
                    <w:t>布置形式均为长方形，70m×25m，1750m</w:t>
                  </w:r>
                  <w:r>
                    <w:rPr>
                      <w:rFonts w:hint="eastAsia" w:cs="宋体"/>
                      <w:color w:val="auto"/>
                      <w:sz w:val="21"/>
                      <w:szCs w:val="21"/>
                      <w:highlight w:val="none"/>
                      <w:vertAlign w:val="superscript"/>
                      <w:lang w:val="en-US" w:eastAsia="zh-CN"/>
                    </w:rPr>
                    <w:t>3</w:t>
                  </w:r>
                  <w:r>
                    <w:rPr>
                      <w:rFonts w:hint="eastAsia" w:cs="宋体"/>
                      <w:color w:val="auto"/>
                      <w:sz w:val="21"/>
                      <w:szCs w:val="21"/>
                      <w:highlight w:val="none"/>
                      <w:lang w:val="en-US" w:eastAsia="zh-CN"/>
                    </w:rPr>
                    <w:t>），另</w:t>
                  </w:r>
                  <w:r>
                    <w:rPr>
                      <w:rFonts w:hint="default" w:ascii="Times New Roman" w:hAnsi="Times New Roman" w:eastAsia="宋体" w:cs="宋体"/>
                      <w:color w:val="auto"/>
                      <w:sz w:val="21"/>
                      <w:szCs w:val="21"/>
                      <w:highlight w:val="none"/>
                      <w:lang w:val="en-US" w:eastAsia="zh-CN"/>
                    </w:rPr>
                    <w:t>设置</w:t>
                  </w:r>
                  <w:r>
                    <w:rPr>
                      <w:rFonts w:hint="eastAsia" w:cs="宋体"/>
                      <w:color w:val="auto"/>
                      <w:sz w:val="21"/>
                      <w:szCs w:val="21"/>
                      <w:highlight w:val="none"/>
                      <w:lang w:val="en-US" w:eastAsia="zh-CN"/>
                    </w:rPr>
                    <w:t>裁断</w:t>
                  </w:r>
                  <w:r>
                    <w:rPr>
                      <w:rFonts w:hint="default" w:ascii="Times New Roman" w:hAnsi="Times New Roman" w:eastAsia="宋体" w:cs="宋体"/>
                      <w:color w:val="auto"/>
                      <w:sz w:val="21"/>
                      <w:szCs w:val="21"/>
                      <w:highlight w:val="none"/>
                      <w:lang w:val="en-US" w:eastAsia="zh-CN"/>
                    </w:rPr>
                    <w:t>区</w:t>
                  </w:r>
                  <w:r>
                    <w:rPr>
                      <w:rFonts w:hint="eastAsia" w:cs="宋体"/>
                      <w:color w:val="auto"/>
                      <w:sz w:val="21"/>
                      <w:szCs w:val="21"/>
                      <w:highlight w:val="none"/>
                      <w:lang w:val="en-US" w:eastAsia="zh-CN"/>
                    </w:rPr>
                    <w:t>（布置形式为长方形，40m×25m，1000m</w:t>
                  </w:r>
                  <w:r>
                    <w:rPr>
                      <w:rFonts w:hint="eastAsia" w:cs="宋体"/>
                      <w:color w:val="auto"/>
                      <w:sz w:val="21"/>
                      <w:szCs w:val="21"/>
                      <w:highlight w:val="none"/>
                      <w:vertAlign w:val="superscript"/>
                      <w:lang w:val="en-US" w:eastAsia="zh-CN"/>
                    </w:rPr>
                    <w:t>3</w:t>
                  </w:r>
                  <w:r>
                    <w:rPr>
                      <w:rFonts w:hint="eastAsia" w:cs="宋体"/>
                      <w:color w:val="auto"/>
                      <w:sz w:val="21"/>
                      <w:szCs w:val="21"/>
                      <w:highlight w:val="none"/>
                      <w:lang w:val="en-US" w:eastAsia="zh-CN"/>
                    </w:rPr>
                    <w:t>）、1条注塑鞋底制造线（布置形式为长方形，100m×10m，1000m</w:t>
                  </w:r>
                  <w:r>
                    <w:rPr>
                      <w:rFonts w:hint="eastAsia" w:cs="宋体"/>
                      <w:color w:val="auto"/>
                      <w:sz w:val="21"/>
                      <w:szCs w:val="21"/>
                      <w:highlight w:val="none"/>
                      <w:vertAlign w:val="superscript"/>
                      <w:lang w:val="en-US" w:eastAsia="zh-CN"/>
                    </w:rPr>
                    <w:t>3</w:t>
                  </w:r>
                  <w:r>
                    <w:rPr>
                      <w:rFonts w:hint="eastAsia" w:cs="宋体"/>
                      <w:color w:val="auto"/>
                      <w:sz w:val="21"/>
                      <w:szCs w:val="21"/>
                      <w:highlight w:val="none"/>
                      <w:lang w:val="en-US" w:eastAsia="zh-CN"/>
                    </w:rPr>
                    <w:t>）、1条鞋垫制造线（布置形式为长方形，20m×25m，500m</w:t>
                  </w:r>
                  <w:r>
                    <w:rPr>
                      <w:rFonts w:hint="eastAsia" w:cs="宋体"/>
                      <w:color w:val="auto"/>
                      <w:sz w:val="21"/>
                      <w:szCs w:val="21"/>
                      <w:highlight w:val="none"/>
                      <w:vertAlign w:val="superscript"/>
                      <w:lang w:val="en-US" w:eastAsia="zh-CN"/>
                    </w:rPr>
                    <w:t>3</w:t>
                  </w:r>
                  <w:r>
                    <w:rPr>
                      <w:rFonts w:hint="eastAsia" w:cs="宋体"/>
                      <w:color w:val="auto"/>
                      <w:sz w:val="21"/>
                      <w:szCs w:val="21"/>
                      <w:highlight w:val="none"/>
                      <w:lang w:val="en-US" w:eastAsia="zh-CN"/>
                    </w:rPr>
                    <w:t>）、丝网印花区（布置形式为三角形，尺寸为20m×20m，200m</w:t>
                  </w:r>
                  <w:r>
                    <w:rPr>
                      <w:rFonts w:hint="eastAsia" w:cs="宋体"/>
                      <w:color w:val="auto"/>
                      <w:sz w:val="21"/>
                      <w:szCs w:val="21"/>
                      <w:highlight w:val="none"/>
                      <w:vertAlign w:val="superscript"/>
                      <w:lang w:val="en-US" w:eastAsia="zh-CN"/>
                    </w:rPr>
                    <w:t>3</w:t>
                  </w:r>
                  <w:r>
                    <w:rPr>
                      <w:rFonts w:hint="eastAsia" w:cs="宋体"/>
                      <w:color w:val="auto"/>
                      <w:sz w:val="21"/>
                      <w:szCs w:val="21"/>
                      <w:highlight w:val="none"/>
                      <w:lang w:val="en-US" w:eastAsia="zh-CN"/>
                    </w:rPr>
                    <w:t>）</w:t>
                  </w:r>
                  <w:r>
                    <w:rPr>
                      <w:rFonts w:hint="default" w:ascii="Times New Roman" w:hAnsi="Times New Roman" w:eastAsia="宋体" w:cs="宋体"/>
                      <w:color w:val="auto"/>
                      <w:sz w:val="21"/>
                      <w:szCs w:val="21"/>
                      <w:highlight w:val="none"/>
                      <w:lang w:val="en-US" w:eastAsia="zh-CN"/>
                    </w:rPr>
                    <w:t>等</w:t>
                  </w:r>
                  <w:r>
                    <w:rPr>
                      <w:rFonts w:hint="eastAsia" w:cs="宋体"/>
                      <w:color w:val="auto"/>
                      <w:sz w:val="21"/>
                      <w:szCs w:val="21"/>
                      <w:highlight w:val="none"/>
                      <w:lang w:val="en-US" w:eastAsia="zh-CN"/>
                    </w:rPr>
                    <w:t>。</w:t>
                  </w:r>
                </w:p>
              </w:tc>
              <w:tc>
                <w:tcPr>
                  <w:tcW w:w="757" w:type="pct"/>
                  <w:tcBorders>
                    <w:top w:val="single" w:color="auto" w:sz="12" w:space="0"/>
                    <w:tl2br w:val="nil"/>
                    <w:tr2bl w:val="nil"/>
                  </w:tcBorders>
                  <w:noWrap w:val="0"/>
                  <w:vAlign w:val="center"/>
                </w:tcPr>
                <w:p w14:paraId="090EB56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宋体"/>
                      <w:color w:val="auto"/>
                      <w:sz w:val="21"/>
                      <w:szCs w:val="21"/>
                      <w:highlight w:val="none"/>
                      <w:lang w:val="en-US" w:eastAsia="zh-CN"/>
                    </w:rPr>
                  </w:pPr>
                  <w:r>
                    <w:rPr>
                      <w:rFonts w:hint="eastAsia" w:cs="宋体"/>
                      <w:color w:val="auto"/>
                      <w:sz w:val="21"/>
                      <w:szCs w:val="21"/>
                      <w:highlight w:val="none"/>
                      <w:lang w:val="en-US" w:eastAsia="zh-CN"/>
                    </w:rPr>
                    <w:t>租赁厂房进行设备安装</w:t>
                  </w:r>
                </w:p>
              </w:tc>
            </w:tr>
            <w:tr w14:paraId="7A32F8A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71" w:type="pct"/>
                  <w:vMerge w:val="restart"/>
                  <w:tcBorders>
                    <w:tl2br w:val="nil"/>
                    <w:tr2bl w:val="nil"/>
                  </w:tcBorders>
                  <w:noWrap w:val="0"/>
                  <w:vAlign w:val="center"/>
                </w:tcPr>
                <w:p w14:paraId="51A9AFD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宋体" w:cs="宋体"/>
                      <w:color w:val="auto"/>
                      <w:sz w:val="21"/>
                      <w:szCs w:val="21"/>
                      <w:highlight w:val="none"/>
                      <w:lang w:val="zh-CN" w:eastAsia="zh-CN"/>
                    </w:rPr>
                  </w:pPr>
                  <w:r>
                    <w:rPr>
                      <w:rFonts w:hint="eastAsia" w:ascii="Times New Roman" w:hAnsi="Times New Roman" w:eastAsia="宋体" w:cs="宋体"/>
                      <w:color w:val="auto"/>
                      <w:sz w:val="21"/>
                      <w:szCs w:val="21"/>
                      <w:highlight w:val="none"/>
                      <w:lang w:val="zh-CN" w:eastAsia="zh-CN"/>
                    </w:rPr>
                    <w:t>辅助工程</w:t>
                  </w:r>
                </w:p>
              </w:tc>
              <w:tc>
                <w:tcPr>
                  <w:tcW w:w="1156" w:type="pct"/>
                  <w:gridSpan w:val="3"/>
                  <w:tcBorders>
                    <w:tl2br w:val="nil"/>
                    <w:tr2bl w:val="nil"/>
                  </w:tcBorders>
                  <w:noWrap w:val="0"/>
                  <w:vAlign w:val="center"/>
                </w:tcPr>
                <w:p w14:paraId="54546CB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eastAsia="宋体" w:cs="宋体"/>
                      <w:color w:val="auto"/>
                      <w:sz w:val="21"/>
                      <w:szCs w:val="21"/>
                      <w:highlight w:val="none"/>
                      <w:lang w:val="en-US" w:eastAsia="zh-CN"/>
                    </w:rPr>
                  </w:pPr>
                  <w:r>
                    <w:rPr>
                      <w:rFonts w:hint="eastAsia" w:eastAsia="宋体" w:cs="宋体"/>
                      <w:color w:val="auto"/>
                      <w:sz w:val="21"/>
                      <w:szCs w:val="21"/>
                      <w:highlight w:val="none"/>
                      <w:lang w:val="en-US" w:eastAsia="zh-CN"/>
                    </w:rPr>
                    <w:t>办公区</w:t>
                  </w:r>
                </w:p>
              </w:tc>
              <w:tc>
                <w:tcPr>
                  <w:tcW w:w="2413" w:type="pct"/>
                  <w:tcBorders>
                    <w:tl2br w:val="nil"/>
                    <w:tr2bl w:val="nil"/>
                  </w:tcBorders>
                  <w:noWrap w:val="0"/>
                  <w:vAlign w:val="center"/>
                </w:tcPr>
                <w:p w14:paraId="31F1E0F4">
                  <w:pPr>
                    <w:pStyle w:val="37"/>
                    <w:keepNext w:val="0"/>
                    <w:keepLines w:val="0"/>
                    <w:pageBreakBefore w:val="0"/>
                    <w:widowControl w:val="0"/>
                    <w:suppressLineNumbers w:val="0"/>
                    <w:kinsoku/>
                    <w:wordWrap/>
                    <w:overflowPunct/>
                    <w:topLinePunct w:val="0"/>
                    <w:bidi w:val="0"/>
                    <w:adjustRightInd w:val="0"/>
                    <w:snapToGrid w:val="0"/>
                    <w:spacing w:before="0" w:beforeAutospacing="0" w:after="0" w:afterAutospacing="0" w:line="240" w:lineRule="auto"/>
                    <w:ind w:left="0" w:right="0"/>
                    <w:jc w:val="both"/>
                    <w:textAlignment w:val="auto"/>
                    <w:rPr>
                      <w:rFonts w:hint="default" w:ascii="Times New Roman" w:hAnsi="Times New Roman" w:eastAsia="宋体" w:cs="宋体"/>
                      <w:color w:val="auto"/>
                      <w:sz w:val="21"/>
                      <w:szCs w:val="21"/>
                      <w:highlight w:val="none"/>
                      <w:lang w:val="en-US" w:eastAsia="zh-CN"/>
                    </w:rPr>
                  </w:pPr>
                  <w:r>
                    <w:rPr>
                      <w:rFonts w:hint="eastAsia" w:ascii="Times New Roman" w:cs="宋体"/>
                      <w:color w:val="auto"/>
                      <w:sz w:val="21"/>
                      <w:szCs w:val="21"/>
                      <w:highlight w:val="none"/>
                      <w:lang w:val="en-US" w:eastAsia="zh-CN"/>
                    </w:rPr>
                    <w:t>在厂房西北侧</w:t>
                  </w:r>
                  <w:r>
                    <w:rPr>
                      <w:rFonts w:hint="eastAsia" w:ascii="Times New Roman" w:cs="宋体"/>
                      <w:color w:val="auto"/>
                      <w:kern w:val="0"/>
                      <w:sz w:val="21"/>
                      <w:szCs w:val="21"/>
                      <w:highlight w:val="none"/>
                      <w:lang w:val="en-US" w:eastAsia="zh-CN" w:bidi="ar"/>
                    </w:rPr>
                    <w:t>1F及2F</w:t>
                  </w:r>
                  <w:r>
                    <w:rPr>
                      <w:rFonts w:hint="eastAsia" w:ascii="Times New Roman" w:cs="宋体"/>
                      <w:color w:val="auto"/>
                      <w:sz w:val="21"/>
                      <w:szCs w:val="21"/>
                      <w:highlight w:val="none"/>
                      <w:lang w:val="en-US" w:eastAsia="zh-CN"/>
                    </w:rPr>
                    <w:t>布置办公区，</w:t>
                  </w:r>
                  <w:r>
                    <w:rPr>
                      <w:rFonts w:hint="eastAsia" w:cs="宋体"/>
                      <w:color w:val="auto"/>
                      <w:sz w:val="21"/>
                      <w:szCs w:val="21"/>
                      <w:highlight w:val="none"/>
                      <w:lang w:val="en-US" w:eastAsia="zh-CN"/>
                    </w:rPr>
                    <w:t>布置形式为长方形，尺寸为</w:t>
                  </w:r>
                  <w:r>
                    <w:rPr>
                      <w:rFonts w:hint="eastAsia" w:ascii="Times New Roman" w:cs="Times New Roman"/>
                      <w:color w:val="auto"/>
                      <w:sz w:val="21"/>
                      <w:szCs w:val="21"/>
                      <w:highlight w:val="none"/>
                      <w:lang w:val="en-US" w:eastAsia="zh-CN"/>
                    </w:rPr>
                    <w:t>20</w:t>
                  </w:r>
                  <w:r>
                    <w:rPr>
                      <w:rFonts w:hint="default" w:ascii="Times New Roman" w:hAnsi="Times New Roman" w:cs="Times New Roman"/>
                      <w:color w:val="auto"/>
                      <w:sz w:val="21"/>
                      <w:szCs w:val="21"/>
                      <w:highlight w:val="none"/>
                      <w:lang w:val="en-US" w:eastAsia="zh-CN"/>
                    </w:rPr>
                    <w:t>m×</w:t>
                  </w:r>
                  <w:r>
                    <w:rPr>
                      <w:rFonts w:hint="eastAsia" w:ascii="Times New Roman" w:cs="Times New Roman"/>
                      <w:color w:val="auto"/>
                      <w:sz w:val="21"/>
                      <w:szCs w:val="21"/>
                      <w:highlight w:val="none"/>
                      <w:lang w:val="en-US" w:eastAsia="zh-CN"/>
                    </w:rPr>
                    <w:t>15</w:t>
                  </w:r>
                  <w:r>
                    <w:rPr>
                      <w:rFonts w:hint="default" w:ascii="Times New Roman" w:hAnsi="Times New Roman" w:cs="Times New Roman"/>
                      <w:color w:val="auto"/>
                      <w:sz w:val="21"/>
                      <w:szCs w:val="21"/>
                      <w:highlight w:val="none"/>
                      <w:lang w:val="en-US" w:eastAsia="zh-CN"/>
                    </w:rPr>
                    <w:t>m</w:t>
                  </w:r>
                  <w:r>
                    <w:rPr>
                      <w:rFonts w:hint="eastAsia" w:ascii="Times New Roman" w:cs="宋体"/>
                      <w:color w:val="auto"/>
                      <w:sz w:val="21"/>
                      <w:szCs w:val="21"/>
                      <w:highlight w:val="none"/>
                      <w:lang w:val="en-US" w:eastAsia="zh-CN"/>
                    </w:rPr>
                    <w:t>，共约600m</w:t>
                  </w:r>
                  <w:r>
                    <w:rPr>
                      <w:rFonts w:hint="eastAsia" w:ascii="Times New Roman" w:cs="宋体"/>
                      <w:color w:val="auto"/>
                      <w:sz w:val="21"/>
                      <w:szCs w:val="21"/>
                      <w:highlight w:val="none"/>
                      <w:vertAlign w:val="superscript"/>
                      <w:lang w:val="en-US" w:eastAsia="zh-CN"/>
                    </w:rPr>
                    <w:t>2</w:t>
                  </w:r>
                  <w:r>
                    <w:rPr>
                      <w:rFonts w:hint="eastAsia" w:ascii="Times New Roman" w:cs="宋体"/>
                      <w:color w:val="auto"/>
                      <w:sz w:val="21"/>
                      <w:szCs w:val="21"/>
                      <w:highlight w:val="none"/>
                      <w:vertAlign w:val="baseline"/>
                      <w:lang w:val="en-US" w:eastAsia="zh-CN"/>
                    </w:rPr>
                    <w:t>。</w:t>
                  </w:r>
                </w:p>
              </w:tc>
              <w:tc>
                <w:tcPr>
                  <w:tcW w:w="757" w:type="pct"/>
                  <w:tcBorders>
                    <w:tl2br w:val="nil"/>
                    <w:tr2bl w:val="nil"/>
                  </w:tcBorders>
                  <w:noWrap w:val="0"/>
                  <w:vAlign w:val="center"/>
                </w:tcPr>
                <w:p w14:paraId="4916AC5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rPr>
                      <w:rFonts w:hint="eastAsia" w:ascii="Times New Roman" w:hAnsi="Times New Roman" w:eastAsia="宋体" w:cs="宋体"/>
                      <w:color w:val="auto"/>
                      <w:kern w:val="2"/>
                      <w:sz w:val="21"/>
                      <w:szCs w:val="21"/>
                      <w:highlight w:val="none"/>
                      <w:lang w:val="zh-CN" w:eastAsia="zh-CN" w:bidi="ar-SA"/>
                    </w:rPr>
                  </w:pPr>
                  <w:r>
                    <w:rPr>
                      <w:rFonts w:hint="eastAsia" w:cs="宋体"/>
                      <w:color w:val="auto"/>
                      <w:sz w:val="21"/>
                      <w:szCs w:val="21"/>
                      <w:highlight w:val="none"/>
                      <w:lang w:val="en-US" w:eastAsia="zh-CN"/>
                    </w:rPr>
                    <w:t>租赁厂房</w:t>
                  </w:r>
                </w:p>
              </w:tc>
            </w:tr>
            <w:tr w14:paraId="6007DA6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71" w:type="pct"/>
                  <w:vMerge w:val="continue"/>
                  <w:tcBorders>
                    <w:tl2br w:val="nil"/>
                    <w:tr2bl w:val="nil"/>
                  </w:tcBorders>
                  <w:noWrap w:val="0"/>
                  <w:vAlign w:val="center"/>
                </w:tcPr>
                <w:p w14:paraId="0104531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宋体" w:cs="宋体"/>
                      <w:color w:val="auto"/>
                      <w:sz w:val="21"/>
                      <w:szCs w:val="21"/>
                      <w:highlight w:val="none"/>
                      <w:lang w:val="zh-CN" w:eastAsia="zh-CN"/>
                    </w:rPr>
                  </w:pPr>
                </w:p>
              </w:tc>
              <w:tc>
                <w:tcPr>
                  <w:tcW w:w="1156" w:type="pct"/>
                  <w:gridSpan w:val="3"/>
                  <w:tcBorders>
                    <w:tl2br w:val="nil"/>
                    <w:tr2bl w:val="nil"/>
                  </w:tcBorders>
                  <w:noWrap w:val="0"/>
                  <w:vAlign w:val="center"/>
                </w:tcPr>
                <w:p w14:paraId="1E36361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宋体"/>
                      <w:color w:val="auto"/>
                      <w:sz w:val="21"/>
                      <w:szCs w:val="21"/>
                      <w:highlight w:val="none"/>
                      <w:lang w:val="en-US" w:eastAsia="zh-CN"/>
                    </w:rPr>
                  </w:pPr>
                  <w:r>
                    <w:rPr>
                      <w:rFonts w:hint="eastAsia" w:eastAsia="宋体" w:cs="宋体"/>
                      <w:color w:val="auto"/>
                      <w:sz w:val="21"/>
                      <w:szCs w:val="21"/>
                      <w:highlight w:val="none"/>
                      <w:lang w:val="en-US" w:eastAsia="zh-CN"/>
                    </w:rPr>
                    <w:t>食堂</w:t>
                  </w:r>
                </w:p>
              </w:tc>
              <w:tc>
                <w:tcPr>
                  <w:tcW w:w="2413" w:type="pct"/>
                  <w:tcBorders>
                    <w:tl2br w:val="nil"/>
                    <w:tr2bl w:val="nil"/>
                  </w:tcBorders>
                  <w:noWrap w:val="0"/>
                  <w:vAlign w:val="center"/>
                </w:tcPr>
                <w:p w14:paraId="31AC2322">
                  <w:pPr>
                    <w:pStyle w:val="37"/>
                    <w:keepNext w:val="0"/>
                    <w:keepLines w:val="0"/>
                    <w:pageBreakBefore w:val="0"/>
                    <w:widowControl w:val="0"/>
                    <w:suppressLineNumbers w:val="0"/>
                    <w:kinsoku/>
                    <w:wordWrap/>
                    <w:overflowPunct/>
                    <w:topLinePunct w:val="0"/>
                    <w:bidi w:val="0"/>
                    <w:adjustRightInd w:val="0"/>
                    <w:snapToGrid w:val="0"/>
                    <w:spacing w:before="0" w:beforeAutospacing="0" w:after="0" w:afterAutospacing="0" w:line="240" w:lineRule="auto"/>
                    <w:ind w:left="0" w:right="0"/>
                    <w:jc w:val="both"/>
                    <w:textAlignment w:val="auto"/>
                    <w:rPr>
                      <w:rFonts w:hint="default" w:ascii="Times New Roman" w:hAnsi="Times New Roman" w:eastAsia="宋体" w:cs="宋体"/>
                      <w:color w:val="auto"/>
                      <w:sz w:val="21"/>
                      <w:szCs w:val="21"/>
                      <w:highlight w:val="none"/>
                      <w:lang w:val="en-US" w:eastAsia="zh-CN"/>
                    </w:rPr>
                  </w:pPr>
                  <w:r>
                    <w:rPr>
                      <w:rFonts w:hint="eastAsia" w:ascii="Times New Roman" w:cs="宋体"/>
                      <w:color w:val="auto"/>
                      <w:sz w:val="21"/>
                      <w:szCs w:val="21"/>
                      <w:highlight w:val="none"/>
                      <w:lang w:val="en-US" w:eastAsia="zh-CN"/>
                    </w:rPr>
                    <w:t>在厂房西北侧</w:t>
                  </w:r>
                  <w:r>
                    <w:rPr>
                      <w:rFonts w:hint="eastAsia" w:ascii="Times New Roman" w:cs="宋体"/>
                      <w:color w:val="auto"/>
                      <w:kern w:val="0"/>
                      <w:sz w:val="21"/>
                      <w:szCs w:val="21"/>
                      <w:highlight w:val="none"/>
                      <w:lang w:val="en-US" w:eastAsia="zh-CN" w:bidi="ar"/>
                    </w:rPr>
                    <w:t>1F及2F</w:t>
                  </w:r>
                  <w:r>
                    <w:rPr>
                      <w:rFonts w:hint="eastAsia" w:ascii="Times New Roman" w:cs="宋体"/>
                      <w:color w:val="auto"/>
                      <w:sz w:val="21"/>
                      <w:szCs w:val="21"/>
                      <w:highlight w:val="none"/>
                      <w:lang w:val="en-US" w:eastAsia="zh-CN"/>
                    </w:rPr>
                    <w:t>布置</w:t>
                  </w:r>
                  <w:r>
                    <w:rPr>
                      <w:rFonts w:hint="eastAsia" w:eastAsia="宋体" w:cs="宋体"/>
                      <w:color w:val="auto"/>
                      <w:sz w:val="21"/>
                      <w:szCs w:val="21"/>
                      <w:highlight w:val="none"/>
                      <w:lang w:val="en-US" w:eastAsia="zh-CN"/>
                    </w:rPr>
                    <w:t>食堂</w:t>
                  </w:r>
                  <w:r>
                    <w:rPr>
                      <w:rFonts w:hint="eastAsia" w:ascii="Times New Roman" w:cs="宋体"/>
                      <w:color w:val="auto"/>
                      <w:sz w:val="21"/>
                      <w:szCs w:val="21"/>
                      <w:highlight w:val="none"/>
                      <w:lang w:val="en-US" w:eastAsia="zh-CN"/>
                    </w:rPr>
                    <w:t>，</w:t>
                  </w:r>
                  <w:r>
                    <w:rPr>
                      <w:rFonts w:hint="eastAsia" w:cs="宋体"/>
                      <w:color w:val="auto"/>
                      <w:sz w:val="21"/>
                      <w:szCs w:val="21"/>
                      <w:highlight w:val="none"/>
                      <w:lang w:val="en-US" w:eastAsia="zh-CN"/>
                    </w:rPr>
                    <w:t>布置形式为长方形，尺寸为</w:t>
                  </w:r>
                  <w:r>
                    <w:rPr>
                      <w:rFonts w:hint="eastAsia" w:ascii="Times New Roman" w:cs="Times New Roman"/>
                      <w:color w:val="auto"/>
                      <w:sz w:val="21"/>
                      <w:szCs w:val="21"/>
                      <w:highlight w:val="none"/>
                      <w:lang w:val="en-US" w:eastAsia="zh-CN"/>
                    </w:rPr>
                    <w:t>20</w:t>
                  </w:r>
                  <w:r>
                    <w:rPr>
                      <w:rFonts w:hint="default" w:ascii="Times New Roman" w:hAnsi="Times New Roman" w:cs="Times New Roman"/>
                      <w:color w:val="auto"/>
                      <w:sz w:val="21"/>
                      <w:szCs w:val="21"/>
                      <w:highlight w:val="none"/>
                      <w:lang w:val="en-US" w:eastAsia="zh-CN"/>
                    </w:rPr>
                    <w:t>m×</w:t>
                  </w:r>
                  <w:r>
                    <w:rPr>
                      <w:rFonts w:hint="eastAsia" w:ascii="Times New Roman" w:cs="Times New Roman"/>
                      <w:color w:val="auto"/>
                      <w:sz w:val="21"/>
                      <w:szCs w:val="21"/>
                      <w:highlight w:val="none"/>
                      <w:lang w:val="en-US" w:eastAsia="zh-CN"/>
                    </w:rPr>
                    <w:t>15</w:t>
                  </w:r>
                  <w:r>
                    <w:rPr>
                      <w:rFonts w:hint="default" w:ascii="Times New Roman" w:hAnsi="Times New Roman" w:cs="Times New Roman"/>
                      <w:color w:val="auto"/>
                      <w:sz w:val="21"/>
                      <w:szCs w:val="21"/>
                      <w:highlight w:val="none"/>
                      <w:lang w:val="en-US" w:eastAsia="zh-CN"/>
                    </w:rPr>
                    <w:t>m</w:t>
                  </w:r>
                  <w:r>
                    <w:rPr>
                      <w:rFonts w:hint="eastAsia" w:ascii="Times New Roman" w:cs="宋体"/>
                      <w:color w:val="auto"/>
                      <w:sz w:val="21"/>
                      <w:szCs w:val="21"/>
                      <w:highlight w:val="none"/>
                      <w:lang w:val="en-US" w:eastAsia="zh-CN"/>
                    </w:rPr>
                    <w:t>，共约600m</w:t>
                  </w:r>
                  <w:r>
                    <w:rPr>
                      <w:rFonts w:hint="eastAsia" w:ascii="Times New Roman" w:cs="宋体"/>
                      <w:color w:val="auto"/>
                      <w:sz w:val="21"/>
                      <w:szCs w:val="21"/>
                      <w:highlight w:val="none"/>
                      <w:vertAlign w:val="superscript"/>
                      <w:lang w:val="en-US" w:eastAsia="zh-CN"/>
                    </w:rPr>
                    <w:t>2</w:t>
                  </w:r>
                  <w:r>
                    <w:rPr>
                      <w:rFonts w:hint="eastAsia" w:ascii="Times New Roman" w:cs="宋体"/>
                      <w:color w:val="auto"/>
                      <w:sz w:val="21"/>
                      <w:szCs w:val="21"/>
                      <w:highlight w:val="none"/>
                      <w:vertAlign w:val="baseline"/>
                      <w:lang w:val="en-US" w:eastAsia="zh-CN"/>
                    </w:rPr>
                    <w:t>。</w:t>
                  </w:r>
                </w:p>
              </w:tc>
              <w:tc>
                <w:tcPr>
                  <w:tcW w:w="757" w:type="pct"/>
                  <w:tcBorders>
                    <w:tl2br w:val="nil"/>
                    <w:tr2bl w:val="nil"/>
                  </w:tcBorders>
                  <w:noWrap w:val="0"/>
                  <w:vAlign w:val="center"/>
                </w:tcPr>
                <w:p w14:paraId="3D9D479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rPr>
                      <w:rFonts w:hint="default" w:ascii="Times New Roman" w:hAnsi="Times New Roman" w:eastAsia="宋体" w:cs="宋体"/>
                      <w:color w:val="auto"/>
                      <w:kern w:val="2"/>
                      <w:sz w:val="21"/>
                      <w:szCs w:val="21"/>
                      <w:highlight w:val="none"/>
                      <w:lang w:val="en-US" w:eastAsia="zh-CN" w:bidi="ar-SA"/>
                    </w:rPr>
                  </w:pPr>
                  <w:r>
                    <w:rPr>
                      <w:rFonts w:hint="eastAsia" w:cs="宋体"/>
                      <w:color w:val="auto"/>
                      <w:sz w:val="21"/>
                      <w:szCs w:val="21"/>
                      <w:highlight w:val="none"/>
                      <w:lang w:val="en-US" w:eastAsia="zh-CN"/>
                    </w:rPr>
                    <w:t>租赁厂房</w:t>
                  </w:r>
                </w:p>
              </w:tc>
            </w:tr>
            <w:tr w14:paraId="27DE627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71" w:type="pct"/>
                  <w:vMerge w:val="restart"/>
                  <w:tcBorders>
                    <w:tl2br w:val="nil"/>
                    <w:tr2bl w:val="nil"/>
                  </w:tcBorders>
                  <w:noWrap w:val="0"/>
                  <w:vAlign w:val="center"/>
                </w:tcPr>
                <w:p w14:paraId="6B1DADF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宋体"/>
                      <w:color w:val="auto"/>
                      <w:sz w:val="21"/>
                      <w:szCs w:val="21"/>
                      <w:highlight w:val="none"/>
                      <w:lang w:val="en-US" w:eastAsia="zh-CN"/>
                    </w:rPr>
                  </w:pPr>
                  <w:r>
                    <w:rPr>
                      <w:rFonts w:hint="eastAsia" w:eastAsia="宋体" w:cs="宋体"/>
                      <w:color w:val="auto"/>
                      <w:sz w:val="21"/>
                      <w:szCs w:val="21"/>
                      <w:highlight w:val="none"/>
                      <w:lang w:val="en-US" w:eastAsia="zh-CN"/>
                    </w:rPr>
                    <w:t>贮运工程</w:t>
                  </w:r>
                </w:p>
              </w:tc>
              <w:tc>
                <w:tcPr>
                  <w:tcW w:w="1156" w:type="pct"/>
                  <w:gridSpan w:val="3"/>
                  <w:tcBorders>
                    <w:tl2br w:val="nil"/>
                    <w:tr2bl w:val="nil"/>
                  </w:tcBorders>
                  <w:noWrap w:val="0"/>
                  <w:vAlign w:val="center"/>
                </w:tcPr>
                <w:p w14:paraId="3BBEED6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cs="宋体"/>
                      <w:color w:val="auto"/>
                      <w:sz w:val="21"/>
                      <w:szCs w:val="21"/>
                      <w:highlight w:val="none"/>
                      <w:lang w:val="en-US" w:eastAsia="zh-CN"/>
                    </w:rPr>
                  </w:pPr>
                  <w:r>
                    <w:rPr>
                      <w:rFonts w:hint="eastAsia" w:cs="宋体"/>
                      <w:color w:val="auto"/>
                      <w:sz w:val="21"/>
                      <w:szCs w:val="21"/>
                      <w:highlight w:val="none"/>
                      <w:lang w:val="en-US" w:eastAsia="zh-CN"/>
                    </w:rPr>
                    <w:t>原材料堆放区、半成品暂存区</w:t>
                  </w:r>
                </w:p>
              </w:tc>
              <w:tc>
                <w:tcPr>
                  <w:tcW w:w="2413" w:type="pct"/>
                  <w:tcBorders>
                    <w:tl2br w:val="nil"/>
                    <w:tr2bl w:val="nil"/>
                  </w:tcBorders>
                  <w:noWrap w:val="0"/>
                  <w:vAlign w:val="center"/>
                </w:tcPr>
                <w:p w14:paraId="6BFAE47E">
                  <w:pPr>
                    <w:pStyle w:val="37"/>
                    <w:keepNext w:val="0"/>
                    <w:keepLines w:val="0"/>
                    <w:pageBreakBefore w:val="0"/>
                    <w:widowControl w:val="0"/>
                    <w:suppressLineNumbers w:val="0"/>
                    <w:kinsoku/>
                    <w:wordWrap/>
                    <w:overflowPunct/>
                    <w:topLinePunct w:val="0"/>
                    <w:bidi w:val="0"/>
                    <w:adjustRightInd w:val="0"/>
                    <w:snapToGrid w:val="0"/>
                    <w:spacing w:before="0" w:beforeAutospacing="0" w:after="0" w:afterAutospacing="0" w:line="240" w:lineRule="auto"/>
                    <w:ind w:left="0" w:right="0"/>
                    <w:jc w:val="both"/>
                    <w:textAlignment w:val="auto"/>
                    <w:rPr>
                      <w:rFonts w:hint="default" w:ascii="Times New Roman" w:hAnsi="Times New Roman" w:eastAsia="宋体" w:cs="宋体"/>
                      <w:color w:val="auto"/>
                      <w:kern w:val="0"/>
                      <w:sz w:val="21"/>
                      <w:szCs w:val="21"/>
                      <w:highlight w:val="none"/>
                      <w:lang w:val="en-US" w:eastAsia="zh-CN" w:bidi="ar"/>
                    </w:rPr>
                  </w:pPr>
                  <w:r>
                    <w:rPr>
                      <w:rFonts w:hint="eastAsia" w:cs="宋体"/>
                      <w:color w:val="auto"/>
                      <w:sz w:val="21"/>
                      <w:szCs w:val="21"/>
                      <w:highlight w:val="none"/>
                      <w:lang w:val="en-US" w:eastAsia="zh-CN"/>
                    </w:rPr>
                    <w:t>布置形式为梯形，尺寸为</w:t>
                  </w:r>
                  <w:r>
                    <w:rPr>
                      <w:rFonts w:hint="eastAsia" w:ascii="Times New Roman" w:hAnsi="Times New Roman" w:cs="Times New Roman"/>
                      <w:color w:val="auto"/>
                      <w:sz w:val="21"/>
                      <w:szCs w:val="21"/>
                      <w:highlight w:val="none"/>
                      <w:lang w:val="en-US" w:eastAsia="zh-CN"/>
                    </w:rPr>
                    <w:t>50</w:t>
                  </w:r>
                  <w:r>
                    <w:rPr>
                      <w:rFonts w:hint="default" w:ascii="Times New Roman" w:hAnsi="Times New Roman" w:cs="Times New Roman"/>
                      <w:color w:val="auto"/>
                      <w:sz w:val="21"/>
                      <w:szCs w:val="21"/>
                      <w:highlight w:val="none"/>
                      <w:lang w:val="en-US" w:eastAsia="zh-CN"/>
                    </w:rPr>
                    <w:t>m×20m×</w:t>
                  </w:r>
                  <w:r>
                    <w:rPr>
                      <w:rFonts w:hint="eastAsia" w:ascii="Times New Roman" w:cs="Times New Roman"/>
                      <w:color w:val="auto"/>
                      <w:sz w:val="21"/>
                      <w:szCs w:val="21"/>
                      <w:highlight w:val="none"/>
                      <w:lang w:val="en-US" w:eastAsia="zh-CN"/>
                    </w:rPr>
                    <w:t>5</w:t>
                  </w:r>
                  <w:r>
                    <w:rPr>
                      <w:rFonts w:hint="default" w:ascii="Times New Roman" w:hAnsi="Times New Roman" w:cs="Times New Roman"/>
                      <w:color w:val="auto"/>
                      <w:sz w:val="21"/>
                      <w:szCs w:val="21"/>
                      <w:highlight w:val="none"/>
                      <w:lang w:val="en-US" w:eastAsia="zh-CN"/>
                    </w:rPr>
                    <w:t>0m</w:t>
                  </w:r>
                  <w:r>
                    <w:rPr>
                      <w:rFonts w:hint="eastAsia" w:ascii="Times New Roman" w:cs="Times New Roman"/>
                      <w:color w:val="auto"/>
                      <w:sz w:val="21"/>
                      <w:szCs w:val="21"/>
                      <w:highlight w:val="none"/>
                      <w:lang w:val="en-US" w:eastAsia="zh-CN"/>
                    </w:rPr>
                    <w:t>，</w:t>
                  </w:r>
                  <w:r>
                    <w:rPr>
                      <w:rFonts w:hint="eastAsia" w:ascii="Times New Roman" w:cs="宋体"/>
                      <w:color w:val="auto"/>
                      <w:kern w:val="0"/>
                      <w:sz w:val="21"/>
                      <w:szCs w:val="21"/>
                      <w:highlight w:val="none"/>
                      <w:lang w:val="en-US" w:eastAsia="zh-CN" w:bidi="ar"/>
                    </w:rPr>
                    <w:t>共计面积约1750m</w:t>
                  </w:r>
                  <w:r>
                    <w:rPr>
                      <w:rFonts w:hint="eastAsia" w:ascii="Times New Roman" w:cs="宋体"/>
                      <w:color w:val="auto"/>
                      <w:kern w:val="0"/>
                      <w:sz w:val="21"/>
                      <w:szCs w:val="21"/>
                      <w:highlight w:val="none"/>
                      <w:vertAlign w:val="superscript"/>
                      <w:lang w:val="en-US" w:eastAsia="zh-CN" w:bidi="ar"/>
                    </w:rPr>
                    <w:t>2</w:t>
                  </w:r>
                  <w:r>
                    <w:rPr>
                      <w:rFonts w:hint="eastAsia" w:ascii="Times New Roman" w:cs="宋体"/>
                      <w:color w:val="auto"/>
                      <w:kern w:val="0"/>
                      <w:sz w:val="21"/>
                      <w:szCs w:val="21"/>
                      <w:highlight w:val="none"/>
                      <w:lang w:val="en-US" w:eastAsia="zh-CN" w:bidi="ar"/>
                    </w:rPr>
                    <w:t>，用于原料贮存和半成品暂存，布置在厂房西南侧1F。</w:t>
                  </w:r>
                </w:p>
              </w:tc>
              <w:tc>
                <w:tcPr>
                  <w:tcW w:w="757" w:type="pct"/>
                  <w:tcBorders>
                    <w:tl2br w:val="nil"/>
                    <w:tr2bl w:val="nil"/>
                  </w:tcBorders>
                  <w:noWrap w:val="0"/>
                  <w:vAlign w:val="center"/>
                </w:tcPr>
                <w:p w14:paraId="159CC1A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rPr>
                      <w:rFonts w:hint="eastAsia" w:ascii="Times New Roman" w:hAnsi="Times New Roman" w:eastAsia="宋体" w:cs="宋体"/>
                      <w:color w:val="auto"/>
                      <w:kern w:val="2"/>
                      <w:sz w:val="21"/>
                      <w:szCs w:val="21"/>
                      <w:highlight w:val="none"/>
                      <w:lang w:val="zh-CN" w:eastAsia="zh-CN" w:bidi="ar-SA"/>
                    </w:rPr>
                  </w:pPr>
                  <w:r>
                    <w:rPr>
                      <w:rFonts w:hint="eastAsia" w:cs="宋体"/>
                      <w:color w:val="auto"/>
                      <w:sz w:val="21"/>
                      <w:szCs w:val="21"/>
                      <w:highlight w:val="none"/>
                      <w:lang w:val="en-US" w:eastAsia="zh-CN"/>
                    </w:rPr>
                    <w:t>租赁厂房</w:t>
                  </w:r>
                </w:p>
              </w:tc>
            </w:tr>
            <w:tr w14:paraId="5B9F432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71" w:type="pct"/>
                  <w:vMerge w:val="continue"/>
                  <w:tcBorders>
                    <w:tl2br w:val="nil"/>
                    <w:tr2bl w:val="nil"/>
                  </w:tcBorders>
                  <w:noWrap w:val="0"/>
                  <w:vAlign w:val="center"/>
                </w:tcPr>
                <w:p w14:paraId="7775794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eastAsia="宋体" w:cs="宋体"/>
                      <w:color w:val="auto"/>
                      <w:sz w:val="21"/>
                      <w:szCs w:val="21"/>
                      <w:highlight w:val="none"/>
                      <w:lang w:val="en-US" w:eastAsia="zh-CN"/>
                    </w:rPr>
                  </w:pPr>
                </w:p>
              </w:tc>
              <w:tc>
                <w:tcPr>
                  <w:tcW w:w="1156" w:type="pct"/>
                  <w:gridSpan w:val="3"/>
                  <w:tcBorders>
                    <w:tl2br w:val="nil"/>
                    <w:tr2bl w:val="nil"/>
                  </w:tcBorders>
                  <w:noWrap w:val="0"/>
                  <w:vAlign w:val="center"/>
                </w:tcPr>
                <w:p w14:paraId="5173CFE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cs="宋体"/>
                      <w:color w:val="auto"/>
                      <w:sz w:val="21"/>
                      <w:szCs w:val="21"/>
                      <w:highlight w:val="none"/>
                      <w:lang w:val="en-US" w:eastAsia="zh-CN"/>
                    </w:rPr>
                  </w:pPr>
                  <w:r>
                    <w:rPr>
                      <w:rFonts w:hint="eastAsia" w:cs="宋体"/>
                      <w:color w:val="auto"/>
                      <w:sz w:val="21"/>
                      <w:szCs w:val="21"/>
                      <w:highlight w:val="none"/>
                      <w:lang w:val="en-US" w:eastAsia="zh-CN"/>
                    </w:rPr>
                    <w:t>化学品仓库</w:t>
                  </w:r>
                </w:p>
              </w:tc>
              <w:tc>
                <w:tcPr>
                  <w:tcW w:w="2413" w:type="pct"/>
                  <w:tcBorders>
                    <w:tl2br w:val="nil"/>
                    <w:tr2bl w:val="nil"/>
                  </w:tcBorders>
                  <w:noWrap w:val="0"/>
                  <w:vAlign w:val="center"/>
                </w:tcPr>
                <w:p w14:paraId="1E4F2403">
                  <w:pPr>
                    <w:pStyle w:val="37"/>
                    <w:keepNext w:val="0"/>
                    <w:keepLines w:val="0"/>
                    <w:pageBreakBefore w:val="0"/>
                    <w:widowControl w:val="0"/>
                    <w:suppressLineNumbers w:val="0"/>
                    <w:kinsoku/>
                    <w:wordWrap/>
                    <w:overflowPunct/>
                    <w:topLinePunct w:val="0"/>
                    <w:bidi w:val="0"/>
                    <w:adjustRightInd w:val="0"/>
                    <w:snapToGrid w:val="0"/>
                    <w:spacing w:before="0" w:beforeAutospacing="0" w:after="0" w:afterAutospacing="0" w:line="240" w:lineRule="auto"/>
                    <w:ind w:left="0" w:right="0"/>
                    <w:jc w:val="both"/>
                    <w:textAlignment w:val="auto"/>
                    <w:rPr>
                      <w:rFonts w:hint="eastAsia" w:ascii="Times New Roman" w:hAnsi="Times New Roman" w:eastAsia="宋体" w:cs="宋体"/>
                      <w:color w:val="auto"/>
                      <w:kern w:val="0"/>
                      <w:sz w:val="21"/>
                      <w:szCs w:val="21"/>
                      <w:highlight w:val="none"/>
                      <w:lang w:val="en-US" w:eastAsia="zh-CN" w:bidi="ar"/>
                    </w:rPr>
                  </w:pPr>
                  <w:r>
                    <w:rPr>
                      <w:rFonts w:hint="eastAsia" w:cs="宋体"/>
                      <w:color w:val="auto"/>
                      <w:sz w:val="21"/>
                      <w:szCs w:val="21"/>
                      <w:highlight w:val="none"/>
                      <w:lang w:val="en-US" w:eastAsia="zh-CN"/>
                    </w:rPr>
                    <w:t>布置形式为长方形，尺寸为</w:t>
                  </w:r>
                  <w:r>
                    <w:rPr>
                      <w:rFonts w:hint="eastAsia" w:ascii="Times New Roman" w:hAnsi="Times New Roman" w:eastAsia="宋体" w:cs="Times New Roman"/>
                      <w:color w:val="auto"/>
                      <w:sz w:val="21"/>
                      <w:szCs w:val="21"/>
                      <w:highlight w:val="none"/>
                      <w:lang w:val="en-US" w:eastAsia="zh-CN"/>
                    </w:rPr>
                    <w:t>10</w:t>
                  </w:r>
                  <w:r>
                    <w:rPr>
                      <w:rFonts w:hint="default" w:ascii="Times New Roman" w:hAnsi="Times New Roman" w:eastAsia="宋体" w:cs="Times New Roman"/>
                      <w:color w:val="auto"/>
                      <w:sz w:val="21"/>
                      <w:szCs w:val="21"/>
                      <w:highlight w:val="none"/>
                      <w:lang w:val="en-US" w:eastAsia="zh-CN"/>
                    </w:rPr>
                    <w:t>m×</w:t>
                  </w:r>
                  <w:r>
                    <w:rPr>
                      <w:rFonts w:hint="eastAsia" w:ascii="Times New Roman" w:hAnsi="Times New Roman" w:eastAsia="宋体" w:cs="Times New Roman"/>
                      <w:color w:val="auto"/>
                      <w:sz w:val="21"/>
                      <w:szCs w:val="21"/>
                      <w:highlight w:val="none"/>
                      <w:lang w:val="en-US" w:eastAsia="zh-CN"/>
                    </w:rPr>
                    <w:t>5</w:t>
                  </w:r>
                  <w:r>
                    <w:rPr>
                      <w:rFonts w:hint="default" w:ascii="Times New Roman" w:hAnsi="Times New Roman" w:eastAsia="宋体" w:cs="Times New Roman"/>
                      <w:color w:val="auto"/>
                      <w:sz w:val="21"/>
                      <w:szCs w:val="21"/>
                      <w:highlight w:val="none"/>
                      <w:lang w:val="en-US" w:eastAsia="zh-CN"/>
                    </w:rPr>
                    <w:t>m</w:t>
                  </w:r>
                  <w:r>
                    <w:rPr>
                      <w:rFonts w:hint="eastAsia" w:cs="宋体"/>
                      <w:color w:val="auto"/>
                      <w:sz w:val="21"/>
                      <w:szCs w:val="21"/>
                      <w:highlight w:val="none"/>
                      <w:lang w:val="en-US" w:eastAsia="zh-CN"/>
                    </w:rPr>
                    <w:t>，</w:t>
                  </w:r>
                  <w:r>
                    <w:rPr>
                      <w:rFonts w:hint="eastAsia" w:ascii="Times New Roman" w:cs="宋体"/>
                      <w:color w:val="auto"/>
                      <w:kern w:val="0"/>
                      <w:sz w:val="21"/>
                      <w:szCs w:val="21"/>
                      <w:highlight w:val="none"/>
                      <w:lang w:val="en-US" w:eastAsia="zh-CN" w:bidi="ar"/>
                    </w:rPr>
                    <w:t>面积约50m</w:t>
                  </w:r>
                  <w:r>
                    <w:rPr>
                      <w:rFonts w:hint="eastAsia" w:ascii="Times New Roman" w:cs="宋体"/>
                      <w:color w:val="auto"/>
                      <w:kern w:val="0"/>
                      <w:sz w:val="21"/>
                      <w:szCs w:val="21"/>
                      <w:highlight w:val="none"/>
                      <w:vertAlign w:val="superscript"/>
                      <w:lang w:val="en-US" w:eastAsia="zh-CN" w:bidi="ar"/>
                    </w:rPr>
                    <w:t>2</w:t>
                  </w:r>
                  <w:r>
                    <w:rPr>
                      <w:rFonts w:hint="eastAsia" w:ascii="Times New Roman" w:cs="宋体"/>
                      <w:color w:val="auto"/>
                      <w:kern w:val="0"/>
                      <w:sz w:val="21"/>
                      <w:szCs w:val="21"/>
                      <w:highlight w:val="none"/>
                      <w:lang w:val="en-US" w:eastAsia="zh-CN" w:bidi="ar"/>
                    </w:rPr>
                    <w:t>，用于化学品暂存，布置在厂房西南侧1F。</w:t>
                  </w:r>
                </w:p>
              </w:tc>
              <w:tc>
                <w:tcPr>
                  <w:tcW w:w="757" w:type="pct"/>
                  <w:tcBorders>
                    <w:tl2br w:val="nil"/>
                    <w:tr2bl w:val="nil"/>
                  </w:tcBorders>
                  <w:noWrap w:val="0"/>
                  <w:vAlign w:val="center"/>
                </w:tcPr>
                <w:p w14:paraId="13D5135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rPr>
                      <w:rFonts w:hint="eastAsia" w:cs="宋体"/>
                      <w:color w:val="auto"/>
                      <w:sz w:val="21"/>
                      <w:szCs w:val="21"/>
                      <w:highlight w:val="none"/>
                      <w:lang w:val="en-US" w:eastAsia="zh-CN"/>
                    </w:rPr>
                  </w:pPr>
                  <w:r>
                    <w:rPr>
                      <w:rFonts w:hint="eastAsia" w:cs="宋体"/>
                      <w:color w:val="auto"/>
                      <w:sz w:val="21"/>
                      <w:szCs w:val="21"/>
                      <w:highlight w:val="none"/>
                      <w:lang w:val="en-US" w:eastAsia="zh-CN"/>
                    </w:rPr>
                    <w:t>租赁厂房</w:t>
                  </w:r>
                </w:p>
              </w:tc>
            </w:tr>
            <w:tr w14:paraId="57ACBE9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71" w:type="pct"/>
                  <w:vMerge w:val="continue"/>
                  <w:tcBorders>
                    <w:tl2br w:val="nil"/>
                    <w:tr2bl w:val="nil"/>
                  </w:tcBorders>
                  <w:noWrap w:val="0"/>
                  <w:vAlign w:val="center"/>
                </w:tcPr>
                <w:p w14:paraId="2FBFA3B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eastAsia="宋体" w:cs="宋体"/>
                      <w:color w:val="auto"/>
                      <w:sz w:val="21"/>
                      <w:szCs w:val="21"/>
                      <w:highlight w:val="none"/>
                      <w:lang w:val="en-US" w:eastAsia="zh-CN"/>
                    </w:rPr>
                  </w:pPr>
                </w:p>
              </w:tc>
              <w:tc>
                <w:tcPr>
                  <w:tcW w:w="1156" w:type="pct"/>
                  <w:gridSpan w:val="3"/>
                  <w:tcBorders>
                    <w:tl2br w:val="nil"/>
                    <w:tr2bl w:val="nil"/>
                  </w:tcBorders>
                  <w:noWrap w:val="0"/>
                  <w:vAlign w:val="center"/>
                </w:tcPr>
                <w:p w14:paraId="380E4F5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cs="宋体"/>
                      <w:color w:val="auto"/>
                      <w:sz w:val="21"/>
                      <w:szCs w:val="21"/>
                      <w:highlight w:val="none"/>
                      <w:lang w:val="en-US" w:eastAsia="zh-CN"/>
                    </w:rPr>
                  </w:pPr>
                  <w:r>
                    <w:rPr>
                      <w:rFonts w:hint="eastAsia" w:cs="宋体"/>
                      <w:color w:val="auto"/>
                      <w:sz w:val="21"/>
                      <w:szCs w:val="21"/>
                      <w:highlight w:val="none"/>
                      <w:lang w:val="en-US" w:eastAsia="zh-CN"/>
                    </w:rPr>
                    <w:t>成品堆放区</w:t>
                  </w:r>
                </w:p>
              </w:tc>
              <w:tc>
                <w:tcPr>
                  <w:tcW w:w="2413" w:type="pct"/>
                  <w:tcBorders>
                    <w:tl2br w:val="nil"/>
                    <w:tr2bl w:val="nil"/>
                  </w:tcBorders>
                  <w:noWrap w:val="0"/>
                  <w:vAlign w:val="center"/>
                </w:tcPr>
                <w:p w14:paraId="109F065F">
                  <w:pPr>
                    <w:pStyle w:val="37"/>
                    <w:keepNext w:val="0"/>
                    <w:keepLines w:val="0"/>
                    <w:pageBreakBefore w:val="0"/>
                    <w:widowControl w:val="0"/>
                    <w:suppressLineNumbers w:val="0"/>
                    <w:kinsoku/>
                    <w:wordWrap/>
                    <w:overflowPunct/>
                    <w:topLinePunct w:val="0"/>
                    <w:bidi w:val="0"/>
                    <w:adjustRightInd w:val="0"/>
                    <w:snapToGrid w:val="0"/>
                    <w:spacing w:before="0" w:beforeAutospacing="0" w:after="0" w:afterAutospacing="0" w:line="240" w:lineRule="auto"/>
                    <w:ind w:left="0" w:right="0"/>
                    <w:jc w:val="both"/>
                    <w:textAlignment w:val="auto"/>
                    <w:rPr>
                      <w:rFonts w:hint="eastAsia" w:ascii="Times New Roman" w:hAnsi="Times New Roman" w:eastAsia="宋体" w:cs="宋体"/>
                      <w:color w:val="auto"/>
                      <w:kern w:val="0"/>
                      <w:sz w:val="21"/>
                      <w:szCs w:val="21"/>
                      <w:highlight w:val="none"/>
                      <w:lang w:val="en-US" w:eastAsia="zh-CN" w:bidi="ar"/>
                    </w:rPr>
                  </w:pPr>
                  <w:r>
                    <w:rPr>
                      <w:rFonts w:hint="eastAsia" w:cs="宋体"/>
                      <w:color w:val="auto"/>
                      <w:sz w:val="21"/>
                      <w:szCs w:val="21"/>
                      <w:highlight w:val="none"/>
                      <w:lang w:val="en-US" w:eastAsia="zh-CN"/>
                    </w:rPr>
                    <w:t>布置形式为长方形，尺寸为</w:t>
                  </w:r>
                  <w:r>
                    <w:rPr>
                      <w:rFonts w:hint="eastAsia" w:ascii="Times New Roman" w:hAnsi="Times New Roman" w:eastAsia="宋体" w:cs="Times New Roman"/>
                      <w:color w:val="auto"/>
                      <w:sz w:val="21"/>
                      <w:szCs w:val="21"/>
                      <w:highlight w:val="none"/>
                      <w:lang w:val="en-US" w:eastAsia="zh-CN"/>
                    </w:rPr>
                    <w:t>1</w:t>
                  </w:r>
                  <w:r>
                    <w:rPr>
                      <w:rFonts w:hint="eastAsia" w:ascii="Times New Roman" w:cs="Times New Roman"/>
                      <w:color w:val="auto"/>
                      <w:sz w:val="21"/>
                      <w:szCs w:val="21"/>
                      <w:highlight w:val="none"/>
                      <w:lang w:val="en-US" w:eastAsia="zh-CN"/>
                    </w:rPr>
                    <w:t>2</w:t>
                  </w:r>
                  <w:r>
                    <w:rPr>
                      <w:rFonts w:hint="eastAsia" w:ascii="Times New Roman" w:hAnsi="Times New Roman" w:eastAsia="宋体" w:cs="Times New Roman"/>
                      <w:color w:val="auto"/>
                      <w:sz w:val="21"/>
                      <w:szCs w:val="21"/>
                      <w:highlight w:val="none"/>
                      <w:lang w:val="en-US" w:eastAsia="zh-CN"/>
                    </w:rPr>
                    <w:t>0</w:t>
                  </w:r>
                  <w:r>
                    <w:rPr>
                      <w:rFonts w:hint="default" w:ascii="Times New Roman" w:hAnsi="Times New Roman" w:eastAsia="宋体" w:cs="Times New Roman"/>
                      <w:color w:val="auto"/>
                      <w:sz w:val="21"/>
                      <w:szCs w:val="21"/>
                      <w:highlight w:val="none"/>
                      <w:lang w:val="en-US" w:eastAsia="zh-CN"/>
                    </w:rPr>
                    <w:t>m×</w:t>
                  </w:r>
                  <w:r>
                    <w:rPr>
                      <w:rFonts w:hint="eastAsia" w:ascii="Times New Roman" w:hAnsi="Times New Roman" w:eastAsia="宋体" w:cs="Times New Roman"/>
                      <w:color w:val="auto"/>
                      <w:sz w:val="21"/>
                      <w:szCs w:val="21"/>
                      <w:highlight w:val="none"/>
                      <w:lang w:val="en-US" w:eastAsia="zh-CN"/>
                    </w:rPr>
                    <w:t>5</w:t>
                  </w:r>
                  <w:r>
                    <w:rPr>
                      <w:rFonts w:hint="eastAsia" w:ascii="Times New Roman" w:cs="Times New Roman"/>
                      <w:color w:val="auto"/>
                      <w:sz w:val="21"/>
                      <w:szCs w:val="21"/>
                      <w:highlight w:val="none"/>
                      <w:lang w:val="en-US" w:eastAsia="zh-CN"/>
                    </w:rPr>
                    <w:t>0</w:t>
                  </w:r>
                  <w:r>
                    <w:rPr>
                      <w:rFonts w:hint="default" w:ascii="Times New Roman" w:hAnsi="Times New Roman" w:eastAsia="宋体" w:cs="Times New Roman"/>
                      <w:color w:val="auto"/>
                      <w:sz w:val="21"/>
                      <w:szCs w:val="21"/>
                      <w:highlight w:val="none"/>
                      <w:lang w:val="en-US" w:eastAsia="zh-CN"/>
                    </w:rPr>
                    <w:t>m</w:t>
                  </w:r>
                  <w:r>
                    <w:rPr>
                      <w:rFonts w:hint="eastAsia" w:cs="宋体"/>
                      <w:color w:val="auto"/>
                      <w:sz w:val="21"/>
                      <w:szCs w:val="21"/>
                      <w:highlight w:val="none"/>
                      <w:lang w:val="en-US" w:eastAsia="zh-CN"/>
                    </w:rPr>
                    <w:t>，</w:t>
                  </w:r>
                  <w:r>
                    <w:rPr>
                      <w:rFonts w:hint="eastAsia" w:ascii="Times New Roman" w:hAnsi="Times New Roman" w:eastAsia="宋体" w:cs="宋体"/>
                      <w:color w:val="auto"/>
                      <w:kern w:val="0"/>
                      <w:sz w:val="21"/>
                      <w:szCs w:val="21"/>
                      <w:highlight w:val="none"/>
                      <w:lang w:val="en-US" w:eastAsia="zh-CN" w:bidi="ar"/>
                    </w:rPr>
                    <w:t>面积约</w:t>
                  </w:r>
                  <w:r>
                    <w:rPr>
                      <w:rFonts w:hint="eastAsia" w:ascii="Times New Roman" w:cs="宋体"/>
                      <w:color w:val="auto"/>
                      <w:kern w:val="0"/>
                      <w:sz w:val="21"/>
                      <w:szCs w:val="21"/>
                      <w:highlight w:val="none"/>
                      <w:lang w:val="en-US" w:eastAsia="zh-CN" w:bidi="ar"/>
                    </w:rPr>
                    <w:t>6000</w:t>
                  </w:r>
                  <w:r>
                    <w:rPr>
                      <w:rFonts w:hint="eastAsia" w:ascii="Times New Roman" w:hAnsi="Times New Roman" w:eastAsia="宋体" w:cs="宋体"/>
                      <w:color w:val="auto"/>
                      <w:kern w:val="0"/>
                      <w:sz w:val="21"/>
                      <w:szCs w:val="21"/>
                      <w:highlight w:val="none"/>
                      <w:lang w:val="en-US" w:eastAsia="zh-CN" w:bidi="ar"/>
                    </w:rPr>
                    <w:t>m</w:t>
                  </w:r>
                  <w:r>
                    <w:rPr>
                      <w:rFonts w:hint="eastAsia" w:ascii="Times New Roman" w:hAnsi="Times New Roman" w:eastAsia="宋体" w:cs="宋体"/>
                      <w:color w:val="auto"/>
                      <w:kern w:val="0"/>
                      <w:sz w:val="21"/>
                      <w:szCs w:val="21"/>
                      <w:highlight w:val="none"/>
                      <w:vertAlign w:val="superscript"/>
                      <w:lang w:val="en-US" w:eastAsia="zh-CN" w:bidi="ar"/>
                    </w:rPr>
                    <w:t>2</w:t>
                  </w:r>
                  <w:r>
                    <w:rPr>
                      <w:rFonts w:hint="eastAsia" w:ascii="Times New Roman" w:hAnsi="Times New Roman" w:eastAsia="宋体" w:cs="宋体"/>
                      <w:color w:val="auto"/>
                      <w:kern w:val="0"/>
                      <w:sz w:val="21"/>
                      <w:szCs w:val="21"/>
                      <w:highlight w:val="none"/>
                      <w:lang w:val="en-US" w:eastAsia="zh-CN" w:bidi="ar"/>
                    </w:rPr>
                    <w:t>，</w:t>
                  </w:r>
                  <w:r>
                    <w:rPr>
                      <w:rFonts w:hint="eastAsia" w:ascii="Times New Roman" w:cs="宋体"/>
                      <w:color w:val="auto"/>
                      <w:kern w:val="0"/>
                      <w:sz w:val="21"/>
                      <w:szCs w:val="21"/>
                      <w:highlight w:val="none"/>
                      <w:lang w:val="en-US" w:eastAsia="zh-CN" w:bidi="ar"/>
                    </w:rPr>
                    <w:t>用于成品鞋贮存，</w:t>
                  </w:r>
                  <w:r>
                    <w:rPr>
                      <w:rFonts w:hint="eastAsia" w:ascii="Times New Roman" w:hAnsi="Times New Roman" w:eastAsia="宋体" w:cs="宋体"/>
                      <w:color w:val="auto"/>
                      <w:kern w:val="0"/>
                      <w:sz w:val="21"/>
                      <w:szCs w:val="21"/>
                      <w:highlight w:val="none"/>
                      <w:lang w:val="en-US" w:eastAsia="zh-CN" w:bidi="ar"/>
                    </w:rPr>
                    <w:t>布置在厂房</w:t>
                  </w:r>
                  <w:r>
                    <w:rPr>
                      <w:rFonts w:hint="eastAsia" w:ascii="Times New Roman" w:cs="宋体"/>
                      <w:color w:val="auto"/>
                      <w:kern w:val="0"/>
                      <w:sz w:val="21"/>
                      <w:szCs w:val="21"/>
                      <w:highlight w:val="none"/>
                      <w:lang w:val="en-US" w:eastAsia="zh-CN" w:bidi="ar"/>
                    </w:rPr>
                    <w:t>北侧2F。</w:t>
                  </w:r>
                </w:p>
              </w:tc>
              <w:tc>
                <w:tcPr>
                  <w:tcW w:w="757" w:type="pct"/>
                  <w:tcBorders>
                    <w:tl2br w:val="nil"/>
                    <w:tr2bl w:val="nil"/>
                  </w:tcBorders>
                  <w:noWrap w:val="0"/>
                  <w:vAlign w:val="center"/>
                </w:tcPr>
                <w:p w14:paraId="600CBB7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rPr>
                      <w:rFonts w:hint="eastAsia" w:ascii="Times New Roman" w:hAnsi="Times New Roman" w:eastAsia="宋体" w:cs="宋体"/>
                      <w:color w:val="auto"/>
                      <w:kern w:val="2"/>
                      <w:sz w:val="21"/>
                      <w:szCs w:val="21"/>
                      <w:highlight w:val="none"/>
                      <w:lang w:val="zh-CN" w:eastAsia="zh-CN" w:bidi="ar-SA"/>
                    </w:rPr>
                  </w:pPr>
                  <w:r>
                    <w:rPr>
                      <w:rFonts w:hint="eastAsia" w:cs="宋体"/>
                      <w:color w:val="auto"/>
                      <w:sz w:val="21"/>
                      <w:szCs w:val="21"/>
                      <w:highlight w:val="none"/>
                      <w:lang w:val="en-US" w:eastAsia="zh-CN"/>
                    </w:rPr>
                    <w:t>租赁厂房</w:t>
                  </w:r>
                </w:p>
              </w:tc>
            </w:tr>
            <w:tr w14:paraId="347F46E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71" w:type="pct"/>
                  <w:vMerge w:val="restart"/>
                  <w:tcBorders>
                    <w:tl2br w:val="nil"/>
                    <w:tr2bl w:val="nil"/>
                  </w:tcBorders>
                  <w:noWrap w:val="0"/>
                  <w:vAlign w:val="center"/>
                </w:tcPr>
                <w:p w14:paraId="2EBD191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eastAsia="宋体" w:cs="宋体"/>
                      <w:color w:val="auto"/>
                      <w:sz w:val="21"/>
                      <w:szCs w:val="21"/>
                      <w:highlight w:val="none"/>
                      <w:lang w:val="en-US" w:eastAsia="zh-CN"/>
                    </w:rPr>
                  </w:pPr>
                  <w:r>
                    <w:rPr>
                      <w:rFonts w:hint="eastAsia" w:eastAsia="宋体" w:cs="宋体"/>
                      <w:color w:val="auto"/>
                      <w:sz w:val="21"/>
                      <w:szCs w:val="21"/>
                      <w:highlight w:val="none"/>
                      <w:lang w:val="en-US" w:eastAsia="zh-CN"/>
                    </w:rPr>
                    <w:t>公用工程</w:t>
                  </w:r>
                </w:p>
              </w:tc>
              <w:tc>
                <w:tcPr>
                  <w:tcW w:w="1156" w:type="pct"/>
                  <w:gridSpan w:val="3"/>
                  <w:tcBorders>
                    <w:tl2br w:val="nil"/>
                    <w:tr2bl w:val="nil"/>
                  </w:tcBorders>
                  <w:noWrap w:val="0"/>
                  <w:vAlign w:val="center"/>
                </w:tcPr>
                <w:p w14:paraId="6C8B048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rPr>
                      <w:rFonts w:hint="eastAsia" w:ascii="Times New Roman" w:hAnsi="Times New Roman" w:eastAsia="宋体" w:cs="宋体"/>
                      <w:color w:val="auto"/>
                      <w:kern w:val="2"/>
                      <w:sz w:val="21"/>
                      <w:szCs w:val="21"/>
                      <w:highlight w:val="none"/>
                      <w:lang w:val="en-US" w:eastAsia="zh-CN" w:bidi="ar-SA"/>
                    </w:rPr>
                  </w:pPr>
                  <w:r>
                    <w:rPr>
                      <w:rFonts w:hint="eastAsia" w:ascii="Times New Roman" w:hAnsi="Times New Roman" w:eastAsia="宋体" w:cs="宋体"/>
                      <w:color w:val="auto"/>
                      <w:sz w:val="21"/>
                      <w:szCs w:val="21"/>
                      <w:highlight w:val="none"/>
                      <w:lang w:val="zh-CN" w:eastAsia="zh-CN"/>
                    </w:rPr>
                    <w:t>供水系统</w:t>
                  </w:r>
                </w:p>
              </w:tc>
              <w:tc>
                <w:tcPr>
                  <w:tcW w:w="2413" w:type="pct"/>
                  <w:tcBorders>
                    <w:tl2br w:val="nil"/>
                    <w:tr2bl w:val="nil"/>
                  </w:tcBorders>
                  <w:noWrap w:val="0"/>
                  <w:vAlign w:val="center"/>
                </w:tcPr>
                <w:p w14:paraId="136C7766">
                  <w:pPr>
                    <w:keepNext w:val="0"/>
                    <w:keepLines w:val="0"/>
                    <w:pageBreakBefore w:val="0"/>
                    <w:suppressLineNumbers w:val="0"/>
                    <w:kinsoku/>
                    <w:wordWrap/>
                    <w:overflowPunct/>
                    <w:topLinePunct w:val="0"/>
                    <w:bidi w:val="0"/>
                    <w:adjustRightInd w:val="0"/>
                    <w:snapToGrid w:val="0"/>
                    <w:spacing w:before="0" w:beforeAutospacing="0" w:after="0" w:afterAutospacing="0" w:line="240" w:lineRule="auto"/>
                    <w:ind w:left="0" w:right="0" w:rightChars="0"/>
                    <w:jc w:val="center"/>
                    <w:textAlignment w:val="auto"/>
                    <w:rPr>
                      <w:rFonts w:hint="eastAsia" w:ascii="Times New Roman" w:hAnsi="Times New Roman" w:eastAsia="宋体" w:cs="宋体"/>
                      <w:color w:val="auto"/>
                      <w:kern w:val="2"/>
                      <w:sz w:val="21"/>
                      <w:szCs w:val="21"/>
                      <w:highlight w:val="none"/>
                      <w:lang w:val="en-US" w:eastAsia="zh-CN" w:bidi="ar-SA"/>
                    </w:rPr>
                  </w:pPr>
                  <w:r>
                    <w:rPr>
                      <w:rFonts w:hint="eastAsia" w:eastAsia="宋体" w:cs="宋体"/>
                      <w:color w:val="auto"/>
                      <w:sz w:val="21"/>
                      <w:szCs w:val="21"/>
                      <w:highlight w:val="none"/>
                      <w:lang w:val="en-US" w:eastAsia="zh-CN"/>
                    </w:rPr>
                    <w:t>市政供</w:t>
                  </w:r>
                  <w:r>
                    <w:rPr>
                      <w:rFonts w:hint="eastAsia" w:cs="宋体"/>
                      <w:color w:val="auto"/>
                      <w:sz w:val="21"/>
                      <w:szCs w:val="21"/>
                      <w:highlight w:val="none"/>
                      <w:lang w:val="en-US" w:eastAsia="zh-CN"/>
                    </w:rPr>
                    <w:t>水</w:t>
                  </w:r>
                </w:p>
              </w:tc>
              <w:tc>
                <w:tcPr>
                  <w:tcW w:w="757" w:type="pct"/>
                  <w:tcBorders>
                    <w:tl2br w:val="nil"/>
                    <w:tr2bl w:val="nil"/>
                  </w:tcBorders>
                  <w:noWrap w:val="0"/>
                  <w:vAlign w:val="center"/>
                </w:tcPr>
                <w:p w14:paraId="5ED172C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rPr>
                      <w:rFonts w:hint="default" w:ascii="Times New Roman" w:hAnsi="Times New Roman" w:eastAsia="宋体" w:cs="宋体"/>
                      <w:color w:val="auto"/>
                      <w:kern w:val="2"/>
                      <w:sz w:val="21"/>
                      <w:szCs w:val="21"/>
                      <w:highlight w:val="none"/>
                      <w:lang w:val="en-US" w:eastAsia="zh-CN" w:bidi="ar-SA"/>
                    </w:rPr>
                  </w:pPr>
                  <w:r>
                    <w:rPr>
                      <w:rFonts w:hint="eastAsia" w:ascii="Times New Roman" w:hAnsi="Times New Roman" w:eastAsia="宋体" w:cs="宋体"/>
                      <w:color w:val="auto"/>
                      <w:kern w:val="2"/>
                      <w:sz w:val="21"/>
                      <w:szCs w:val="21"/>
                      <w:highlight w:val="none"/>
                      <w:lang w:val="en-US" w:eastAsia="zh-CN" w:bidi="ar-SA"/>
                    </w:rPr>
                    <w:t>/</w:t>
                  </w:r>
                </w:p>
              </w:tc>
            </w:tr>
            <w:tr w14:paraId="6C19D4B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71" w:type="pct"/>
                  <w:vMerge w:val="continue"/>
                  <w:tcBorders>
                    <w:tl2br w:val="nil"/>
                    <w:tr2bl w:val="nil"/>
                  </w:tcBorders>
                  <w:noWrap w:val="0"/>
                  <w:vAlign w:val="center"/>
                </w:tcPr>
                <w:p w14:paraId="63CB9EC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eastAsia="宋体" w:cs="宋体"/>
                      <w:color w:val="auto"/>
                      <w:sz w:val="21"/>
                      <w:szCs w:val="21"/>
                      <w:highlight w:val="none"/>
                      <w:lang w:val="en-US" w:eastAsia="zh-CN"/>
                    </w:rPr>
                  </w:pPr>
                </w:p>
              </w:tc>
              <w:tc>
                <w:tcPr>
                  <w:tcW w:w="1156" w:type="pct"/>
                  <w:gridSpan w:val="3"/>
                  <w:tcBorders>
                    <w:tl2br w:val="nil"/>
                    <w:tr2bl w:val="nil"/>
                  </w:tcBorders>
                  <w:noWrap w:val="0"/>
                  <w:vAlign w:val="center"/>
                </w:tcPr>
                <w:p w14:paraId="7E66F66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rPr>
                      <w:rFonts w:hint="eastAsia" w:ascii="Times New Roman" w:hAnsi="Times New Roman" w:eastAsia="宋体" w:cs="宋体"/>
                      <w:color w:val="auto"/>
                      <w:kern w:val="2"/>
                      <w:sz w:val="21"/>
                      <w:szCs w:val="21"/>
                      <w:highlight w:val="none"/>
                      <w:lang w:val="en-US" w:eastAsia="zh-CN" w:bidi="ar-SA"/>
                    </w:rPr>
                  </w:pPr>
                  <w:r>
                    <w:rPr>
                      <w:rFonts w:hint="eastAsia" w:ascii="Times New Roman" w:hAnsi="Times New Roman" w:eastAsia="宋体" w:cs="宋体"/>
                      <w:color w:val="auto"/>
                      <w:sz w:val="21"/>
                      <w:szCs w:val="21"/>
                      <w:highlight w:val="none"/>
                      <w:lang w:val="zh-CN" w:eastAsia="zh-CN"/>
                    </w:rPr>
                    <w:t>供电系统</w:t>
                  </w:r>
                </w:p>
              </w:tc>
              <w:tc>
                <w:tcPr>
                  <w:tcW w:w="2413" w:type="pct"/>
                  <w:tcBorders>
                    <w:tl2br w:val="nil"/>
                    <w:tr2bl w:val="nil"/>
                  </w:tcBorders>
                  <w:noWrap w:val="0"/>
                  <w:vAlign w:val="center"/>
                </w:tcPr>
                <w:p w14:paraId="05F463FD">
                  <w:pPr>
                    <w:keepNext w:val="0"/>
                    <w:keepLines w:val="0"/>
                    <w:pageBreakBefore w:val="0"/>
                    <w:suppressLineNumbers w:val="0"/>
                    <w:kinsoku/>
                    <w:wordWrap/>
                    <w:overflowPunct/>
                    <w:topLinePunct w:val="0"/>
                    <w:bidi w:val="0"/>
                    <w:adjustRightInd w:val="0"/>
                    <w:snapToGrid w:val="0"/>
                    <w:spacing w:before="0" w:beforeAutospacing="0" w:after="0" w:afterAutospacing="0" w:line="240" w:lineRule="auto"/>
                    <w:ind w:left="0" w:right="0" w:rightChars="0"/>
                    <w:jc w:val="center"/>
                    <w:textAlignment w:val="auto"/>
                    <w:rPr>
                      <w:rFonts w:hint="eastAsia" w:ascii="Times New Roman" w:hAnsi="Times New Roman" w:eastAsia="宋体" w:cs="宋体"/>
                      <w:color w:val="auto"/>
                      <w:kern w:val="2"/>
                      <w:sz w:val="21"/>
                      <w:szCs w:val="21"/>
                      <w:highlight w:val="none"/>
                      <w:lang w:val="en-US" w:eastAsia="zh-CN" w:bidi="ar-SA"/>
                    </w:rPr>
                  </w:pPr>
                  <w:r>
                    <w:rPr>
                      <w:rFonts w:hint="eastAsia" w:eastAsia="宋体" w:cs="宋体"/>
                      <w:color w:val="auto"/>
                      <w:sz w:val="21"/>
                      <w:szCs w:val="21"/>
                      <w:highlight w:val="none"/>
                      <w:lang w:val="en-US" w:eastAsia="zh-CN"/>
                    </w:rPr>
                    <w:t>市政供</w:t>
                  </w:r>
                  <w:r>
                    <w:rPr>
                      <w:rFonts w:hint="eastAsia" w:cs="宋体"/>
                      <w:color w:val="auto"/>
                      <w:sz w:val="21"/>
                      <w:szCs w:val="21"/>
                      <w:highlight w:val="none"/>
                      <w:lang w:val="en-US" w:eastAsia="zh-CN"/>
                    </w:rPr>
                    <w:t>电</w:t>
                  </w:r>
                </w:p>
              </w:tc>
              <w:tc>
                <w:tcPr>
                  <w:tcW w:w="757" w:type="pct"/>
                  <w:tcBorders>
                    <w:tl2br w:val="nil"/>
                    <w:tr2bl w:val="nil"/>
                  </w:tcBorders>
                  <w:noWrap w:val="0"/>
                  <w:vAlign w:val="center"/>
                </w:tcPr>
                <w:p w14:paraId="3D3FAB5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rPr>
                      <w:rFonts w:hint="default" w:ascii="Times New Roman" w:hAnsi="Times New Roman" w:eastAsia="宋体" w:cs="宋体"/>
                      <w:color w:val="auto"/>
                      <w:kern w:val="2"/>
                      <w:sz w:val="21"/>
                      <w:szCs w:val="21"/>
                      <w:highlight w:val="none"/>
                      <w:lang w:val="en-US" w:eastAsia="zh-CN" w:bidi="ar-SA"/>
                    </w:rPr>
                  </w:pPr>
                  <w:r>
                    <w:rPr>
                      <w:rFonts w:hint="eastAsia" w:ascii="Times New Roman" w:hAnsi="Times New Roman" w:eastAsia="宋体" w:cs="宋体"/>
                      <w:color w:val="auto"/>
                      <w:kern w:val="2"/>
                      <w:sz w:val="21"/>
                      <w:szCs w:val="21"/>
                      <w:highlight w:val="none"/>
                      <w:lang w:val="en-US" w:eastAsia="zh-CN" w:bidi="ar-SA"/>
                    </w:rPr>
                    <w:t>/</w:t>
                  </w:r>
                </w:p>
              </w:tc>
            </w:tr>
            <w:tr w14:paraId="6D81959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8" w:hRule="atLeast"/>
                <w:jc w:val="center"/>
              </w:trPr>
              <w:tc>
                <w:tcPr>
                  <w:tcW w:w="671" w:type="pct"/>
                  <w:vMerge w:val="continue"/>
                  <w:tcBorders>
                    <w:tl2br w:val="nil"/>
                    <w:tr2bl w:val="nil"/>
                  </w:tcBorders>
                  <w:noWrap w:val="0"/>
                  <w:vAlign w:val="center"/>
                </w:tcPr>
                <w:p w14:paraId="54CE242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宋体" w:cs="宋体"/>
                      <w:color w:val="auto"/>
                      <w:sz w:val="21"/>
                      <w:szCs w:val="21"/>
                      <w:highlight w:val="none"/>
                      <w:lang w:val="zh-CN" w:eastAsia="zh-CN"/>
                    </w:rPr>
                  </w:pPr>
                </w:p>
              </w:tc>
              <w:tc>
                <w:tcPr>
                  <w:tcW w:w="420" w:type="pct"/>
                  <w:vMerge w:val="restart"/>
                  <w:tcBorders>
                    <w:tl2br w:val="nil"/>
                    <w:tr2bl w:val="nil"/>
                  </w:tcBorders>
                  <w:noWrap w:val="0"/>
                  <w:vAlign w:val="center"/>
                </w:tcPr>
                <w:p w14:paraId="2AC2EE1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宋体"/>
                      <w:color w:val="auto"/>
                      <w:sz w:val="21"/>
                      <w:szCs w:val="21"/>
                      <w:highlight w:val="none"/>
                      <w:lang w:val="en-US" w:eastAsia="zh-CN"/>
                    </w:rPr>
                  </w:pPr>
                  <w:r>
                    <w:rPr>
                      <w:rFonts w:hint="eastAsia" w:cs="宋体"/>
                      <w:color w:val="auto"/>
                      <w:sz w:val="21"/>
                      <w:szCs w:val="21"/>
                      <w:highlight w:val="none"/>
                      <w:lang w:val="en-US" w:eastAsia="zh-CN"/>
                    </w:rPr>
                    <w:t>废气</w:t>
                  </w:r>
                </w:p>
              </w:tc>
              <w:tc>
                <w:tcPr>
                  <w:tcW w:w="736" w:type="pct"/>
                  <w:gridSpan w:val="2"/>
                  <w:tcBorders>
                    <w:tl2br w:val="nil"/>
                    <w:tr2bl w:val="nil"/>
                  </w:tcBorders>
                  <w:noWrap w:val="0"/>
                  <w:vAlign w:val="center"/>
                </w:tcPr>
                <w:p w14:paraId="00623C6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cs="宋体"/>
                      <w:color w:val="auto"/>
                      <w:sz w:val="21"/>
                      <w:szCs w:val="21"/>
                      <w:highlight w:val="none"/>
                      <w:lang w:val="en-US" w:eastAsia="zh-CN"/>
                    </w:rPr>
                  </w:pPr>
                  <w:r>
                    <w:rPr>
                      <w:rFonts w:hint="eastAsia" w:cs="宋体"/>
                      <w:color w:val="auto"/>
                      <w:sz w:val="21"/>
                      <w:szCs w:val="21"/>
                      <w:highlight w:val="none"/>
                      <w:lang w:val="en-US" w:eastAsia="zh-CN"/>
                    </w:rPr>
                    <w:t>鞋头打磨粉尘</w:t>
                  </w:r>
                </w:p>
              </w:tc>
              <w:tc>
                <w:tcPr>
                  <w:tcW w:w="2413" w:type="pct"/>
                  <w:tcBorders>
                    <w:tl2br w:val="nil"/>
                    <w:tr2bl w:val="nil"/>
                  </w:tcBorders>
                  <w:noWrap w:val="0"/>
                  <w:vAlign w:val="center"/>
                </w:tcPr>
                <w:p w14:paraId="5D0FD80A">
                  <w:pPr>
                    <w:keepNext w:val="0"/>
                    <w:keepLines w:val="0"/>
                    <w:pageBreakBefore w:val="0"/>
                    <w:suppressLineNumbers w:val="0"/>
                    <w:kinsoku/>
                    <w:wordWrap/>
                    <w:overflowPunct/>
                    <w:topLinePunct w:val="0"/>
                    <w:bidi w:val="0"/>
                    <w:adjustRightInd w:val="0"/>
                    <w:snapToGrid w:val="0"/>
                    <w:spacing w:before="0" w:beforeAutospacing="0" w:after="0" w:afterAutospacing="0" w:line="240" w:lineRule="auto"/>
                    <w:ind w:left="0" w:right="0"/>
                    <w:jc w:val="center"/>
                    <w:textAlignment w:val="auto"/>
                    <w:rPr>
                      <w:rFonts w:hint="eastAsia"/>
                      <w:color w:val="auto"/>
                      <w:highlight w:val="none"/>
                      <w:lang w:val="en-US" w:eastAsia="zh-CN"/>
                    </w:rPr>
                  </w:pPr>
                  <w:r>
                    <w:rPr>
                      <w:rFonts w:hint="eastAsia" w:cs="Times New Roman"/>
                      <w:color w:val="auto"/>
                      <w:sz w:val="21"/>
                      <w:szCs w:val="21"/>
                      <w:lang w:val="en-US" w:eastAsia="zh-CN"/>
                    </w:rPr>
                    <w:t>半密闭集气罩负压收集</w:t>
                  </w:r>
                  <w:r>
                    <w:rPr>
                      <w:rFonts w:hint="eastAsia" w:ascii="Times New Roman" w:hAnsi="Times New Roman" w:eastAsia="宋体" w:cs="Times New Roman"/>
                      <w:color w:val="auto"/>
                      <w:sz w:val="21"/>
                      <w:szCs w:val="21"/>
                      <w:lang w:val="en-US" w:eastAsia="zh-CN"/>
                    </w:rPr>
                    <w:t>+布袋除尘器+15m高排气筒（DA001）</w:t>
                  </w:r>
                </w:p>
              </w:tc>
              <w:tc>
                <w:tcPr>
                  <w:tcW w:w="757" w:type="pct"/>
                  <w:tcBorders>
                    <w:tl2br w:val="nil"/>
                    <w:tr2bl w:val="nil"/>
                  </w:tcBorders>
                  <w:noWrap w:val="0"/>
                  <w:vAlign w:val="center"/>
                </w:tcPr>
                <w:p w14:paraId="452B3BD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cs="宋体"/>
                      <w:color w:val="auto"/>
                      <w:sz w:val="21"/>
                      <w:szCs w:val="21"/>
                      <w:highlight w:val="none"/>
                      <w:lang w:val="en-US" w:eastAsia="zh-CN"/>
                    </w:rPr>
                  </w:pPr>
                  <w:r>
                    <w:rPr>
                      <w:rFonts w:hint="eastAsia" w:cs="宋体"/>
                      <w:color w:val="auto"/>
                      <w:sz w:val="21"/>
                      <w:szCs w:val="21"/>
                      <w:highlight w:val="none"/>
                      <w:lang w:val="en-US" w:eastAsia="zh-CN"/>
                    </w:rPr>
                    <w:t>新建</w:t>
                  </w:r>
                </w:p>
              </w:tc>
            </w:tr>
            <w:tr w14:paraId="50C7E9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8" w:hRule="atLeast"/>
                <w:jc w:val="center"/>
              </w:trPr>
              <w:tc>
                <w:tcPr>
                  <w:tcW w:w="671" w:type="pct"/>
                  <w:vMerge w:val="continue"/>
                  <w:tcBorders>
                    <w:tl2br w:val="nil"/>
                    <w:tr2bl w:val="nil"/>
                  </w:tcBorders>
                  <w:noWrap w:val="0"/>
                  <w:vAlign w:val="center"/>
                </w:tcPr>
                <w:p w14:paraId="5059242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宋体" w:cs="宋体"/>
                      <w:color w:val="auto"/>
                      <w:sz w:val="21"/>
                      <w:szCs w:val="21"/>
                      <w:highlight w:val="none"/>
                      <w:lang w:val="zh-CN" w:eastAsia="zh-CN"/>
                    </w:rPr>
                  </w:pPr>
                </w:p>
              </w:tc>
              <w:tc>
                <w:tcPr>
                  <w:tcW w:w="420" w:type="pct"/>
                  <w:vMerge w:val="continue"/>
                  <w:tcBorders>
                    <w:tl2br w:val="nil"/>
                    <w:tr2bl w:val="nil"/>
                  </w:tcBorders>
                  <w:noWrap w:val="0"/>
                  <w:vAlign w:val="center"/>
                </w:tcPr>
                <w:p w14:paraId="351FA90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宋体" w:cs="宋体"/>
                      <w:color w:val="auto"/>
                      <w:sz w:val="21"/>
                      <w:szCs w:val="21"/>
                      <w:highlight w:val="none"/>
                      <w:lang w:val="zh-CN" w:eastAsia="zh-CN"/>
                    </w:rPr>
                  </w:pPr>
                </w:p>
              </w:tc>
              <w:tc>
                <w:tcPr>
                  <w:tcW w:w="736" w:type="pct"/>
                  <w:gridSpan w:val="2"/>
                  <w:tcBorders>
                    <w:tl2br w:val="nil"/>
                    <w:tr2bl w:val="nil"/>
                  </w:tcBorders>
                  <w:noWrap w:val="0"/>
                  <w:vAlign w:val="center"/>
                </w:tcPr>
                <w:p w14:paraId="3D768A5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cs="宋体"/>
                      <w:color w:val="auto"/>
                      <w:sz w:val="21"/>
                      <w:szCs w:val="21"/>
                      <w:highlight w:val="none"/>
                      <w:lang w:val="en-US" w:eastAsia="zh-CN"/>
                    </w:rPr>
                  </w:pPr>
                  <w:r>
                    <w:rPr>
                      <w:rFonts w:hint="eastAsia" w:cs="宋体"/>
                      <w:color w:val="auto"/>
                      <w:sz w:val="21"/>
                      <w:szCs w:val="21"/>
                      <w:highlight w:val="none"/>
                      <w:lang w:val="en-US" w:eastAsia="zh-CN"/>
                    </w:rPr>
                    <w:t>发泡及脱模有机废气</w:t>
                  </w:r>
                </w:p>
              </w:tc>
              <w:tc>
                <w:tcPr>
                  <w:tcW w:w="2413" w:type="pct"/>
                  <w:tcBorders>
                    <w:tl2br w:val="nil"/>
                    <w:tr2bl w:val="nil"/>
                  </w:tcBorders>
                  <w:noWrap w:val="0"/>
                  <w:vAlign w:val="center"/>
                </w:tcPr>
                <w:p w14:paraId="65CD4AC7">
                  <w:pPr>
                    <w:keepNext w:val="0"/>
                    <w:keepLines w:val="0"/>
                    <w:pageBreakBefore w:val="0"/>
                    <w:suppressLineNumbers w:val="0"/>
                    <w:kinsoku/>
                    <w:wordWrap/>
                    <w:overflowPunct/>
                    <w:topLinePunct w:val="0"/>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半密闭集气罩负压收集</w:t>
                  </w:r>
                  <w:r>
                    <w:rPr>
                      <w:rFonts w:hint="eastAsia" w:ascii="Times New Roman" w:hAnsi="Times New Roman" w:eastAsia="宋体" w:cs="Times New Roman"/>
                      <w:color w:val="auto"/>
                      <w:sz w:val="21"/>
                      <w:szCs w:val="21"/>
                      <w:lang w:val="en-US" w:eastAsia="zh-CN"/>
                    </w:rPr>
                    <w:t>+</w:t>
                  </w:r>
                  <w:r>
                    <w:rPr>
                      <w:rFonts w:hint="eastAsia" w:cs="Times New Roman"/>
                      <w:color w:val="auto"/>
                      <w:sz w:val="21"/>
                      <w:szCs w:val="21"/>
                      <w:lang w:val="en-US" w:eastAsia="zh-CN"/>
                    </w:rPr>
                    <w:t>五级活性炭</w:t>
                  </w:r>
                  <w:r>
                    <w:rPr>
                      <w:rFonts w:hint="eastAsia" w:ascii="Times New Roman" w:hAnsi="Times New Roman" w:eastAsia="宋体" w:cs="Times New Roman"/>
                      <w:color w:val="auto"/>
                      <w:sz w:val="21"/>
                      <w:szCs w:val="21"/>
                      <w:lang w:val="en-US" w:eastAsia="zh-CN"/>
                    </w:rPr>
                    <w:t>吸附+15m高排气筒（DA002）</w:t>
                  </w:r>
                </w:p>
              </w:tc>
              <w:tc>
                <w:tcPr>
                  <w:tcW w:w="757" w:type="pct"/>
                  <w:tcBorders>
                    <w:tl2br w:val="nil"/>
                    <w:tr2bl w:val="nil"/>
                  </w:tcBorders>
                  <w:noWrap w:val="0"/>
                  <w:vAlign w:val="center"/>
                </w:tcPr>
                <w:p w14:paraId="070BED4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cs="宋体"/>
                      <w:color w:val="auto"/>
                      <w:sz w:val="21"/>
                      <w:szCs w:val="21"/>
                      <w:highlight w:val="none"/>
                      <w:lang w:val="en-US" w:eastAsia="zh-CN"/>
                    </w:rPr>
                  </w:pPr>
                  <w:r>
                    <w:rPr>
                      <w:rFonts w:hint="eastAsia" w:cs="宋体"/>
                      <w:color w:val="auto"/>
                      <w:sz w:val="21"/>
                      <w:szCs w:val="21"/>
                      <w:highlight w:val="none"/>
                      <w:lang w:val="en-US" w:eastAsia="zh-CN"/>
                    </w:rPr>
                    <w:t>新建</w:t>
                  </w:r>
                </w:p>
              </w:tc>
            </w:tr>
            <w:tr w14:paraId="6772800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8" w:hRule="atLeast"/>
                <w:jc w:val="center"/>
              </w:trPr>
              <w:tc>
                <w:tcPr>
                  <w:tcW w:w="671" w:type="pct"/>
                  <w:vMerge w:val="continue"/>
                  <w:tcBorders>
                    <w:tl2br w:val="nil"/>
                    <w:tr2bl w:val="nil"/>
                  </w:tcBorders>
                  <w:noWrap w:val="0"/>
                  <w:vAlign w:val="center"/>
                </w:tcPr>
                <w:p w14:paraId="11EE67F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宋体" w:cs="宋体"/>
                      <w:color w:val="auto"/>
                      <w:sz w:val="21"/>
                      <w:szCs w:val="21"/>
                      <w:highlight w:val="none"/>
                      <w:lang w:val="zh-CN" w:eastAsia="zh-CN"/>
                    </w:rPr>
                  </w:pPr>
                </w:p>
              </w:tc>
              <w:tc>
                <w:tcPr>
                  <w:tcW w:w="420" w:type="pct"/>
                  <w:vMerge w:val="continue"/>
                  <w:tcBorders>
                    <w:tl2br w:val="nil"/>
                    <w:tr2bl w:val="nil"/>
                  </w:tcBorders>
                  <w:noWrap w:val="0"/>
                  <w:vAlign w:val="center"/>
                </w:tcPr>
                <w:p w14:paraId="0846DF9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宋体" w:cs="宋体"/>
                      <w:color w:val="auto"/>
                      <w:sz w:val="21"/>
                      <w:szCs w:val="21"/>
                      <w:highlight w:val="none"/>
                      <w:lang w:val="zh-CN" w:eastAsia="zh-CN"/>
                    </w:rPr>
                  </w:pPr>
                </w:p>
              </w:tc>
              <w:tc>
                <w:tcPr>
                  <w:tcW w:w="736" w:type="pct"/>
                  <w:gridSpan w:val="2"/>
                  <w:tcBorders>
                    <w:tl2br w:val="nil"/>
                    <w:tr2bl w:val="nil"/>
                  </w:tcBorders>
                  <w:noWrap w:val="0"/>
                  <w:vAlign w:val="center"/>
                </w:tcPr>
                <w:p w14:paraId="6F9B29D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rPr>
                      <w:rFonts w:hint="default" w:cs="宋体"/>
                      <w:color w:val="auto"/>
                      <w:sz w:val="21"/>
                      <w:szCs w:val="21"/>
                      <w:highlight w:val="none"/>
                      <w:lang w:val="en-US" w:eastAsia="zh-CN"/>
                    </w:rPr>
                  </w:pPr>
                  <w:r>
                    <w:rPr>
                      <w:rFonts w:hint="eastAsia" w:cs="宋体"/>
                      <w:color w:val="auto"/>
                      <w:sz w:val="21"/>
                      <w:szCs w:val="21"/>
                      <w:highlight w:val="none"/>
                      <w:lang w:val="en-US" w:eastAsia="zh-CN"/>
                    </w:rPr>
                    <w:t>PVC注塑投料粉尘</w:t>
                  </w:r>
                </w:p>
              </w:tc>
              <w:tc>
                <w:tcPr>
                  <w:tcW w:w="2413" w:type="pct"/>
                  <w:tcBorders>
                    <w:tl2br w:val="nil"/>
                    <w:tr2bl w:val="nil"/>
                  </w:tcBorders>
                  <w:noWrap w:val="0"/>
                  <w:vAlign w:val="center"/>
                </w:tcPr>
                <w:p w14:paraId="0048BA2F">
                  <w:pPr>
                    <w:keepNext w:val="0"/>
                    <w:keepLines w:val="0"/>
                    <w:pageBreakBefore w:val="0"/>
                    <w:suppressLineNumbers w:val="0"/>
                    <w:kinsoku/>
                    <w:wordWrap/>
                    <w:overflowPunct/>
                    <w:topLinePunct w:val="0"/>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半密闭集气罩负压收集</w:t>
                  </w:r>
                  <w:r>
                    <w:rPr>
                      <w:rFonts w:hint="eastAsia" w:ascii="Times New Roman" w:hAnsi="Times New Roman" w:eastAsia="宋体" w:cs="Times New Roman"/>
                      <w:color w:val="auto"/>
                      <w:sz w:val="21"/>
                      <w:szCs w:val="21"/>
                      <w:lang w:val="en-US" w:eastAsia="zh-CN"/>
                    </w:rPr>
                    <w:t>+布袋除尘器+15m高排气筒（DA001）</w:t>
                  </w:r>
                </w:p>
              </w:tc>
              <w:tc>
                <w:tcPr>
                  <w:tcW w:w="757" w:type="pct"/>
                  <w:tcBorders>
                    <w:tl2br w:val="nil"/>
                    <w:tr2bl w:val="nil"/>
                  </w:tcBorders>
                  <w:noWrap w:val="0"/>
                  <w:vAlign w:val="center"/>
                </w:tcPr>
                <w:p w14:paraId="3C30BC8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rPr>
                      <w:rFonts w:hint="eastAsia" w:cs="宋体"/>
                      <w:color w:val="auto"/>
                      <w:sz w:val="21"/>
                      <w:szCs w:val="21"/>
                      <w:highlight w:val="none"/>
                      <w:lang w:val="en-US" w:eastAsia="zh-CN"/>
                    </w:rPr>
                  </w:pPr>
                  <w:r>
                    <w:rPr>
                      <w:rFonts w:hint="eastAsia" w:cs="宋体"/>
                      <w:color w:val="auto"/>
                      <w:sz w:val="21"/>
                      <w:szCs w:val="21"/>
                      <w:highlight w:val="none"/>
                      <w:lang w:val="en-US" w:eastAsia="zh-CN"/>
                    </w:rPr>
                    <w:t>新建</w:t>
                  </w:r>
                </w:p>
              </w:tc>
            </w:tr>
            <w:tr w14:paraId="093B65A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8" w:hRule="atLeast"/>
                <w:jc w:val="center"/>
              </w:trPr>
              <w:tc>
                <w:tcPr>
                  <w:tcW w:w="671" w:type="pct"/>
                  <w:vMerge w:val="continue"/>
                  <w:tcBorders>
                    <w:tl2br w:val="nil"/>
                    <w:tr2bl w:val="nil"/>
                  </w:tcBorders>
                  <w:noWrap w:val="0"/>
                  <w:vAlign w:val="center"/>
                </w:tcPr>
                <w:p w14:paraId="5870357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宋体" w:cs="宋体"/>
                      <w:color w:val="auto"/>
                      <w:sz w:val="21"/>
                      <w:szCs w:val="21"/>
                      <w:highlight w:val="none"/>
                      <w:lang w:val="zh-CN" w:eastAsia="zh-CN"/>
                    </w:rPr>
                  </w:pPr>
                </w:p>
              </w:tc>
              <w:tc>
                <w:tcPr>
                  <w:tcW w:w="420" w:type="pct"/>
                  <w:vMerge w:val="continue"/>
                  <w:tcBorders>
                    <w:tl2br w:val="nil"/>
                    <w:tr2bl w:val="nil"/>
                  </w:tcBorders>
                  <w:noWrap w:val="0"/>
                  <w:vAlign w:val="center"/>
                </w:tcPr>
                <w:p w14:paraId="15CC65C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宋体" w:cs="宋体"/>
                      <w:color w:val="auto"/>
                      <w:sz w:val="21"/>
                      <w:szCs w:val="21"/>
                      <w:highlight w:val="none"/>
                      <w:lang w:val="zh-CN" w:eastAsia="zh-CN"/>
                    </w:rPr>
                  </w:pPr>
                </w:p>
              </w:tc>
              <w:tc>
                <w:tcPr>
                  <w:tcW w:w="736" w:type="pct"/>
                  <w:gridSpan w:val="2"/>
                  <w:tcBorders>
                    <w:tl2br w:val="nil"/>
                    <w:tr2bl w:val="nil"/>
                  </w:tcBorders>
                  <w:noWrap w:val="0"/>
                  <w:vAlign w:val="center"/>
                </w:tcPr>
                <w:p w14:paraId="5D6FEE1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rPr>
                      <w:rFonts w:hint="eastAsia" w:cs="宋体"/>
                      <w:color w:val="auto"/>
                      <w:sz w:val="21"/>
                      <w:szCs w:val="21"/>
                      <w:highlight w:val="none"/>
                      <w:lang w:val="en-US" w:eastAsia="zh-CN"/>
                    </w:rPr>
                  </w:pPr>
                  <w:r>
                    <w:rPr>
                      <w:rFonts w:hint="eastAsia" w:cs="宋体"/>
                      <w:color w:val="auto"/>
                      <w:sz w:val="21"/>
                      <w:szCs w:val="21"/>
                      <w:highlight w:val="none"/>
                      <w:lang w:val="en-US" w:eastAsia="zh-CN"/>
                    </w:rPr>
                    <w:t>PVC注塑有机废气</w:t>
                  </w:r>
                </w:p>
              </w:tc>
              <w:tc>
                <w:tcPr>
                  <w:tcW w:w="2413" w:type="pct"/>
                  <w:tcBorders>
                    <w:tl2br w:val="nil"/>
                    <w:tr2bl w:val="nil"/>
                  </w:tcBorders>
                  <w:noWrap w:val="0"/>
                  <w:vAlign w:val="center"/>
                </w:tcPr>
                <w:p w14:paraId="14B4B124">
                  <w:pPr>
                    <w:keepNext w:val="0"/>
                    <w:keepLines w:val="0"/>
                    <w:pageBreakBefore w:val="0"/>
                    <w:suppressLineNumbers w:val="0"/>
                    <w:kinsoku/>
                    <w:wordWrap/>
                    <w:overflowPunct/>
                    <w:topLinePunct w:val="0"/>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半密闭集气罩负压收集</w:t>
                  </w:r>
                  <w:r>
                    <w:rPr>
                      <w:rFonts w:hint="eastAsia" w:ascii="Times New Roman" w:hAnsi="Times New Roman" w:eastAsia="宋体" w:cs="Times New Roman"/>
                      <w:color w:val="auto"/>
                      <w:sz w:val="21"/>
                      <w:szCs w:val="21"/>
                      <w:lang w:val="en-US" w:eastAsia="zh-CN"/>
                    </w:rPr>
                    <w:t>+</w:t>
                  </w:r>
                  <w:r>
                    <w:rPr>
                      <w:rFonts w:hint="eastAsia" w:cs="Times New Roman"/>
                      <w:color w:val="auto"/>
                      <w:sz w:val="21"/>
                      <w:szCs w:val="21"/>
                      <w:lang w:val="en-US" w:eastAsia="zh-CN"/>
                    </w:rPr>
                    <w:t>五级活性炭</w:t>
                  </w:r>
                  <w:r>
                    <w:rPr>
                      <w:rFonts w:hint="eastAsia" w:ascii="Times New Roman" w:hAnsi="Times New Roman" w:eastAsia="宋体" w:cs="Times New Roman"/>
                      <w:color w:val="auto"/>
                      <w:sz w:val="21"/>
                      <w:szCs w:val="21"/>
                      <w:lang w:val="en-US" w:eastAsia="zh-CN"/>
                    </w:rPr>
                    <w:t>吸附+15m高排气筒（DA00</w:t>
                  </w:r>
                  <w:r>
                    <w:rPr>
                      <w:rFonts w:hint="eastAsia" w:cs="Times New Roman"/>
                      <w:color w:val="auto"/>
                      <w:sz w:val="21"/>
                      <w:szCs w:val="21"/>
                      <w:lang w:val="en-US" w:eastAsia="zh-CN"/>
                    </w:rPr>
                    <w:t>3</w:t>
                  </w:r>
                  <w:r>
                    <w:rPr>
                      <w:rFonts w:hint="eastAsia" w:ascii="Times New Roman" w:hAnsi="Times New Roman" w:eastAsia="宋体" w:cs="Times New Roman"/>
                      <w:color w:val="auto"/>
                      <w:sz w:val="21"/>
                      <w:szCs w:val="21"/>
                      <w:lang w:val="en-US" w:eastAsia="zh-CN"/>
                    </w:rPr>
                    <w:t>）</w:t>
                  </w:r>
                </w:p>
              </w:tc>
              <w:tc>
                <w:tcPr>
                  <w:tcW w:w="757" w:type="pct"/>
                  <w:tcBorders>
                    <w:tl2br w:val="nil"/>
                    <w:tr2bl w:val="nil"/>
                  </w:tcBorders>
                  <w:noWrap w:val="0"/>
                  <w:vAlign w:val="center"/>
                </w:tcPr>
                <w:p w14:paraId="01EA338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rPr>
                      <w:rFonts w:hint="eastAsia" w:cs="宋体"/>
                      <w:color w:val="auto"/>
                      <w:sz w:val="21"/>
                      <w:szCs w:val="21"/>
                      <w:highlight w:val="none"/>
                      <w:lang w:val="en-US" w:eastAsia="zh-CN"/>
                    </w:rPr>
                  </w:pPr>
                  <w:r>
                    <w:rPr>
                      <w:rFonts w:hint="eastAsia" w:cs="宋体"/>
                      <w:color w:val="auto"/>
                      <w:sz w:val="21"/>
                      <w:szCs w:val="21"/>
                      <w:highlight w:val="none"/>
                      <w:lang w:val="en-US" w:eastAsia="zh-CN"/>
                    </w:rPr>
                    <w:t>新建</w:t>
                  </w:r>
                </w:p>
              </w:tc>
            </w:tr>
            <w:tr w14:paraId="7D57DE1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8" w:hRule="atLeast"/>
                <w:jc w:val="center"/>
              </w:trPr>
              <w:tc>
                <w:tcPr>
                  <w:tcW w:w="671" w:type="pct"/>
                  <w:vMerge w:val="continue"/>
                  <w:tcBorders>
                    <w:tl2br w:val="nil"/>
                    <w:tr2bl w:val="nil"/>
                  </w:tcBorders>
                  <w:noWrap w:val="0"/>
                  <w:vAlign w:val="center"/>
                </w:tcPr>
                <w:p w14:paraId="34894DF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宋体" w:cs="宋体"/>
                      <w:color w:val="auto"/>
                      <w:sz w:val="21"/>
                      <w:szCs w:val="21"/>
                      <w:highlight w:val="none"/>
                      <w:lang w:val="zh-CN" w:eastAsia="zh-CN"/>
                    </w:rPr>
                  </w:pPr>
                </w:p>
              </w:tc>
              <w:tc>
                <w:tcPr>
                  <w:tcW w:w="420" w:type="pct"/>
                  <w:vMerge w:val="continue"/>
                  <w:tcBorders>
                    <w:tl2br w:val="nil"/>
                    <w:tr2bl w:val="nil"/>
                  </w:tcBorders>
                  <w:noWrap w:val="0"/>
                  <w:vAlign w:val="center"/>
                </w:tcPr>
                <w:p w14:paraId="43A0324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宋体" w:cs="宋体"/>
                      <w:color w:val="auto"/>
                      <w:sz w:val="21"/>
                      <w:szCs w:val="21"/>
                      <w:highlight w:val="none"/>
                      <w:lang w:val="zh-CN" w:eastAsia="zh-CN"/>
                    </w:rPr>
                  </w:pPr>
                </w:p>
              </w:tc>
              <w:tc>
                <w:tcPr>
                  <w:tcW w:w="736" w:type="pct"/>
                  <w:gridSpan w:val="2"/>
                  <w:tcBorders>
                    <w:tl2br w:val="nil"/>
                    <w:tr2bl w:val="nil"/>
                  </w:tcBorders>
                  <w:noWrap w:val="0"/>
                  <w:vAlign w:val="center"/>
                </w:tcPr>
                <w:p w14:paraId="20076D8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cs="宋体"/>
                      <w:color w:val="auto"/>
                      <w:sz w:val="21"/>
                      <w:szCs w:val="21"/>
                      <w:highlight w:val="none"/>
                      <w:lang w:val="en-US" w:eastAsia="zh-CN"/>
                    </w:rPr>
                  </w:pPr>
                  <w:r>
                    <w:rPr>
                      <w:rFonts w:hint="eastAsia" w:cs="宋体"/>
                      <w:color w:val="auto"/>
                      <w:sz w:val="21"/>
                      <w:szCs w:val="21"/>
                      <w:highlight w:val="none"/>
                      <w:lang w:val="en-US" w:eastAsia="zh-CN"/>
                    </w:rPr>
                    <w:t>表面处理、刷胶及烘干有机废气</w:t>
                  </w:r>
                </w:p>
              </w:tc>
              <w:tc>
                <w:tcPr>
                  <w:tcW w:w="2413" w:type="pct"/>
                  <w:tcBorders>
                    <w:tl2br w:val="nil"/>
                    <w:tr2bl w:val="nil"/>
                  </w:tcBorders>
                  <w:noWrap w:val="0"/>
                  <w:vAlign w:val="center"/>
                </w:tcPr>
                <w:p w14:paraId="77875CB5">
                  <w:pPr>
                    <w:keepNext w:val="0"/>
                    <w:keepLines w:val="0"/>
                    <w:pageBreakBefore w:val="0"/>
                    <w:suppressLineNumbers w:val="0"/>
                    <w:kinsoku/>
                    <w:wordWrap/>
                    <w:overflowPunct/>
                    <w:topLinePunct w:val="0"/>
                    <w:bidi w:val="0"/>
                    <w:adjustRightInd w:val="0"/>
                    <w:snapToGrid w:val="0"/>
                    <w:spacing w:before="0" w:beforeAutospacing="0" w:after="0" w:afterAutospacing="0" w:line="240" w:lineRule="auto"/>
                    <w:ind w:left="0" w:right="0"/>
                    <w:jc w:val="center"/>
                    <w:textAlignment w:val="auto"/>
                    <w:rPr>
                      <w:rFonts w:hint="eastAsia"/>
                      <w:color w:val="auto"/>
                      <w:highlight w:val="none"/>
                      <w:lang w:val="en-US" w:eastAsia="zh-CN"/>
                    </w:rPr>
                  </w:pPr>
                  <w:r>
                    <w:rPr>
                      <w:rFonts w:hint="eastAsia" w:cs="Times New Roman"/>
                      <w:color w:val="auto"/>
                      <w:sz w:val="21"/>
                      <w:szCs w:val="21"/>
                      <w:lang w:val="en-US" w:eastAsia="zh-CN"/>
                    </w:rPr>
                    <w:t>半密闭集气罩负压收集</w:t>
                  </w:r>
                  <w:r>
                    <w:rPr>
                      <w:rFonts w:hint="eastAsia" w:ascii="Times New Roman" w:hAnsi="Times New Roman" w:eastAsia="宋体" w:cs="Times New Roman"/>
                      <w:color w:val="auto"/>
                      <w:sz w:val="21"/>
                      <w:szCs w:val="21"/>
                      <w:lang w:val="en-US" w:eastAsia="zh-CN"/>
                    </w:rPr>
                    <w:t>+</w:t>
                  </w:r>
                  <w:r>
                    <w:rPr>
                      <w:rFonts w:hint="eastAsia" w:cs="Times New Roman"/>
                      <w:color w:val="auto"/>
                      <w:sz w:val="21"/>
                      <w:szCs w:val="21"/>
                      <w:lang w:val="en-US" w:eastAsia="zh-CN"/>
                    </w:rPr>
                    <w:t>五级活性炭</w:t>
                  </w:r>
                  <w:r>
                    <w:rPr>
                      <w:rFonts w:hint="eastAsia" w:ascii="Times New Roman" w:hAnsi="Times New Roman" w:eastAsia="宋体" w:cs="Times New Roman"/>
                      <w:color w:val="auto"/>
                      <w:sz w:val="21"/>
                      <w:szCs w:val="21"/>
                      <w:lang w:val="en-US" w:eastAsia="zh-CN"/>
                    </w:rPr>
                    <w:t>吸附+15m高排气筒（DA00</w:t>
                  </w:r>
                  <w:r>
                    <w:rPr>
                      <w:rFonts w:hint="eastAsia" w:cs="Times New Roman"/>
                      <w:color w:val="auto"/>
                      <w:sz w:val="21"/>
                      <w:szCs w:val="21"/>
                      <w:lang w:val="en-US" w:eastAsia="zh-CN"/>
                    </w:rPr>
                    <w:t>4</w:t>
                  </w:r>
                  <w:r>
                    <w:rPr>
                      <w:rFonts w:hint="eastAsia" w:ascii="Times New Roman" w:hAnsi="Times New Roman" w:eastAsia="宋体" w:cs="Times New Roman"/>
                      <w:color w:val="auto"/>
                      <w:sz w:val="21"/>
                      <w:szCs w:val="21"/>
                      <w:lang w:val="en-US" w:eastAsia="zh-CN"/>
                    </w:rPr>
                    <w:t>）</w:t>
                  </w:r>
                </w:p>
              </w:tc>
              <w:tc>
                <w:tcPr>
                  <w:tcW w:w="757" w:type="pct"/>
                  <w:tcBorders>
                    <w:tl2br w:val="nil"/>
                    <w:tr2bl w:val="nil"/>
                  </w:tcBorders>
                  <w:noWrap w:val="0"/>
                  <w:vAlign w:val="center"/>
                </w:tcPr>
                <w:p w14:paraId="4DA02EC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cs="宋体"/>
                      <w:color w:val="auto"/>
                      <w:sz w:val="21"/>
                      <w:szCs w:val="21"/>
                      <w:highlight w:val="none"/>
                      <w:lang w:val="en-US" w:eastAsia="zh-CN"/>
                    </w:rPr>
                  </w:pPr>
                  <w:r>
                    <w:rPr>
                      <w:rFonts w:hint="eastAsia" w:cs="宋体"/>
                      <w:color w:val="auto"/>
                      <w:sz w:val="21"/>
                      <w:szCs w:val="21"/>
                      <w:highlight w:val="none"/>
                      <w:lang w:val="en-US" w:eastAsia="zh-CN"/>
                    </w:rPr>
                    <w:t>新建</w:t>
                  </w:r>
                </w:p>
              </w:tc>
            </w:tr>
            <w:tr w14:paraId="3C78374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8" w:hRule="atLeast"/>
                <w:jc w:val="center"/>
              </w:trPr>
              <w:tc>
                <w:tcPr>
                  <w:tcW w:w="671" w:type="pct"/>
                  <w:vMerge w:val="continue"/>
                  <w:tcBorders>
                    <w:tl2br w:val="nil"/>
                    <w:tr2bl w:val="nil"/>
                  </w:tcBorders>
                  <w:noWrap w:val="0"/>
                  <w:vAlign w:val="center"/>
                </w:tcPr>
                <w:p w14:paraId="49CCD83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宋体" w:cs="宋体"/>
                      <w:color w:val="auto"/>
                      <w:sz w:val="21"/>
                      <w:szCs w:val="21"/>
                      <w:highlight w:val="none"/>
                      <w:lang w:val="zh-CN" w:eastAsia="zh-CN"/>
                    </w:rPr>
                  </w:pPr>
                </w:p>
              </w:tc>
              <w:tc>
                <w:tcPr>
                  <w:tcW w:w="420" w:type="pct"/>
                  <w:vMerge w:val="continue"/>
                  <w:tcBorders>
                    <w:tl2br w:val="nil"/>
                    <w:tr2bl w:val="nil"/>
                  </w:tcBorders>
                  <w:noWrap w:val="0"/>
                  <w:vAlign w:val="center"/>
                </w:tcPr>
                <w:p w14:paraId="76906B3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宋体" w:cs="宋体"/>
                      <w:color w:val="auto"/>
                      <w:sz w:val="21"/>
                      <w:szCs w:val="21"/>
                      <w:highlight w:val="none"/>
                      <w:lang w:val="zh-CN" w:eastAsia="zh-CN"/>
                    </w:rPr>
                  </w:pPr>
                </w:p>
              </w:tc>
              <w:tc>
                <w:tcPr>
                  <w:tcW w:w="736" w:type="pct"/>
                  <w:gridSpan w:val="2"/>
                  <w:tcBorders>
                    <w:tl2br w:val="nil"/>
                    <w:tr2bl w:val="nil"/>
                  </w:tcBorders>
                  <w:noWrap w:val="0"/>
                  <w:vAlign w:val="center"/>
                </w:tcPr>
                <w:p w14:paraId="607DB0A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cs="宋体"/>
                      <w:color w:val="auto"/>
                      <w:sz w:val="21"/>
                      <w:szCs w:val="21"/>
                      <w:highlight w:val="none"/>
                      <w:lang w:val="en-US" w:eastAsia="zh-CN"/>
                    </w:rPr>
                  </w:pPr>
                  <w:r>
                    <w:rPr>
                      <w:rFonts w:hint="eastAsia" w:cs="宋体"/>
                      <w:color w:val="auto"/>
                      <w:sz w:val="21"/>
                      <w:szCs w:val="21"/>
                      <w:highlight w:val="none"/>
                      <w:lang w:val="en-US" w:eastAsia="zh-CN"/>
                    </w:rPr>
                    <w:t>丝网印花、台面胶及晾干有机废气</w:t>
                  </w:r>
                </w:p>
              </w:tc>
              <w:tc>
                <w:tcPr>
                  <w:tcW w:w="2413" w:type="pct"/>
                  <w:tcBorders>
                    <w:tl2br w:val="nil"/>
                    <w:tr2bl w:val="nil"/>
                  </w:tcBorders>
                  <w:noWrap w:val="0"/>
                  <w:vAlign w:val="center"/>
                </w:tcPr>
                <w:p w14:paraId="7D148B64">
                  <w:pPr>
                    <w:keepNext w:val="0"/>
                    <w:keepLines w:val="0"/>
                    <w:pageBreakBefore w:val="0"/>
                    <w:suppressLineNumbers w:val="0"/>
                    <w:kinsoku/>
                    <w:wordWrap/>
                    <w:overflowPunct/>
                    <w:topLinePunct w:val="0"/>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加强车间通风，无组织排放</w:t>
                  </w:r>
                </w:p>
              </w:tc>
              <w:tc>
                <w:tcPr>
                  <w:tcW w:w="757" w:type="pct"/>
                  <w:tcBorders>
                    <w:tl2br w:val="nil"/>
                    <w:tr2bl w:val="nil"/>
                  </w:tcBorders>
                  <w:noWrap w:val="0"/>
                  <w:vAlign w:val="center"/>
                </w:tcPr>
                <w:p w14:paraId="22F31B4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cs="宋体"/>
                      <w:color w:val="auto"/>
                      <w:sz w:val="21"/>
                      <w:szCs w:val="21"/>
                      <w:highlight w:val="none"/>
                      <w:lang w:val="en-US" w:eastAsia="zh-CN"/>
                    </w:rPr>
                  </w:pPr>
                  <w:r>
                    <w:rPr>
                      <w:rFonts w:hint="eastAsia" w:cs="宋体"/>
                      <w:color w:val="auto"/>
                      <w:sz w:val="21"/>
                      <w:szCs w:val="21"/>
                      <w:highlight w:val="none"/>
                      <w:lang w:val="en-US" w:eastAsia="zh-CN"/>
                    </w:rPr>
                    <w:t>新建</w:t>
                  </w:r>
                </w:p>
              </w:tc>
            </w:tr>
            <w:tr w14:paraId="1126450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71" w:type="pct"/>
                  <w:vMerge w:val="continue"/>
                  <w:tcBorders>
                    <w:tl2br w:val="nil"/>
                    <w:tr2bl w:val="nil"/>
                  </w:tcBorders>
                  <w:noWrap w:val="0"/>
                  <w:vAlign w:val="center"/>
                </w:tcPr>
                <w:p w14:paraId="069FC2F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宋体" w:cs="宋体"/>
                      <w:color w:val="auto"/>
                      <w:sz w:val="21"/>
                      <w:szCs w:val="21"/>
                      <w:highlight w:val="none"/>
                      <w:lang w:val="zh-CN" w:eastAsia="zh-CN"/>
                    </w:rPr>
                  </w:pPr>
                </w:p>
              </w:tc>
              <w:tc>
                <w:tcPr>
                  <w:tcW w:w="420" w:type="pct"/>
                  <w:vMerge w:val="restart"/>
                  <w:tcBorders>
                    <w:tl2br w:val="nil"/>
                    <w:tr2bl w:val="nil"/>
                  </w:tcBorders>
                  <w:noWrap w:val="0"/>
                  <w:vAlign w:val="center"/>
                </w:tcPr>
                <w:p w14:paraId="4AC03C3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宋体" w:cs="宋体"/>
                      <w:color w:val="auto"/>
                      <w:sz w:val="21"/>
                      <w:szCs w:val="21"/>
                      <w:highlight w:val="none"/>
                      <w:lang w:val="zh-CN" w:eastAsia="zh-CN"/>
                    </w:rPr>
                  </w:pPr>
                  <w:r>
                    <w:rPr>
                      <w:rFonts w:hint="eastAsia" w:ascii="Times New Roman" w:hAnsi="Times New Roman" w:eastAsia="宋体" w:cs="宋体"/>
                      <w:color w:val="auto"/>
                      <w:sz w:val="21"/>
                      <w:szCs w:val="21"/>
                      <w:highlight w:val="none"/>
                      <w:lang w:val="zh-CN" w:eastAsia="zh-CN"/>
                    </w:rPr>
                    <w:t>废水</w:t>
                  </w:r>
                </w:p>
              </w:tc>
              <w:tc>
                <w:tcPr>
                  <w:tcW w:w="253" w:type="pct"/>
                  <w:vMerge w:val="restart"/>
                  <w:tcBorders>
                    <w:tl2br w:val="nil"/>
                    <w:tr2bl w:val="nil"/>
                  </w:tcBorders>
                  <w:noWrap w:val="0"/>
                  <w:vAlign w:val="center"/>
                </w:tcPr>
                <w:p w14:paraId="610D425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宋体"/>
                      <w:color w:val="auto"/>
                      <w:sz w:val="21"/>
                      <w:szCs w:val="21"/>
                      <w:highlight w:val="none"/>
                      <w:lang w:val="en-US" w:eastAsia="zh-CN"/>
                    </w:rPr>
                  </w:pPr>
                  <w:r>
                    <w:rPr>
                      <w:rFonts w:hint="eastAsia" w:eastAsia="宋体" w:cs="宋体"/>
                      <w:color w:val="auto"/>
                      <w:sz w:val="21"/>
                      <w:szCs w:val="21"/>
                      <w:highlight w:val="none"/>
                      <w:lang w:val="en-US" w:eastAsia="zh-CN"/>
                    </w:rPr>
                    <w:t>生产废水</w:t>
                  </w:r>
                </w:p>
              </w:tc>
              <w:tc>
                <w:tcPr>
                  <w:tcW w:w="483" w:type="pct"/>
                  <w:tcBorders>
                    <w:tl2br w:val="nil"/>
                    <w:tr2bl w:val="nil"/>
                  </w:tcBorders>
                  <w:noWrap w:val="0"/>
                  <w:vAlign w:val="center"/>
                </w:tcPr>
                <w:p w14:paraId="44F8667E">
                  <w:pPr>
                    <w:keepNext w:val="0"/>
                    <w:keepLines w:val="0"/>
                    <w:widowControl/>
                    <w:suppressLineNumbers w:val="0"/>
                    <w:spacing w:before="0" w:beforeAutospacing="0" w:after="0" w:afterAutospacing="0"/>
                    <w:ind w:left="0" w:right="0"/>
                    <w:jc w:val="center"/>
                    <w:rPr>
                      <w:rFonts w:hint="default" w:eastAsia="宋体" w:cs="宋体"/>
                      <w:color w:val="auto"/>
                      <w:sz w:val="21"/>
                      <w:szCs w:val="21"/>
                      <w:highlight w:val="none"/>
                      <w:lang w:val="en-US" w:eastAsia="zh-CN"/>
                    </w:rPr>
                  </w:pPr>
                  <w:r>
                    <w:rPr>
                      <w:rFonts w:hint="eastAsia" w:ascii="宋体" w:hAnsi="宋体" w:eastAsia="宋体" w:cs="宋体"/>
                      <w:color w:val="auto"/>
                      <w:kern w:val="0"/>
                      <w:sz w:val="21"/>
                      <w:szCs w:val="21"/>
                      <w:lang w:val="en-US" w:eastAsia="zh-CN" w:bidi="ar"/>
                    </w:rPr>
                    <w:t>网板清洗废水</w:t>
                  </w:r>
                </w:p>
              </w:tc>
              <w:tc>
                <w:tcPr>
                  <w:tcW w:w="2413" w:type="pct"/>
                  <w:tcBorders>
                    <w:tl2br w:val="nil"/>
                    <w:tr2bl w:val="nil"/>
                  </w:tcBorders>
                  <w:noWrap w:val="0"/>
                  <w:vAlign w:val="center"/>
                </w:tcPr>
                <w:p w14:paraId="01B915DA">
                  <w:pPr>
                    <w:keepNext w:val="0"/>
                    <w:keepLines w:val="0"/>
                    <w:widowControl/>
                    <w:suppressLineNumbers w:val="0"/>
                    <w:spacing w:before="0" w:beforeAutospacing="0" w:after="0" w:afterAutospacing="0"/>
                    <w:ind w:left="0" w:right="0"/>
                    <w:jc w:val="left"/>
                    <w:rPr>
                      <w:rFonts w:hint="default" w:ascii="Times New Roman" w:hAnsi="Times New Roman" w:eastAsia="宋体" w:cs="宋体"/>
                      <w:color w:val="auto"/>
                      <w:sz w:val="21"/>
                      <w:szCs w:val="21"/>
                      <w:highlight w:val="none"/>
                      <w:lang w:val="en-US" w:eastAsia="zh-CN"/>
                    </w:rPr>
                  </w:pPr>
                  <w:r>
                    <w:rPr>
                      <w:rFonts w:hint="default" w:ascii="Times New Roman" w:hAnsi="Times New Roman" w:eastAsia="宋体" w:cs="宋体"/>
                      <w:color w:val="auto"/>
                      <w:sz w:val="21"/>
                      <w:szCs w:val="21"/>
                      <w:highlight w:val="none"/>
                      <w:lang w:val="en-US" w:eastAsia="zh-CN"/>
                    </w:rPr>
                    <w:t>网板清洗废水循环使用，更换的清洗废水作为危废送有资质的单位处理，不外排。</w:t>
                  </w:r>
                </w:p>
              </w:tc>
              <w:tc>
                <w:tcPr>
                  <w:tcW w:w="757" w:type="pct"/>
                  <w:tcBorders>
                    <w:tl2br w:val="nil"/>
                    <w:tr2bl w:val="nil"/>
                  </w:tcBorders>
                  <w:noWrap w:val="0"/>
                  <w:vAlign w:val="center"/>
                </w:tcPr>
                <w:p w14:paraId="41D98CE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宋体"/>
                      <w:color w:val="auto"/>
                      <w:sz w:val="21"/>
                      <w:szCs w:val="21"/>
                      <w:highlight w:val="none"/>
                      <w:lang w:val="en-US" w:eastAsia="zh-CN"/>
                    </w:rPr>
                  </w:pPr>
                  <w:r>
                    <w:rPr>
                      <w:rFonts w:hint="eastAsia" w:cs="宋体"/>
                      <w:color w:val="auto"/>
                      <w:sz w:val="21"/>
                      <w:szCs w:val="21"/>
                      <w:highlight w:val="none"/>
                      <w:lang w:val="en-US" w:eastAsia="zh-CN"/>
                    </w:rPr>
                    <w:t>/</w:t>
                  </w:r>
                </w:p>
              </w:tc>
            </w:tr>
            <w:tr w14:paraId="69F6760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71" w:type="pct"/>
                  <w:vMerge w:val="continue"/>
                  <w:tcBorders>
                    <w:tl2br w:val="nil"/>
                    <w:tr2bl w:val="nil"/>
                  </w:tcBorders>
                  <w:noWrap w:val="0"/>
                  <w:vAlign w:val="center"/>
                </w:tcPr>
                <w:p w14:paraId="39136DA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宋体" w:cs="宋体"/>
                      <w:color w:val="auto"/>
                      <w:sz w:val="21"/>
                      <w:szCs w:val="21"/>
                      <w:highlight w:val="none"/>
                      <w:lang w:val="zh-CN" w:eastAsia="zh-CN"/>
                    </w:rPr>
                  </w:pPr>
                </w:p>
              </w:tc>
              <w:tc>
                <w:tcPr>
                  <w:tcW w:w="420" w:type="pct"/>
                  <w:vMerge w:val="continue"/>
                  <w:tcBorders>
                    <w:tl2br w:val="nil"/>
                    <w:tr2bl w:val="nil"/>
                  </w:tcBorders>
                  <w:noWrap w:val="0"/>
                  <w:vAlign w:val="center"/>
                </w:tcPr>
                <w:p w14:paraId="3840075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宋体" w:cs="宋体"/>
                      <w:color w:val="auto"/>
                      <w:sz w:val="21"/>
                      <w:szCs w:val="21"/>
                      <w:highlight w:val="none"/>
                      <w:lang w:val="zh-CN" w:eastAsia="zh-CN"/>
                    </w:rPr>
                  </w:pPr>
                </w:p>
              </w:tc>
              <w:tc>
                <w:tcPr>
                  <w:tcW w:w="253" w:type="pct"/>
                  <w:vMerge w:val="continue"/>
                  <w:tcBorders>
                    <w:tl2br w:val="nil"/>
                    <w:tr2bl w:val="nil"/>
                  </w:tcBorders>
                  <w:noWrap w:val="0"/>
                  <w:vAlign w:val="center"/>
                </w:tcPr>
                <w:p w14:paraId="04AAD6C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eastAsia="宋体" w:cs="宋体"/>
                      <w:color w:val="auto"/>
                      <w:sz w:val="21"/>
                      <w:szCs w:val="21"/>
                      <w:highlight w:val="none"/>
                      <w:lang w:val="en-US" w:eastAsia="zh-CN"/>
                    </w:rPr>
                  </w:pPr>
                </w:p>
              </w:tc>
              <w:tc>
                <w:tcPr>
                  <w:tcW w:w="483" w:type="pct"/>
                  <w:tcBorders>
                    <w:tl2br w:val="nil"/>
                    <w:tr2bl w:val="nil"/>
                  </w:tcBorders>
                  <w:noWrap w:val="0"/>
                  <w:vAlign w:val="center"/>
                </w:tcPr>
                <w:p w14:paraId="695B0A48">
                  <w:pPr>
                    <w:keepNext w:val="0"/>
                    <w:keepLines w:val="0"/>
                    <w:widowControl/>
                    <w:suppressLineNumbers w:val="0"/>
                    <w:spacing w:before="0" w:beforeAutospacing="0" w:after="0" w:afterAutospacing="0"/>
                    <w:ind w:left="0" w:right="0"/>
                    <w:jc w:val="center"/>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注塑间接冷却水</w:t>
                  </w:r>
                </w:p>
              </w:tc>
              <w:tc>
                <w:tcPr>
                  <w:tcW w:w="2413" w:type="pct"/>
                  <w:tcBorders>
                    <w:tl2br w:val="nil"/>
                    <w:tr2bl w:val="nil"/>
                  </w:tcBorders>
                  <w:noWrap w:val="0"/>
                  <w:vAlign w:val="center"/>
                </w:tcPr>
                <w:p w14:paraId="310EF5DF">
                  <w:pPr>
                    <w:keepNext w:val="0"/>
                    <w:keepLines w:val="0"/>
                    <w:widowControl/>
                    <w:suppressLineNumbers w:val="0"/>
                    <w:spacing w:before="0" w:beforeAutospacing="0" w:after="0" w:afterAutospacing="0"/>
                    <w:ind w:left="0" w:right="0"/>
                    <w:jc w:val="center"/>
                    <w:rPr>
                      <w:rFonts w:hint="default"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循环使用，不外排。</w:t>
                  </w:r>
                </w:p>
              </w:tc>
              <w:tc>
                <w:tcPr>
                  <w:tcW w:w="757" w:type="pct"/>
                  <w:tcBorders>
                    <w:tl2br w:val="nil"/>
                    <w:tr2bl w:val="nil"/>
                  </w:tcBorders>
                  <w:noWrap w:val="0"/>
                  <w:vAlign w:val="center"/>
                </w:tcPr>
                <w:p w14:paraId="06104C1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cs="宋体"/>
                      <w:color w:val="auto"/>
                      <w:sz w:val="21"/>
                      <w:szCs w:val="21"/>
                      <w:highlight w:val="none"/>
                      <w:lang w:val="en-US" w:eastAsia="zh-CN"/>
                    </w:rPr>
                  </w:pPr>
                  <w:r>
                    <w:rPr>
                      <w:rFonts w:hint="eastAsia" w:cs="宋体"/>
                      <w:color w:val="auto"/>
                      <w:sz w:val="21"/>
                      <w:szCs w:val="21"/>
                      <w:highlight w:val="none"/>
                      <w:lang w:val="en-US" w:eastAsia="zh-CN"/>
                    </w:rPr>
                    <w:t>/</w:t>
                  </w:r>
                </w:p>
              </w:tc>
            </w:tr>
            <w:tr w14:paraId="1765B31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51" w:hRule="atLeast"/>
                <w:jc w:val="center"/>
              </w:trPr>
              <w:tc>
                <w:tcPr>
                  <w:tcW w:w="671" w:type="pct"/>
                  <w:vMerge w:val="continue"/>
                  <w:tcBorders>
                    <w:tl2br w:val="nil"/>
                    <w:tr2bl w:val="nil"/>
                  </w:tcBorders>
                  <w:noWrap w:val="0"/>
                  <w:vAlign w:val="center"/>
                </w:tcPr>
                <w:p w14:paraId="7AB16E6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宋体" w:cs="宋体"/>
                      <w:color w:val="auto"/>
                      <w:sz w:val="21"/>
                      <w:szCs w:val="21"/>
                      <w:highlight w:val="none"/>
                      <w:lang w:val="zh-CN" w:eastAsia="zh-CN"/>
                    </w:rPr>
                  </w:pPr>
                </w:p>
              </w:tc>
              <w:tc>
                <w:tcPr>
                  <w:tcW w:w="420" w:type="pct"/>
                  <w:vMerge w:val="continue"/>
                  <w:tcBorders>
                    <w:tl2br w:val="nil"/>
                    <w:tr2bl w:val="nil"/>
                  </w:tcBorders>
                  <w:noWrap w:val="0"/>
                  <w:vAlign w:val="center"/>
                </w:tcPr>
                <w:p w14:paraId="4233BD7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宋体" w:cs="宋体"/>
                      <w:color w:val="auto"/>
                      <w:sz w:val="21"/>
                      <w:szCs w:val="21"/>
                      <w:highlight w:val="none"/>
                      <w:lang w:val="zh-CN" w:eastAsia="zh-CN"/>
                    </w:rPr>
                  </w:pPr>
                </w:p>
              </w:tc>
              <w:tc>
                <w:tcPr>
                  <w:tcW w:w="736" w:type="pct"/>
                  <w:gridSpan w:val="2"/>
                  <w:tcBorders>
                    <w:tl2br w:val="nil"/>
                    <w:tr2bl w:val="nil"/>
                  </w:tcBorders>
                  <w:noWrap w:val="0"/>
                  <w:vAlign w:val="center"/>
                </w:tcPr>
                <w:p w14:paraId="2CB9462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宋体" w:cs="宋体"/>
                      <w:color w:val="auto"/>
                      <w:sz w:val="21"/>
                      <w:szCs w:val="21"/>
                      <w:highlight w:val="none"/>
                      <w:lang w:val="en-US" w:eastAsia="zh-CN"/>
                    </w:rPr>
                  </w:pPr>
                  <w:r>
                    <w:rPr>
                      <w:rFonts w:hint="eastAsia" w:ascii="Times New Roman" w:hAnsi="Times New Roman" w:eastAsia="宋体" w:cs="宋体"/>
                      <w:color w:val="auto"/>
                      <w:sz w:val="21"/>
                      <w:szCs w:val="21"/>
                      <w:highlight w:val="none"/>
                      <w:lang w:val="en-US" w:eastAsia="zh-CN"/>
                    </w:rPr>
                    <w:t>生活污水</w:t>
                  </w:r>
                </w:p>
              </w:tc>
              <w:tc>
                <w:tcPr>
                  <w:tcW w:w="2413" w:type="pct"/>
                  <w:tcBorders>
                    <w:tl2br w:val="nil"/>
                    <w:tr2bl w:val="nil"/>
                  </w:tcBorders>
                  <w:noWrap w:val="0"/>
                  <w:vAlign w:val="center"/>
                </w:tcPr>
                <w:p w14:paraId="73402169">
                  <w:pPr>
                    <w:pStyle w:val="37"/>
                    <w:keepNext w:val="0"/>
                    <w:keepLines w:val="0"/>
                    <w:pageBreakBefore w:val="0"/>
                    <w:widowControl w:val="0"/>
                    <w:suppressLineNumbers w:val="0"/>
                    <w:kinsoku/>
                    <w:wordWrap/>
                    <w:overflowPunct/>
                    <w:topLinePunct w:val="0"/>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宋体"/>
                      <w:color w:val="auto"/>
                      <w:sz w:val="21"/>
                      <w:szCs w:val="21"/>
                      <w:highlight w:val="none"/>
                      <w:lang w:val="en-US" w:eastAsia="zh-CN"/>
                    </w:rPr>
                  </w:pPr>
                  <w:r>
                    <w:rPr>
                      <w:rFonts w:hint="eastAsia" w:ascii="Times New Roman" w:hAnsi="Times New Roman" w:eastAsia="宋体" w:cs="宋体"/>
                      <w:color w:val="auto"/>
                      <w:sz w:val="21"/>
                      <w:szCs w:val="21"/>
                      <w:highlight w:val="none"/>
                      <w:lang w:val="en-US" w:eastAsia="zh-CN"/>
                    </w:rPr>
                    <w:t>经隔油池+化粪池预处理后排入园区污水管网</w:t>
                  </w:r>
                  <w:r>
                    <w:rPr>
                      <w:rFonts w:hint="eastAsia" w:ascii="Times New Roman" w:cs="宋体"/>
                      <w:color w:val="auto"/>
                      <w:sz w:val="21"/>
                      <w:szCs w:val="21"/>
                      <w:highlight w:val="none"/>
                      <w:lang w:val="en-US" w:eastAsia="zh-CN"/>
                    </w:rPr>
                    <w:t>，</w:t>
                  </w:r>
                  <w:r>
                    <w:rPr>
                      <w:rFonts w:hint="eastAsia" w:ascii="Times New Roman" w:hAnsi="Times New Roman" w:eastAsia="宋体" w:cs="宋体"/>
                      <w:color w:val="auto"/>
                      <w:sz w:val="21"/>
                      <w:szCs w:val="21"/>
                      <w:highlight w:val="none"/>
                      <w:lang w:val="en-US" w:eastAsia="zh-CN"/>
                    </w:rPr>
                    <w:t>接入乐平市金山工业区</w:t>
                  </w:r>
                  <w:r>
                    <w:rPr>
                      <w:rFonts w:hint="eastAsia" w:ascii="Times New Roman" w:cs="宋体"/>
                      <w:color w:val="auto"/>
                      <w:sz w:val="21"/>
                      <w:szCs w:val="21"/>
                      <w:highlight w:val="none"/>
                      <w:lang w:val="en-US" w:eastAsia="zh-CN"/>
                    </w:rPr>
                    <w:t>一期污水站处理。</w:t>
                  </w:r>
                </w:p>
              </w:tc>
              <w:tc>
                <w:tcPr>
                  <w:tcW w:w="757" w:type="pct"/>
                  <w:tcBorders>
                    <w:tl2br w:val="nil"/>
                    <w:tr2bl w:val="nil"/>
                  </w:tcBorders>
                  <w:noWrap w:val="0"/>
                  <w:vAlign w:val="center"/>
                </w:tcPr>
                <w:p w14:paraId="00CC7B8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宋体"/>
                      <w:color w:val="auto"/>
                      <w:sz w:val="21"/>
                      <w:szCs w:val="21"/>
                      <w:highlight w:val="none"/>
                      <w:lang w:val="en-US" w:eastAsia="zh-CN"/>
                    </w:rPr>
                  </w:pPr>
                  <w:r>
                    <w:rPr>
                      <w:rFonts w:hint="eastAsia" w:cs="宋体"/>
                      <w:color w:val="auto"/>
                      <w:sz w:val="21"/>
                      <w:szCs w:val="21"/>
                      <w:highlight w:val="none"/>
                      <w:lang w:val="en-US" w:eastAsia="zh-CN"/>
                    </w:rPr>
                    <w:t>新建</w:t>
                  </w:r>
                </w:p>
              </w:tc>
            </w:tr>
            <w:tr w14:paraId="19F25EF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71" w:type="pct"/>
                  <w:vMerge w:val="continue"/>
                  <w:tcBorders>
                    <w:tl2br w:val="nil"/>
                    <w:tr2bl w:val="nil"/>
                  </w:tcBorders>
                  <w:noWrap w:val="0"/>
                  <w:vAlign w:val="center"/>
                </w:tcPr>
                <w:p w14:paraId="58F1781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宋体" w:cs="宋体"/>
                      <w:color w:val="auto"/>
                      <w:sz w:val="21"/>
                      <w:szCs w:val="21"/>
                      <w:highlight w:val="none"/>
                      <w:lang w:val="zh-CN" w:eastAsia="zh-CN"/>
                    </w:rPr>
                  </w:pPr>
                </w:p>
              </w:tc>
              <w:tc>
                <w:tcPr>
                  <w:tcW w:w="1156" w:type="pct"/>
                  <w:gridSpan w:val="3"/>
                  <w:tcBorders>
                    <w:tl2br w:val="nil"/>
                    <w:tr2bl w:val="nil"/>
                  </w:tcBorders>
                  <w:noWrap w:val="0"/>
                  <w:vAlign w:val="center"/>
                </w:tcPr>
                <w:p w14:paraId="4A066FE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宋体" w:cs="宋体"/>
                      <w:color w:val="auto"/>
                      <w:sz w:val="21"/>
                      <w:szCs w:val="21"/>
                      <w:highlight w:val="none"/>
                      <w:lang w:val="zh-CN" w:eastAsia="zh-CN"/>
                    </w:rPr>
                  </w:pPr>
                  <w:r>
                    <w:rPr>
                      <w:rFonts w:hint="eastAsia" w:ascii="Times New Roman" w:hAnsi="Times New Roman" w:eastAsia="宋体" w:cs="宋体"/>
                      <w:color w:val="auto"/>
                      <w:sz w:val="21"/>
                      <w:szCs w:val="21"/>
                      <w:highlight w:val="none"/>
                      <w:lang w:val="zh-CN" w:eastAsia="zh-CN"/>
                    </w:rPr>
                    <w:t>固废处理</w:t>
                  </w:r>
                </w:p>
              </w:tc>
              <w:tc>
                <w:tcPr>
                  <w:tcW w:w="2413" w:type="pct"/>
                  <w:tcBorders>
                    <w:tl2br w:val="nil"/>
                    <w:tr2bl w:val="nil"/>
                  </w:tcBorders>
                  <w:noWrap w:val="0"/>
                  <w:vAlign w:val="center"/>
                </w:tcPr>
                <w:p w14:paraId="186FBF04">
                  <w:pPr>
                    <w:pStyle w:val="7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宋体" w:cs="宋体"/>
                      <w:color w:val="auto"/>
                      <w:sz w:val="21"/>
                      <w:szCs w:val="21"/>
                      <w:highlight w:val="none"/>
                      <w:lang w:val="zh-CN" w:eastAsia="zh-CN"/>
                    </w:rPr>
                  </w:pPr>
                  <w:r>
                    <w:rPr>
                      <w:rFonts w:hint="eastAsia" w:ascii="Times New Roman" w:hAnsi="Times New Roman" w:eastAsia="宋体" w:cs="宋体"/>
                      <w:color w:val="auto"/>
                      <w:sz w:val="21"/>
                      <w:szCs w:val="21"/>
                      <w:highlight w:val="none"/>
                      <w:lang w:val="zh-CN" w:eastAsia="zh-CN"/>
                    </w:rPr>
                    <w:t>一般固废暂存间</w:t>
                  </w:r>
                  <w:r>
                    <w:rPr>
                      <w:rFonts w:hint="eastAsia" w:ascii="Times New Roman" w:hAnsi="Times New Roman" w:cs="宋体"/>
                      <w:color w:val="auto"/>
                      <w:sz w:val="21"/>
                      <w:szCs w:val="21"/>
                      <w:highlight w:val="none"/>
                      <w:lang w:val="en-US" w:eastAsia="zh-CN"/>
                    </w:rPr>
                    <w:t>50</w:t>
                  </w:r>
                  <w:r>
                    <w:rPr>
                      <w:rFonts w:hint="eastAsia" w:ascii="Times New Roman" w:hAnsi="Times New Roman" w:eastAsia="宋体" w:cs="宋体"/>
                      <w:color w:val="auto"/>
                      <w:sz w:val="21"/>
                      <w:szCs w:val="21"/>
                      <w:highlight w:val="none"/>
                      <w:lang w:val="en-US" w:eastAsia="zh-CN"/>
                    </w:rPr>
                    <w:t>m</w:t>
                  </w:r>
                  <w:r>
                    <w:rPr>
                      <w:rFonts w:hint="eastAsia" w:ascii="Times New Roman" w:hAnsi="Times New Roman" w:eastAsia="宋体" w:cs="宋体"/>
                      <w:color w:val="auto"/>
                      <w:sz w:val="21"/>
                      <w:szCs w:val="21"/>
                      <w:highlight w:val="none"/>
                      <w:vertAlign w:val="superscript"/>
                      <w:lang w:val="en-US" w:eastAsia="zh-CN"/>
                    </w:rPr>
                    <w:t>2</w:t>
                  </w:r>
                  <w:r>
                    <w:rPr>
                      <w:rFonts w:hint="eastAsia" w:ascii="Times New Roman" w:hAnsi="Times New Roman" w:eastAsia="宋体" w:cs="宋体"/>
                      <w:color w:val="auto"/>
                      <w:sz w:val="21"/>
                      <w:szCs w:val="21"/>
                      <w:highlight w:val="none"/>
                      <w:lang w:val="zh-CN" w:eastAsia="zh-CN"/>
                    </w:rPr>
                    <w:t>；危废暂存间</w:t>
                  </w:r>
                  <w:r>
                    <w:rPr>
                      <w:rFonts w:hint="eastAsia" w:ascii="Times New Roman" w:hAnsi="Times New Roman" w:cs="宋体"/>
                      <w:color w:val="auto"/>
                      <w:sz w:val="21"/>
                      <w:szCs w:val="21"/>
                      <w:highlight w:val="none"/>
                      <w:lang w:val="en-US" w:eastAsia="zh-CN"/>
                    </w:rPr>
                    <w:t>20</w:t>
                  </w:r>
                  <w:r>
                    <w:rPr>
                      <w:rFonts w:hint="eastAsia" w:ascii="Times New Roman" w:hAnsi="Times New Roman" w:eastAsia="宋体" w:cs="宋体"/>
                      <w:color w:val="auto"/>
                      <w:sz w:val="21"/>
                      <w:szCs w:val="21"/>
                      <w:highlight w:val="none"/>
                      <w:lang w:val="en-US" w:eastAsia="zh-CN"/>
                    </w:rPr>
                    <w:t>m</w:t>
                  </w:r>
                  <w:r>
                    <w:rPr>
                      <w:rFonts w:hint="eastAsia" w:ascii="Times New Roman" w:hAnsi="Times New Roman" w:eastAsia="宋体" w:cs="宋体"/>
                      <w:color w:val="auto"/>
                      <w:sz w:val="21"/>
                      <w:szCs w:val="21"/>
                      <w:highlight w:val="none"/>
                      <w:vertAlign w:val="superscript"/>
                      <w:lang w:val="en-US" w:eastAsia="zh-CN"/>
                    </w:rPr>
                    <w:t>2</w:t>
                  </w:r>
                  <w:r>
                    <w:rPr>
                      <w:rFonts w:hint="eastAsia" w:ascii="Times New Roman" w:hAnsi="Times New Roman" w:cs="宋体"/>
                      <w:color w:val="auto"/>
                      <w:sz w:val="21"/>
                      <w:szCs w:val="21"/>
                      <w:highlight w:val="none"/>
                      <w:vertAlign w:val="baseline"/>
                      <w:lang w:val="en-US" w:eastAsia="zh-CN"/>
                    </w:rPr>
                    <w:t>。</w:t>
                  </w:r>
                </w:p>
              </w:tc>
              <w:tc>
                <w:tcPr>
                  <w:tcW w:w="757" w:type="pct"/>
                  <w:tcBorders>
                    <w:tl2br w:val="nil"/>
                    <w:tr2bl w:val="nil"/>
                  </w:tcBorders>
                  <w:noWrap w:val="0"/>
                  <w:vAlign w:val="center"/>
                </w:tcPr>
                <w:p w14:paraId="73790EF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宋体" w:cs="宋体"/>
                      <w:color w:val="auto"/>
                      <w:sz w:val="21"/>
                      <w:szCs w:val="21"/>
                      <w:highlight w:val="none"/>
                      <w:lang w:val="en-US" w:eastAsia="zh-CN"/>
                    </w:rPr>
                  </w:pPr>
                  <w:r>
                    <w:rPr>
                      <w:rFonts w:hint="eastAsia" w:ascii="Times New Roman" w:hAnsi="Times New Roman" w:eastAsia="宋体" w:cs="宋体"/>
                      <w:color w:val="auto"/>
                      <w:sz w:val="21"/>
                      <w:szCs w:val="21"/>
                      <w:highlight w:val="none"/>
                      <w:lang w:val="zh-CN" w:eastAsia="zh-CN"/>
                    </w:rPr>
                    <w:t>新建</w:t>
                  </w:r>
                </w:p>
              </w:tc>
            </w:tr>
            <w:tr w14:paraId="61A6B5D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71" w:type="pct"/>
                  <w:vMerge w:val="continue"/>
                  <w:tcBorders>
                    <w:tl2br w:val="nil"/>
                    <w:tr2bl w:val="nil"/>
                  </w:tcBorders>
                  <w:noWrap w:val="0"/>
                  <w:vAlign w:val="center"/>
                </w:tcPr>
                <w:p w14:paraId="45B94A8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宋体" w:cs="宋体"/>
                      <w:color w:val="auto"/>
                      <w:sz w:val="21"/>
                      <w:szCs w:val="21"/>
                      <w:highlight w:val="none"/>
                      <w:lang w:val="zh-CN" w:eastAsia="zh-CN"/>
                    </w:rPr>
                  </w:pPr>
                </w:p>
              </w:tc>
              <w:tc>
                <w:tcPr>
                  <w:tcW w:w="1156" w:type="pct"/>
                  <w:gridSpan w:val="3"/>
                  <w:tcBorders>
                    <w:tl2br w:val="nil"/>
                    <w:tr2bl w:val="nil"/>
                  </w:tcBorders>
                  <w:noWrap w:val="0"/>
                  <w:vAlign w:val="center"/>
                </w:tcPr>
                <w:p w14:paraId="44750A7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宋体" w:cs="宋体"/>
                      <w:color w:val="auto"/>
                      <w:sz w:val="21"/>
                      <w:szCs w:val="21"/>
                      <w:highlight w:val="none"/>
                      <w:lang w:val="zh-CN" w:eastAsia="zh-CN"/>
                    </w:rPr>
                  </w:pPr>
                  <w:r>
                    <w:rPr>
                      <w:rFonts w:hint="eastAsia" w:ascii="Times New Roman" w:hAnsi="Times New Roman" w:eastAsia="宋体" w:cs="宋体"/>
                      <w:color w:val="auto"/>
                      <w:sz w:val="21"/>
                      <w:szCs w:val="21"/>
                      <w:highlight w:val="none"/>
                      <w:lang w:val="zh-CN" w:eastAsia="zh-CN"/>
                    </w:rPr>
                    <w:t>噪声处理</w:t>
                  </w:r>
                </w:p>
              </w:tc>
              <w:tc>
                <w:tcPr>
                  <w:tcW w:w="2413" w:type="pct"/>
                  <w:tcBorders>
                    <w:tl2br w:val="nil"/>
                    <w:tr2bl w:val="nil"/>
                  </w:tcBorders>
                  <w:noWrap w:val="0"/>
                  <w:vAlign w:val="center"/>
                </w:tcPr>
                <w:p w14:paraId="42749060">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left"/>
                    <w:textAlignment w:val="auto"/>
                    <w:rPr>
                      <w:rFonts w:hint="eastAsia" w:ascii="Times New Roman" w:hAnsi="Times New Roman" w:eastAsia="宋体" w:cs="宋体"/>
                      <w:color w:val="auto"/>
                      <w:sz w:val="21"/>
                      <w:szCs w:val="21"/>
                      <w:highlight w:val="none"/>
                      <w:lang w:val="zh-CN" w:eastAsia="zh-CN"/>
                    </w:rPr>
                  </w:pPr>
                  <w:r>
                    <w:rPr>
                      <w:rFonts w:hint="eastAsia" w:ascii="Times New Roman" w:hAnsi="Times New Roman" w:eastAsia="宋体" w:cs="宋体"/>
                      <w:color w:val="auto"/>
                      <w:sz w:val="21"/>
                      <w:szCs w:val="21"/>
                      <w:highlight w:val="none"/>
                      <w:lang w:val="zh-CN" w:eastAsia="zh-CN"/>
                    </w:rPr>
                    <w:t>选用低噪声设备，高噪声设备采取隔声、降噪等措施</w:t>
                  </w:r>
                </w:p>
              </w:tc>
              <w:tc>
                <w:tcPr>
                  <w:tcW w:w="757" w:type="pct"/>
                  <w:tcBorders>
                    <w:tl2br w:val="nil"/>
                    <w:tr2bl w:val="nil"/>
                  </w:tcBorders>
                  <w:noWrap w:val="0"/>
                  <w:vAlign w:val="center"/>
                </w:tcPr>
                <w:p w14:paraId="11D4E67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宋体" w:cs="宋体"/>
                      <w:color w:val="auto"/>
                      <w:sz w:val="21"/>
                      <w:szCs w:val="21"/>
                      <w:highlight w:val="none"/>
                      <w:lang w:val="en-US" w:eastAsia="zh-CN"/>
                    </w:rPr>
                  </w:pPr>
                  <w:r>
                    <w:rPr>
                      <w:rFonts w:hint="eastAsia" w:ascii="Times New Roman" w:hAnsi="Times New Roman" w:eastAsia="宋体" w:cs="宋体"/>
                      <w:color w:val="auto"/>
                      <w:sz w:val="21"/>
                      <w:szCs w:val="21"/>
                      <w:highlight w:val="none"/>
                      <w:lang w:val="zh-CN" w:eastAsia="zh-CN"/>
                    </w:rPr>
                    <w:t>新建</w:t>
                  </w:r>
                </w:p>
              </w:tc>
            </w:tr>
          </w:tbl>
          <w:p w14:paraId="15624A93">
            <w:pPr>
              <w:keepNext w:val="0"/>
              <w:keepLines w:val="0"/>
              <w:suppressLineNumbers w:val="0"/>
              <w:spacing w:before="0" w:beforeAutospacing="0" w:after="0" w:afterAutospacing="0" w:line="360" w:lineRule="auto"/>
              <w:ind w:left="0" w:right="0" w:firstLine="482" w:firstLineChars="200"/>
              <w:rPr>
                <w:rFonts w:hint="eastAsia" w:ascii="Times New Roman" w:hAnsi="Times New Roman" w:eastAsia="宋体" w:cs="Times New Roman"/>
                <w:b/>
                <w:bCs/>
                <w:color w:val="auto"/>
                <w:sz w:val="24"/>
                <w:highlight w:val="none"/>
                <w:shd w:val="clear" w:color="auto" w:fill="auto"/>
                <w:lang w:val="en-US" w:eastAsia="zh-CN"/>
              </w:rPr>
            </w:pPr>
            <w:r>
              <w:rPr>
                <w:rFonts w:hint="eastAsia" w:ascii="Times New Roman" w:hAnsi="Times New Roman" w:eastAsia="宋体" w:cs="Times New Roman"/>
                <w:b/>
                <w:bCs/>
                <w:color w:val="auto"/>
                <w:sz w:val="24"/>
                <w:highlight w:val="none"/>
                <w:shd w:val="clear" w:color="auto" w:fill="auto"/>
                <w:lang w:val="en-US" w:eastAsia="zh-CN"/>
              </w:rPr>
              <w:t>3、产品方案</w:t>
            </w:r>
          </w:p>
          <w:p w14:paraId="130FA697">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shd w:val="clear" w:color="auto" w:fill="auto"/>
                <w:lang w:val="en-US" w:eastAsia="zh-CN"/>
              </w:rPr>
            </w:pPr>
            <w:r>
              <w:rPr>
                <w:rFonts w:hint="eastAsia" w:ascii="Times New Roman" w:hAnsi="Times New Roman" w:eastAsia="宋体" w:cs="Times New Roman"/>
                <w:color w:val="auto"/>
                <w:sz w:val="24"/>
                <w:highlight w:val="none"/>
                <w:shd w:val="clear" w:color="auto" w:fill="auto"/>
                <w:lang w:val="en-US" w:eastAsia="zh-CN"/>
              </w:rPr>
              <w:t>项目产品主要为</w:t>
            </w:r>
            <w:r>
              <w:rPr>
                <w:rFonts w:hint="eastAsia" w:cs="Times New Roman"/>
                <w:color w:val="auto"/>
                <w:sz w:val="24"/>
                <w:highlight w:val="none"/>
                <w:shd w:val="clear" w:color="auto" w:fill="auto"/>
                <w:lang w:val="en-US" w:eastAsia="zh-CN"/>
              </w:rPr>
              <w:t>高跟</w:t>
            </w:r>
            <w:r>
              <w:rPr>
                <w:rFonts w:hint="eastAsia" w:ascii="Times New Roman" w:hAnsi="Times New Roman" w:eastAsia="宋体" w:cs="Times New Roman"/>
                <w:color w:val="auto"/>
                <w:sz w:val="24"/>
                <w:highlight w:val="none"/>
                <w:shd w:val="clear" w:color="auto" w:fill="auto"/>
                <w:lang w:val="en-US" w:eastAsia="zh-CN"/>
              </w:rPr>
              <w:t>鞋、</w:t>
            </w:r>
            <w:r>
              <w:rPr>
                <w:rFonts w:hint="eastAsia" w:cs="Times New Roman"/>
                <w:color w:val="auto"/>
                <w:sz w:val="24"/>
                <w:highlight w:val="none"/>
                <w:shd w:val="clear" w:color="auto" w:fill="auto"/>
                <w:lang w:val="en-US" w:eastAsia="zh-CN"/>
              </w:rPr>
              <w:t>皮</w:t>
            </w:r>
            <w:r>
              <w:rPr>
                <w:rFonts w:hint="eastAsia" w:ascii="Times New Roman" w:hAnsi="Times New Roman" w:eastAsia="宋体" w:cs="Times New Roman"/>
                <w:color w:val="auto"/>
                <w:sz w:val="24"/>
                <w:highlight w:val="none"/>
                <w:shd w:val="clear" w:color="auto" w:fill="auto"/>
                <w:lang w:val="en-US" w:eastAsia="zh-CN"/>
              </w:rPr>
              <w:t>鞋、注塑鞋，</w:t>
            </w:r>
            <w:r>
              <w:rPr>
                <w:rFonts w:hint="eastAsia" w:cs="Times New Roman"/>
                <w:color w:val="auto"/>
                <w:sz w:val="24"/>
                <w:highlight w:val="none"/>
                <w:shd w:val="clear" w:color="auto" w:fill="auto"/>
                <w:lang w:val="en-US" w:eastAsia="zh-CN"/>
              </w:rPr>
              <w:t>统称为休闲鞋，</w:t>
            </w:r>
            <w:r>
              <w:rPr>
                <w:rFonts w:hint="eastAsia" w:ascii="Times New Roman" w:hAnsi="Times New Roman" w:eastAsia="宋体" w:cs="Times New Roman"/>
                <w:color w:val="auto"/>
                <w:sz w:val="24"/>
                <w:highlight w:val="none"/>
                <w:shd w:val="clear" w:color="auto" w:fill="auto"/>
                <w:lang w:val="en-US" w:eastAsia="zh-CN"/>
              </w:rPr>
              <w:t>共计2</w:t>
            </w:r>
            <w:r>
              <w:rPr>
                <w:rFonts w:hint="eastAsia" w:cs="Times New Roman"/>
                <w:color w:val="auto"/>
                <w:sz w:val="24"/>
                <w:highlight w:val="none"/>
                <w:shd w:val="clear" w:color="auto" w:fill="auto"/>
                <w:lang w:val="en-US" w:eastAsia="zh-CN"/>
              </w:rPr>
              <w:t>8</w:t>
            </w:r>
            <w:r>
              <w:rPr>
                <w:rFonts w:hint="eastAsia" w:ascii="Times New Roman" w:hAnsi="Times New Roman" w:eastAsia="宋体" w:cs="Times New Roman"/>
                <w:color w:val="auto"/>
                <w:sz w:val="24"/>
                <w:highlight w:val="none"/>
                <w:shd w:val="clear" w:color="auto" w:fill="auto"/>
                <w:lang w:val="en-US" w:eastAsia="zh-CN"/>
              </w:rPr>
              <w:t>0万双</w:t>
            </w:r>
            <w:r>
              <w:rPr>
                <w:rFonts w:hint="eastAsia" w:cs="宋体"/>
                <w:color w:val="auto"/>
                <w:sz w:val="24"/>
                <w:szCs w:val="24"/>
                <w:highlight w:val="none"/>
                <w:lang w:val="en-US" w:eastAsia="zh-CN"/>
              </w:rPr>
              <w:t>/年</w:t>
            </w:r>
            <w:r>
              <w:rPr>
                <w:rFonts w:hint="eastAsia" w:ascii="Times New Roman" w:hAnsi="Times New Roman" w:eastAsia="宋体" w:cs="Times New Roman"/>
                <w:color w:val="auto"/>
                <w:sz w:val="24"/>
                <w:highlight w:val="none"/>
                <w:shd w:val="clear" w:color="auto" w:fill="auto"/>
                <w:lang w:val="en-US" w:eastAsia="zh-CN"/>
              </w:rPr>
              <w:t>。</w:t>
            </w:r>
            <w:r>
              <w:rPr>
                <w:rFonts w:hint="eastAsia" w:cs="Times New Roman"/>
                <w:color w:val="auto"/>
                <w:sz w:val="24"/>
                <w:highlight w:val="none"/>
                <w:shd w:val="clear" w:color="auto" w:fill="auto"/>
                <w:lang w:val="en-US" w:eastAsia="zh-CN"/>
              </w:rPr>
              <w:t>同时生产用于皮鞋及注塑鞋的鞋垫和鞋底，属于中间产品，</w:t>
            </w:r>
            <w:r>
              <w:rPr>
                <w:rFonts w:hint="eastAsia" w:ascii="Times New Roman" w:hAnsi="Times New Roman" w:eastAsia="宋体" w:cs="Times New Roman"/>
                <w:color w:val="auto"/>
                <w:sz w:val="24"/>
                <w:highlight w:val="none"/>
                <w:shd w:val="clear" w:color="auto" w:fill="auto"/>
                <w:lang w:val="en-US" w:eastAsia="zh-CN"/>
              </w:rPr>
              <w:t>具体见表2-2。</w:t>
            </w:r>
            <w:r>
              <w:rPr>
                <w:rFonts w:hint="eastAsia" w:cs="Times New Roman"/>
                <w:color w:val="auto"/>
                <w:sz w:val="24"/>
                <w:highlight w:val="none"/>
                <w:shd w:val="clear" w:color="auto" w:fill="auto"/>
                <w:lang w:val="en-US" w:eastAsia="zh-CN"/>
              </w:rPr>
              <w:t>高跟</w:t>
            </w:r>
            <w:r>
              <w:rPr>
                <w:rFonts w:hint="eastAsia" w:ascii="Times New Roman" w:hAnsi="Times New Roman" w:eastAsia="宋体" w:cs="Times New Roman"/>
                <w:color w:val="auto"/>
                <w:sz w:val="24"/>
                <w:highlight w:val="none"/>
                <w:shd w:val="clear" w:color="auto" w:fill="auto"/>
                <w:lang w:val="en-US" w:eastAsia="zh-CN"/>
              </w:rPr>
              <w:t>鞋、</w:t>
            </w:r>
            <w:r>
              <w:rPr>
                <w:rFonts w:hint="eastAsia" w:cs="Times New Roman"/>
                <w:color w:val="auto"/>
                <w:sz w:val="24"/>
                <w:highlight w:val="none"/>
                <w:shd w:val="clear" w:color="auto" w:fill="auto"/>
                <w:lang w:val="en-US" w:eastAsia="zh-CN"/>
              </w:rPr>
              <w:t>皮</w:t>
            </w:r>
            <w:r>
              <w:rPr>
                <w:rFonts w:hint="eastAsia" w:ascii="Times New Roman" w:hAnsi="Times New Roman" w:eastAsia="宋体" w:cs="Times New Roman"/>
                <w:color w:val="auto"/>
                <w:sz w:val="24"/>
                <w:highlight w:val="none"/>
                <w:shd w:val="clear" w:color="auto" w:fill="auto"/>
                <w:lang w:val="en-US" w:eastAsia="zh-CN"/>
              </w:rPr>
              <w:t>鞋、注塑鞋</w:t>
            </w:r>
            <w:r>
              <w:rPr>
                <w:rFonts w:hint="eastAsia" w:cs="Times New Roman"/>
                <w:color w:val="auto"/>
                <w:sz w:val="24"/>
                <w:highlight w:val="none"/>
                <w:shd w:val="clear" w:color="auto" w:fill="auto"/>
                <w:lang w:val="en-US" w:eastAsia="zh-CN"/>
              </w:rPr>
              <w:t>需执行《鞋类通用安全要求》（GB 25038—2024），聚氨酯鞋垫需执行《鞋类 鞋垫试验方法 静态压缩变形》（GB/T 43549-2023），此外注塑鞋和注塑鞋底还需执行《注塑鞋》（HG/T 3084-2023）。</w:t>
            </w:r>
          </w:p>
          <w:p w14:paraId="2EF27B30">
            <w:pPr>
              <w:pStyle w:val="44"/>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Autospacing="0" w:line="240" w:lineRule="auto"/>
              <w:ind w:left="0" w:leftChars="0" w:right="0" w:firstLine="0" w:firstLineChars="0"/>
              <w:textAlignment w:val="auto"/>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 xml:space="preserve">表2-2  </w:t>
            </w:r>
            <w:r>
              <w:rPr>
                <w:rFonts w:hint="eastAsia" w:ascii="Times New Roman" w:hAnsi="Times New Roman" w:eastAsia="宋体" w:cs="Times New Roman"/>
                <w:color w:val="auto"/>
                <w:sz w:val="21"/>
                <w:szCs w:val="21"/>
                <w:highlight w:val="none"/>
              </w:rPr>
              <w:t>产品方案及生产规模一览表</w:t>
            </w:r>
          </w:p>
          <w:tbl>
            <w:tblPr>
              <w:tblStyle w:val="26"/>
              <w:tblW w:w="8482" w:type="dxa"/>
              <w:jc w:val="center"/>
              <w:tblBorders>
                <w:top w:val="single" w:color="auto" w:sz="12" w:space="0"/>
                <w:left w:val="none" w:color="auto" w:sz="0" w:space="0"/>
                <w:bottom w:val="single" w:color="auto" w:sz="12" w:space="0"/>
                <w:right w:val="none" w:color="auto" w:sz="0" w:space="0"/>
                <w:insideH w:val="single" w:color="auto" w:sz="12" w:space="0"/>
                <w:insideV w:val="single" w:color="auto" w:sz="4" w:space="0"/>
              </w:tblBorders>
              <w:tblLayout w:type="fixed"/>
              <w:tblCellMar>
                <w:top w:w="0" w:type="dxa"/>
                <w:left w:w="0" w:type="dxa"/>
                <w:bottom w:w="0" w:type="dxa"/>
                <w:right w:w="0" w:type="dxa"/>
              </w:tblCellMar>
            </w:tblPr>
            <w:tblGrid>
              <w:gridCol w:w="673"/>
              <w:gridCol w:w="1137"/>
              <w:gridCol w:w="987"/>
              <w:gridCol w:w="974"/>
              <w:gridCol w:w="1523"/>
              <w:gridCol w:w="1556"/>
              <w:gridCol w:w="1632"/>
            </w:tblGrid>
            <w:tr w14:paraId="3ED2699E">
              <w:tblPrEx>
                <w:tblBorders>
                  <w:top w:val="single" w:color="auto" w:sz="12" w:space="0"/>
                  <w:left w:val="none" w:color="auto" w:sz="0" w:space="0"/>
                  <w:bottom w:val="single" w:color="auto" w:sz="12" w:space="0"/>
                  <w:right w:val="none" w:color="auto" w:sz="0" w:space="0"/>
                  <w:insideH w:val="single" w:color="auto" w:sz="12" w:space="0"/>
                  <w:insideV w:val="single" w:color="auto" w:sz="4" w:space="0"/>
                </w:tblBorders>
                <w:tblCellMar>
                  <w:top w:w="0" w:type="dxa"/>
                  <w:left w:w="0" w:type="dxa"/>
                  <w:bottom w:w="0" w:type="dxa"/>
                  <w:right w:w="0" w:type="dxa"/>
                </w:tblCellMar>
              </w:tblPrEx>
              <w:trPr>
                <w:trHeight w:val="261" w:hRule="atLeast"/>
                <w:jc w:val="center"/>
              </w:trPr>
              <w:tc>
                <w:tcPr>
                  <w:tcW w:w="396" w:type="pct"/>
                  <w:tcBorders>
                    <w:tl2br w:val="nil"/>
                    <w:tr2bl w:val="nil"/>
                  </w:tcBorders>
                  <w:noWrap w:val="0"/>
                  <w:vAlign w:val="center"/>
                </w:tcPr>
                <w:p w14:paraId="285C5A0C">
                  <w:pPr>
                    <w:keepNext w:val="0"/>
                    <w:keepLines w:val="0"/>
                    <w:widowControl w:val="0"/>
                    <w:suppressLineNumbers w:val="0"/>
                    <w:autoSpaceDE w:val="0"/>
                    <w:autoSpaceDN w:val="0"/>
                    <w:spacing w:before="0" w:beforeAutospacing="0" w:after="0" w:afterAutospacing="0" w:line="240" w:lineRule="auto"/>
                    <w:ind w:left="0" w:right="0" w:firstLine="0" w:firstLineChars="0"/>
                    <w:jc w:val="center"/>
                    <w:rPr>
                      <w:rFonts w:hint="default" w:ascii="Times New Roman" w:hAnsi="Times New Roman" w:eastAsia="宋体" w:cs="Times New Roman"/>
                      <w:b/>
                      <w:bCs/>
                      <w:color w:val="auto"/>
                      <w:kern w:val="0"/>
                      <w:sz w:val="21"/>
                      <w:szCs w:val="21"/>
                      <w:highlight w:val="none"/>
                      <w:lang w:val="zh-CN" w:bidi="zh-CN"/>
                    </w:rPr>
                  </w:pPr>
                  <w:r>
                    <w:rPr>
                      <w:rFonts w:hint="default" w:ascii="Times New Roman" w:hAnsi="Times New Roman" w:eastAsia="宋体" w:cs="Times New Roman"/>
                      <w:b/>
                      <w:bCs/>
                      <w:color w:val="auto"/>
                      <w:kern w:val="0"/>
                      <w:sz w:val="21"/>
                      <w:szCs w:val="21"/>
                      <w:highlight w:val="none"/>
                      <w:lang w:val="zh-CN" w:bidi="zh-CN"/>
                    </w:rPr>
                    <w:t>序号</w:t>
                  </w:r>
                </w:p>
              </w:tc>
              <w:tc>
                <w:tcPr>
                  <w:tcW w:w="670" w:type="pct"/>
                  <w:tcBorders>
                    <w:tl2br w:val="nil"/>
                    <w:tr2bl w:val="nil"/>
                  </w:tcBorders>
                  <w:noWrap w:val="0"/>
                  <w:vAlign w:val="center"/>
                </w:tcPr>
                <w:p w14:paraId="303B2549">
                  <w:pPr>
                    <w:keepNext w:val="0"/>
                    <w:keepLines w:val="0"/>
                    <w:widowControl w:val="0"/>
                    <w:suppressLineNumbers w:val="0"/>
                    <w:autoSpaceDE w:val="0"/>
                    <w:autoSpaceDN w:val="0"/>
                    <w:spacing w:before="0" w:beforeAutospacing="0" w:after="0" w:afterAutospacing="0" w:line="240" w:lineRule="auto"/>
                    <w:ind w:left="0" w:right="0" w:firstLine="0" w:firstLineChars="0"/>
                    <w:jc w:val="center"/>
                    <w:rPr>
                      <w:rFonts w:hint="default" w:ascii="Times New Roman" w:hAnsi="Times New Roman" w:eastAsia="宋体" w:cs="Times New Roman"/>
                      <w:b/>
                      <w:bCs/>
                      <w:color w:val="auto"/>
                      <w:kern w:val="0"/>
                      <w:sz w:val="21"/>
                      <w:szCs w:val="21"/>
                      <w:highlight w:val="none"/>
                      <w:lang w:val="zh-CN" w:bidi="zh-CN"/>
                    </w:rPr>
                  </w:pPr>
                  <w:r>
                    <w:rPr>
                      <w:rFonts w:hint="default" w:ascii="Times New Roman" w:hAnsi="Times New Roman" w:eastAsia="宋体" w:cs="Times New Roman"/>
                      <w:b/>
                      <w:bCs/>
                      <w:color w:val="auto"/>
                      <w:kern w:val="0"/>
                      <w:sz w:val="21"/>
                      <w:szCs w:val="21"/>
                      <w:highlight w:val="none"/>
                      <w:lang w:val="zh-CN" w:bidi="zh-CN"/>
                    </w:rPr>
                    <w:t>名称</w:t>
                  </w:r>
                </w:p>
              </w:tc>
              <w:tc>
                <w:tcPr>
                  <w:tcW w:w="581" w:type="pct"/>
                  <w:tcBorders>
                    <w:tl2br w:val="nil"/>
                    <w:tr2bl w:val="nil"/>
                  </w:tcBorders>
                  <w:noWrap w:val="0"/>
                  <w:vAlign w:val="center"/>
                </w:tcPr>
                <w:p w14:paraId="447147B8">
                  <w:pPr>
                    <w:keepNext w:val="0"/>
                    <w:keepLines w:val="0"/>
                    <w:widowControl w:val="0"/>
                    <w:suppressLineNumbers w:val="0"/>
                    <w:autoSpaceDE w:val="0"/>
                    <w:autoSpaceDN w:val="0"/>
                    <w:spacing w:before="0" w:beforeAutospacing="0" w:after="0" w:afterAutospacing="0" w:line="240" w:lineRule="auto"/>
                    <w:ind w:left="0" w:right="0" w:firstLine="0" w:firstLineChars="0"/>
                    <w:jc w:val="center"/>
                    <w:rPr>
                      <w:rFonts w:hint="default" w:ascii="Times New Roman" w:hAnsi="Times New Roman" w:eastAsia="宋体" w:cs="Times New Roman"/>
                      <w:b/>
                      <w:bCs/>
                      <w:color w:val="auto"/>
                      <w:kern w:val="0"/>
                      <w:sz w:val="21"/>
                      <w:szCs w:val="21"/>
                      <w:highlight w:val="none"/>
                      <w:lang w:val="en-US" w:bidi="zh-CN"/>
                    </w:rPr>
                  </w:pPr>
                  <w:r>
                    <w:rPr>
                      <w:rFonts w:hint="eastAsia" w:cs="Times New Roman"/>
                      <w:b/>
                      <w:bCs/>
                      <w:color w:val="auto"/>
                      <w:kern w:val="0"/>
                      <w:sz w:val="21"/>
                      <w:szCs w:val="21"/>
                      <w:highlight w:val="none"/>
                      <w:lang w:val="en-US" w:bidi="zh-CN"/>
                    </w:rPr>
                    <w:t>规格</w:t>
                  </w:r>
                </w:p>
              </w:tc>
              <w:tc>
                <w:tcPr>
                  <w:tcW w:w="574" w:type="pct"/>
                  <w:tcBorders>
                    <w:tl2br w:val="nil"/>
                    <w:tr2bl w:val="nil"/>
                  </w:tcBorders>
                  <w:noWrap w:val="0"/>
                  <w:vAlign w:val="center"/>
                </w:tcPr>
                <w:p w14:paraId="730934C1">
                  <w:pPr>
                    <w:keepNext w:val="0"/>
                    <w:keepLines w:val="0"/>
                    <w:widowControl w:val="0"/>
                    <w:suppressLineNumbers w:val="0"/>
                    <w:autoSpaceDE w:val="0"/>
                    <w:autoSpaceDN w:val="0"/>
                    <w:spacing w:before="0" w:beforeAutospacing="0" w:after="0" w:afterAutospacing="0" w:line="240" w:lineRule="auto"/>
                    <w:ind w:left="0" w:right="0" w:firstLine="0" w:firstLineChars="0"/>
                    <w:jc w:val="center"/>
                    <w:rPr>
                      <w:rFonts w:hint="default" w:ascii="Times New Roman" w:hAnsi="Times New Roman" w:eastAsia="宋体" w:cs="Times New Roman"/>
                      <w:b/>
                      <w:bCs/>
                      <w:color w:val="auto"/>
                      <w:kern w:val="0"/>
                      <w:sz w:val="21"/>
                      <w:szCs w:val="21"/>
                      <w:highlight w:val="none"/>
                      <w:lang w:val="en-US" w:bidi="zh-CN"/>
                    </w:rPr>
                  </w:pPr>
                  <w:r>
                    <w:rPr>
                      <w:rFonts w:hint="eastAsia" w:ascii="Times New Roman" w:hAnsi="Times New Roman" w:eastAsia="宋体" w:cs="Times New Roman"/>
                      <w:b/>
                      <w:bCs/>
                      <w:color w:val="auto"/>
                      <w:kern w:val="0"/>
                      <w:sz w:val="21"/>
                      <w:szCs w:val="21"/>
                      <w:highlight w:val="none"/>
                      <w:lang w:val="en-US" w:bidi="zh-CN"/>
                    </w:rPr>
                    <w:t>单位</w:t>
                  </w:r>
                </w:p>
              </w:tc>
              <w:tc>
                <w:tcPr>
                  <w:tcW w:w="897" w:type="pct"/>
                  <w:tcBorders>
                    <w:tl2br w:val="nil"/>
                    <w:tr2bl w:val="nil"/>
                  </w:tcBorders>
                  <w:noWrap w:val="0"/>
                  <w:vAlign w:val="center"/>
                </w:tcPr>
                <w:p w14:paraId="139DCCDD">
                  <w:pPr>
                    <w:keepNext w:val="0"/>
                    <w:keepLines w:val="0"/>
                    <w:widowControl w:val="0"/>
                    <w:suppressLineNumbers w:val="0"/>
                    <w:autoSpaceDE w:val="0"/>
                    <w:autoSpaceDN w:val="0"/>
                    <w:spacing w:before="0" w:beforeAutospacing="0" w:after="0" w:afterAutospacing="0" w:line="240" w:lineRule="auto"/>
                    <w:ind w:left="0" w:right="0" w:firstLine="0" w:firstLineChars="0"/>
                    <w:jc w:val="center"/>
                    <w:rPr>
                      <w:rFonts w:hint="default" w:ascii="Times New Roman" w:hAnsi="Times New Roman" w:eastAsia="宋体" w:cs="Times New Roman"/>
                      <w:b/>
                      <w:bCs/>
                      <w:color w:val="auto"/>
                      <w:kern w:val="0"/>
                      <w:sz w:val="21"/>
                      <w:szCs w:val="21"/>
                      <w:highlight w:val="none"/>
                      <w:lang w:val="zh-CN" w:bidi="zh-CN"/>
                    </w:rPr>
                  </w:pPr>
                  <w:r>
                    <w:rPr>
                      <w:rFonts w:hint="default" w:ascii="Times New Roman" w:hAnsi="Times New Roman" w:eastAsia="宋体" w:cs="Times New Roman"/>
                      <w:b/>
                      <w:bCs/>
                      <w:color w:val="auto"/>
                      <w:kern w:val="0"/>
                      <w:sz w:val="21"/>
                      <w:szCs w:val="21"/>
                      <w:highlight w:val="none"/>
                      <w:lang w:val="zh-CN" w:bidi="zh-CN"/>
                    </w:rPr>
                    <w:t>年产量</w:t>
                  </w:r>
                </w:p>
              </w:tc>
              <w:tc>
                <w:tcPr>
                  <w:tcW w:w="917" w:type="pct"/>
                  <w:tcBorders>
                    <w:tl2br w:val="nil"/>
                    <w:tr2bl w:val="nil"/>
                  </w:tcBorders>
                  <w:noWrap w:val="0"/>
                  <w:vAlign w:val="center"/>
                </w:tcPr>
                <w:p w14:paraId="10B61F7B">
                  <w:pPr>
                    <w:keepNext w:val="0"/>
                    <w:keepLines w:val="0"/>
                    <w:widowControl w:val="0"/>
                    <w:suppressLineNumbers w:val="0"/>
                    <w:autoSpaceDE w:val="0"/>
                    <w:autoSpaceDN w:val="0"/>
                    <w:spacing w:before="0" w:beforeAutospacing="0" w:after="0" w:afterAutospacing="0" w:line="240" w:lineRule="auto"/>
                    <w:ind w:left="0" w:right="0" w:firstLine="0" w:firstLineChars="0"/>
                    <w:jc w:val="center"/>
                    <w:rPr>
                      <w:rFonts w:hint="default" w:ascii="Times New Roman" w:hAnsi="Times New Roman" w:eastAsia="宋体" w:cs="Times New Roman"/>
                      <w:b/>
                      <w:bCs/>
                      <w:color w:val="auto"/>
                      <w:kern w:val="0"/>
                      <w:sz w:val="21"/>
                      <w:szCs w:val="21"/>
                      <w:highlight w:val="none"/>
                      <w:lang w:val="en-US" w:bidi="zh-CN"/>
                    </w:rPr>
                  </w:pPr>
                  <w:r>
                    <w:rPr>
                      <w:rFonts w:hint="eastAsia" w:cs="Times New Roman"/>
                      <w:b/>
                      <w:bCs/>
                      <w:color w:val="auto"/>
                      <w:kern w:val="0"/>
                      <w:sz w:val="21"/>
                      <w:szCs w:val="21"/>
                      <w:highlight w:val="none"/>
                      <w:lang w:val="en-US" w:bidi="zh-CN"/>
                    </w:rPr>
                    <w:t>包装方式</w:t>
                  </w:r>
                </w:p>
              </w:tc>
              <w:tc>
                <w:tcPr>
                  <w:tcW w:w="962" w:type="pct"/>
                  <w:tcBorders>
                    <w:tl2br w:val="nil"/>
                    <w:tr2bl w:val="nil"/>
                  </w:tcBorders>
                  <w:noWrap w:val="0"/>
                  <w:vAlign w:val="center"/>
                </w:tcPr>
                <w:p w14:paraId="63CF174E">
                  <w:pPr>
                    <w:keepNext w:val="0"/>
                    <w:keepLines w:val="0"/>
                    <w:widowControl w:val="0"/>
                    <w:suppressLineNumbers w:val="0"/>
                    <w:autoSpaceDE w:val="0"/>
                    <w:autoSpaceDN w:val="0"/>
                    <w:spacing w:before="0" w:beforeAutospacing="0" w:after="0" w:afterAutospacing="0" w:line="240" w:lineRule="auto"/>
                    <w:ind w:left="0" w:right="0" w:firstLine="0" w:firstLineChars="0"/>
                    <w:jc w:val="center"/>
                    <w:rPr>
                      <w:rFonts w:hint="eastAsia" w:cs="Times New Roman"/>
                      <w:b/>
                      <w:bCs/>
                      <w:color w:val="auto"/>
                      <w:kern w:val="0"/>
                      <w:sz w:val="21"/>
                      <w:szCs w:val="21"/>
                      <w:highlight w:val="none"/>
                      <w:lang w:val="en-US" w:bidi="zh-CN"/>
                    </w:rPr>
                  </w:pPr>
                  <w:r>
                    <w:rPr>
                      <w:rFonts w:hint="eastAsia" w:cs="Times New Roman"/>
                      <w:b/>
                      <w:bCs/>
                      <w:color w:val="auto"/>
                      <w:kern w:val="0"/>
                      <w:sz w:val="21"/>
                      <w:szCs w:val="21"/>
                      <w:highlight w:val="none"/>
                      <w:lang w:val="en-US" w:bidi="zh-CN"/>
                    </w:rPr>
                    <w:t>备注</w:t>
                  </w:r>
                </w:p>
              </w:tc>
            </w:tr>
            <w:tr w14:paraId="5FA594E9">
              <w:tblPrEx>
                <w:tblBorders>
                  <w:top w:val="single" w:color="auto" w:sz="12" w:space="0"/>
                  <w:left w:val="none" w:color="auto" w:sz="0" w:space="0"/>
                  <w:bottom w:val="single" w:color="auto" w:sz="12" w:space="0"/>
                  <w:right w:val="none" w:color="auto" w:sz="0" w:space="0"/>
                  <w:insideH w:val="single" w:color="auto" w:sz="12" w:space="0"/>
                  <w:insideV w:val="single" w:color="auto" w:sz="4" w:space="0"/>
                </w:tblBorders>
                <w:tblCellMar>
                  <w:top w:w="0" w:type="dxa"/>
                  <w:left w:w="0" w:type="dxa"/>
                  <w:bottom w:w="0" w:type="dxa"/>
                  <w:right w:w="0" w:type="dxa"/>
                </w:tblCellMar>
              </w:tblPrEx>
              <w:trPr>
                <w:trHeight w:val="286" w:hRule="atLeast"/>
                <w:jc w:val="center"/>
              </w:trPr>
              <w:tc>
                <w:tcPr>
                  <w:tcW w:w="396" w:type="pct"/>
                  <w:tcBorders>
                    <w:bottom w:val="single" w:color="auto" w:sz="4" w:space="0"/>
                  </w:tcBorders>
                  <w:noWrap w:val="0"/>
                  <w:vAlign w:val="center"/>
                </w:tcPr>
                <w:p w14:paraId="4F04AFC5">
                  <w:pPr>
                    <w:keepNext w:val="0"/>
                    <w:keepLines w:val="0"/>
                    <w:widowControl w:val="0"/>
                    <w:suppressLineNumbers w:val="0"/>
                    <w:autoSpaceDE w:val="0"/>
                    <w:autoSpaceDN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highlight w:val="none"/>
                      <w:lang w:val="zh-CN" w:bidi="zh-CN"/>
                    </w:rPr>
                  </w:pPr>
                  <w:r>
                    <w:rPr>
                      <w:rFonts w:hint="default" w:ascii="Times New Roman" w:hAnsi="Times New Roman" w:eastAsia="宋体" w:cs="Times New Roman"/>
                      <w:color w:val="auto"/>
                      <w:kern w:val="0"/>
                      <w:sz w:val="21"/>
                      <w:szCs w:val="21"/>
                      <w:highlight w:val="none"/>
                      <w:lang w:val="zh-CN" w:bidi="zh-CN"/>
                    </w:rPr>
                    <w:t>1</w:t>
                  </w:r>
                </w:p>
              </w:tc>
              <w:tc>
                <w:tcPr>
                  <w:tcW w:w="670" w:type="pct"/>
                  <w:tcBorders>
                    <w:bottom w:val="single" w:color="auto" w:sz="4" w:space="0"/>
                  </w:tcBorders>
                  <w:noWrap w:val="0"/>
                  <w:vAlign w:val="center"/>
                </w:tcPr>
                <w:p w14:paraId="785C1803">
                  <w:pPr>
                    <w:keepNext w:val="0"/>
                    <w:keepLines w:val="0"/>
                    <w:widowControl w:val="0"/>
                    <w:suppressLineNumbers w:val="0"/>
                    <w:autoSpaceDE w:val="0"/>
                    <w:autoSpaceDN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highlight w:val="none"/>
                      <w:lang w:val="en-US" w:bidi="zh-CN"/>
                    </w:rPr>
                  </w:pPr>
                  <w:r>
                    <w:rPr>
                      <w:rFonts w:hint="eastAsia" w:cs="Times New Roman"/>
                      <w:color w:val="auto"/>
                      <w:kern w:val="0"/>
                      <w:sz w:val="21"/>
                      <w:szCs w:val="21"/>
                      <w:highlight w:val="none"/>
                      <w:lang w:val="en-US" w:bidi="zh-CN"/>
                    </w:rPr>
                    <w:t>高跟鞋</w:t>
                  </w:r>
                </w:p>
              </w:tc>
              <w:tc>
                <w:tcPr>
                  <w:tcW w:w="581" w:type="pct"/>
                  <w:tcBorders>
                    <w:bottom w:val="single" w:color="auto" w:sz="4" w:space="0"/>
                  </w:tcBorders>
                  <w:noWrap w:val="0"/>
                  <w:vAlign w:val="center"/>
                </w:tcPr>
                <w:p w14:paraId="1159E58A">
                  <w:pPr>
                    <w:keepNext w:val="0"/>
                    <w:keepLines w:val="0"/>
                    <w:widowControl w:val="0"/>
                    <w:suppressLineNumbers w:val="0"/>
                    <w:autoSpaceDE w:val="0"/>
                    <w:autoSpaceDN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highlight w:val="none"/>
                      <w:lang w:val="en-US" w:bidi="zh-CN"/>
                    </w:rPr>
                  </w:pPr>
                  <w:r>
                    <w:rPr>
                      <w:rFonts w:hint="eastAsia" w:cs="Times New Roman"/>
                      <w:color w:val="auto"/>
                      <w:kern w:val="0"/>
                      <w:sz w:val="21"/>
                      <w:szCs w:val="21"/>
                      <w:highlight w:val="none"/>
                      <w:lang w:val="en-US" w:bidi="zh-CN"/>
                    </w:rPr>
                    <w:t>35-40码</w:t>
                  </w:r>
                </w:p>
              </w:tc>
              <w:tc>
                <w:tcPr>
                  <w:tcW w:w="574" w:type="pct"/>
                  <w:tcBorders>
                    <w:bottom w:val="single" w:color="auto" w:sz="4" w:space="0"/>
                  </w:tcBorders>
                  <w:noWrap w:val="0"/>
                  <w:vAlign w:val="center"/>
                </w:tcPr>
                <w:p w14:paraId="76020B87">
                  <w:pPr>
                    <w:keepNext w:val="0"/>
                    <w:keepLines w:val="0"/>
                    <w:widowControl w:val="0"/>
                    <w:suppressLineNumbers w:val="0"/>
                    <w:autoSpaceDE w:val="0"/>
                    <w:autoSpaceDN w:val="0"/>
                    <w:spacing w:before="0" w:beforeAutospacing="0" w:after="0" w:afterAutospacing="0" w:line="240" w:lineRule="auto"/>
                    <w:ind w:left="0" w:right="0" w:firstLine="0" w:firstLineChars="0"/>
                    <w:jc w:val="center"/>
                    <w:rPr>
                      <w:rFonts w:hint="default" w:cs="Times New Roman"/>
                      <w:color w:val="auto"/>
                      <w:kern w:val="0"/>
                      <w:sz w:val="21"/>
                      <w:szCs w:val="21"/>
                      <w:highlight w:val="none"/>
                      <w:lang w:val="en-US" w:eastAsia="zh-CN" w:bidi="zh-CN"/>
                    </w:rPr>
                  </w:pPr>
                  <w:r>
                    <w:rPr>
                      <w:rFonts w:hint="eastAsia" w:cs="Times New Roman"/>
                      <w:color w:val="auto"/>
                      <w:kern w:val="0"/>
                      <w:sz w:val="21"/>
                      <w:szCs w:val="21"/>
                      <w:highlight w:val="none"/>
                      <w:lang w:val="en-US" w:eastAsia="zh-CN" w:bidi="zh-CN"/>
                    </w:rPr>
                    <w:t>万双</w:t>
                  </w:r>
                </w:p>
              </w:tc>
              <w:tc>
                <w:tcPr>
                  <w:tcW w:w="897" w:type="pct"/>
                  <w:tcBorders>
                    <w:bottom w:val="single" w:color="auto" w:sz="4" w:space="0"/>
                  </w:tcBorders>
                  <w:noWrap w:val="0"/>
                  <w:vAlign w:val="center"/>
                </w:tcPr>
                <w:p w14:paraId="0552A6C6">
                  <w:pPr>
                    <w:keepNext w:val="0"/>
                    <w:keepLines w:val="0"/>
                    <w:widowControl w:val="0"/>
                    <w:suppressLineNumbers w:val="0"/>
                    <w:autoSpaceDE w:val="0"/>
                    <w:autoSpaceDN w:val="0"/>
                    <w:spacing w:before="0" w:beforeAutospacing="0" w:after="0" w:afterAutospacing="0" w:line="240" w:lineRule="auto"/>
                    <w:ind w:left="0" w:right="0" w:firstLine="0" w:firstLineChars="0"/>
                    <w:jc w:val="center"/>
                    <w:rPr>
                      <w:rFonts w:hint="default" w:cs="Times New Roman"/>
                      <w:color w:val="auto"/>
                      <w:kern w:val="0"/>
                      <w:sz w:val="21"/>
                      <w:szCs w:val="21"/>
                      <w:highlight w:val="none"/>
                      <w:lang w:val="en-US" w:eastAsia="zh-CN" w:bidi="zh-CN"/>
                    </w:rPr>
                  </w:pPr>
                  <w:r>
                    <w:rPr>
                      <w:rFonts w:hint="eastAsia" w:cs="Times New Roman"/>
                      <w:color w:val="auto"/>
                      <w:kern w:val="0"/>
                      <w:sz w:val="21"/>
                      <w:szCs w:val="21"/>
                      <w:highlight w:val="none"/>
                      <w:lang w:val="en-US" w:eastAsia="zh-CN" w:bidi="zh-CN"/>
                    </w:rPr>
                    <w:t>80</w:t>
                  </w:r>
                </w:p>
              </w:tc>
              <w:tc>
                <w:tcPr>
                  <w:tcW w:w="917" w:type="pct"/>
                  <w:tcBorders>
                    <w:bottom w:val="single" w:color="auto" w:sz="4" w:space="0"/>
                  </w:tcBorders>
                  <w:noWrap w:val="0"/>
                  <w:vAlign w:val="center"/>
                </w:tcPr>
                <w:p w14:paraId="6688752D">
                  <w:pPr>
                    <w:keepNext w:val="0"/>
                    <w:keepLines w:val="0"/>
                    <w:widowControl w:val="0"/>
                    <w:suppressLineNumbers w:val="0"/>
                    <w:autoSpaceDE w:val="0"/>
                    <w:autoSpaceDN w:val="0"/>
                    <w:spacing w:before="0" w:beforeAutospacing="0" w:after="0" w:afterAutospacing="0" w:line="240" w:lineRule="auto"/>
                    <w:ind w:left="0" w:right="0" w:firstLine="0" w:firstLineChars="0"/>
                    <w:jc w:val="center"/>
                    <w:rPr>
                      <w:rFonts w:hint="default" w:cs="Times New Roman"/>
                      <w:color w:val="auto"/>
                      <w:kern w:val="0"/>
                      <w:sz w:val="21"/>
                      <w:szCs w:val="21"/>
                      <w:highlight w:val="none"/>
                      <w:lang w:val="en-US" w:eastAsia="zh-CN" w:bidi="zh-CN"/>
                    </w:rPr>
                  </w:pPr>
                  <w:r>
                    <w:rPr>
                      <w:rFonts w:hint="eastAsia" w:cs="Times New Roman"/>
                      <w:color w:val="auto"/>
                      <w:kern w:val="0"/>
                      <w:sz w:val="21"/>
                      <w:szCs w:val="21"/>
                      <w:highlight w:val="none"/>
                      <w:lang w:val="en-US" w:eastAsia="zh-CN" w:bidi="zh-CN"/>
                    </w:rPr>
                    <w:t>布袋+鞋盒</w:t>
                  </w:r>
                </w:p>
              </w:tc>
              <w:tc>
                <w:tcPr>
                  <w:tcW w:w="962" w:type="pct"/>
                  <w:tcBorders>
                    <w:bottom w:val="single" w:color="auto" w:sz="4" w:space="0"/>
                  </w:tcBorders>
                  <w:noWrap w:val="0"/>
                  <w:vAlign w:val="center"/>
                </w:tcPr>
                <w:p w14:paraId="73C59256">
                  <w:pPr>
                    <w:keepNext w:val="0"/>
                    <w:keepLines w:val="0"/>
                    <w:widowControl w:val="0"/>
                    <w:suppressLineNumbers w:val="0"/>
                    <w:autoSpaceDE w:val="0"/>
                    <w:autoSpaceDN w:val="0"/>
                    <w:spacing w:before="0" w:beforeAutospacing="0" w:after="0" w:afterAutospacing="0" w:line="240" w:lineRule="auto"/>
                    <w:ind w:left="0" w:right="0" w:firstLine="0" w:firstLineChars="0"/>
                    <w:jc w:val="center"/>
                    <w:rPr>
                      <w:rFonts w:hint="eastAsia" w:cs="Times New Roman"/>
                      <w:color w:val="auto"/>
                      <w:kern w:val="0"/>
                      <w:sz w:val="21"/>
                      <w:szCs w:val="21"/>
                      <w:highlight w:val="none"/>
                      <w:lang w:val="en-US" w:eastAsia="zh-CN" w:bidi="zh-CN"/>
                    </w:rPr>
                  </w:pPr>
                </w:p>
              </w:tc>
            </w:tr>
            <w:tr w14:paraId="1D8E6130">
              <w:tblPrEx>
                <w:tblBorders>
                  <w:top w:val="single" w:color="auto" w:sz="12" w:space="0"/>
                  <w:left w:val="none" w:color="auto" w:sz="0" w:space="0"/>
                  <w:bottom w:val="single" w:color="auto" w:sz="12" w:space="0"/>
                  <w:right w:val="none" w:color="auto" w:sz="0" w:space="0"/>
                  <w:insideH w:val="single" w:color="auto" w:sz="12" w:space="0"/>
                  <w:insideV w:val="single" w:color="auto" w:sz="4" w:space="0"/>
                </w:tblBorders>
                <w:tblCellMar>
                  <w:top w:w="0" w:type="dxa"/>
                  <w:left w:w="0" w:type="dxa"/>
                  <w:bottom w:w="0" w:type="dxa"/>
                  <w:right w:w="0" w:type="dxa"/>
                </w:tblCellMar>
              </w:tblPrEx>
              <w:trPr>
                <w:trHeight w:val="286" w:hRule="atLeast"/>
                <w:jc w:val="center"/>
              </w:trPr>
              <w:tc>
                <w:tcPr>
                  <w:tcW w:w="396" w:type="pct"/>
                  <w:tcBorders>
                    <w:top w:val="single" w:color="auto" w:sz="4" w:space="0"/>
                    <w:bottom w:val="single" w:color="auto" w:sz="4" w:space="0"/>
                  </w:tcBorders>
                  <w:noWrap w:val="0"/>
                  <w:vAlign w:val="center"/>
                </w:tcPr>
                <w:p w14:paraId="047BE946">
                  <w:pPr>
                    <w:keepNext w:val="0"/>
                    <w:keepLines w:val="0"/>
                    <w:widowControl w:val="0"/>
                    <w:suppressLineNumbers w:val="0"/>
                    <w:autoSpaceDE w:val="0"/>
                    <w:autoSpaceDN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highlight w:val="none"/>
                      <w:lang w:val="en-US" w:bidi="zh-CN"/>
                    </w:rPr>
                  </w:pPr>
                  <w:r>
                    <w:rPr>
                      <w:rFonts w:hint="eastAsia" w:cs="Times New Roman"/>
                      <w:color w:val="auto"/>
                      <w:kern w:val="0"/>
                      <w:sz w:val="21"/>
                      <w:szCs w:val="21"/>
                      <w:highlight w:val="none"/>
                      <w:lang w:val="en-US" w:bidi="zh-CN"/>
                    </w:rPr>
                    <w:t>2</w:t>
                  </w:r>
                </w:p>
              </w:tc>
              <w:tc>
                <w:tcPr>
                  <w:tcW w:w="670" w:type="pct"/>
                  <w:tcBorders>
                    <w:top w:val="single" w:color="auto" w:sz="4" w:space="0"/>
                    <w:bottom w:val="single" w:color="auto" w:sz="4" w:space="0"/>
                  </w:tcBorders>
                  <w:noWrap w:val="0"/>
                  <w:vAlign w:val="center"/>
                </w:tcPr>
                <w:p w14:paraId="72F5FDFF">
                  <w:pPr>
                    <w:keepNext w:val="0"/>
                    <w:keepLines w:val="0"/>
                    <w:widowControl w:val="0"/>
                    <w:suppressLineNumbers w:val="0"/>
                    <w:autoSpaceDE w:val="0"/>
                    <w:autoSpaceDN w:val="0"/>
                    <w:spacing w:before="0" w:beforeAutospacing="0" w:after="0" w:afterAutospacing="0" w:line="240" w:lineRule="auto"/>
                    <w:ind w:left="0" w:right="0" w:firstLine="0" w:firstLineChars="0"/>
                    <w:jc w:val="center"/>
                    <w:rPr>
                      <w:rFonts w:hint="default" w:cs="Times New Roman"/>
                      <w:color w:val="auto"/>
                      <w:kern w:val="0"/>
                      <w:sz w:val="21"/>
                      <w:szCs w:val="21"/>
                      <w:highlight w:val="none"/>
                      <w:lang w:val="en-US" w:bidi="zh-CN"/>
                    </w:rPr>
                  </w:pPr>
                  <w:r>
                    <w:rPr>
                      <w:rFonts w:hint="eastAsia" w:cs="Times New Roman"/>
                      <w:color w:val="auto"/>
                      <w:kern w:val="0"/>
                      <w:sz w:val="21"/>
                      <w:szCs w:val="21"/>
                      <w:highlight w:val="none"/>
                      <w:lang w:val="en-US" w:eastAsia="zh-CN" w:bidi="zh-CN"/>
                    </w:rPr>
                    <w:t>皮鞋</w:t>
                  </w:r>
                </w:p>
              </w:tc>
              <w:tc>
                <w:tcPr>
                  <w:tcW w:w="581" w:type="pct"/>
                  <w:tcBorders>
                    <w:top w:val="single" w:color="auto" w:sz="4" w:space="0"/>
                    <w:bottom w:val="single" w:color="auto" w:sz="4" w:space="0"/>
                  </w:tcBorders>
                  <w:noWrap w:val="0"/>
                  <w:vAlign w:val="center"/>
                </w:tcPr>
                <w:p w14:paraId="18B19286">
                  <w:pPr>
                    <w:keepNext w:val="0"/>
                    <w:keepLines w:val="0"/>
                    <w:widowControl w:val="0"/>
                    <w:suppressLineNumbers w:val="0"/>
                    <w:autoSpaceDE w:val="0"/>
                    <w:autoSpaceDN w:val="0"/>
                    <w:spacing w:before="0" w:beforeAutospacing="0" w:after="0" w:afterAutospacing="0" w:line="240" w:lineRule="auto"/>
                    <w:ind w:left="0" w:right="0" w:firstLine="0" w:firstLineChars="0"/>
                    <w:jc w:val="center"/>
                    <w:rPr>
                      <w:rFonts w:hint="eastAsia" w:cs="Times New Roman"/>
                      <w:color w:val="auto"/>
                      <w:kern w:val="0"/>
                      <w:sz w:val="21"/>
                      <w:szCs w:val="21"/>
                      <w:highlight w:val="none"/>
                      <w:lang w:val="en-US" w:eastAsia="zh-CN" w:bidi="zh-CN"/>
                    </w:rPr>
                  </w:pPr>
                  <w:r>
                    <w:rPr>
                      <w:rFonts w:hint="eastAsia" w:cs="Times New Roman"/>
                      <w:color w:val="auto"/>
                      <w:kern w:val="0"/>
                      <w:sz w:val="21"/>
                      <w:szCs w:val="21"/>
                      <w:highlight w:val="none"/>
                      <w:lang w:val="en-US" w:bidi="zh-CN"/>
                    </w:rPr>
                    <w:t>35-45码</w:t>
                  </w:r>
                </w:p>
              </w:tc>
              <w:tc>
                <w:tcPr>
                  <w:tcW w:w="574" w:type="pct"/>
                  <w:tcBorders>
                    <w:top w:val="single" w:color="auto" w:sz="4" w:space="0"/>
                    <w:bottom w:val="single" w:color="auto" w:sz="4" w:space="0"/>
                  </w:tcBorders>
                  <w:noWrap w:val="0"/>
                  <w:vAlign w:val="center"/>
                </w:tcPr>
                <w:p w14:paraId="32909783">
                  <w:pPr>
                    <w:keepNext w:val="0"/>
                    <w:keepLines w:val="0"/>
                    <w:widowControl w:val="0"/>
                    <w:suppressLineNumbers w:val="0"/>
                    <w:autoSpaceDE w:val="0"/>
                    <w:autoSpaceDN w:val="0"/>
                    <w:spacing w:before="0" w:beforeAutospacing="0" w:after="0" w:afterAutospacing="0" w:line="240" w:lineRule="auto"/>
                    <w:ind w:left="0" w:right="0" w:firstLine="0" w:firstLineChars="0"/>
                    <w:jc w:val="center"/>
                    <w:rPr>
                      <w:rFonts w:hint="eastAsia" w:cs="Times New Roman"/>
                      <w:color w:val="auto"/>
                      <w:kern w:val="0"/>
                      <w:sz w:val="21"/>
                      <w:szCs w:val="21"/>
                      <w:highlight w:val="none"/>
                      <w:lang w:val="en-US" w:eastAsia="zh-CN" w:bidi="zh-CN"/>
                    </w:rPr>
                  </w:pPr>
                  <w:r>
                    <w:rPr>
                      <w:rFonts w:hint="eastAsia" w:cs="Times New Roman"/>
                      <w:color w:val="auto"/>
                      <w:kern w:val="0"/>
                      <w:sz w:val="21"/>
                      <w:szCs w:val="21"/>
                      <w:highlight w:val="none"/>
                      <w:lang w:val="en-US" w:eastAsia="zh-CN" w:bidi="zh-CN"/>
                    </w:rPr>
                    <w:t>万双</w:t>
                  </w:r>
                </w:p>
              </w:tc>
              <w:tc>
                <w:tcPr>
                  <w:tcW w:w="897" w:type="pct"/>
                  <w:tcBorders>
                    <w:top w:val="single" w:color="auto" w:sz="4" w:space="0"/>
                    <w:bottom w:val="single" w:color="auto" w:sz="4" w:space="0"/>
                  </w:tcBorders>
                  <w:noWrap w:val="0"/>
                  <w:vAlign w:val="center"/>
                </w:tcPr>
                <w:p w14:paraId="63967372">
                  <w:pPr>
                    <w:keepNext w:val="0"/>
                    <w:keepLines w:val="0"/>
                    <w:widowControl w:val="0"/>
                    <w:suppressLineNumbers w:val="0"/>
                    <w:autoSpaceDE w:val="0"/>
                    <w:autoSpaceDN w:val="0"/>
                    <w:spacing w:before="0" w:beforeAutospacing="0" w:after="0" w:afterAutospacing="0" w:line="240" w:lineRule="auto"/>
                    <w:ind w:left="0" w:right="0" w:firstLine="0" w:firstLineChars="0"/>
                    <w:jc w:val="center"/>
                    <w:rPr>
                      <w:rFonts w:hint="default" w:cs="Times New Roman"/>
                      <w:color w:val="auto"/>
                      <w:kern w:val="0"/>
                      <w:sz w:val="21"/>
                      <w:szCs w:val="21"/>
                      <w:highlight w:val="none"/>
                      <w:lang w:val="en-US" w:eastAsia="zh-CN" w:bidi="zh-CN"/>
                    </w:rPr>
                  </w:pPr>
                  <w:r>
                    <w:rPr>
                      <w:rFonts w:hint="eastAsia" w:cs="Times New Roman"/>
                      <w:color w:val="auto"/>
                      <w:kern w:val="0"/>
                      <w:sz w:val="21"/>
                      <w:szCs w:val="21"/>
                      <w:highlight w:val="none"/>
                      <w:lang w:val="en-US" w:eastAsia="zh-CN" w:bidi="zh-CN"/>
                    </w:rPr>
                    <w:t>80</w:t>
                  </w:r>
                </w:p>
              </w:tc>
              <w:tc>
                <w:tcPr>
                  <w:tcW w:w="917" w:type="pct"/>
                  <w:tcBorders>
                    <w:top w:val="single" w:color="auto" w:sz="4" w:space="0"/>
                    <w:bottom w:val="single" w:color="auto" w:sz="4" w:space="0"/>
                  </w:tcBorders>
                  <w:noWrap w:val="0"/>
                  <w:vAlign w:val="center"/>
                </w:tcPr>
                <w:p w14:paraId="51A14A18">
                  <w:pPr>
                    <w:keepNext w:val="0"/>
                    <w:keepLines w:val="0"/>
                    <w:widowControl w:val="0"/>
                    <w:suppressLineNumbers w:val="0"/>
                    <w:autoSpaceDE w:val="0"/>
                    <w:autoSpaceDN w:val="0"/>
                    <w:spacing w:before="0" w:beforeAutospacing="0" w:after="0" w:afterAutospacing="0" w:line="240" w:lineRule="auto"/>
                    <w:ind w:left="0" w:right="0" w:firstLine="0" w:firstLineChars="0"/>
                    <w:jc w:val="center"/>
                    <w:rPr>
                      <w:rFonts w:hint="eastAsia" w:cs="Times New Roman"/>
                      <w:color w:val="auto"/>
                      <w:kern w:val="0"/>
                      <w:sz w:val="21"/>
                      <w:szCs w:val="21"/>
                      <w:highlight w:val="none"/>
                      <w:lang w:val="en-US" w:eastAsia="zh-CN" w:bidi="zh-CN"/>
                    </w:rPr>
                  </w:pPr>
                  <w:r>
                    <w:rPr>
                      <w:rFonts w:hint="eastAsia" w:cs="Times New Roman"/>
                      <w:color w:val="auto"/>
                      <w:kern w:val="0"/>
                      <w:sz w:val="21"/>
                      <w:szCs w:val="21"/>
                      <w:highlight w:val="none"/>
                      <w:lang w:val="en-US" w:eastAsia="zh-CN" w:bidi="zh-CN"/>
                    </w:rPr>
                    <w:t>布袋+鞋盒</w:t>
                  </w:r>
                </w:p>
              </w:tc>
              <w:tc>
                <w:tcPr>
                  <w:tcW w:w="962" w:type="pct"/>
                  <w:tcBorders>
                    <w:top w:val="single" w:color="auto" w:sz="4" w:space="0"/>
                    <w:bottom w:val="single" w:color="auto" w:sz="4" w:space="0"/>
                  </w:tcBorders>
                  <w:noWrap w:val="0"/>
                  <w:vAlign w:val="center"/>
                </w:tcPr>
                <w:p w14:paraId="1EBA27C5">
                  <w:pPr>
                    <w:keepNext w:val="0"/>
                    <w:keepLines w:val="0"/>
                    <w:widowControl w:val="0"/>
                    <w:suppressLineNumbers w:val="0"/>
                    <w:autoSpaceDE w:val="0"/>
                    <w:autoSpaceDN w:val="0"/>
                    <w:spacing w:before="0" w:beforeAutospacing="0" w:after="0" w:afterAutospacing="0" w:line="240" w:lineRule="auto"/>
                    <w:ind w:left="0" w:right="0" w:firstLine="0" w:firstLineChars="0"/>
                    <w:jc w:val="center"/>
                    <w:rPr>
                      <w:rFonts w:hint="eastAsia" w:cs="Times New Roman"/>
                      <w:color w:val="auto"/>
                      <w:kern w:val="0"/>
                      <w:sz w:val="21"/>
                      <w:szCs w:val="21"/>
                      <w:highlight w:val="none"/>
                      <w:lang w:val="en-US" w:eastAsia="zh-CN" w:bidi="zh-CN"/>
                    </w:rPr>
                  </w:pPr>
                </w:p>
              </w:tc>
            </w:tr>
            <w:tr w14:paraId="5FD76688">
              <w:tblPrEx>
                <w:tblBorders>
                  <w:top w:val="single" w:color="auto" w:sz="12" w:space="0"/>
                  <w:left w:val="none" w:color="auto" w:sz="0" w:space="0"/>
                  <w:bottom w:val="single" w:color="auto" w:sz="12" w:space="0"/>
                  <w:right w:val="none" w:color="auto" w:sz="0" w:space="0"/>
                  <w:insideH w:val="single" w:color="auto" w:sz="12" w:space="0"/>
                  <w:insideV w:val="single" w:color="auto" w:sz="4" w:space="0"/>
                </w:tblBorders>
                <w:tblCellMar>
                  <w:top w:w="0" w:type="dxa"/>
                  <w:left w:w="0" w:type="dxa"/>
                  <w:bottom w:w="0" w:type="dxa"/>
                  <w:right w:w="0" w:type="dxa"/>
                </w:tblCellMar>
              </w:tblPrEx>
              <w:trPr>
                <w:trHeight w:val="286" w:hRule="atLeast"/>
                <w:jc w:val="center"/>
              </w:trPr>
              <w:tc>
                <w:tcPr>
                  <w:tcW w:w="396" w:type="pct"/>
                  <w:tcBorders>
                    <w:top w:val="single" w:color="auto" w:sz="4" w:space="0"/>
                    <w:bottom w:val="single" w:color="auto" w:sz="4" w:space="0"/>
                  </w:tcBorders>
                  <w:noWrap w:val="0"/>
                  <w:vAlign w:val="center"/>
                </w:tcPr>
                <w:p w14:paraId="76521498">
                  <w:pPr>
                    <w:keepNext w:val="0"/>
                    <w:keepLines w:val="0"/>
                    <w:widowControl w:val="0"/>
                    <w:suppressLineNumbers w:val="0"/>
                    <w:autoSpaceDE w:val="0"/>
                    <w:autoSpaceDN w:val="0"/>
                    <w:spacing w:before="0" w:beforeAutospacing="0" w:after="0" w:afterAutospacing="0" w:line="240" w:lineRule="auto"/>
                    <w:ind w:left="0" w:right="0" w:firstLine="0" w:firstLineChars="0"/>
                    <w:jc w:val="center"/>
                    <w:rPr>
                      <w:rFonts w:hint="default" w:cs="Times New Roman"/>
                      <w:color w:val="auto"/>
                      <w:kern w:val="0"/>
                      <w:sz w:val="21"/>
                      <w:szCs w:val="21"/>
                      <w:highlight w:val="none"/>
                      <w:lang w:val="en-US" w:bidi="zh-CN"/>
                    </w:rPr>
                  </w:pPr>
                  <w:r>
                    <w:rPr>
                      <w:rFonts w:hint="eastAsia" w:cs="Times New Roman"/>
                      <w:color w:val="auto"/>
                      <w:kern w:val="0"/>
                      <w:sz w:val="21"/>
                      <w:szCs w:val="21"/>
                      <w:highlight w:val="none"/>
                      <w:lang w:val="en-US" w:bidi="zh-CN"/>
                    </w:rPr>
                    <w:t>3</w:t>
                  </w:r>
                </w:p>
              </w:tc>
              <w:tc>
                <w:tcPr>
                  <w:tcW w:w="670" w:type="pct"/>
                  <w:tcBorders>
                    <w:top w:val="single" w:color="auto" w:sz="4" w:space="0"/>
                    <w:bottom w:val="single" w:color="auto" w:sz="4" w:space="0"/>
                  </w:tcBorders>
                  <w:noWrap w:val="0"/>
                  <w:vAlign w:val="center"/>
                </w:tcPr>
                <w:p w14:paraId="76ED7EFF">
                  <w:pPr>
                    <w:keepNext w:val="0"/>
                    <w:keepLines w:val="0"/>
                    <w:widowControl w:val="0"/>
                    <w:suppressLineNumbers w:val="0"/>
                    <w:autoSpaceDE w:val="0"/>
                    <w:autoSpaceDN w:val="0"/>
                    <w:spacing w:before="0" w:beforeAutospacing="0" w:after="0" w:afterAutospacing="0" w:line="240" w:lineRule="auto"/>
                    <w:ind w:left="0" w:right="0" w:firstLine="0" w:firstLineChars="0"/>
                    <w:jc w:val="center"/>
                    <w:rPr>
                      <w:rFonts w:hint="eastAsia" w:cs="Times New Roman"/>
                      <w:color w:val="auto"/>
                      <w:kern w:val="0"/>
                      <w:sz w:val="21"/>
                      <w:szCs w:val="21"/>
                      <w:highlight w:val="none"/>
                      <w:lang w:val="en-US" w:eastAsia="zh-CN" w:bidi="zh-CN"/>
                    </w:rPr>
                  </w:pPr>
                  <w:r>
                    <w:rPr>
                      <w:rFonts w:hint="eastAsia" w:cs="Times New Roman"/>
                      <w:color w:val="auto"/>
                      <w:kern w:val="0"/>
                      <w:sz w:val="21"/>
                      <w:szCs w:val="21"/>
                      <w:highlight w:val="none"/>
                      <w:lang w:val="en-US" w:eastAsia="zh-CN" w:bidi="zh-CN"/>
                    </w:rPr>
                    <w:t>注塑鞋</w:t>
                  </w:r>
                </w:p>
              </w:tc>
              <w:tc>
                <w:tcPr>
                  <w:tcW w:w="581" w:type="pct"/>
                  <w:tcBorders>
                    <w:top w:val="single" w:color="auto" w:sz="4" w:space="0"/>
                    <w:bottom w:val="single" w:color="auto" w:sz="4" w:space="0"/>
                  </w:tcBorders>
                  <w:noWrap w:val="0"/>
                  <w:vAlign w:val="center"/>
                </w:tcPr>
                <w:p w14:paraId="2260858F">
                  <w:pPr>
                    <w:keepNext w:val="0"/>
                    <w:keepLines w:val="0"/>
                    <w:widowControl w:val="0"/>
                    <w:suppressLineNumbers w:val="0"/>
                    <w:autoSpaceDE w:val="0"/>
                    <w:autoSpaceDN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highlight w:val="none"/>
                      <w:lang w:val="en-US" w:eastAsia="zh-CN" w:bidi="zh-CN"/>
                    </w:rPr>
                  </w:pPr>
                  <w:r>
                    <w:rPr>
                      <w:rFonts w:hint="eastAsia" w:cs="Times New Roman"/>
                      <w:color w:val="auto"/>
                      <w:kern w:val="0"/>
                      <w:sz w:val="21"/>
                      <w:szCs w:val="21"/>
                      <w:highlight w:val="none"/>
                      <w:lang w:val="en-US" w:bidi="zh-CN"/>
                    </w:rPr>
                    <w:t>35-45码</w:t>
                  </w:r>
                </w:p>
              </w:tc>
              <w:tc>
                <w:tcPr>
                  <w:tcW w:w="574" w:type="pct"/>
                  <w:tcBorders>
                    <w:top w:val="single" w:color="auto" w:sz="4" w:space="0"/>
                    <w:bottom w:val="single" w:color="auto" w:sz="4" w:space="0"/>
                  </w:tcBorders>
                  <w:noWrap w:val="0"/>
                  <w:vAlign w:val="center"/>
                </w:tcPr>
                <w:p w14:paraId="5CE17DD1">
                  <w:pPr>
                    <w:keepNext w:val="0"/>
                    <w:keepLines w:val="0"/>
                    <w:widowControl w:val="0"/>
                    <w:suppressLineNumbers w:val="0"/>
                    <w:autoSpaceDE w:val="0"/>
                    <w:autoSpaceDN w:val="0"/>
                    <w:spacing w:before="0" w:beforeAutospacing="0" w:after="0" w:afterAutospacing="0" w:line="240" w:lineRule="auto"/>
                    <w:ind w:left="0" w:right="0" w:firstLine="0" w:firstLineChars="0"/>
                    <w:jc w:val="center"/>
                    <w:rPr>
                      <w:rFonts w:hint="eastAsia" w:cs="Times New Roman"/>
                      <w:color w:val="auto"/>
                      <w:kern w:val="0"/>
                      <w:sz w:val="21"/>
                      <w:szCs w:val="21"/>
                      <w:highlight w:val="none"/>
                      <w:lang w:val="en-US" w:eastAsia="zh-CN" w:bidi="zh-CN"/>
                    </w:rPr>
                  </w:pPr>
                  <w:r>
                    <w:rPr>
                      <w:rFonts w:hint="eastAsia" w:cs="Times New Roman"/>
                      <w:color w:val="auto"/>
                      <w:kern w:val="0"/>
                      <w:sz w:val="21"/>
                      <w:szCs w:val="21"/>
                      <w:highlight w:val="none"/>
                      <w:lang w:val="en-US" w:eastAsia="zh-CN" w:bidi="zh-CN"/>
                    </w:rPr>
                    <w:t>万双</w:t>
                  </w:r>
                </w:p>
              </w:tc>
              <w:tc>
                <w:tcPr>
                  <w:tcW w:w="897" w:type="pct"/>
                  <w:tcBorders>
                    <w:top w:val="single" w:color="auto" w:sz="4" w:space="0"/>
                    <w:bottom w:val="single" w:color="auto" w:sz="4" w:space="0"/>
                  </w:tcBorders>
                  <w:noWrap w:val="0"/>
                  <w:vAlign w:val="center"/>
                </w:tcPr>
                <w:p w14:paraId="718BCE8F">
                  <w:pPr>
                    <w:keepNext w:val="0"/>
                    <w:keepLines w:val="0"/>
                    <w:widowControl w:val="0"/>
                    <w:suppressLineNumbers w:val="0"/>
                    <w:autoSpaceDE w:val="0"/>
                    <w:autoSpaceDN w:val="0"/>
                    <w:spacing w:before="0" w:beforeAutospacing="0" w:after="0" w:afterAutospacing="0" w:line="240" w:lineRule="auto"/>
                    <w:ind w:left="0" w:right="0" w:firstLine="0" w:firstLineChars="0"/>
                    <w:jc w:val="center"/>
                    <w:rPr>
                      <w:rFonts w:hint="default" w:cs="Times New Roman"/>
                      <w:color w:val="auto"/>
                      <w:kern w:val="0"/>
                      <w:sz w:val="21"/>
                      <w:szCs w:val="21"/>
                      <w:highlight w:val="none"/>
                      <w:lang w:val="en-US" w:eastAsia="zh-CN" w:bidi="zh-CN"/>
                    </w:rPr>
                  </w:pPr>
                  <w:r>
                    <w:rPr>
                      <w:rFonts w:hint="eastAsia" w:cs="Times New Roman"/>
                      <w:color w:val="auto"/>
                      <w:kern w:val="0"/>
                      <w:sz w:val="21"/>
                      <w:szCs w:val="21"/>
                      <w:highlight w:val="none"/>
                      <w:lang w:val="en-US" w:eastAsia="zh-CN" w:bidi="zh-CN"/>
                    </w:rPr>
                    <w:t>120</w:t>
                  </w:r>
                </w:p>
              </w:tc>
              <w:tc>
                <w:tcPr>
                  <w:tcW w:w="917" w:type="pct"/>
                  <w:tcBorders>
                    <w:top w:val="single" w:color="auto" w:sz="4" w:space="0"/>
                    <w:bottom w:val="single" w:color="auto" w:sz="4" w:space="0"/>
                  </w:tcBorders>
                  <w:noWrap w:val="0"/>
                  <w:vAlign w:val="center"/>
                </w:tcPr>
                <w:p w14:paraId="39A1981A">
                  <w:pPr>
                    <w:keepNext w:val="0"/>
                    <w:keepLines w:val="0"/>
                    <w:widowControl w:val="0"/>
                    <w:suppressLineNumbers w:val="0"/>
                    <w:autoSpaceDE w:val="0"/>
                    <w:autoSpaceDN w:val="0"/>
                    <w:spacing w:before="0" w:beforeAutospacing="0" w:after="0" w:afterAutospacing="0" w:line="240" w:lineRule="auto"/>
                    <w:ind w:left="0" w:right="0" w:firstLine="0" w:firstLineChars="0"/>
                    <w:jc w:val="center"/>
                    <w:rPr>
                      <w:rFonts w:hint="eastAsia" w:cs="Times New Roman"/>
                      <w:color w:val="auto"/>
                      <w:kern w:val="0"/>
                      <w:sz w:val="21"/>
                      <w:szCs w:val="21"/>
                      <w:highlight w:val="none"/>
                      <w:lang w:val="en-US" w:eastAsia="zh-CN" w:bidi="zh-CN"/>
                    </w:rPr>
                  </w:pPr>
                  <w:r>
                    <w:rPr>
                      <w:rFonts w:hint="eastAsia" w:cs="Times New Roman"/>
                      <w:color w:val="auto"/>
                      <w:kern w:val="0"/>
                      <w:sz w:val="21"/>
                      <w:szCs w:val="21"/>
                      <w:highlight w:val="none"/>
                      <w:lang w:val="en-US" w:eastAsia="zh-CN" w:bidi="zh-CN"/>
                    </w:rPr>
                    <w:t>纸包+鞋盒</w:t>
                  </w:r>
                </w:p>
              </w:tc>
              <w:tc>
                <w:tcPr>
                  <w:tcW w:w="962" w:type="pct"/>
                  <w:tcBorders>
                    <w:top w:val="single" w:color="auto" w:sz="4" w:space="0"/>
                    <w:bottom w:val="single" w:color="auto" w:sz="4" w:space="0"/>
                  </w:tcBorders>
                  <w:noWrap w:val="0"/>
                  <w:vAlign w:val="center"/>
                </w:tcPr>
                <w:p w14:paraId="7101F9D9">
                  <w:pPr>
                    <w:keepNext w:val="0"/>
                    <w:keepLines w:val="0"/>
                    <w:widowControl w:val="0"/>
                    <w:suppressLineNumbers w:val="0"/>
                    <w:autoSpaceDE w:val="0"/>
                    <w:autoSpaceDN w:val="0"/>
                    <w:spacing w:before="0" w:beforeAutospacing="0" w:after="0" w:afterAutospacing="0" w:line="240" w:lineRule="auto"/>
                    <w:ind w:left="0" w:right="0" w:firstLine="0" w:firstLineChars="0"/>
                    <w:jc w:val="center"/>
                    <w:rPr>
                      <w:rFonts w:hint="eastAsia" w:cs="Times New Roman"/>
                      <w:color w:val="auto"/>
                      <w:kern w:val="0"/>
                      <w:sz w:val="21"/>
                      <w:szCs w:val="21"/>
                      <w:highlight w:val="none"/>
                      <w:lang w:val="en-US" w:eastAsia="zh-CN" w:bidi="zh-CN"/>
                    </w:rPr>
                  </w:pPr>
                </w:p>
              </w:tc>
            </w:tr>
            <w:tr w14:paraId="428D6747">
              <w:tblPrEx>
                <w:tblBorders>
                  <w:top w:val="single" w:color="auto" w:sz="12" w:space="0"/>
                  <w:left w:val="none" w:color="auto" w:sz="0" w:space="0"/>
                  <w:bottom w:val="single" w:color="auto" w:sz="12" w:space="0"/>
                  <w:right w:val="none" w:color="auto" w:sz="0" w:space="0"/>
                  <w:insideH w:val="single" w:color="auto" w:sz="12" w:space="0"/>
                  <w:insideV w:val="single" w:color="auto" w:sz="4" w:space="0"/>
                </w:tblBorders>
                <w:tblCellMar>
                  <w:top w:w="0" w:type="dxa"/>
                  <w:left w:w="0" w:type="dxa"/>
                  <w:bottom w:w="0" w:type="dxa"/>
                  <w:right w:w="0" w:type="dxa"/>
                </w:tblCellMar>
              </w:tblPrEx>
              <w:trPr>
                <w:trHeight w:val="286" w:hRule="atLeast"/>
                <w:jc w:val="center"/>
              </w:trPr>
              <w:tc>
                <w:tcPr>
                  <w:tcW w:w="396" w:type="pct"/>
                  <w:tcBorders>
                    <w:top w:val="single" w:color="auto" w:sz="4" w:space="0"/>
                    <w:bottom w:val="single" w:color="auto" w:sz="4" w:space="0"/>
                  </w:tcBorders>
                  <w:noWrap w:val="0"/>
                  <w:vAlign w:val="center"/>
                </w:tcPr>
                <w:p w14:paraId="5F8CD9DB">
                  <w:pPr>
                    <w:keepNext w:val="0"/>
                    <w:keepLines w:val="0"/>
                    <w:widowControl w:val="0"/>
                    <w:suppressLineNumbers w:val="0"/>
                    <w:autoSpaceDE w:val="0"/>
                    <w:autoSpaceDN w:val="0"/>
                    <w:spacing w:before="0" w:beforeAutospacing="0" w:after="0" w:afterAutospacing="0" w:line="240" w:lineRule="auto"/>
                    <w:ind w:left="0" w:right="0" w:firstLine="0" w:firstLineChars="0"/>
                    <w:jc w:val="center"/>
                    <w:rPr>
                      <w:rFonts w:hint="default" w:cs="Times New Roman"/>
                      <w:color w:val="auto"/>
                      <w:kern w:val="0"/>
                      <w:sz w:val="21"/>
                      <w:szCs w:val="21"/>
                      <w:highlight w:val="none"/>
                      <w:lang w:val="en-US" w:bidi="zh-CN"/>
                    </w:rPr>
                  </w:pPr>
                  <w:r>
                    <w:rPr>
                      <w:rFonts w:hint="eastAsia" w:cs="Times New Roman"/>
                      <w:color w:val="auto"/>
                      <w:kern w:val="0"/>
                      <w:sz w:val="21"/>
                      <w:szCs w:val="21"/>
                      <w:highlight w:val="none"/>
                      <w:lang w:val="en-US" w:bidi="zh-CN"/>
                    </w:rPr>
                    <w:t>4</w:t>
                  </w:r>
                </w:p>
              </w:tc>
              <w:tc>
                <w:tcPr>
                  <w:tcW w:w="670" w:type="pct"/>
                  <w:tcBorders>
                    <w:top w:val="single" w:color="auto" w:sz="4" w:space="0"/>
                    <w:bottom w:val="single" w:color="auto" w:sz="4" w:space="0"/>
                  </w:tcBorders>
                  <w:noWrap w:val="0"/>
                  <w:vAlign w:val="center"/>
                </w:tcPr>
                <w:p w14:paraId="518433D4">
                  <w:pPr>
                    <w:keepNext w:val="0"/>
                    <w:keepLines w:val="0"/>
                    <w:widowControl w:val="0"/>
                    <w:suppressLineNumbers w:val="0"/>
                    <w:autoSpaceDE w:val="0"/>
                    <w:autoSpaceDN w:val="0"/>
                    <w:spacing w:before="0" w:beforeAutospacing="0" w:after="0" w:afterAutospacing="0" w:line="240" w:lineRule="auto"/>
                    <w:ind w:left="0" w:right="0" w:firstLine="0" w:firstLineChars="0"/>
                    <w:jc w:val="center"/>
                    <w:rPr>
                      <w:rFonts w:hint="default" w:cs="Times New Roman"/>
                      <w:color w:val="auto"/>
                      <w:kern w:val="0"/>
                      <w:sz w:val="21"/>
                      <w:szCs w:val="21"/>
                      <w:highlight w:val="none"/>
                      <w:lang w:val="en-US" w:eastAsia="zh-CN" w:bidi="zh-CN"/>
                    </w:rPr>
                  </w:pPr>
                  <w:r>
                    <w:rPr>
                      <w:rFonts w:hint="eastAsia" w:ascii="Times New Roman" w:hAnsi="Times New Roman"/>
                      <w:b w:val="0"/>
                      <w:bCs/>
                      <w:color w:val="auto"/>
                      <w:szCs w:val="21"/>
                      <w:lang w:val="en-US" w:eastAsia="zh-CN"/>
                    </w:rPr>
                    <w:t>聚氨酯鞋垫</w:t>
                  </w:r>
                </w:p>
              </w:tc>
              <w:tc>
                <w:tcPr>
                  <w:tcW w:w="581" w:type="pct"/>
                  <w:tcBorders>
                    <w:top w:val="single" w:color="auto" w:sz="4" w:space="0"/>
                    <w:bottom w:val="single" w:color="auto" w:sz="4" w:space="0"/>
                  </w:tcBorders>
                  <w:noWrap w:val="0"/>
                  <w:vAlign w:val="center"/>
                </w:tcPr>
                <w:p w14:paraId="135EF543">
                  <w:pPr>
                    <w:keepNext w:val="0"/>
                    <w:keepLines w:val="0"/>
                    <w:widowControl w:val="0"/>
                    <w:suppressLineNumbers w:val="0"/>
                    <w:autoSpaceDE w:val="0"/>
                    <w:autoSpaceDN w:val="0"/>
                    <w:spacing w:before="0" w:beforeAutospacing="0" w:after="0" w:afterAutospacing="0" w:line="240" w:lineRule="auto"/>
                    <w:ind w:left="0" w:right="0" w:firstLine="0" w:firstLineChars="0"/>
                    <w:jc w:val="center"/>
                    <w:rPr>
                      <w:rFonts w:hint="eastAsia" w:cs="Times New Roman"/>
                      <w:color w:val="auto"/>
                      <w:kern w:val="0"/>
                      <w:sz w:val="21"/>
                      <w:szCs w:val="21"/>
                      <w:highlight w:val="none"/>
                      <w:lang w:val="en-US" w:bidi="zh-CN"/>
                    </w:rPr>
                  </w:pPr>
                  <w:r>
                    <w:rPr>
                      <w:rFonts w:hint="eastAsia" w:cs="Times New Roman"/>
                      <w:color w:val="auto"/>
                      <w:kern w:val="0"/>
                      <w:sz w:val="21"/>
                      <w:szCs w:val="21"/>
                      <w:highlight w:val="none"/>
                      <w:lang w:val="en-US" w:bidi="zh-CN"/>
                    </w:rPr>
                    <w:t>35-45码</w:t>
                  </w:r>
                </w:p>
              </w:tc>
              <w:tc>
                <w:tcPr>
                  <w:tcW w:w="574" w:type="pct"/>
                  <w:tcBorders>
                    <w:top w:val="single" w:color="auto" w:sz="4" w:space="0"/>
                    <w:bottom w:val="single" w:color="auto" w:sz="4" w:space="0"/>
                  </w:tcBorders>
                  <w:noWrap w:val="0"/>
                  <w:vAlign w:val="center"/>
                </w:tcPr>
                <w:p w14:paraId="1E7D19BC">
                  <w:pPr>
                    <w:keepNext w:val="0"/>
                    <w:keepLines w:val="0"/>
                    <w:widowControl w:val="0"/>
                    <w:suppressLineNumbers w:val="0"/>
                    <w:autoSpaceDE w:val="0"/>
                    <w:autoSpaceDN w:val="0"/>
                    <w:spacing w:before="0" w:beforeAutospacing="0" w:after="0" w:afterAutospacing="0" w:line="240" w:lineRule="auto"/>
                    <w:ind w:left="0" w:right="0" w:firstLine="0" w:firstLineChars="0"/>
                    <w:jc w:val="center"/>
                    <w:rPr>
                      <w:rFonts w:hint="eastAsia" w:cs="Times New Roman"/>
                      <w:color w:val="auto"/>
                      <w:kern w:val="0"/>
                      <w:sz w:val="21"/>
                      <w:szCs w:val="21"/>
                      <w:highlight w:val="none"/>
                      <w:lang w:val="en-US" w:eastAsia="zh-CN" w:bidi="zh-CN"/>
                    </w:rPr>
                  </w:pPr>
                  <w:r>
                    <w:rPr>
                      <w:rFonts w:hint="eastAsia" w:cs="Times New Roman"/>
                      <w:color w:val="auto"/>
                      <w:kern w:val="0"/>
                      <w:sz w:val="21"/>
                      <w:szCs w:val="21"/>
                      <w:highlight w:val="none"/>
                      <w:lang w:val="en-US" w:eastAsia="zh-CN" w:bidi="zh-CN"/>
                    </w:rPr>
                    <w:t>万双</w:t>
                  </w:r>
                </w:p>
              </w:tc>
              <w:tc>
                <w:tcPr>
                  <w:tcW w:w="897" w:type="pct"/>
                  <w:tcBorders>
                    <w:top w:val="single" w:color="auto" w:sz="4" w:space="0"/>
                    <w:bottom w:val="single" w:color="auto" w:sz="4" w:space="0"/>
                  </w:tcBorders>
                  <w:noWrap w:val="0"/>
                  <w:vAlign w:val="center"/>
                </w:tcPr>
                <w:p w14:paraId="50C8D8EA">
                  <w:pPr>
                    <w:keepNext w:val="0"/>
                    <w:keepLines w:val="0"/>
                    <w:widowControl w:val="0"/>
                    <w:suppressLineNumbers w:val="0"/>
                    <w:autoSpaceDE w:val="0"/>
                    <w:autoSpaceDN w:val="0"/>
                    <w:spacing w:before="0" w:beforeAutospacing="0" w:after="0" w:afterAutospacing="0" w:line="240" w:lineRule="auto"/>
                    <w:ind w:left="0" w:right="0" w:firstLine="0" w:firstLineChars="0"/>
                    <w:jc w:val="center"/>
                    <w:rPr>
                      <w:rFonts w:hint="default" w:cs="Times New Roman"/>
                      <w:color w:val="auto"/>
                      <w:kern w:val="0"/>
                      <w:sz w:val="21"/>
                      <w:szCs w:val="21"/>
                      <w:highlight w:val="none"/>
                      <w:lang w:val="en-US" w:eastAsia="zh-CN" w:bidi="zh-CN"/>
                    </w:rPr>
                  </w:pPr>
                  <w:r>
                    <w:rPr>
                      <w:rFonts w:hint="eastAsia" w:cs="Times New Roman"/>
                      <w:color w:val="auto"/>
                      <w:kern w:val="0"/>
                      <w:sz w:val="21"/>
                      <w:szCs w:val="21"/>
                      <w:highlight w:val="none"/>
                      <w:lang w:val="en-US" w:eastAsia="zh-CN" w:bidi="zh-CN"/>
                    </w:rPr>
                    <w:t>200</w:t>
                  </w:r>
                </w:p>
              </w:tc>
              <w:tc>
                <w:tcPr>
                  <w:tcW w:w="917" w:type="pct"/>
                  <w:tcBorders>
                    <w:top w:val="single" w:color="auto" w:sz="4" w:space="0"/>
                    <w:bottom w:val="single" w:color="auto" w:sz="4" w:space="0"/>
                  </w:tcBorders>
                  <w:noWrap w:val="0"/>
                  <w:vAlign w:val="center"/>
                </w:tcPr>
                <w:p w14:paraId="19E87250">
                  <w:pPr>
                    <w:keepNext w:val="0"/>
                    <w:keepLines w:val="0"/>
                    <w:widowControl w:val="0"/>
                    <w:suppressLineNumbers w:val="0"/>
                    <w:autoSpaceDE w:val="0"/>
                    <w:autoSpaceDN w:val="0"/>
                    <w:spacing w:before="0" w:beforeAutospacing="0" w:after="0" w:afterAutospacing="0" w:line="240" w:lineRule="auto"/>
                    <w:ind w:left="0" w:right="0" w:firstLine="0" w:firstLineChars="0"/>
                    <w:jc w:val="center"/>
                    <w:rPr>
                      <w:rFonts w:hint="default" w:cs="Times New Roman"/>
                      <w:color w:val="auto"/>
                      <w:kern w:val="0"/>
                      <w:sz w:val="21"/>
                      <w:szCs w:val="21"/>
                      <w:highlight w:val="none"/>
                      <w:lang w:val="en-US" w:eastAsia="zh-CN" w:bidi="zh-CN"/>
                    </w:rPr>
                  </w:pPr>
                  <w:r>
                    <w:rPr>
                      <w:rFonts w:hint="eastAsia" w:cs="Times New Roman"/>
                      <w:color w:val="auto"/>
                      <w:kern w:val="0"/>
                      <w:sz w:val="21"/>
                      <w:szCs w:val="21"/>
                      <w:highlight w:val="none"/>
                      <w:lang w:val="en-US" w:eastAsia="zh-CN" w:bidi="zh-CN"/>
                    </w:rPr>
                    <w:t>/</w:t>
                  </w:r>
                </w:p>
              </w:tc>
              <w:tc>
                <w:tcPr>
                  <w:tcW w:w="962" w:type="pct"/>
                  <w:vMerge w:val="restart"/>
                  <w:tcBorders>
                    <w:top w:val="single" w:color="auto" w:sz="4" w:space="0"/>
                    <w:bottom w:val="single" w:color="auto" w:sz="4" w:space="0"/>
                  </w:tcBorders>
                  <w:noWrap w:val="0"/>
                  <w:vAlign w:val="center"/>
                </w:tcPr>
                <w:p w14:paraId="4CD6870F">
                  <w:pPr>
                    <w:keepNext w:val="0"/>
                    <w:keepLines w:val="0"/>
                    <w:widowControl w:val="0"/>
                    <w:suppressLineNumbers w:val="0"/>
                    <w:autoSpaceDE w:val="0"/>
                    <w:autoSpaceDN w:val="0"/>
                    <w:spacing w:before="0" w:beforeAutospacing="0" w:after="0" w:afterAutospacing="0" w:line="240" w:lineRule="auto"/>
                    <w:ind w:left="0" w:right="0" w:firstLine="0" w:firstLineChars="0"/>
                    <w:jc w:val="center"/>
                    <w:rPr>
                      <w:rFonts w:hint="eastAsia" w:cs="Times New Roman"/>
                      <w:color w:val="auto"/>
                      <w:kern w:val="0"/>
                      <w:sz w:val="21"/>
                      <w:szCs w:val="21"/>
                      <w:highlight w:val="none"/>
                      <w:lang w:val="en-US" w:eastAsia="zh-CN" w:bidi="zh-CN"/>
                    </w:rPr>
                  </w:pPr>
                  <w:r>
                    <w:rPr>
                      <w:rFonts w:hint="eastAsia" w:cs="Times New Roman"/>
                      <w:color w:val="auto"/>
                      <w:kern w:val="0"/>
                      <w:sz w:val="21"/>
                      <w:szCs w:val="21"/>
                      <w:highlight w:val="none"/>
                      <w:lang w:val="en-US" w:eastAsia="zh-CN" w:bidi="zh-CN"/>
                    </w:rPr>
                    <w:t>用于皮鞋及注塑鞋鞋垫及鞋底</w:t>
                  </w:r>
                </w:p>
              </w:tc>
            </w:tr>
            <w:tr w14:paraId="2FECA394">
              <w:tblPrEx>
                <w:tblBorders>
                  <w:top w:val="single" w:color="auto" w:sz="12" w:space="0"/>
                  <w:left w:val="none" w:color="auto" w:sz="0" w:space="0"/>
                  <w:bottom w:val="single" w:color="auto" w:sz="12" w:space="0"/>
                  <w:right w:val="none" w:color="auto" w:sz="0" w:space="0"/>
                  <w:insideH w:val="single" w:color="auto" w:sz="12" w:space="0"/>
                  <w:insideV w:val="single" w:color="auto" w:sz="4" w:space="0"/>
                </w:tblBorders>
                <w:tblCellMar>
                  <w:top w:w="0" w:type="dxa"/>
                  <w:left w:w="0" w:type="dxa"/>
                  <w:bottom w:w="0" w:type="dxa"/>
                  <w:right w:w="0" w:type="dxa"/>
                </w:tblCellMar>
              </w:tblPrEx>
              <w:trPr>
                <w:trHeight w:val="286" w:hRule="atLeast"/>
                <w:jc w:val="center"/>
              </w:trPr>
              <w:tc>
                <w:tcPr>
                  <w:tcW w:w="396" w:type="pct"/>
                  <w:tcBorders>
                    <w:top w:val="single" w:color="auto" w:sz="4" w:space="0"/>
                    <w:bottom w:val="single" w:color="auto" w:sz="12" w:space="0"/>
                  </w:tcBorders>
                  <w:noWrap w:val="0"/>
                  <w:vAlign w:val="center"/>
                </w:tcPr>
                <w:p w14:paraId="157FE87C">
                  <w:pPr>
                    <w:keepNext w:val="0"/>
                    <w:keepLines w:val="0"/>
                    <w:widowControl w:val="0"/>
                    <w:suppressLineNumbers w:val="0"/>
                    <w:autoSpaceDE w:val="0"/>
                    <w:autoSpaceDN w:val="0"/>
                    <w:spacing w:before="0" w:beforeAutospacing="0" w:after="0" w:afterAutospacing="0" w:line="240" w:lineRule="auto"/>
                    <w:ind w:left="0" w:right="0" w:firstLine="0" w:firstLineChars="0"/>
                    <w:jc w:val="center"/>
                    <w:rPr>
                      <w:rFonts w:hint="default" w:cs="Times New Roman"/>
                      <w:color w:val="auto"/>
                      <w:kern w:val="0"/>
                      <w:sz w:val="21"/>
                      <w:szCs w:val="21"/>
                      <w:highlight w:val="none"/>
                      <w:lang w:val="en-US" w:bidi="zh-CN"/>
                    </w:rPr>
                  </w:pPr>
                  <w:r>
                    <w:rPr>
                      <w:rFonts w:hint="eastAsia" w:cs="Times New Roman"/>
                      <w:color w:val="auto"/>
                      <w:kern w:val="0"/>
                      <w:sz w:val="21"/>
                      <w:szCs w:val="21"/>
                      <w:highlight w:val="none"/>
                      <w:lang w:val="en-US" w:bidi="zh-CN"/>
                    </w:rPr>
                    <w:t>5</w:t>
                  </w:r>
                </w:p>
              </w:tc>
              <w:tc>
                <w:tcPr>
                  <w:tcW w:w="670" w:type="pct"/>
                  <w:tcBorders>
                    <w:top w:val="single" w:color="auto" w:sz="4" w:space="0"/>
                    <w:bottom w:val="single" w:color="auto" w:sz="12" w:space="0"/>
                  </w:tcBorders>
                  <w:noWrap w:val="0"/>
                  <w:vAlign w:val="center"/>
                </w:tcPr>
                <w:p w14:paraId="42E24E1A">
                  <w:pPr>
                    <w:keepNext w:val="0"/>
                    <w:keepLines w:val="0"/>
                    <w:widowControl w:val="0"/>
                    <w:suppressLineNumbers w:val="0"/>
                    <w:autoSpaceDE w:val="0"/>
                    <w:autoSpaceDN w:val="0"/>
                    <w:spacing w:before="0" w:beforeAutospacing="0" w:after="0" w:afterAutospacing="0" w:line="240" w:lineRule="auto"/>
                    <w:ind w:left="0" w:right="0" w:firstLine="0" w:firstLineChars="0"/>
                    <w:jc w:val="center"/>
                    <w:rPr>
                      <w:rFonts w:hint="eastAsia" w:ascii="Times New Roman" w:hAnsi="Times New Roman"/>
                      <w:b w:val="0"/>
                      <w:bCs/>
                      <w:color w:val="auto"/>
                      <w:szCs w:val="21"/>
                      <w:lang w:val="en-US" w:eastAsia="zh-CN"/>
                    </w:rPr>
                  </w:pPr>
                  <w:r>
                    <w:rPr>
                      <w:rFonts w:hint="eastAsia"/>
                      <w:color w:val="auto"/>
                      <w:sz w:val="21"/>
                      <w:szCs w:val="21"/>
                      <w:lang w:val="en-US" w:eastAsia="zh-CN"/>
                    </w:rPr>
                    <w:t>注塑鞋底</w:t>
                  </w:r>
                </w:p>
              </w:tc>
              <w:tc>
                <w:tcPr>
                  <w:tcW w:w="581" w:type="pct"/>
                  <w:tcBorders>
                    <w:top w:val="single" w:color="auto" w:sz="4" w:space="0"/>
                    <w:bottom w:val="single" w:color="auto" w:sz="12" w:space="0"/>
                  </w:tcBorders>
                  <w:noWrap w:val="0"/>
                  <w:vAlign w:val="center"/>
                </w:tcPr>
                <w:p w14:paraId="54AC9CA2">
                  <w:pPr>
                    <w:keepNext w:val="0"/>
                    <w:keepLines w:val="0"/>
                    <w:widowControl w:val="0"/>
                    <w:suppressLineNumbers w:val="0"/>
                    <w:autoSpaceDE w:val="0"/>
                    <w:autoSpaceDN w:val="0"/>
                    <w:spacing w:before="0" w:beforeAutospacing="0" w:after="0" w:afterAutospacing="0" w:line="240" w:lineRule="auto"/>
                    <w:ind w:left="0" w:right="0" w:firstLine="0" w:firstLineChars="0"/>
                    <w:jc w:val="center"/>
                    <w:rPr>
                      <w:rFonts w:hint="eastAsia" w:cs="Times New Roman"/>
                      <w:color w:val="auto"/>
                      <w:kern w:val="0"/>
                      <w:sz w:val="21"/>
                      <w:szCs w:val="21"/>
                      <w:highlight w:val="none"/>
                      <w:lang w:val="en-US" w:bidi="zh-CN"/>
                    </w:rPr>
                  </w:pPr>
                  <w:r>
                    <w:rPr>
                      <w:rFonts w:hint="eastAsia" w:cs="Times New Roman"/>
                      <w:color w:val="auto"/>
                      <w:kern w:val="0"/>
                      <w:sz w:val="21"/>
                      <w:szCs w:val="21"/>
                      <w:highlight w:val="none"/>
                      <w:lang w:val="en-US" w:bidi="zh-CN"/>
                    </w:rPr>
                    <w:t>35-45码</w:t>
                  </w:r>
                </w:p>
              </w:tc>
              <w:tc>
                <w:tcPr>
                  <w:tcW w:w="574" w:type="pct"/>
                  <w:tcBorders>
                    <w:top w:val="single" w:color="auto" w:sz="4" w:space="0"/>
                    <w:bottom w:val="single" w:color="auto" w:sz="12" w:space="0"/>
                  </w:tcBorders>
                  <w:noWrap w:val="0"/>
                  <w:vAlign w:val="center"/>
                </w:tcPr>
                <w:p w14:paraId="0E665F6E">
                  <w:pPr>
                    <w:keepNext w:val="0"/>
                    <w:keepLines w:val="0"/>
                    <w:widowControl w:val="0"/>
                    <w:suppressLineNumbers w:val="0"/>
                    <w:autoSpaceDE w:val="0"/>
                    <w:autoSpaceDN w:val="0"/>
                    <w:spacing w:before="0" w:beforeAutospacing="0" w:after="0" w:afterAutospacing="0" w:line="240" w:lineRule="auto"/>
                    <w:ind w:left="0" w:right="0" w:firstLine="0" w:firstLineChars="0"/>
                    <w:jc w:val="center"/>
                    <w:rPr>
                      <w:rFonts w:hint="eastAsia" w:cs="Times New Roman"/>
                      <w:color w:val="auto"/>
                      <w:kern w:val="0"/>
                      <w:sz w:val="21"/>
                      <w:szCs w:val="21"/>
                      <w:highlight w:val="none"/>
                      <w:lang w:val="en-US" w:eastAsia="zh-CN" w:bidi="zh-CN"/>
                    </w:rPr>
                  </w:pPr>
                  <w:r>
                    <w:rPr>
                      <w:rFonts w:hint="eastAsia" w:cs="Times New Roman"/>
                      <w:color w:val="auto"/>
                      <w:kern w:val="0"/>
                      <w:sz w:val="21"/>
                      <w:szCs w:val="21"/>
                      <w:highlight w:val="none"/>
                      <w:lang w:val="en-US" w:eastAsia="zh-CN" w:bidi="zh-CN"/>
                    </w:rPr>
                    <w:t>万双</w:t>
                  </w:r>
                </w:p>
              </w:tc>
              <w:tc>
                <w:tcPr>
                  <w:tcW w:w="897" w:type="pct"/>
                  <w:tcBorders>
                    <w:top w:val="single" w:color="auto" w:sz="4" w:space="0"/>
                    <w:bottom w:val="single" w:color="auto" w:sz="12" w:space="0"/>
                  </w:tcBorders>
                  <w:noWrap w:val="0"/>
                  <w:vAlign w:val="center"/>
                </w:tcPr>
                <w:p w14:paraId="0241BF52">
                  <w:pPr>
                    <w:keepNext w:val="0"/>
                    <w:keepLines w:val="0"/>
                    <w:widowControl w:val="0"/>
                    <w:suppressLineNumbers w:val="0"/>
                    <w:autoSpaceDE w:val="0"/>
                    <w:autoSpaceDN w:val="0"/>
                    <w:spacing w:before="0" w:beforeAutospacing="0" w:after="0" w:afterAutospacing="0" w:line="240" w:lineRule="auto"/>
                    <w:ind w:left="0" w:right="0" w:firstLine="0" w:firstLineChars="0"/>
                    <w:jc w:val="center"/>
                    <w:rPr>
                      <w:rFonts w:hint="eastAsia" w:cs="Times New Roman"/>
                      <w:color w:val="auto"/>
                      <w:kern w:val="0"/>
                      <w:sz w:val="21"/>
                      <w:szCs w:val="21"/>
                      <w:highlight w:val="none"/>
                      <w:lang w:val="en-US" w:eastAsia="zh-CN" w:bidi="zh-CN"/>
                    </w:rPr>
                  </w:pPr>
                  <w:r>
                    <w:rPr>
                      <w:rFonts w:hint="eastAsia" w:cs="Times New Roman"/>
                      <w:color w:val="auto"/>
                      <w:kern w:val="0"/>
                      <w:sz w:val="21"/>
                      <w:szCs w:val="21"/>
                      <w:highlight w:val="none"/>
                      <w:lang w:val="en-US" w:eastAsia="zh-CN" w:bidi="zh-CN"/>
                    </w:rPr>
                    <w:t>200</w:t>
                  </w:r>
                </w:p>
              </w:tc>
              <w:tc>
                <w:tcPr>
                  <w:tcW w:w="917" w:type="pct"/>
                  <w:tcBorders>
                    <w:top w:val="single" w:color="auto" w:sz="4" w:space="0"/>
                    <w:bottom w:val="single" w:color="auto" w:sz="12" w:space="0"/>
                  </w:tcBorders>
                  <w:noWrap w:val="0"/>
                  <w:vAlign w:val="center"/>
                </w:tcPr>
                <w:p w14:paraId="0442AC78">
                  <w:pPr>
                    <w:keepNext w:val="0"/>
                    <w:keepLines w:val="0"/>
                    <w:widowControl w:val="0"/>
                    <w:suppressLineNumbers w:val="0"/>
                    <w:autoSpaceDE w:val="0"/>
                    <w:autoSpaceDN w:val="0"/>
                    <w:spacing w:before="0" w:beforeAutospacing="0" w:after="0" w:afterAutospacing="0" w:line="240" w:lineRule="auto"/>
                    <w:ind w:left="0" w:right="0" w:firstLine="0" w:firstLineChars="0"/>
                    <w:jc w:val="center"/>
                    <w:rPr>
                      <w:rFonts w:hint="default" w:cs="Times New Roman"/>
                      <w:color w:val="auto"/>
                      <w:kern w:val="0"/>
                      <w:sz w:val="21"/>
                      <w:szCs w:val="21"/>
                      <w:highlight w:val="none"/>
                      <w:lang w:val="en-US" w:eastAsia="zh-CN" w:bidi="zh-CN"/>
                    </w:rPr>
                  </w:pPr>
                  <w:r>
                    <w:rPr>
                      <w:rFonts w:hint="eastAsia" w:cs="Times New Roman"/>
                      <w:color w:val="auto"/>
                      <w:kern w:val="0"/>
                      <w:sz w:val="21"/>
                      <w:szCs w:val="21"/>
                      <w:highlight w:val="none"/>
                      <w:lang w:val="en-US" w:eastAsia="zh-CN" w:bidi="zh-CN"/>
                    </w:rPr>
                    <w:t>/</w:t>
                  </w:r>
                </w:p>
              </w:tc>
              <w:tc>
                <w:tcPr>
                  <w:tcW w:w="962" w:type="pct"/>
                  <w:vMerge w:val="continue"/>
                  <w:tcBorders>
                    <w:top w:val="single" w:color="auto" w:sz="4" w:space="0"/>
                    <w:bottom w:val="single" w:color="auto" w:sz="12" w:space="0"/>
                  </w:tcBorders>
                  <w:noWrap w:val="0"/>
                  <w:vAlign w:val="center"/>
                </w:tcPr>
                <w:p w14:paraId="04BC7281">
                  <w:pPr>
                    <w:keepNext w:val="0"/>
                    <w:keepLines w:val="0"/>
                    <w:widowControl w:val="0"/>
                    <w:suppressLineNumbers w:val="0"/>
                    <w:autoSpaceDE w:val="0"/>
                    <w:autoSpaceDN w:val="0"/>
                    <w:spacing w:before="0" w:beforeAutospacing="0" w:after="0" w:afterAutospacing="0" w:line="240" w:lineRule="auto"/>
                    <w:ind w:left="0" w:right="0" w:firstLine="0" w:firstLineChars="0"/>
                    <w:jc w:val="center"/>
                    <w:rPr>
                      <w:rFonts w:hint="eastAsia" w:cs="Times New Roman"/>
                      <w:color w:val="auto"/>
                      <w:kern w:val="0"/>
                      <w:sz w:val="21"/>
                      <w:szCs w:val="21"/>
                      <w:highlight w:val="none"/>
                      <w:lang w:val="en-US" w:eastAsia="zh-CN" w:bidi="zh-CN"/>
                    </w:rPr>
                  </w:pPr>
                </w:p>
              </w:tc>
            </w:tr>
          </w:tbl>
          <w:p w14:paraId="1D868B4E">
            <w:pPr>
              <w:keepNext w:val="0"/>
              <w:keepLines w:val="0"/>
              <w:numPr>
                <w:ilvl w:val="0"/>
                <w:numId w:val="4"/>
              </w:numPr>
              <w:suppressLineNumbers w:val="0"/>
              <w:spacing w:before="0" w:beforeAutospacing="0" w:after="0" w:afterAutospacing="0" w:line="360" w:lineRule="auto"/>
              <w:ind w:left="0" w:right="0" w:firstLine="482" w:firstLineChars="200"/>
              <w:rPr>
                <w:rFonts w:hint="eastAsia" w:ascii="Times New Roman" w:hAnsi="Times New Roman" w:eastAsia="宋体" w:cs="Times New Roman"/>
                <w:b/>
                <w:bCs/>
                <w:color w:val="auto"/>
                <w:sz w:val="24"/>
                <w:highlight w:val="none"/>
                <w:shd w:val="clear" w:color="auto" w:fill="auto"/>
                <w:lang w:val="en-US" w:eastAsia="zh-CN"/>
              </w:rPr>
            </w:pPr>
            <w:r>
              <w:rPr>
                <w:rFonts w:hint="default" w:ascii="Times New Roman" w:hAnsi="Times New Roman" w:eastAsia="宋体" w:cs="Times New Roman"/>
                <w:b/>
                <w:bCs/>
                <w:color w:val="auto"/>
                <w:sz w:val="24"/>
                <w:highlight w:val="none"/>
                <w:shd w:val="clear" w:color="auto" w:fill="auto"/>
                <w:lang w:val="en-US" w:eastAsia="zh-CN"/>
              </w:rPr>
              <w:t>主要生产设</w:t>
            </w:r>
            <w:r>
              <w:rPr>
                <w:rFonts w:hint="eastAsia" w:ascii="Times New Roman" w:hAnsi="Times New Roman" w:eastAsia="宋体" w:cs="Times New Roman"/>
                <w:b/>
                <w:bCs/>
                <w:color w:val="auto"/>
                <w:sz w:val="24"/>
                <w:highlight w:val="none"/>
                <w:shd w:val="clear" w:color="auto" w:fill="auto"/>
                <w:lang w:val="en-US" w:eastAsia="zh-CN"/>
              </w:rPr>
              <w:t>备</w:t>
            </w:r>
          </w:p>
          <w:p w14:paraId="2BA793CB">
            <w:pPr>
              <w:keepNext w:val="0"/>
              <w:keepLines w:val="0"/>
              <w:suppressLineNumbers w:val="0"/>
              <w:spacing w:before="0" w:beforeAutospacing="0" w:after="0" w:afterAutospacing="0"/>
              <w:ind w:left="0" w:right="0" w:firstLine="480"/>
              <w:rPr>
                <w:rFonts w:hint="default"/>
                <w:color w:val="auto"/>
                <w:sz w:val="24"/>
                <w:szCs w:val="32"/>
              </w:rPr>
            </w:pPr>
            <w:r>
              <w:rPr>
                <w:rFonts w:hint="default"/>
                <w:color w:val="auto"/>
                <w:sz w:val="24"/>
                <w:szCs w:val="32"/>
              </w:rPr>
              <w:t>本项目主要生产设备详见下表。</w:t>
            </w:r>
          </w:p>
          <w:p w14:paraId="7061B61C">
            <w:pPr>
              <w:keepNext w:val="0"/>
              <w:keepLines w:val="0"/>
              <w:suppressLineNumbers w:val="0"/>
              <w:spacing w:before="0" w:beforeAutospacing="0" w:after="0" w:afterAutospacing="0" w:line="400" w:lineRule="exact"/>
              <w:ind w:left="0" w:right="0" w:firstLine="422"/>
              <w:jc w:val="center"/>
              <w:rPr>
                <w:rFonts w:hint="eastAsia"/>
                <w:b/>
                <w:bCs/>
                <w:color w:val="auto"/>
                <w:sz w:val="21"/>
                <w:szCs w:val="21"/>
              </w:rPr>
            </w:pPr>
            <w:r>
              <w:rPr>
                <w:rFonts w:hint="eastAsia"/>
                <w:b/>
                <w:bCs/>
                <w:color w:val="auto"/>
                <w:sz w:val="21"/>
                <w:szCs w:val="21"/>
              </w:rPr>
              <w:t>表2-</w:t>
            </w:r>
            <w:r>
              <w:rPr>
                <w:rFonts w:hint="eastAsia"/>
                <w:b/>
                <w:bCs/>
                <w:color w:val="auto"/>
                <w:sz w:val="21"/>
                <w:szCs w:val="21"/>
                <w:lang w:val="en-US" w:eastAsia="zh-CN"/>
              </w:rPr>
              <w:t>3</w:t>
            </w:r>
            <w:r>
              <w:rPr>
                <w:rFonts w:hint="eastAsia"/>
                <w:b/>
                <w:bCs/>
                <w:color w:val="auto"/>
                <w:sz w:val="21"/>
                <w:szCs w:val="21"/>
              </w:rPr>
              <w:t xml:space="preserve">  主要生产设备清单</w:t>
            </w:r>
          </w:p>
          <w:tbl>
            <w:tblPr>
              <w:tblStyle w:val="26"/>
              <w:tblW w:w="8399" w:type="dxa"/>
              <w:tblInd w:w="0" w:type="dxa"/>
              <w:tblLayout w:type="fixed"/>
              <w:tblCellMar>
                <w:top w:w="0" w:type="dxa"/>
                <w:left w:w="108" w:type="dxa"/>
                <w:bottom w:w="0" w:type="dxa"/>
                <w:right w:w="108" w:type="dxa"/>
              </w:tblCellMar>
            </w:tblPr>
            <w:tblGrid>
              <w:gridCol w:w="704"/>
              <w:gridCol w:w="1604"/>
              <w:gridCol w:w="1964"/>
              <w:gridCol w:w="1377"/>
              <w:gridCol w:w="1359"/>
              <w:gridCol w:w="1391"/>
            </w:tblGrid>
            <w:tr w14:paraId="75FFC836">
              <w:tblPrEx>
                <w:tblCellMar>
                  <w:top w:w="0" w:type="dxa"/>
                  <w:left w:w="108" w:type="dxa"/>
                  <w:bottom w:w="0" w:type="dxa"/>
                  <w:right w:w="108" w:type="dxa"/>
                </w:tblCellMar>
              </w:tblPrEx>
              <w:trPr>
                <w:trHeight w:val="280" w:hRule="atLeast"/>
              </w:trPr>
              <w:tc>
                <w:tcPr>
                  <w:tcW w:w="704" w:type="dxa"/>
                  <w:tcBorders>
                    <w:top w:val="single" w:color="auto" w:sz="12" w:space="0"/>
                    <w:left w:val="single" w:color="000000" w:sz="8" w:space="0"/>
                    <w:bottom w:val="single" w:color="auto" w:sz="12" w:space="0"/>
                    <w:right w:val="single" w:color="auto" w:sz="6" w:space="0"/>
                  </w:tcBorders>
                  <w:noWrap/>
                  <w:vAlign w:val="center"/>
                </w:tcPr>
                <w:p w14:paraId="6D09A614">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b/>
                      <w:bCs/>
                      <w:color w:val="auto"/>
                      <w:sz w:val="21"/>
                      <w:szCs w:val="21"/>
                    </w:rPr>
                  </w:pPr>
                  <w:r>
                    <w:rPr>
                      <w:rFonts w:hint="eastAsia" w:ascii="Times New Roman" w:hAnsi="Times New Roman" w:eastAsia="宋体"/>
                      <w:b/>
                      <w:bCs/>
                      <w:color w:val="auto"/>
                      <w:sz w:val="21"/>
                      <w:szCs w:val="21"/>
                    </w:rPr>
                    <w:t>序号</w:t>
                  </w:r>
                </w:p>
              </w:tc>
              <w:tc>
                <w:tcPr>
                  <w:tcW w:w="1604" w:type="dxa"/>
                  <w:tcBorders>
                    <w:top w:val="single" w:color="auto" w:sz="12" w:space="0"/>
                    <w:left w:val="single" w:color="auto" w:sz="6" w:space="0"/>
                    <w:bottom w:val="single" w:color="auto" w:sz="12" w:space="0"/>
                    <w:right w:val="single" w:color="auto" w:sz="6" w:space="0"/>
                  </w:tcBorders>
                  <w:noWrap/>
                  <w:vAlign w:val="center"/>
                </w:tcPr>
                <w:p w14:paraId="04ECF3EB">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b/>
                      <w:bCs/>
                      <w:color w:val="auto"/>
                      <w:sz w:val="21"/>
                      <w:szCs w:val="21"/>
                    </w:rPr>
                  </w:pPr>
                  <w:r>
                    <w:rPr>
                      <w:rFonts w:hint="eastAsia" w:ascii="Times New Roman" w:hAnsi="Times New Roman" w:eastAsia="宋体"/>
                      <w:b/>
                      <w:bCs/>
                      <w:color w:val="auto"/>
                      <w:sz w:val="21"/>
                      <w:szCs w:val="21"/>
                    </w:rPr>
                    <w:t>设备名称</w:t>
                  </w:r>
                </w:p>
              </w:tc>
              <w:tc>
                <w:tcPr>
                  <w:tcW w:w="1964" w:type="dxa"/>
                  <w:tcBorders>
                    <w:top w:val="single" w:color="auto" w:sz="12" w:space="0"/>
                    <w:left w:val="single" w:color="auto" w:sz="6" w:space="0"/>
                    <w:bottom w:val="single" w:color="auto" w:sz="12" w:space="0"/>
                    <w:right w:val="single" w:color="auto" w:sz="6" w:space="0"/>
                  </w:tcBorders>
                  <w:noWrap/>
                  <w:vAlign w:val="center"/>
                </w:tcPr>
                <w:p w14:paraId="57961755">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b/>
                      <w:bCs/>
                      <w:color w:val="auto"/>
                      <w:sz w:val="21"/>
                      <w:szCs w:val="21"/>
                      <w:lang w:val="en-US" w:eastAsia="zh-CN"/>
                    </w:rPr>
                  </w:pPr>
                  <w:r>
                    <w:rPr>
                      <w:rFonts w:hint="eastAsia" w:ascii="Times New Roman" w:hAnsi="Times New Roman" w:eastAsia="宋体"/>
                      <w:b/>
                      <w:bCs/>
                      <w:color w:val="auto"/>
                      <w:sz w:val="21"/>
                      <w:szCs w:val="21"/>
                    </w:rPr>
                    <w:t>规格</w:t>
                  </w:r>
                  <w:r>
                    <w:rPr>
                      <w:rFonts w:hint="eastAsia" w:ascii="Times New Roman" w:hAnsi="Times New Roman" w:eastAsia="宋体"/>
                      <w:b/>
                      <w:bCs/>
                      <w:color w:val="auto"/>
                      <w:sz w:val="21"/>
                      <w:szCs w:val="21"/>
                      <w:lang w:val="en-US" w:eastAsia="zh-CN"/>
                    </w:rPr>
                    <w:t>型号</w:t>
                  </w:r>
                </w:p>
              </w:tc>
              <w:tc>
                <w:tcPr>
                  <w:tcW w:w="1377" w:type="dxa"/>
                  <w:tcBorders>
                    <w:top w:val="single" w:color="auto" w:sz="12" w:space="0"/>
                    <w:left w:val="single" w:color="auto" w:sz="6" w:space="0"/>
                    <w:bottom w:val="single" w:color="auto" w:sz="12" w:space="0"/>
                    <w:right w:val="single" w:color="auto" w:sz="6" w:space="0"/>
                  </w:tcBorders>
                  <w:noWrap/>
                  <w:vAlign w:val="center"/>
                </w:tcPr>
                <w:p w14:paraId="41C3C009">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b/>
                      <w:bCs/>
                      <w:color w:val="auto"/>
                      <w:sz w:val="21"/>
                      <w:szCs w:val="21"/>
                    </w:rPr>
                  </w:pPr>
                  <w:r>
                    <w:rPr>
                      <w:rFonts w:hint="eastAsia" w:ascii="Times New Roman" w:hAnsi="Times New Roman" w:eastAsia="宋体"/>
                      <w:b/>
                      <w:bCs/>
                      <w:color w:val="auto"/>
                      <w:sz w:val="21"/>
                      <w:szCs w:val="21"/>
                    </w:rPr>
                    <w:t>数量</w:t>
                  </w:r>
                </w:p>
              </w:tc>
              <w:tc>
                <w:tcPr>
                  <w:tcW w:w="1359" w:type="dxa"/>
                  <w:tcBorders>
                    <w:top w:val="single" w:color="auto" w:sz="12" w:space="0"/>
                    <w:left w:val="single" w:color="auto" w:sz="6" w:space="0"/>
                    <w:bottom w:val="single" w:color="auto" w:sz="12" w:space="0"/>
                    <w:right w:val="single" w:color="auto" w:sz="6" w:space="0"/>
                  </w:tcBorders>
                  <w:noWrap/>
                  <w:vAlign w:val="center"/>
                </w:tcPr>
                <w:p w14:paraId="41E51B86">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b/>
                      <w:bCs/>
                      <w:color w:val="auto"/>
                      <w:sz w:val="21"/>
                      <w:szCs w:val="21"/>
                    </w:rPr>
                  </w:pPr>
                  <w:r>
                    <w:rPr>
                      <w:rFonts w:hint="eastAsia" w:ascii="Times New Roman" w:hAnsi="Times New Roman" w:eastAsia="宋体"/>
                      <w:b/>
                      <w:bCs/>
                      <w:color w:val="auto"/>
                      <w:sz w:val="21"/>
                      <w:szCs w:val="21"/>
                    </w:rPr>
                    <w:t>单位</w:t>
                  </w:r>
                </w:p>
              </w:tc>
              <w:tc>
                <w:tcPr>
                  <w:tcW w:w="1391" w:type="dxa"/>
                  <w:tcBorders>
                    <w:top w:val="single" w:color="auto" w:sz="12" w:space="0"/>
                    <w:left w:val="single" w:color="auto" w:sz="6" w:space="0"/>
                    <w:bottom w:val="single" w:color="auto" w:sz="12" w:space="0"/>
                    <w:right w:val="nil"/>
                  </w:tcBorders>
                  <w:noWrap/>
                  <w:vAlign w:val="center"/>
                </w:tcPr>
                <w:p w14:paraId="622E4069">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b/>
                      <w:bCs/>
                      <w:color w:val="auto"/>
                      <w:sz w:val="21"/>
                      <w:szCs w:val="21"/>
                      <w:lang w:val="en-US" w:eastAsia="zh-CN"/>
                    </w:rPr>
                  </w:pPr>
                  <w:r>
                    <w:rPr>
                      <w:rFonts w:hint="eastAsia" w:ascii="Times New Roman" w:hAnsi="Times New Roman" w:eastAsia="宋体"/>
                      <w:b/>
                      <w:bCs/>
                      <w:color w:val="auto"/>
                      <w:sz w:val="21"/>
                      <w:szCs w:val="21"/>
                      <w:lang w:val="en-US" w:eastAsia="zh-CN"/>
                    </w:rPr>
                    <w:t>备注</w:t>
                  </w:r>
                </w:p>
              </w:tc>
            </w:tr>
            <w:tr w14:paraId="2DF335F7">
              <w:tblPrEx>
                <w:tblCellMar>
                  <w:top w:w="0" w:type="dxa"/>
                  <w:left w:w="108" w:type="dxa"/>
                  <w:bottom w:w="0" w:type="dxa"/>
                  <w:right w:w="108" w:type="dxa"/>
                </w:tblCellMar>
              </w:tblPrEx>
              <w:trPr>
                <w:trHeight w:val="280" w:hRule="atLeast"/>
              </w:trPr>
              <w:tc>
                <w:tcPr>
                  <w:tcW w:w="8399" w:type="dxa"/>
                  <w:gridSpan w:val="6"/>
                  <w:tcBorders>
                    <w:top w:val="single" w:color="auto" w:sz="12" w:space="0"/>
                    <w:left w:val="nil"/>
                    <w:bottom w:val="single" w:color="auto" w:sz="6" w:space="0"/>
                    <w:right w:val="nil"/>
                  </w:tcBorders>
                  <w:noWrap/>
                  <w:vAlign w:val="center"/>
                </w:tcPr>
                <w:p w14:paraId="19F62E27">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olor w:val="auto"/>
                      <w:sz w:val="21"/>
                      <w:szCs w:val="21"/>
                      <w:lang w:val="en-US" w:eastAsia="zh-CN"/>
                    </w:rPr>
                  </w:pPr>
                  <w:r>
                    <w:rPr>
                      <w:rFonts w:hint="eastAsia"/>
                      <w:color w:val="auto"/>
                      <w:sz w:val="21"/>
                      <w:szCs w:val="21"/>
                      <w:lang w:val="en-US" w:eastAsia="zh-CN"/>
                    </w:rPr>
                    <w:t>注塑鞋底制造</w:t>
                  </w:r>
                </w:p>
              </w:tc>
            </w:tr>
            <w:tr w14:paraId="31B6DFAF">
              <w:tblPrEx>
                <w:tblCellMar>
                  <w:top w:w="0" w:type="dxa"/>
                  <w:left w:w="108" w:type="dxa"/>
                  <w:bottom w:w="0" w:type="dxa"/>
                  <w:right w:w="108" w:type="dxa"/>
                </w:tblCellMar>
              </w:tblPrEx>
              <w:trPr>
                <w:trHeight w:val="280" w:hRule="atLeast"/>
              </w:trPr>
              <w:tc>
                <w:tcPr>
                  <w:tcW w:w="704" w:type="dxa"/>
                  <w:tcBorders>
                    <w:top w:val="single" w:color="auto" w:sz="6" w:space="0"/>
                    <w:left w:val="nil"/>
                    <w:bottom w:val="single" w:color="auto" w:sz="6" w:space="0"/>
                    <w:right w:val="single" w:color="auto" w:sz="6" w:space="0"/>
                  </w:tcBorders>
                  <w:shd w:val="clear" w:color="auto" w:fill="auto"/>
                  <w:noWrap/>
                  <w:vAlign w:val="center"/>
                </w:tcPr>
                <w:p w14:paraId="5892BE9F">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olor w:val="auto"/>
                      <w:sz w:val="21"/>
                      <w:szCs w:val="21"/>
                      <w:lang w:val="en-US" w:eastAsia="zh-CN"/>
                    </w:rPr>
                    <w:t>1</w:t>
                  </w:r>
                </w:p>
              </w:tc>
              <w:tc>
                <w:tcPr>
                  <w:tcW w:w="1604" w:type="dxa"/>
                  <w:tcBorders>
                    <w:top w:val="single" w:color="auto" w:sz="6" w:space="0"/>
                    <w:left w:val="single" w:color="auto" w:sz="6" w:space="0"/>
                    <w:bottom w:val="single" w:color="auto" w:sz="6" w:space="0"/>
                    <w:right w:val="single" w:color="auto" w:sz="6" w:space="0"/>
                  </w:tcBorders>
                  <w:shd w:val="clear" w:color="auto" w:fill="auto"/>
                  <w:noWrap/>
                  <w:vAlign w:val="center"/>
                </w:tcPr>
                <w:p w14:paraId="68A35520">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olor w:val="auto"/>
                      <w:sz w:val="21"/>
                      <w:szCs w:val="21"/>
                      <w:lang w:val="en-US" w:eastAsia="zh-CN"/>
                    </w:rPr>
                    <w:t>圆盘机注塑</w:t>
                  </w:r>
                </w:p>
              </w:tc>
              <w:tc>
                <w:tcPr>
                  <w:tcW w:w="1964" w:type="dxa"/>
                  <w:tcBorders>
                    <w:top w:val="single" w:color="auto" w:sz="6" w:space="0"/>
                    <w:left w:val="single" w:color="auto" w:sz="6" w:space="0"/>
                    <w:bottom w:val="single" w:color="auto" w:sz="6" w:space="0"/>
                    <w:right w:val="single" w:color="auto" w:sz="6" w:space="0"/>
                  </w:tcBorders>
                  <w:shd w:val="clear" w:color="auto" w:fill="auto"/>
                  <w:noWrap/>
                  <w:vAlign w:val="center"/>
                </w:tcPr>
                <w:p w14:paraId="0DEB6B25">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olor w:val="auto"/>
                      <w:sz w:val="21"/>
                      <w:szCs w:val="21"/>
                      <w:lang w:val="en-US" w:eastAsia="zh-CN"/>
                    </w:rPr>
                    <w:t>55T</w:t>
                  </w:r>
                </w:p>
              </w:tc>
              <w:tc>
                <w:tcPr>
                  <w:tcW w:w="1377" w:type="dxa"/>
                  <w:tcBorders>
                    <w:top w:val="single" w:color="auto" w:sz="6" w:space="0"/>
                    <w:left w:val="single" w:color="auto" w:sz="6" w:space="0"/>
                    <w:bottom w:val="single" w:color="auto" w:sz="6" w:space="0"/>
                    <w:right w:val="single" w:color="auto" w:sz="6" w:space="0"/>
                  </w:tcBorders>
                  <w:shd w:val="clear" w:color="auto" w:fill="auto"/>
                  <w:noWrap/>
                  <w:vAlign w:val="center"/>
                </w:tcPr>
                <w:p w14:paraId="4BB4A61A">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olor w:val="auto"/>
                      <w:sz w:val="21"/>
                      <w:szCs w:val="21"/>
                      <w:lang w:val="en-US" w:eastAsia="zh-CN"/>
                    </w:rPr>
                    <w:t>10</w:t>
                  </w:r>
                </w:p>
              </w:tc>
              <w:tc>
                <w:tcPr>
                  <w:tcW w:w="1359" w:type="dxa"/>
                  <w:tcBorders>
                    <w:top w:val="single" w:color="auto" w:sz="6" w:space="0"/>
                    <w:left w:val="single" w:color="auto" w:sz="6" w:space="0"/>
                    <w:bottom w:val="single" w:color="auto" w:sz="6" w:space="0"/>
                    <w:right w:val="single" w:color="auto" w:sz="6" w:space="0"/>
                  </w:tcBorders>
                  <w:shd w:val="clear" w:color="auto" w:fill="auto"/>
                  <w:noWrap/>
                  <w:vAlign w:val="center"/>
                </w:tcPr>
                <w:p w14:paraId="14DD7CBC">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olor w:val="auto"/>
                      <w:sz w:val="21"/>
                      <w:szCs w:val="21"/>
                    </w:rPr>
                    <w:t>台</w:t>
                  </w:r>
                </w:p>
              </w:tc>
              <w:tc>
                <w:tcPr>
                  <w:tcW w:w="1391" w:type="dxa"/>
                  <w:tcBorders>
                    <w:top w:val="single" w:color="auto" w:sz="6" w:space="0"/>
                    <w:left w:val="single" w:color="auto" w:sz="6" w:space="0"/>
                    <w:bottom w:val="single" w:color="auto" w:sz="6" w:space="0"/>
                    <w:right w:val="nil"/>
                  </w:tcBorders>
                  <w:shd w:val="clear" w:color="auto" w:fill="auto"/>
                  <w:noWrap/>
                  <w:vAlign w:val="center"/>
                </w:tcPr>
                <w:p w14:paraId="7612FD6D">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p>
              </w:tc>
            </w:tr>
            <w:tr w14:paraId="1F316CB6">
              <w:tblPrEx>
                <w:tblCellMar>
                  <w:top w:w="0" w:type="dxa"/>
                  <w:left w:w="108" w:type="dxa"/>
                  <w:bottom w:w="0" w:type="dxa"/>
                  <w:right w:w="108" w:type="dxa"/>
                </w:tblCellMar>
              </w:tblPrEx>
              <w:trPr>
                <w:trHeight w:val="280" w:hRule="atLeast"/>
              </w:trPr>
              <w:tc>
                <w:tcPr>
                  <w:tcW w:w="704" w:type="dxa"/>
                  <w:tcBorders>
                    <w:top w:val="single" w:color="auto" w:sz="6" w:space="0"/>
                    <w:left w:val="nil"/>
                    <w:bottom w:val="single" w:color="auto" w:sz="6" w:space="0"/>
                    <w:right w:val="single" w:color="auto" w:sz="6" w:space="0"/>
                  </w:tcBorders>
                  <w:noWrap/>
                  <w:vAlign w:val="center"/>
                </w:tcPr>
                <w:p w14:paraId="20E03ED5">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w:t>
                  </w:r>
                </w:p>
              </w:tc>
              <w:tc>
                <w:tcPr>
                  <w:tcW w:w="1604" w:type="dxa"/>
                  <w:tcBorders>
                    <w:top w:val="single" w:color="auto" w:sz="6" w:space="0"/>
                    <w:left w:val="single" w:color="auto" w:sz="6" w:space="0"/>
                    <w:bottom w:val="single" w:color="auto" w:sz="6" w:space="0"/>
                    <w:right w:val="single" w:color="auto" w:sz="6" w:space="0"/>
                  </w:tcBorders>
                  <w:noWrap/>
                  <w:vAlign w:val="center"/>
                </w:tcPr>
                <w:p w14:paraId="7EFD0649">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rPr>
                  </w:pPr>
                  <w:r>
                    <w:rPr>
                      <w:rFonts w:hint="eastAsia" w:ascii="Times New Roman" w:hAnsi="Times New Roman" w:eastAsia="宋体"/>
                      <w:color w:val="auto"/>
                      <w:sz w:val="21"/>
                      <w:szCs w:val="21"/>
                      <w:lang w:val="en-US" w:eastAsia="zh-CN"/>
                    </w:rPr>
                    <w:t>立式机注塑</w:t>
                  </w:r>
                </w:p>
              </w:tc>
              <w:tc>
                <w:tcPr>
                  <w:tcW w:w="1964" w:type="dxa"/>
                  <w:tcBorders>
                    <w:top w:val="single" w:color="auto" w:sz="6" w:space="0"/>
                    <w:left w:val="single" w:color="auto" w:sz="6" w:space="0"/>
                    <w:bottom w:val="single" w:color="auto" w:sz="6" w:space="0"/>
                    <w:right w:val="single" w:color="auto" w:sz="6" w:space="0"/>
                  </w:tcBorders>
                  <w:noWrap/>
                  <w:vAlign w:val="center"/>
                </w:tcPr>
                <w:p w14:paraId="276549FF">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rPr>
                  </w:pPr>
                  <w:r>
                    <w:rPr>
                      <w:rFonts w:hint="eastAsia" w:ascii="Times New Roman" w:hAnsi="Times New Roman" w:eastAsia="宋体"/>
                      <w:color w:val="auto"/>
                      <w:sz w:val="21"/>
                      <w:szCs w:val="21"/>
                    </w:rPr>
                    <w:t>TFV4-55R2</w:t>
                  </w:r>
                </w:p>
              </w:tc>
              <w:tc>
                <w:tcPr>
                  <w:tcW w:w="1377" w:type="dxa"/>
                  <w:tcBorders>
                    <w:top w:val="single" w:color="auto" w:sz="6" w:space="0"/>
                    <w:left w:val="single" w:color="auto" w:sz="6" w:space="0"/>
                    <w:bottom w:val="single" w:color="auto" w:sz="6" w:space="0"/>
                    <w:right w:val="single" w:color="auto" w:sz="6" w:space="0"/>
                  </w:tcBorders>
                  <w:noWrap/>
                  <w:vAlign w:val="center"/>
                </w:tcPr>
                <w:p w14:paraId="34D4705E">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10</w:t>
                  </w:r>
                </w:p>
              </w:tc>
              <w:tc>
                <w:tcPr>
                  <w:tcW w:w="1359" w:type="dxa"/>
                  <w:tcBorders>
                    <w:top w:val="single" w:color="auto" w:sz="6" w:space="0"/>
                    <w:left w:val="single" w:color="auto" w:sz="6" w:space="0"/>
                    <w:bottom w:val="single" w:color="auto" w:sz="6" w:space="0"/>
                    <w:right w:val="single" w:color="auto" w:sz="6" w:space="0"/>
                  </w:tcBorders>
                  <w:noWrap/>
                  <w:vAlign w:val="center"/>
                </w:tcPr>
                <w:p w14:paraId="6802D53B">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rPr>
                  </w:pPr>
                  <w:r>
                    <w:rPr>
                      <w:rFonts w:hint="eastAsia" w:ascii="Times New Roman" w:hAnsi="Times New Roman" w:eastAsia="宋体"/>
                      <w:color w:val="auto"/>
                      <w:sz w:val="21"/>
                      <w:szCs w:val="21"/>
                    </w:rPr>
                    <w:t>台</w:t>
                  </w:r>
                </w:p>
              </w:tc>
              <w:tc>
                <w:tcPr>
                  <w:tcW w:w="1391" w:type="dxa"/>
                  <w:tcBorders>
                    <w:top w:val="single" w:color="auto" w:sz="6" w:space="0"/>
                    <w:left w:val="single" w:color="auto" w:sz="6" w:space="0"/>
                    <w:bottom w:val="single" w:color="auto" w:sz="6" w:space="0"/>
                    <w:right w:val="nil"/>
                  </w:tcBorders>
                  <w:noWrap/>
                  <w:vAlign w:val="center"/>
                </w:tcPr>
                <w:p w14:paraId="1D178FE7">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rPr>
                  </w:pPr>
                </w:p>
              </w:tc>
            </w:tr>
            <w:tr w14:paraId="5DD9AF5F">
              <w:tblPrEx>
                <w:tblCellMar>
                  <w:top w:w="0" w:type="dxa"/>
                  <w:left w:w="108" w:type="dxa"/>
                  <w:bottom w:w="0" w:type="dxa"/>
                  <w:right w:w="108" w:type="dxa"/>
                </w:tblCellMar>
              </w:tblPrEx>
              <w:trPr>
                <w:trHeight w:val="280" w:hRule="atLeast"/>
              </w:trPr>
              <w:tc>
                <w:tcPr>
                  <w:tcW w:w="704" w:type="dxa"/>
                  <w:tcBorders>
                    <w:top w:val="single" w:color="auto" w:sz="6" w:space="0"/>
                    <w:left w:val="nil"/>
                    <w:bottom w:val="single" w:color="auto" w:sz="6" w:space="0"/>
                    <w:right w:val="single" w:color="auto" w:sz="6" w:space="0"/>
                  </w:tcBorders>
                  <w:noWrap/>
                  <w:vAlign w:val="center"/>
                </w:tcPr>
                <w:p w14:paraId="601EC540">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3</w:t>
                  </w:r>
                </w:p>
              </w:tc>
              <w:tc>
                <w:tcPr>
                  <w:tcW w:w="1604" w:type="dxa"/>
                  <w:tcBorders>
                    <w:top w:val="single" w:color="auto" w:sz="6" w:space="0"/>
                    <w:left w:val="single" w:color="auto" w:sz="6" w:space="0"/>
                    <w:bottom w:val="single" w:color="auto" w:sz="6" w:space="0"/>
                    <w:right w:val="single" w:color="auto" w:sz="6" w:space="0"/>
                  </w:tcBorders>
                  <w:noWrap/>
                  <w:vAlign w:val="center"/>
                </w:tcPr>
                <w:p w14:paraId="63E4590C">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s="Times New Roman"/>
                      <w:b w:val="0"/>
                      <w:bCs/>
                      <w:color w:val="auto"/>
                      <w:sz w:val="21"/>
                      <w:szCs w:val="21"/>
                      <w:lang w:val="en-US" w:eastAsia="zh-CN"/>
                    </w:rPr>
                    <w:t>拌料机</w:t>
                  </w:r>
                </w:p>
              </w:tc>
              <w:tc>
                <w:tcPr>
                  <w:tcW w:w="1964" w:type="dxa"/>
                  <w:tcBorders>
                    <w:top w:val="single" w:color="auto" w:sz="6" w:space="0"/>
                    <w:left w:val="single" w:color="auto" w:sz="6" w:space="0"/>
                    <w:bottom w:val="single" w:color="auto" w:sz="6" w:space="0"/>
                    <w:right w:val="single" w:color="auto" w:sz="6" w:space="0"/>
                  </w:tcBorders>
                  <w:noWrap/>
                  <w:vAlign w:val="center"/>
                </w:tcPr>
                <w:p w14:paraId="397A3D22">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rPr>
                  </w:pPr>
                  <w:r>
                    <w:rPr>
                      <w:rFonts w:hint="eastAsia" w:ascii="Times New Roman" w:hAnsi="Times New Roman" w:eastAsia="宋体"/>
                      <w:b w:val="0"/>
                      <w:bCs w:val="0"/>
                      <w:color w:val="auto"/>
                      <w:sz w:val="21"/>
                      <w:szCs w:val="21"/>
                      <w:lang w:val="en-US" w:eastAsia="zh-CN"/>
                    </w:rPr>
                    <w:t>3m</w:t>
                  </w:r>
                  <w:r>
                    <w:rPr>
                      <w:rFonts w:hint="eastAsia" w:ascii="Times New Roman" w:hAnsi="Times New Roman" w:eastAsia="宋体"/>
                      <w:b w:val="0"/>
                      <w:bCs w:val="0"/>
                      <w:color w:val="auto"/>
                      <w:sz w:val="21"/>
                      <w:szCs w:val="21"/>
                      <w:vertAlign w:val="superscript"/>
                      <w:lang w:val="en-US" w:eastAsia="zh-CN"/>
                    </w:rPr>
                    <w:t>3</w:t>
                  </w:r>
                </w:p>
              </w:tc>
              <w:tc>
                <w:tcPr>
                  <w:tcW w:w="1377" w:type="dxa"/>
                  <w:tcBorders>
                    <w:top w:val="single" w:color="auto" w:sz="6" w:space="0"/>
                    <w:left w:val="single" w:color="auto" w:sz="6" w:space="0"/>
                    <w:bottom w:val="single" w:color="auto" w:sz="6" w:space="0"/>
                    <w:right w:val="single" w:color="auto" w:sz="6" w:space="0"/>
                  </w:tcBorders>
                  <w:noWrap/>
                  <w:vAlign w:val="center"/>
                </w:tcPr>
                <w:p w14:paraId="1ADA6082">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lang w:val="en-US" w:eastAsia="zh-CN"/>
                    </w:rPr>
                  </w:pPr>
                  <w:r>
                    <w:rPr>
                      <w:rFonts w:hint="eastAsia"/>
                      <w:color w:val="auto"/>
                      <w:sz w:val="21"/>
                      <w:szCs w:val="21"/>
                      <w:lang w:val="en-US" w:eastAsia="zh-CN"/>
                    </w:rPr>
                    <w:t>5</w:t>
                  </w:r>
                </w:p>
              </w:tc>
              <w:tc>
                <w:tcPr>
                  <w:tcW w:w="1359" w:type="dxa"/>
                  <w:tcBorders>
                    <w:top w:val="single" w:color="auto" w:sz="6" w:space="0"/>
                    <w:left w:val="single" w:color="auto" w:sz="6" w:space="0"/>
                    <w:bottom w:val="single" w:color="auto" w:sz="6" w:space="0"/>
                    <w:right w:val="single" w:color="auto" w:sz="6" w:space="0"/>
                  </w:tcBorders>
                  <w:noWrap/>
                  <w:vAlign w:val="center"/>
                </w:tcPr>
                <w:p w14:paraId="4304EEF2">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rPr>
                  </w:pPr>
                  <w:r>
                    <w:rPr>
                      <w:rFonts w:hint="eastAsia" w:ascii="Times New Roman" w:hAnsi="Times New Roman" w:eastAsia="宋体"/>
                      <w:color w:val="auto"/>
                      <w:sz w:val="21"/>
                      <w:szCs w:val="21"/>
                    </w:rPr>
                    <w:t>台</w:t>
                  </w:r>
                </w:p>
              </w:tc>
              <w:tc>
                <w:tcPr>
                  <w:tcW w:w="1391" w:type="dxa"/>
                  <w:tcBorders>
                    <w:top w:val="single" w:color="auto" w:sz="6" w:space="0"/>
                    <w:left w:val="single" w:color="auto" w:sz="6" w:space="0"/>
                    <w:bottom w:val="single" w:color="auto" w:sz="6" w:space="0"/>
                    <w:right w:val="nil"/>
                  </w:tcBorders>
                  <w:noWrap/>
                  <w:vAlign w:val="center"/>
                </w:tcPr>
                <w:p w14:paraId="1223AE97">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搅拌</w:t>
                  </w:r>
                </w:p>
              </w:tc>
            </w:tr>
            <w:tr w14:paraId="41795EA0">
              <w:tblPrEx>
                <w:tblCellMar>
                  <w:top w:w="0" w:type="dxa"/>
                  <w:left w:w="108" w:type="dxa"/>
                  <w:bottom w:w="0" w:type="dxa"/>
                  <w:right w:w="108" w:type="dxa"/>
                </w:tblCellMar>
              </w:tblPrEx>
              <w:trPr>
                <w:trHeight w:val="280" w:hRule="atLeast"/>
              </w:trPr>
              <w:tc>
                <w:tcPr>
                  <w:tcW w:w="8399" w:type="dxa"/>
                  <w:gridSpan w:val="6"/>
                  <w:tcBorders>
                    <w:top w:val="single" w:color="auto" w:sz="6" w:space="0"/>
                    <w:left w:val="nil"/>
                    <w:bottom w:val="single" w:color="auto" w:sz="6" w:space="0"/>
                    <w:right w:val="nil"/>
                  </w:tcBorders>
                  <w:noWrap/>
                  <w:vAlign w:val="center"/>
                </w:tcPr>
                <w:p w14:paraId="0B075BA3">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olor w:val="auto"/>
                      <w:sz w:val="21"/>
                      <w:szCs w:val="21"/>
                      <w:lang w:val="en-US" w:eastAsia="zh-CN"/>
                    </w:rPr>
                  </w:pPr>
                  <w:r>
                    <w:rPr>
                      <w:rFonts w:hint="eastAsia"/>
                      <w:color w:val="auto"/>
                      <w:sz w:val="21"/>
                      <w:szCs w:val="21"/>
                      <w:lang w:val="en-US" w:eastAsia="zh-CN"/>
                    </w:rPr>
                    <w:t>鞋垫制造</w:t>
                  </w:r>
                </w:p>
              </w:tc>
            </w:tr>
            <w:tr w14:paraId="4AABAB26">
              <w:tblPrEx>
                <w:tblCellMar>
                  <w:top w:w="0" w:type="dxa"/>
                  <w:left w:w="108" w:type="dxa"/>
                  <w:bottom w:w="0" w:type="dxa"/>
                  <w:right w:w="108" w:type="dxa"/>
                </w:tblCellMar>
              </w:tblPrEx>
              <w:trPr>
                <w:trHeight w:val="280" w:hRule="atLeast"/>
              </w:trPr>
              <w:tc>
                <w:tcPr>
                  <w:tcW w:w="704" w:type="dxa"/>
                  <w:tcBorders>
                    <w:top w:val="single" w:color="auto" w:sz="6" w:space="0"/>
                    <w:left w:val="nil"/>
                    <w:bottom w:val="single" w:color="auto" w:sz="6" w:space="0"/>
                    <w:right w:val="single" w:color="auto" w:sz="6" w:space="0"/>
                  </w:tcBorders>
                  <w:shd w:val="clear" w:color="auto" w:fill="auto"/>
                  <w:noWrap/>
                  <w:vAlign w:val="center"/>
                </w:tcPr>
                <w:p w14:paraId="033ECC62">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olor w:val="auto"/>
                      <w:sz w:val="21"/>
                      <w:szCs w:val="21"/>
                      <w:lang w:val="en-US" w:eastAsia="zh-CN"/>
                    </w:rPr>
                    <w:t>4</w:t>
                  </w:r>
                </w:p>
              </w:tc>
              <w:tc>
                <w:tcPr>
                  <w:tcW w:w="1604" w:type="dxa"/>
                  <w:tcBorders>
                    <w:top w:val="single" w:color="auto" w:sz="6" w:space="0"/>
                    <w:left w:val="single" w:color="auto" w:sz="6" w:space="0"/>
                    <w:bottom w:val="single" w:color="auto" w:sz="6" w:space="0"/>
                    <w:right w:val="single" w:color="auto" w:sz="6" w:space="0"/>
                  </w:tcBorders>
                  <w:shd w:val="clear" w:color="auto" w:fill="auto"/>
                  <w:noWrap/>
                  <w:vAlign w:val="center"/>
                </w:tcPr>
                <w:p w14:paraId="02B03A6A">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b/>
                      <w:bCs/>
                      <w:color w:val="auto"/>
                      <w:kern w:val="2"/>
                      <w:sz w:val="21"/>
                      <w:szCs w:val="21"/>
                      <w:lang w:val="en-US" w:eastAsia="zh-CN" w:bidi="ar-SA"/>
                    </w:rPr>
                  </w:pPr>
                  <w:r>
                    <w:rPr>
                      <w:rFonts w:hint="eastAsia" w:ascii="Times New Roman" w:hAnsi="Times New Roman" w:eastAsia="宋体"/>
                      <w:b w:val="0"/>
                      <w:bCs/>
                      <w:color w:val="auto"/>
                      <w:sz w:val="21"/>
                      <w:szCs w:val="21"/>
                      <w:lang w:val="en-US" w:eastAsia="zh-CN"/>
                    </w:rPr>
                    <w:t>自动化聚氨酯机发泡机</w:t>
                  </w:r>
                </w:p>
              </w:tc>
              <w:tc>
                <w:tcPr>
                  <w:tcW w:w="1964" w:type="dxa"/>
                  <w:tcBorders>
                    <w:top w:val="single" w:color="auto" w:sz="6" w:space="0"/>
                    <w:left w:val="single" w:color="auto" w:sz="6" w:space="0"/>
                    <w:bottom w:val="single" w:color="auto" w:sz="6" w:space="0"/>
                    <w:right w:val="single" w:color="auto" w:sz="6" w:space="0"/>
                  </w:tcBorders>
                  <w:shd w:val="clear" w:color="auto" w:fill="auto"/>
                  <w:noWrap/>
                  <w:vAlign w:val="center"/>
                </w:tcPr>
                <w:p w14:paraId="625BE688">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b/>
                      <w:bCs/>
                      <w:color w:val="auto"/>
                      <w:kern w:val="2"/>
                      <w:sz w:val="21"/>
                      <w:szCs w:val="21"/>
                      <w:lang w:val="en-US" w:eastAsia="zh-CN" w:bidi="ar-SA"/>
                    </w:rPr>
                  </w:pPr>
                  <w:r>
                    <w:rPr>
                      <w:rFonts w:hint="eastAsia" w:ascii="Times New Roman" w:hAnsi="Times New Roman" w:eastAsia="宋体"/>
                      <w:b w:val="0"/>
                      <w:bCs w:val="0"/>
                      <w:color w:val="auto"/>
                      <w:sz w:val="21"/>
                      <w:szCs w:val="21"/>
                      <w:lang w:val="en-US" w:eastAsia="zh-CN"/>
                    </w:rPr>
                    <w:t>LT01</w:t>
                  </w:r>
                </w:p>
              </w:tc>
              <w:tc>
                <w:tcPr>
                  <w:tcW w:w="1377" w:type="dxa"/>
                  <w:tcBorders>
                    <w:top w:val="single" w:color="auto" w:sz="6" w:space="0"/>
                    <w:left w:val="single" w:color="auto" w:sz="6" w:space="0"/>
                    <w:bottom w:val="single" w:color="auto" w:sz="6" w:space="0"/>
                    <w:right w:val="single" w:color="auto" w:sz="6" w:space="0"/>
                  </w:tcBorders>
                  <w:shd w:val="clear" w:color="auto" w:fill="auto"/>
                  <w:noWrap/>
                  <w:vAlign w:val="center"/>
                </w:tcPr>
                <w:p w14:paraId="74A9B3CD">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b/>
                      <w:bCs/>
                      <w:color w:val="auto"/>
                      <w:kern w:val="2"/>
                      <w:sz w:val="21"/>
                      <w:szCs w:val="21"/>
                      <w:lang w:val="en-US" w:eastAsia="zh-CN" w:bidi="ar-SA"/>
                    </w:rPr>
                  </w:pPr>
                  <w:r>
                    <w:rPr>
                      <w:rFonts w:hint="eastAsia" w:ascii="Times New Roman" w:hAnsi="Times New Roman" w:eastAsia="宋体"/>
                      <w:color w:val="auto"/>
                      <w:sz w:val="21"/>
                      <w:szCs w:val="21"/>
                      <w:lang w:val="en-US" w:eastAsia="zh-CN"/>
                    </w:rPr>
                    <w:t>2</w:t>
                  </w:r>
                </w:p>
              </w:tc>
              <w:tc>
                <w:tcPr>
                  <w:tcW w:w="1359" w:type="dxa"/>
                  <w:tcBorders>
                    <w:top w:val="single" w:color="auto" w:sz="6" w:space="0"/>
                    <w:left w:val="single" w:color="auto" w:sz="6" w:space="0"/>
                    <w:bottom w:val="single" w:color="auto" w:sz="6" w:space="0"/>
                    <w:right w:val="single" w:color="auto" w:sz="6" w:space="0"/>
                  </w:tcBorders>
                  <w:shd w:val="clear" w:color="auto" w:fill="auto"/>
                  <w:noWrap/>
                  <w:vAlign w:val="center"/>
                </w:tcPr>
                <w:p w14:paraId="6B51B832">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b/>
                      <w:bCs/>
                      <w:color w:val="auto"/>
                      <w:kern w:val="2"/>
                      <w:sz w:val="21"/>
                      <w:szCs w:val="21"/>
                      <w:lang w:val="en-US" w:eastAsia="zh-CN" w:bidi="ar-SA"/>
                    </w:rPr>
                  </w:pPr>
                  <w:r>
                    <w:rPr>
                      <w:rFonts w:hint="eastAsia" w:ascii="Times New Roman" w:hAnsi="Times New Roman" w:eastAsia="宋体"/>
                      <w:color w:val="auto"/>
                      <w:sz w:val="21"/>
                      <w:szCs w:val="21"/>
                    </w:rPr>
                    <w:t>台</w:t>
                  </w:r>
                </w:p>
              </w:tc>
              <w:tc>
                <w:tcPr>
                  <w:tcW w:w="1391" w:type="dxa"/>
                  <w:tcBorders>
                    <w:top w:val="single" w:color="auto" w:sz="6" w:space="0"/>
                    <w:left w:val="single" w:color="auto" w:sz="6" w:space="0"/>
                    <w:bottom w:val="single" w:color="auto" w:sz="6" w:space="0"/>
                    <w:right w:val="nil"/>
                  </w:tcBorders>
                  <w:shd w:val="clear" w:color="auto" w:fill="auto"/>
                  <w:noWrap/>
                  <w:vAlign w:val="center"/>
                </w:tcPr>
                <w:p w14:paraId="5180481B">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p>
              </w:tc>
            </w:tr>
            <w:tr w14:paraId="36626F3B">
              <w:tblPrEx>
                <w:tblCellMar>
                  <w:top w:w="0" w:type="dxa"/>
                  <w:left w:w="108" w:type="dxa"/>
                  <w:bottom w:w="0" w:type="dxa"/>
                  <w:right w:w="108" w:type="dxa"/>
                </w:tblCellMar>
              </w:tblPrEx>
              <w:trPr>
                <w:trHeight w:val="280" w:hRule="atLeast"/>
              </w:trPr>
              <w:tc>
                <w:tcPr>
                  <w:tcW w:w="704" w:type="dxa"/>
                  <w:tcBorders>
                    <w:top w:val="single" w:color="auto" w:sz="6" w:space="0"/>
                    <w:left w:val="nil"/>
                    <w:bottom w:val="single" w:color="auto" w:sz="6" w:space="0"/>
                    <w:right w:val="single" w:color="auto" w:sz="6" w:space="0"/>
                  </w:tcBorders>
                  <w:shd w:val="clear" w:color="auto" w:fill="auto"/>
                  <w:noWrap/>
                  <w:vAlign w:val="center"/>
                </w:tcPr>
                <w:p w14:paraId="3B6E6B9D">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olor w:val="auto"/>
                      <w:sz w:val="21"/>
                      <w:szCs w:val="21"/>
                      <w:u w:val="none"/>
                    </w:rPr>
                    <w:t>5</w:t>
                  </w:r>
                </w:p>
              </w:tc>
              <w:tc>
                <w:tcPr>
                  <w:tcW w:w="1604" w:type="dxa"/>
                  <w:tcBorders>
                    <w:top w:val="single" w:color="auto" w:sz="6" w:space="0"/>
                    <w:left w:val="single" w:color="auto" w:sz="6" w:space="0"/>
                    <w:bottom w:val="single" w:color="auto" w:sz="6" w:space="0"/>
                    <w:right w:val="single" w:color="auto" w:sz="6" w:space="0"/>
                  </w:tcBorders>
                  <w:shd w:val="clear" w:color="auto" w:fill="auto"/>
                  <w:noWrap/>
                  <w:vAlign w:val="center"/>
                </w:tcPr>
                <w:p w14:paraId="29776B73">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b w:val="0"/>
                      <w:bCs/>
                      <w:color w:val="auto"/>
                      <w:kern w:val="2"/>
                      <w:sz w:val="21"/>
                      <w:szCs w:val="21"/>
                      <w:lang w:val="en-US" w:eastAsia="zh-CN" w:bidi="ar-SA"/>
                    </w:rPr>
                  </w:pPr>
                  <w:r>
                    <w:rPr>
                      <w:rFonts w:hint="eastAsia"/>
                      <w:b w:val="0"/>
                      <w:bCs/>
                      <w:color w:val="auto"/>
                      <w:sz w:val="21"/>
                      <w:szCs w:val="21"/>
                      <w:lang w:val="en-US" w:eastAsia="zh-CN"/>
                    </w:rPr>
                    <w:t>冷却塔</w:t>
                  </w:r>
                </w:p>
              </w:tc>
              <w:tc>
                <w:tcPr>
                  <w:tcW w:w="1964" w:type="dxa"/>
                  <w:tcBorders>
                    <w:top w:val="single" w:color="auto" w:sz="6" w:space="0"/>
                    <w:left w:val="single" w:color="auto" w:sz="6" w:space="0"/>
                    <w:bottom w:val="single" w:color="auto" w:sz="6" w:space="0"/>
                    <w:right w:val="single" w:color="auto" w:sz="6" w:space="0"/>
                  </w:tcBorders>
                  <w:shd w:val="clear" w:color="auto" w:fill="auto"/>
                  <w:noWrap/>
                  <w:vAlign w:val="center"/>
                </w:tcPr>
                <w:p w14:paraId="0C74EAAF">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b w:val="0"/>
                      <w:bCs w:val="0"/>
                      <w:color w:val="auto"/>
                      <w:kern w:val="2"/>
                      <w:sz w:val="21"/>
                      <w:szCs w:val="21"/>
                      <w:lang w:val="en-US" w:eastAsia="zh-CN" w:bidi="ar-SA"/>
                    </w:rPr>
                  </w:pPr>
                  <w:r>
                    <w:rPr>
                      <w:rFonts w:hint="eastAsia"/>
                      <w:b w:val="0"/>
                      <w:bCs w:val="0"/>
                      <w:color w:val="auto"/>
                      <w:sz w:val="21"/>
                      <w:szCs w:val="21"/>
                      <w:lang w:val="en-US" w:eastAsia="zh-CN"/>
                    </w:rPr>
                    <w:t>/</w:t>
                  </w:r>
                </w:p>
              </w:tc>
              <w:tc>
                <w:tcPr>
                  <w:tcW w:w="1377" w:type="dxa"/>
                  <w:tcBorders>
                    <w:top w:val="single" w:color="auto" w:sz="6" w:space="0"/>
                    <w:left w:val="single" w:color="auto" w:sz="6" w:space="0"/>
                    <w:bottom w:val="single" w:color="auto" w:sz="6" w:space="0"/>
                    <w:right w:val="single" w:color="auto" w:sz="6" w:space="0"/>
                  </w:tcBorders>
                  <w:shd w:val="clear" w:color="auto" w:fill="auto"/>
                  <w:noWrap/>
                  <w:vAlign w:val="center"/>
                </w:tcPr>
                <w:p w14:paraId="125DDE09">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1</w:t>
                  </w:r>
                </w:p>
              </w:tc>
              <w:tc>
                <w:tcPr>
                  <w:tcW w:w="1359" w:type="dxa"/>
                  <w:tcBorders>
                    <w:top w:val="single" w:color="auto" w:sz="6" w:space="0"/>
                    <w:left w:val="single" w:color="auto" w:sz="6" w:space="0"/>
                    <w:bottom w:val="single" w:color="auto" w:sz="6" w:space="0"/>
                    <w:right w:val="single" w:color="auto" w:sz="6" w:space="0"/>
                  </w:tcBorders>
                  <w:shd w:val="clear" w:color="auto" w:fill="auto"/>
                  <w:noWrap/>
                  <w:vAlign w:val="center"/>
                </w:tcPr>
                <w:p w14:paraId="115A4862">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座</w:t>
                  </w:r>
                </w:p>
              </w:tc>
              <w:tc>
                <w:tcPr>
                  <w:tcW w:w="1391" w:type="dxa"/>
                  <w:tcBorders>
                    <w:top w:val="single" w:color="auto" w:sz="6" w:space="0"/>
                    <w:left w:val="single" w:color="auto" w:sz="6" w:space="0"/>
                    <w:bottom w:val="single" w:color="auto" w:sz="6" w:space="0"/>
                    <w:right w:val="nil"/>
                  </w:tcBorders>
                  <w:shd w:val="clear" w:color="auto" w:fill="auto"/>
                  <w:noWrap/>
                  <w:vAlign w:val="center"/>
                </w:tcPr>
                <w:p w14:paraId="373509A4">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冷却</w:t>
                  </w:r>
                </w:p>
              </w:tc>
            </w:tr>
            <w:tr w14:paraId="537F66E7">
              <w:tblPrEx>
                <w:tblCellMar>
                  <w:top w:w="0" w:type="dxa"/>
                  <w:left w:w="108" w:type="dxa"/>
                  <w:bottom w:w="0" w:type="dxa"/>
                  <w:right w:w="108" w:type="dxa"/>
                </w:tblCellMar>
              </w:tblPrEx>
              <w:trPr>
                <w:trHeight w:val="280" w:hRule="atLeast"/>
              </w:trPr>
              <w:tc>
                <w:tcPr>
                  <w:tcW w:w="704" w:type="dxa"/>
                  <w:tcBorders>
                    <w:top w:val="single" w:color="auto" w:sz="6" w:space="0"/>
                    <w:left w:val="nil"/>
                    <w:bottom w:val="single" w:color="auto" w:sz="6" w:space="0"/>
                    <w:right w:val="single" w:color="auto" w:sz="6" w:space="0"/>
                  </w:tcBorders>
                  <w:shd w:val="clear" w:color="auto" w:fill="auto"/>
                  <w:noWrap/>
                  <w:vAlign w:val="center"/>
                </w:tcPr>
                <w:p w14:paraId="6AD78763">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olor w:val="auto"/>
                      <w:sz w:val="21"/>
                      <w:szCs w:val="21"/>
                      <w:u w:val="none"/>
                    </w:rPr>
                    <w:t>6</w:t>
                  </w:r>
                </w:p>
              </w:tc>
              <w:tc>
                <w:tcPr>
                  <w:tcW w:w="1604" w:type="dxa"/>
                  <w:tcBorders>
                    <w:top w:val="single" w:color="auto" w:sz="6" w:space="0"/>
                    <w:left w:val="single" w:color="auto" w:sz="6" w:space="0"/>
                    <w:bottom w:val="single" w:color="auto" w:sz="6" w:space="0"/>
                    <w:right w:val="single" w:color="auto" w:sz="6" w:space="0"/>
                  </w:tcBorders>
                  <w:shd w:val="clear" w:color="auto" w:fill="auto"/>
                  <w:noWrap/>
                  <w:vAlign w:val="center"/>
                </w:tcPr>
                <w:p w14:paraId="6BE69DA1">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b w:val="0"/>
                      <w:bCs/>
                      <w:color w:val="auto"/>
                      <w:sz w:val="21"/>
                      <w:szCs w:val="21"/>
                      <w:lang w:val="en-US" w:eastAsia="zh-CN"/>
                    </w:rPr>
                    <w:t>拌料机</w:t>
                  </w:r>
                </w:p>
              </w:tc>
              <w:tc>
                <w:tcPr>
                  <w:tcW w:w="1964" w:type="dxa"/>
                  <w:tcBorders>
                    <w:top w:val="single" w:color="auto" w:sz="6" w:space="0"/>
                    <w:left w:val="single" w:color="auto" w:sz="6" w:space="0"/>
                    <w:bottom w:val="single" w:color="auto" w:sz="6" w:space="0"/>
                    <w:right w:val="single" w:color="auto" w:sz="6" w:space="0"/>
                  </w:tcBorders>
                  <w:shd w:val="clear" w:color="auto" w:fill="auto"/>
                  <w:noWrap/>
                  <w:vAlign w:val="center"/>
                </w:tcPr>
                <w:p w14:paraId="3D59BD2B">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b w:val="0"/>
                      <w:bCs w:val="0"/>
                      <w:color w:val="auto"/>
                      <w:sz w:val="21"/>
                      <w:szCs w:val="21"/>
                      <w:lang w:val="en-US" w:eastAsia="zh-CN"/>
                    </w:rPr>
                    <w:t>1</w:t>
                  </w:r>
                  <w:r>
                    <w:rPr>
                      <w:rFonts w:hint="eastAsia" w:ascii="Times New Roman" w:hAnsi="Times New Roman" w:eastAsia="宋体"/>
                      <w:b w:val="0"/>
                      <w:bCs w:val="0"/>
                      <w:color w:val="auto"/>
                      <w:sz w:val="21"/>
                      <w:szCs w:val="21"/>
                      <w:lang w:val="en-US" w:eastAsia="zh-CN"/>
                    </w:rPr>
                    <w:t>m</w:t>
                  </w:r>
                  <w:r>
                    <w:rPr>
                      <w:rFonts w:hint="eastAsia" w:ascii="Times New Roman" w:hAnsi="Times New Roman" w:eastAsia="宋体"/>
                      <w:b w:val="0"/>
                      <w:bCs w:val="0"/>
                      <w:color w:val="auto"/>
                      <w:sz w:val="21"/>
                      <w:szCs w:val="21"/>
                      <w:vertAlign w:val="superscript"/>
                      <w:lang w:val="en-US" w:eastAsia="zh-CN"/>
                    </w:rPr>
                    <w:t>3</w:t>
                  </w:r>
                </w:p>
              </w:tc>
              <w:tc>
                <w:tcPr>
                  <w:tcW w:w="1377" w:type="dxa"/>
                  <w:tcBorders>
                    <w:top w:val="single" w:color="auto" w:sz="6" w:space="0"/>
                    <w:left w:val="single" w:color="auto" w:sz="6" w:space="0"/>
                    <w:bottom w:val="single" w:color="auto" w:sz="6" w:space="0"/>
                    <w:right w:val="single" w:color="auto" w:sz="6" w:space="0"/>
                  </w:tcBorders>
                  <w:shd w:val="clear" w:color="auto" w:fill="auto"/>
                  <w:noWrap/>
                  <w:vAlign w:val="center"/>
                </w:tcPr>
                <w:p w14:paraId="6183A56D">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olor w:val="auto"/>
                      <w:sz w:val="21"/>
                      <w:szCs w:val="21"/>
                      <w:lang w:val="en-US" w:eastAsia="zh-CN"/>
                    </w:rPr>
                    <w:t>2</w:t>
                  </w:r>
                </w:p>
              </w:tc>
              <w:tc>
                <w:tcPr>
                  <w:tcW w:w="1359" w:type="dxa"/>
                  <w:tcBorders>
                    <w:top w:val="single" w:color="auto" w:sz="6" w:space="0"/>
                    <w:left w:val="single" w:color="auto" w:sz="6" w:space="0"/>
                    <w:bottom w:val="single" w:color="auto" w:sz="6" w:space="0"/>
                    <w:right w:val="single" w:color="auto" w:sz="6" w:space="0"/>
                  </w:tcBorders>
                  <w:shd w:val="clear" w:color="auto" w:fill="auto"/>
                  <w:noWrap/>
                  <w:vAlign w:val="center"/>
                </w:tcPr>
                <w:p w14:paraId="4E088596">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olor w:val="auto"/>
                      <w:sz w:val="21"/>
                      <w:szCs w:val="21"/>
                    </w:rPr>
                    <w:t>台</w:t>
                  </w:r>
                </w:p>
              </w:tc>
              <w:tc>
                <w:tcPr>
                  <w:tcW w:w="1391" w:type="dxa"/>
                  <w:tcBorders>
                    <w:top w:val="single" w:color="auto" w:sz="6" w:space="0"/>
                    <w:left w:val="single" w:color="auto" w:sz="6" w:space="0"/>
                    <w:bottom w:val="single" w:color="auto" w:sz="6" w:space="0"/>
                    <w:right w:val="nil"/>
                  </w:tcBorders>
                  <w:shd w:val="clear" w:color="auto" w:fill="auto"/>
                  <w:noWrap/>
                  <w:vAlign w:val="center"/>
                </w:tcPr>
                <w:p w14:paraId="5632791F">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olor w:val="auto"/>
                      <w:sz w:val="21"/>
                      <w:szCs w:val="21"/>
                      <w:lang w:val="en-US" w:eastAsia="zh-CN"/>
                    </w:rPr>
                    <w:t>搅拌</w:t>
                  </w:r>
                </w:p>
              </w:tc>
            </w:tr>
            <w:tr w14:paraId="3DAFD2FB">
              <w:tblPrEx>
                <w:tblCellMar>
                  <w:top w:w="0" w:type="dxa"/>
                  <w:left w:w="108" w:type="dxa"/>
                  <w:bottom w:w="0" w:type="dxa"/>
                  <w:right w:w="108" w:type="dxa"/>
                </w:tblCellMar>
              </w:tblPrEx>
              <w:trPr>
                <w:trHeight w:val="280" w:hRule="atLeast"/>
              </w:trPr>
              <w:tc>
                <w:tcPr>
                  <w:tcW w:w="8399" w:type="dxa"/>
                  <w:gridSpan w:val="6"/>
                  <w:tcBorders>
                    <w:top w:val="single" w:color="auto" w:sz="6" w:space="0"/>
                    <w:left w:val="nil"/>
                    <w:bottom w:val="single" w:color="auto" w:sz="6" w:space="0"/>
                    <w:right w:val="nil"/>
                  </w:tcBorders>
                  <w:shd w:val="clear" w:color="auto" w:fill="auto"/>
                  <w:noWrap/>
                  <w:vAlign w:val="center"/>
                </w:tcPr>
                <w:p w14:paraId="04C3C25B">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裁切区</w:t>
                  </w:r>
                </w:p>
              </w:tc>
            </w:tr>
            <w:tr w14:paraId="4ED2FE69">
              <w:tblPrEx>
                <w:tblCellMar>
                  <w:top w:w="0" w:type="dxa"/>
                  <w:left w:w="108" w:type="dxa"/>
                  <w:bottom w:w="0" w:type="dxa"/>
                  <w:right w:w="108" w:type="dxa"/>
                </w:tblCellMar>
              </w:tblPrEx>
              <w:trPr>
                <w:trHeight w:val="280" w:hRule="atLeast"/>
              </w:trPr>
              <w:tc>
                <w:tcPr>
                  <w:tcW w:w="704" w:type="dxa"/>
                  <w:tcBorders>
                    <w:top w:val="single" w:color="auto" w:sz="6" w:space="0"/>
                    <w:left w:val="nil"/>
                    <w:bottom w:val="single" w:color="auto" w:sz="6" w:space="0"/>
                    <w:right w:val="single" w:color="auto" w:sz="6" w:space="0"/>
                  </w:tcBorders>
                  <w:shd w:val="clear" w:color="auto" w:fill="auto"/>
                  <w:noWrap/>
                  <w:vAlign w:val="center"/>
                </w:tcPr>
                <w:p w14:paraId="3FDE07FA">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olor w:val="auto"/>
                      <w:sz w:val="21"/>
                      <w:szCs w:val="21"/>
                      <w:u w:val="none"/>
                    </w:rPr>
                    <w:t>7</w:t>
                  </w:r>
                </w:p>
              </w:tc>
              <w:tc>
                <w:tcPr>
                  <w:tcW w:w="1604" w:type="dxa"/>
                  <w:tcBorders>
                    <w:top w:val="single" w:color="auto" w:sz="6" w:space="0"/>
                    <w:left w:val="single" w:color="auto" w:sz="6" w:space="0"/>
                    <w:bottom w:val="single" w:color="auto" w:sz="6" w:space="0"/>
                    <w:right w:val="single" w:color="auto" w:sz="6" w:space="0"/>
                  </w:tcBorders>
                  <w:shd w:val="clear" w:color="auto" w:fill="auto"/>
                  <w:noWrap/>
                  <w:vAlign w:val="center"/>
                </w:tcPr>
                <w:p w14:paraId="2ADB4934">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精雕CNC裁断机</w:t>
                  </w:r>
                </w:p>
              </w:tc>
              <w:tc>
                <w:tcPr>
                  <w:tcW w:w="1964" w:type="dxa"/>
                  <w:tcBorders>
                    <w:top w:val="single" w:color="auto" w:sz="6" w:space="0"/>
                    <w:left w:val="single" w:color="auto" w:sz="6" w:space="0"/>
                    <w:bottom w:val="single" w:color="auto" w:sz="6" w:space="0"/>
                    <w:right w:val="single" w:color="auto" w:sz="6" w:space="0"/>
                  </w:tcBorders>
                  <w:shd w:val="clear" w:color="auto" w:fill="auto"/>
                  <w:noWrap/>
                  <w:vAlign w:val="center"/>
                </w:tcPr>
                <w:p w14:paraId="18C590D6">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rPr>
                    <w:t>XKJQ800</w:t>
                  </w:r>
                </w:p>
              </w:tc>
              <w:tc>
                <w:tcPr>
                  <w:tcW w:w="1377" w:type="dxa"/>
                  <w:tcBorders>
                    <w:top w:val="single" w:color="auto" w:sz="6" w:space="0"/>
                    <w:left w:val="single" w:color="auto" w:sz="6" w:space="0"/>
                    <w:bottom w:val="single" w:color="auto" w:sz="6" w:space="0"/>
                    <w:right w:val="single" w:color="auto" w:sz="6" w:space="0"/>
                  </w:tcBorders>
                  <w:shd w:val="clear" w:color="auto" w:fill="auto"/>
                  <w:noWrap/>
                  <w:vAlign w:val="center"/>
                </w:tcPr>
                <w:p w14:paraId="699B08E4">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olor w:val="auto"/>
                      <w:sz w:val="21"/>
                      <w:szCs w:val="21"/>
                      <w:lang w:val="en-US" w:eastAsia="zh-CN"/>
                    </w:rPr>
                    <w:t>20</w:t>
                  </w:r>
                </w:p>
              </w:tc>
              <w:tc>
                <w:tcPr>
                  <w:tcW w:w="1359" w:type="dxa"/>
                  <w:tcBorders>
                    <w:top w:val="single" w:color="auto" w:sz="6" w:space="0"/>
                    <w:left w:val="single" w:color="auto" w:sz="6" w:space="0"/>
                    <w:bottom w:val="single" w:color="auto" w:sz="6" w:space="0"/>
                    <w:right w:val="single" w:color="auto" w:sz="6" w:space="0"/>
                  </w:tcBorders>
                  <w:shd w:val="clear" w:color="auto" w:fill="auto"/>
                  <w:noWrap/>
                  <w:vAlign w:val="center"/>
                </w:tcPr>
                <w:p w14:paraId="6FB50446">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olor w:val="auto"/>
                      <w:sz w:val="21"/>
                      <w:szCs w:val="21"/>
                    </w:rPr>
                    <w:t>台</w:t>
                  </w:r>
                </w:p>
              </w:tc>
              <w:tc>
                <w:tcPr>
                  <w:tcW w:w="1391" w:type="dxa"/>
                  <w:tcBorders>
                    <w:top w:val="single" w:color="auto" w:sz="6" w:space="0"/>
                    <w:left w:val="single" w:color="auto" w:sz="6" w:space="0"/>
                    <w:bottom w:val="single" w:color="auto" w:sz="6" w:space="0"/>
                    <w:right w:val="nil"/>
                  </w:tcBorders>
                  <w:shd w:val="clear" w:color="auto" w:fill="auto"/>
                  <w:noWrap/>
                  <w:vAlign w:val="center"/>
                </w:tcPr>
                <w:p w14:paraId="281C107E">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p>
              </w:tc>
            </w:tr>
            <w:tr w14:paraId="01CC2D9E">
              <w:tblPrEx>
                <w:tblCellMar>
                  <w:top w:w="0" w:type="dxa"/>
                  <w:left w:w="108" w:type="dxa"/>
                  <w:bottom w:w="0" w:type="dxa"/>
                  <w:right w:w="108" w:type="dxa"/>
                </w:tblCellMar>
              </w:tblPrEx>
              <w:trPr>
                <w:trHeight w:val="280" w:hRule="atLeast"/>
              </w:trPr>
              <w:tc>
                <w:tcPr>
                  <w:tcW w:w="704" w:type="dxa"/>
                  <w:tcBorders>
                    <w:top w:val="single" w:color="auto" w:sz="6" w:space="0"/>
                    <w:left w:val="nil"/>
                    <w:bottom w:val="single" w:color="auto" w:sz="6" w:space="0"/>
                    <w:right w:val="single" w:color="auto" w:sz="6" w:space="0"/>
                  </w:tcBorders>
                  <w:shd w:val="clear" w:color="auto" w:fill="auto"/>
                  <w:noWrap/>
                  <w:vAlign w:val="center"/>
                </w:tcPr>
                <w:p w14:paraId="69BCC98C">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olor w:val="auto"/>
                      <w:sz w:val="21"/>
                      <w:szCs w:val="21"/>
                      <w:u w:val="none"/>
                    </w:rPr>
                    <w:t>8</w:t>
                  </w:r>
                </w:p>
              </w:tc>
              <w:tc>
                <w:tcPr>
                  <w:tcW w:w="1604" w:type="dxa"/>
                  <w:tcBorders>
                    <w:top w:val="single" w:color="auto" w:sz="6" w:space="0"/>
                    <w:left w:val="single" w:color="auto" w:sz="6" w:space="0"/>
                    <w:bottom w:val="single" w:color="auto" w:sz="6" w:space="0"/>
                    <w:right w:val="single" w:color="auto" w:sz="6" w:space="0"/>
                  </w:tcBorders>
                  <w:shd w:val="clear" w:color="auto" w:fill="auto"/>
                  <w:noWrap/>
                  <w:vAlign w:val="center"/>
                </w:tcPr>
                <w:p w14:paraId="7AA1E587">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下料机</w:t>
                  </w:r>
                </w:p>
              </w:tc>
              <w:tc>
                <w:tcPr>
                  <w:tcW w:w="1964" w:type="dxa"/>
                  <w:tcBorders>
                    <w:top w:val="single" w:color="auto" w:sz="6" w:space="0"/>
                    <w:left w:val="single" w:color="auto" w:sz="6" w:space="0"/>
                    <w:bottom w:val="single" w:color="auto" w:sz="6" w:space="0"/>
                    <w:right w:val="single" w:color="auto" w:sz="6" w:space="0"/>
                  </w:tcBorders>
                  <w:shd w:val="clear" w:color="auto" w:fill="auto"/>
                  <w:noWrap/>
                  <w:vAlign w:val="center"/>
                </w:tcPr>
                <w:p w14:paraId="29357E55">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信展机械</w:t>
                  </w:r>
                </w:p>
              </w:tc>
              <w:tc>
                <w:tcPr>
                  <w:tcW w:w="1377" w:type="dxa"/>
                  <w:tcBorders>
                    <w:top w:val="single" w:color="auto" w:sz="6" w:space="0"/>
                    <w:left w:val="single" w:color="auto" w:sz="6" w:space="0"/>
                    <w:bottom w:val="single" w:color="auto" w:sz="6" w:space="0"/>
                    <w:right w:val="single" w:color="auto" w:sz="6" w:space="0"/>
                  </w:tcBorders>
                  <w:shd w:val="clear" w:color="auto" w:fill="auto"/>
                  <w:noWrap/>
                  <w:vAlign w:val="center"/>
                </w:tcPr>
                <w:p w14:paraId="4BA176D4">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olor w:val="auto"/>
                      <w:sz w:val="21"/>
                      <w:szCs w:val="21"/>
                      <w:lang w:val="en-US" w:eastAsia="zh-CN"/>
                    </w:rPr>
                    <w:t>10</w:t>
                  </w:r>
                </w:p>
              </w:tc>
              <w:tc>
                <w:tcPr>
                  <w:tcW w:w="1359" w:type="dxa"/>
                  <w:tcBorders>
                    <w:top w:val="single" w:color="auto" w:sz="6" w:space="0"/>
                    <w:left w:val="single" w:color="auto" w:sz="6" w:space="0"/>
                    <w:bottom w:val="single" w:color="auto" w:sz="6" w:space="0"/>
                    <w:right w:val="single" w:color="auto" w:sz="6" w:space="0"/>
                  </w:tcBorders>
                  <w:shd w:val="clear" w:color="auto" w:fill="auto"/>
                  <w:noWrap/>
                  <w:vAlign w:val="center"/>
                </w:tcPr>
                <w:p w14:paraId="1F2E85A1">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olor w:val="auto"/>
                      <w:sz w:val="21"/>
                      <w:szCs w:val="21"/>
                    </w:rPr>
                    <w:t>台</w:t>
                  </w:r>
                </w:p>
              </w:tc>
              <w:tc>
                <w:tcPr>
                  <w:tcW w:w="1391" w:type="dxa"/>
                  <w:tcBorders>
                    <w:top w:val="single" w:color="auto" w:sz="6" w:space="0"/>
                    <w:left w:val="single" w:color="auto" w:sz="6" w:space="0"/>
                    <w:bottom w:val="single" w:color="auto" w:sz="6" w:space="0"/>
                    <w:right w:val="nil"/>
                  </w:tcBorders>
                  <w:shd w:val="clear" w:color="auto" w:fill="auto"/>
                  <w:noWrap/>
                  <w:vAlign w:val="center"/>
                </w:tcPr>
                <w:p w14:paraId="10621D3E">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p>
              </w:tc>
            </w:tr>
            <w:tr w14:paraId="5A5A02DD">
              <w:tblPrEx>
                <w:tblCellMar>
                  <w:top w:w="0" w:type="dxa"/>
                  <w:left w:w="108" w:type="dxa"/>
                  <w:bottom w:w="0" w:type="dxa"/>
                  <w:right w:w="108" w:type="dxa"/>
                </w:tblCellMar>
              </w:tblPrEx>
              <w:trPr>
                <w:trHeight w:val="280" w:hRule="atLeast"/>
              </w:trPr>
              <w:tc>
                <w:tcPr>
                  <w:tcW w:w="8399" w:type="dxa"/>
                  <w:gridSpan w:val="6"/>
                  <w:tcBorders>
                    <w:top w:val="single" w:color="auto" w:sz="6" w:space="0"/>
                    <w:left w:val="nil"/>
                    <w:bottom w:val="single" w:color="auto" w:sz="6" w:space="0"/>
                    <w:right w:val="nil"/>
                  </w:tcBorders>
                  <w:shd w:val="clear" w:color="auto" w:fill="auto"/>
                  <w:noWrap/>
                  <w:vAlign w:val="center"/>
                </w:tcPr>
                <w:p w14:paraId="7BD4E049">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丝网印花区</w:t>
                  </w:r>
                </w:p>
              </w:tc>
            </w:tr>
            <w:tr w14:paraId="1253941A">
              <w:tblPrEx>
                <w:tblCellMar>
                  <w:top w:w="0" w:type="dxa"/>
                  <w:left w:w="108" w:type="dxa"/>
                  <w:bottom w:w="0" w:type="dxa"/>
                  <w:right w:w="108" w:type="dxa"/>
                </w:tblCellMar>
              </w:tblPrEx>
              <w:trPr>
                <w:trHeight w:val="280" w:hRule="atLeast"/>
              </w:trPr>
              <w:tc>
                <w:tcPr>
                  <w:tcW w:w="704" w:type="dxa"/>
                  <w:tcBorders>
                    <w:top w:val="single" w:color="auto" w:sz="6" w:space="0"/>
                    <w:left w:val="nil"/>
                    <w:bottom w:val="single" w:color="auto" w:sz="6" w:space="0"/>
                    <w:right w:val="single" w:color="auto" w:sz="6" w:space="0"/>
                  </w:tcBorders>
                  <w:shd w:val="clear" w:color="auto" w:fill="auto"/>
                  <w:noWrap/>
                  <w:vAlign w:val="center"/>
                </w:tcPr>
                <w:p w14:paraId="4A62416D">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olor w:val="auto"/>
                      <w:sz w:val="21"/>
                      <w:szCs w:val="21"/>
                      <w:u w:val="none"/>
                    </w:rPr>
                    <w:t>9</w:t>
                  </w:r>
                </w:p>
              </w:tc>
              <w:tc>
                <w:tcPr>
                  <w:tcW w:w="1604" w:type="dxa"/>
                  <w:tcBorders>
                    <w:top w:val="single" w:color="auto" w:sz="6" w:space="0"/>
                    <w:left w:val="single" w:color="auto" w:sz="6" w:space="0"/>
                    <w:bottom w:val="single" w:color="auto" w:sz="6" w:space="0"/>
                    <w:right w:val="single" w:color="auto" w:sz="6" w:space="0"/>
                  </w:tcBorders>
                  <w:shd w:val="clear" w:color="auto" w:fill="auto"/>
                  <w:noWrap/>
                  <w:vAlign w:val="center"/>
                </w:tcPr>
                <w:p w14:paraId="2C9AD574">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olor w:val="auto"/>
                      <w:sz w:val="21"/>
                      <w:szCs w:val="21"/>
                      <w:lang w:val="en-US" w:eastAsia="zh-CN"/>
                    </w:rPr>
                    <w:t>压烫机</w:t>
                  </w:r>
                </w:p>
              </w:tc>
              <w:tc>
                <w:tcPr>
                  <w:tcW w:w="1964" w:type="dxa"/>
                  <w:tcBorders>
                    <w:top w:val="single" w:color="auto" w:sz="6" w:space="0"/>
                    <w:left w:val="single" w:color="auto" w:sz="6" w:space="0"/>
                    <w:bottom w:val="single" w:color="auto" w:sz="6" w:space="0"/>
                    <w:right w:val="single" w:color="auto" w:sz="6" w:space="0"/>
                  </w:tcBorders>
                  <w:shd w:val="clear" w:color="auto" w:fill="auto"/>
                  <w:noWrap/>
                  <w:vAlign w:val="center"/>
                </w:tcPr>
                <w:p w14:paraId="412983C3">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w:t>
                  </w:r>
                </w:p>
              </w:tc>
              <w:tc>
                <w:tcPr>
                  <w:tcW w:w="1377" w:type="dxa"/>
                  <w:tcBorders>
                    <w:top w:val="single" w:color="auto" w:sz="6" w:space="0"/>
                    <w:left w:val="single" w:color="auto" w:sz="6" w:space="0"/>
                    <w:bottom w:val="single" w:color="auto" w:sz="6" w:space="0"/>
                    <w:right w:val="single" w:color="auto" w:sz="6" w:space="0"/>
                  </w:tcBorders>
                  <w:shd w:val="clear" w:color="auto" w:fill="auto"/>
                  <w:noWrap/>
                  <w:vAlign w:val="center"/>
                </w:tcPr>
                <w:p w14:paraId="12ACE38B">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1</w:t>
                  </w:r>
                </w:p>
              </w:tc>
              <w:tc>
                <w:tcPr>
                  <w:tcW w:w="1359" w:type="dxa"/>
                  <w:tcBorders>
                    <w:top w:val="single" w:color="auto" w:sz="6" w:space="0"/>
                    <w:left w:val="single" w:color="auto" w:sz="6" w:space="0"/>
                    <w:bottom w:val="single" w:color="auto" w:sz="6" w:space="0"/>
                    <w:right w:val="single" w:color="auto" w:sz="6" w:space="0"/>
                  </w:tcBorders>
                  <w:shd w:val="clear" w:color="auto" w:fill="auto"/>
                  <w:noWrap/>
                  <w:vAlign w:val="center"/>
                </w:tcPr>
                <w:p w14:paraId="15C84D76">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台</w:t>
                  </w:r>
                </w:p>
              </w:tc>
              <w:tc>
                <w:tcPr>
                  <w:tcW w:w="1391" w:type="dxa"/>
                  <w:tcBorders>
                    <w:top w:val="single" w:color="auto" w:sz="6" w:space="0"/>
                    <w:left w:val="single" w:color="auto" w:sz="6" w:space="0"/>
                    <w:bottom w:val="single" w:color="auto" w:sz="6" w:space="0"/>
                    <w:right w:val="nil"/>
                  </w:tcBorders>
                  <w:shd w:val="clear" w:color="auto" w:fill="auto"/>
                  <w:noWrap/>
                  <w:vAlign w:val="center"/>
                </w:tcPr>
                <w:p w14:paraId="291107F8">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p>
              </w:tc>
            </w:tr>
            <w:tr w14:paraId="105E7164">
              <w:tblPrEx>
                <w:tblCellMar>
                  <w:top w:w="0" w:type="dxa"/>
                  <w:left w:w="108" w:type="dxa"/>
                  <w:bottom w:w="0" w:type="dxa"/>
                  <w:right w:w="108" w:type="dxa"/>
                </w:tblCellMar>
              </w:tblPrEx>
              <w:trPr>
                <w:trHeight w:val="280" w:hRule="atLeast"/>
              </w:trPr>
              <w:tc>
                <w:tcPr>
                  <w:tcW w:w="704" w:type="dxa"/>
                  <w:tcBorders>
                    <w:top w:val="single" w:color="auto" w:sz="6" w:space="0"/>
                    <w:left w:val="nil"/>
                    <w:bottom w:val="single" w:color="auto" w:sz="6" w:space="0"/>
                    <w:right w:val="single" w:color="auto" w:sz="6" w:space="0"/>
                  </w:tcBorders>
                  <w:shd w:val="clear" w:color="auto" w:fill="auto"/>
                  <w:noWrap/>
                  <w:vAlign w:val="center"/>
                </w:tcPr>
                <w:p w14:paraId="0C429B29">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olor w:val="auto"/>
                      <w:sz w:val="21"/>
                      <w:szCs w:val="21"/>
                      <w:u w:val="none"/>
                    </w:rPr>
                    <w:t>10</w:t>
                  </w:r>
                </w:p>
              </w:tc>
              <w:tc>
                <w:tcPr>
                  <w:tcW w:w="1604" w:type="dxa"/>
                  <w:tcBorders>
                    <w:top w:val="single" w:color="auto" w:sz="6" w:space="0"/>
                    <w:left w:val="single" w:color="auto" w:sz="6" w:space="0"/>
                    <w:bottom w:val="single" w:color="auto" w:sz="6" w:space="0"/>
                    <w:right w:val="single" w:color="auto" w:sz="6" w:space="0"/>
                  </w:tcBorders>
                  <w:shd w:val="clear" w:color="auto" w:fill="auto"/>
                  <w:noWrap/>
                  <w:vAlign w:val="center"/>
                </w:tcPr>
                <w:p w14:paraId="4940CCE7">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丝网印花线</w:t>
                  </w:r>
                </w:p>
              </w:tc>
              <w:tc>
                <w:tcPr>
                  <w:tcW w:w="1964" w:type="dxa"/>
                  <w:tcBorders>
                    <w:top w:val="single" w:color="auto" w:sz="6" w:space="0"/>
                    <w:left w:val="single" w:color="auto" w:sz="6" w:space="0"/>
                    <w:bottom w:val="single" w:color="auto" w:sz="6" w:space="0"/>
                    <w:right w:val="single" w:color="auto" w:sz="6" w:space="0"/>
                  </w:tcBorders>
                  <w:shd w:val="clear" w:color="auto" w:fill="auto"/>
                  <w:noWrap/>
                  <w:vAlign w:val="center"/>
                </w:tcPr>
                <w:p w14:paraId="48993061">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color w:val="auto"/>
                      <w:sz w:val="21"/>
                      <w:szCs w:val="21"/>
                      <w:lang w:val="en-US" w:eastAsia="zh-CN"/>
                    </w:rPr>
                    <w:t>/</w:t>
                  </w:r>
                </w:p>
              </w:tc>
              <w:tc>
                <w:tcPr>
                  <w:tcW w:w="1377" w:type="dxa"/>
                  <w:tcBorders>
                    <w:top w:val="single" w:color="auto" w:sz="6" w:space="0"/>
                    <w:left w:val="single" w:color="auto" w:sz="6" w:space="0"/>
                    <w:bottom w:val="single" w:color="auto" w:sz="6" w:space="0"/>
                    <w:right w:val="single" w:color="auto" w:sz="6" w:space="0"/>
                  </w:tcBorders>
                  <w:shd w:val="clear" w:color="auto" w:fill="auto"/>
                  <w:noWrap/>
                  <w:vAlign w:val="center"/>
                </w:tcPr>
                <w:p w14:paraId="56AB8825">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lang w:val="en-US" w:eastAsia="zh-CN"/>
                    </w:rPr>
                  </w:pPr>
                  <w:r>
                    <w:rPr>
                      <w:rFonts w:hint="eastAsia"/>
                      <w:color w:val="auto"/>
                      <w:sz w:val="21"/>
                      <w:szCs w:val="21"/>
                      <w:lang w:val="en-US" w:eastAsia="zh-CN"/>
                    </w:rPr>
                    <w:t>1</w:t>
                  </w:r>
                </w:p>
              </w:tc>
              <w:tc>
                <w:tcPr>
                  <w:tcW w:w="1359" w:type="dxa"/>
                  <w:tcBorders>
                    <w:top w:val="single" w:color="auto" w:sz="6" w:space="0"/>
                    <w:left w:val="single" w:color="auto" w:sz="6" w:space="0"/>
                    <w:bottom w:val="single" w:color="auto" w:sz="6" w:space="0"/>
                    <w:right w:val="single" w:color="auto" w:sz="6" w:space="0"/>
                  </w:tcBorders>
                  <w:shd w:val="clear" w:color="auto" w:fill="auto"/>
                  <w:noWrap/>
                  <w:vAlign w:val="center"/>
                </w:tcPr>
                <w:p w14:paraId="21098DE6">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条</w:t>
                  </w:r>
                </w:p>
              </w:tc>
              <w:tc>
                <w:tcPr>
                  <w:tcW w:w="1391" w:type="dxa"/>
                  <w:tcBorders>
                    <w:top w:val="single" w:color="auto" w:sz="6" w:space="0"/>
                    <w:left w:val="single" w:color="auto" w:sz="6" w:space="0"/>
                    <w:bottom w:val="single" w:color="auto" w:sz="6" w:space="0"/>
                    <w:right w:val="nil"/>
                  </w:tcBorders>
                  <w:shd w:val="clear" w:color="auto" w:fill="auto"/>
                  <w:noWrap/>
                  <w:vAlign w:val="center"/>
                </w:tcPr>
                <w:p w14:paraId="115F9FCE">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p>
              </w:tc>
            </w:tr>
            <w:tr w14:paraId="48A1FFAF">
              <w:tblPrEx>
                <w:tblCellMar>
                  <w:top w:w="0" w:type="dxa"/>
                  <w:left w:w="108" w:type="dxa"/>
                  <w:bottom w:w="0" w:type="dxa"/>
                  <w:right w:w="108" w:type="dxa"/>
                </w:tblCellMar>
              </w:tblPrEx>
              <w:trPr>
                <w:trHeight w:val="280" w:hRule="atLeast"/>
              </w:trPr>
              <w:tc>
                <w:tcPr>
                  <w:tcW w:w="8399" w:type="dxa"/>
                  <w:gridSpan w:val="6"/>
                  <w:tcBorders>
                    <w:top w:val="single" w:color="auto" w:sz="6" w:space="0"/>
                    <w:left w:val="nil"/>
                    <w:bottom w:val="single" w:color="auto" w:sz="6" w:space="0"/>
                    <w:right w:val="nil"/>
                  </w:tcBorders>
                  <w:shd w:val="clear" w:color="auto" w:fill="auto"/>
                  <w:noWrap/>
                  <w:vAlign w:val="center"/>
                </w:tcPr>
                <w:p w14:paraId="5B8E5DED">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olor w:val="auto"/>
                      <w:sz w:val="21"/>
                      <w:szCs w:val="21"/>
                      <w:lang w:val="en-US" w:eastAsia="zh-CN"/>
                    </w:rPr>
                  </w:pPr>
                  <w:r>
                    <w:rPr>
                      <w:rFonts w:hint="eastAsia" w:cs="宋体"/>
                      <w:color w:val="auto"/>
                      <w:sz w:val="21"/>
                      <w:szCs w:val="21"/>
                      <w:highlight w:val="none"/>
                      <w:lang w:val="en-US" w:eastAsia="zh-CN"/>
                    </w:rPr>
                    <w:t>皮鞋、高跟鞋、PVC注塑鞋生产线</w:t>
                  </w:r>
                </w:p>
              </w:tc>
            </w:tr>
            <w:tr w14:paraId="4CF46B2A">
              <w:tblPrEx>
                <w:tblCellMar>
                  <w:top w:w="0" w:type="dxa"/>
                  <w:left w:w="108" w:type="dxa"/>
                  <w:bottom w:w="0" w:type="dxa"/>
                  <w:right w:w="108" w:type="dxa"/>
                </w:tblCellMar>
              </w:tblPrEx>
              <w:trPr>
                <w:trHeight w:val="280" w:hRule="atLeast"/>
              </w:trPr>
              <w:tc>
                <w:tcPr>
                  <w:tcW w:w="704" w:type="dxa"/>
                  <w:tcBorders>
                    <w:top w:val="single" w:color="auto" w:sz="6" w:space="0"/>
                    <w:left w:val="nil"/>
                    <w:bottom w:val="single" w:color="auto" w:sz="6" w:space="0"/>
                    <w:right w:val="single" w:color="auto" w:sz="6" w:space="0"/>
                  </w:tcBorders>
                  <w:shd w:val="clear" w:color="auto" w:fill="auto"/>
                  <w:noWrap/>
                  <w:vAlign w:val="center"/>
                </w:tcPr>
                <w:p w14:paraId="3C2C22B9">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olor w:val="auto"/>
                      <w:sz w:val="21"/>
                      <w:szCs w:val="21"/>
                      <w:u w:val="none"/>
                    </w:rPr>
                    <w:t>11</w:t>
                  </w:r>
                </w:p>
              </w:tc>
              <w:tc>
                <w:tcPr>
                  <w:tcW w:w="1604" w:type="dxa"/>
                  <w:tcBorders>
                    <w:top w:val="single" w:color="auto" w:sz="6" w:space="0"/>
                    <w:left w:val="single" w:color="auto" w:sz="6" w:space="0"/>
                    <w:bottom w:val="single" w:color="auto" w:sz="6" w:space="0"/>
                    <w:right w:val="single" w:color="auto" w:sz="6" w:space="0"/>
                  </w:tcBorders>
                  <w:noWrap/>
                  <w:vAlign w:val="center"/>
                </w:tcPr>
                <w:p w14:paraId="13EB6D85">
                  <w:pPr>
                    <w:keepNext w:val="0"/>
                    <w:keepLines w:val="0"/>
                    <w:suppressLineNumbers w:val="0"/>
                    <w:kinsoku/>
                    <w:overflowPunct w:val="0"/>
                    <w:spacing w:before="0" w:beforeAutospacing="0" w:after="0" w:afterAutospacing="0" w:line="260" w:lineRule="exact"/>
                    <w:ind w:left="21" w:leftChars="10" w:right="0"/>
                    <w:jc w:val="center"/>
                    <w:rPr>
                      <w:rFonts w:hint="eastAsia" w:ascii="Times New Roman" w:hAnsi="Times New Roman" w:eastAsia="宋体"/>
                      <w:color w:val="auto"/>
                      <w:sz w:val="21"/>
                      <w:szCs w:val="21"/>
                      <w:u w:val="none"/>
                    </w:rPr>
                  </w:pPr>
                  <w:r>
                    <w:rPr>
                      <w:rFonts w:hint="eastAsia" w:ascii="Times New Roman" w:hAnsi="Times New Roman" w:eastAsia="宋体"/>
                      <w:color w:val="auto"/>
                      <w:sz w:val="21"/>
                      <w:u w:val="none"/>
                    </w:rPr>
                    <w:t>针车</w:t>
                  </w:r>
                </w:p>
              </w:tc>
              <w:tc>
                <w:tcPr>
                  <w:tcW w:w="1964" w:type="dxa"/>
                  <w:tcBorders>
                    <w:top w:val="single" w:color="auto" w:sz="6" w:space="0"/>
                    <w:left w:val="single" w:color="auto" w:sz="6" w:space="0"/>
                    <w:bottom w:val="single" w:color="auto" w:sz="6" w:space="0"/>
                    <w:right w:val="single" w:color="auto" w:sz="6" w:space="0"/>
                  </w:tcBorders>
                  <w:noWrap/>
                  <w:vAlign w:val="center"/>
                </w:tcPr>
                <w:p w14:paraId="4CB67058">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u w:val="none"/>
                    </w:rPr>
                  </w:pPr>
                  <w:r>
                    <w:rPr>
                      <w:rFonts w:hint="eastAsia" w:ascii="Times New Roman" w:hAnsi="Times New Roman" w:eastAsia="宋体"/>
                      <w:color w:val="auto"/>
                      <w:sz w:val="21"/>
                      <w:szCs w:val="21"/>
                      <w:u w:val="none"/>
                    </w:rPr>
                    <w:t>/</w:t>
                  </w:r>
                </w:p>
              </w:tc>
              <w:tc>
                <w:tcPr>
                  <w:tcW w:w="1377" w:type="dxa"/>
                  <w:tcBorders>
                    <w:top w:val="single" w:color="auto" w:sz="6" w:space="0"/>
                    <w:left w:val="single" w:color="auto" w:sz="6" w:space="0"/>
                    <w:bottom w:val="single" w:color="auto" w:sz="6" w:space="0"/>
                    <w:right w:val="single" w:color="auto" w:sz="6" w:space="0"/>
                  </w:tcBorders>
                  <w:noWrap/>
                  <w:vAlign w:val="center"/>
                </w:tcPr>
                <w:p w14:paraId="1A2D4856">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olor w:val="auto"/>
                      <w:sz w:val="21"/>
                      <w:szCs w:val="21"/>
                      <w:u w:val="none"/>
                      <w:lang w:val="en-US" w:eastAsia="zh-CN"/>
                    </w:rPr>
                  </w:pPr>
                  <w:r>
                    <w:rPr>
                      <w:rFonts w:hint="eastAsia" w:ascii="Times New Roman" w:hAnsi="Times New Roman" w:eastAsia="宋体"/>
                      <w:color w:val="auto"/>
                      <w:sz w:val="21"/>
                      <w:szCs w:val="21"/>
                      <w:u w:val="none"/>
                      <w:lang w:val="en-US" w:eastAsia="zh-CN"/>
                    </w:rPr>
                    <w:t>60</w:t>
                  </w:r>
                </w:p>
              </w:tc>
              <w:tc>
                <w:tcPr>
                  <w:tcW w:w="1359" w:type="dxa"/>
                  <w:tcBorders>
                    <w:top w:val="single" w:color="auto" w:sz="6" w:space="0"/>
                    <w:left w:val="single" w:color="auto" w:sz="6" w:space="0"/>
                    <w:bottom w:val="single" w:color="auto" w:sz="6" w:space="0"/>
                    <w:right w:val="single" w:color="auto" w:sz="6" w:space="0"/>
                  </w:tcBorders>
                  <w:noWrap/>
                  <w:vAlign w:val="center"/>
                </w:tcPr>
                <w:p w14:paraId="22F8F466">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u w:val="none"/>
                    </w:rPr>
                  </w:pPr>
                  <w:r>
                    <w:rPr>
                      <w:rFonts w:hint="eastAsia" w:ascii="Times New Roman" w:hAnsi="Times New Roman" w:eastAsia="宋体"/>
                      <w:color w:val="auto"/>
                      <w:sz w:val="21"/>
                      <w:szCs w:val="21"/>
                      <w:u w:val="none"/>
                    </w:rPr>
                    <w:t>台</w:t>
                  </w:r>
                </w:p>
              </w:tc>
              <w:tc>
                <w:tcPr>
                  <w:tcW w:w="1391" w:type="dxa"/>
                  <w:tcBorders>
                    <w:top w:val="single" w:color="auto" w:sz="6" w:space="0"/>
                    <w:left w:val="single" w:color="auto" w:sz="6" w:space="0"/>
                    <w:bottom w:val="single" w:color="auto" w:sz="6" w:space="0"/>
                    <w:right w:val="nil"/>
                  </w:tcBorders>
                  <w:noWrap/>
                  <w:vAlign w:val="center"/>
                </w:tcPr>
                <w:p w14:paraId="757D8A04">
                  <w:pPr>
                    <w:keepNext w:val="0"/>
                    <w:keepLines w:val="0"/>
                    <w:suppressLineNumbers w:val="0"/>
                    <w:kinsoku/>
                    <w:overflowPunct w:val="0"/>
                    <w:spacing w:before="0" w:beforeAutospacing="0" w:after="0" w:afterAutospacing="0" w:line="260" w:lineRule="exact"/>
                    <w:ind w:left="21" w:leftChars="10" w:right="0"/>
                    <w:jc w:val="center"/>
                    <w:rPr>
                      <w:rFonts w:hint="eastAsia" w:ascii="Times New Roman" w:hAnsi="Times New Roman" w:eastAsia="宋体"/>
                      <w:color w:val="auto"/>
                      <w:sz w:val="21"/>
                      <w:szCs w:val="21"/>
                      <w:u w:val="none"/>
                    </w:rPr>
                  </w:pPr>
                  <w:r>
                    <w:rPr>
                      <w:rFonts w:hint="eastAsia" w:ascii="Times New Roman" w:hAnsi="Times New Roman" w:eastAsia="宋体"/>
                      <w:color w:val="auto"/>
                      <w:sz w:val="21"/>
                      <w:u w:val="none"/>
                    </w:rPr>
                    <w:t>针车</w:t>
                  </w:r>
                </w:p>
              </w:tc>
            </w:tr>
            <w:tr w14:paraId="607C28E2">
              <w:tblPrEx>
                <w:tblCellMar>
                  <w:top w:w="0" w:type="dxa"/>
                  <w:left w:w="108" w:type="dxa"/>
                  <w:bottom w:w="0" w:type="dxa"/>
                  <w:right w:w="108" w:type="dxa"/>
                </w:tblCellMar>
              </w:tblPrEx>
              <w:trPr>
                <w:trHeight w:val="280" w:hRule="atLeast"/>
              </w:trPr>
              <w:tc>
                <w:tcPr>
                  <w:tcW w:w="704" w:type="dxa"/>
                  <w:tcBorders>
                    <w:top w:val="single" w:color="auto" w:sz="6" w:space="0"/>
                    <w:left w:val="nil"/>
                    <w:bottom w:val="single" w:color="auto" w:sz="6" w:space="0"/>
                    <w:right w:val="single" w:color="auto" w:sz="6" w:space="0"/>
                  </w:tcBorders>
                  <w:shd w:val="clear" w:color="auto" w:fill="auto"/>
                  <w:noWrap/>
                  <w:vAlign w:val="center"/>
                </w:tcPr>
                <w:p w14:paraId="7AB5F606">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olor w:val="auto"/>
                      <w:sz w:val="21"/>
                      <w:szCs w:val="21"/>
                      <w:u w:val="none"/>
                    </w:rPr>
                    <w:t>12</w:t>
                  </w:r>
                </w:p>
              </w:tc>
              <w:tc>
                <w:tcPr>
                  <w:tcW w:w="1604" w:type="dxa"/>
                  <w:tcBorders>
                    <w:top w:val="single" w:color="auto" w:sz="6" w:space="0"/>
                    <w:left w:val="single" w:color="auto" w:sz="6" w:space="0"/>
                    <w:bottom w:val="single" w:color="auto" w:sz="6" w:space="0"/>
                    <w:right w:val="single" w:color="auto" w:sz="6" w:space="0"/>
                  </w:tcBorders>
                  <w:shd w:val="clear" w:color="auto" w:fill="auto"/>
                  <w:noWrap/>
                  <w:vAlign w:val="center"/>
                </w:tcPr>
                <w:p w14:paraId="79D4C1C9">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olor w:val="auto"/>
                      <w:sz w:val="21"/>
                      <w:szCs w:val="21"/>
                    </w:rPr>
                    <w:t>电子花样机</w:t>
                  </w:r>
                </w:p>
              </w:tc>
              <w:tc>
                <w:tcPr>
                  <w:tcW w:w="1964" w:type="dxa"/>
                  <w:tcBorders>
                    <w:top w:val="single" w:color="auto" w:sz="6" w:space="0"/>
                    <w:left w:val="single" w:color="auto" w:sz="6" w:space="0"/>
                    <w:bottom w:val="single" w:color="auto" w:sz="6" w:space="0"/>
                    <w:right w:val="single" w:color="auto" w:sz="6" w:space="0"/>
                  </w:tcBorders>
                  <w:shd w:val="clear" w:color="auto" w:fill="auto"/>
                  <w:noWrap/>
                  <w:vAlign w:val="center"/>
                </w:tcPr>
                <w:p w14:paraId="70CC7F8D">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olor w:val="auto"/>
                      <w:sz w:val="21"/>
                      <w:szCs w:val="21"/>
                    </w:rPr>
                    <w:t>TTY-J3020L</w:t>
                  </w:r>
                </w:p>
              </w:tc>
              <w:tc>
                <w:tcPr>
                  <w:tcW w:w="1377" w:type="dxa"/>
                  <w:tcBorders>
                    <w:top w:val="single" w:color="auto" w:sz="6" w:space="0"/>
                    <w:left w:val="single" w:color="auto" w:sz="6" w:space="0"/>
                    <w:bottom w:val="single" w:color="auto" w:sz="6" w:space="0"/>
                    <w:right w:val="single" w:color="auto" w:sz="6" w:space="0"/>
                  </w:tcBorders>
                  <w:shd w:val="clear" w:color="auto" w:fill="auto"/>
                  <w:noWrap/>
                  <w:vAlign w:val="center"/>
                </w:tcPr>
                <w:p w14:paraId="178BE221">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olor w:val="auto"/>
                      <w:sz w:val="21"/>
                      <w:szCs w:val="21"/>
                      <w:lang w:val="en-US" w:eastAsia="zh-CN"/>
                    </w:rPr>
                    <w:t>60</w:t>
                  </w:r>
                </w:p>
              </w:tc>
              <w:tc>
                <w:tcPr>
                  <w:tcW w:w="1359" w:type="dxa"/>
                  <w:tcBorders>
                    <w:top w:val="single" w:color="auto" w:sz="6" w:space="0"/>
                    <w:left w:val="single" w:color="auto" w:sz="6" w:space="0"/>
                    <w:bottom w:val="single" w:color="auto" w:sz="6" w:space="0"/>
                    <w:right w:val="single" w:color="auto" w:sz="6" w:space="0"/>
                  </w:tcBorders>
                  <w:noWrap/>
                  <w:vAlign w:val="center"/>
                </w:tcPr>
                <w:p w14:paraId="41393909">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u w:val="none"/>
                    </w:rPr>
                  </w:pPr>
                  <w:r>
                    <w:rPr>
                      <w:rFonts w:hint="eastAsia" w:ascii="Times New Roman" w:hAnsi="Times New Roman" w:eastAsia="宋体"/>
                      <w:color w:val="auto"/>
                      <w:sz w:val="21"/>
                      <w:szCs w:val="21"/>
                      <w:u w:val="none"/>
                    </w:rPr>
                    <w:t>台</w:t>
                  </w:r>
                </w:p>
              </w:tc>
              <w:tc>
                <w:tcPr>
                  <w:tcW w:w="1391" w:type="dxa"/>
                  <w:tcBorders>
                    <w:top w:val="single" w:color="auto" w:sz="6" w:space="0"/>
                    <w:left w:val="single" w:color="auto" w:sz="6" w:space="0"/>
                    <w:bottom w:val="single" w:color="auto" w:sz="6" w:space="0"/>
                    <w:right w:val="nil"/>
                  </w:tcBorders>
                  <w:noWrap/>
                  <w:vAlign w:val="center"/>
                </w:tcPr>
                <w:p w14:paraId="3010B364">
                  <w:pPr>
                    <w:keepNext w:val="0"/>
                    <w:keepLines w:val="0"/>
                    <w:suppressLineNumbers w:val="0"/>
                    <w:kinsoku/>
                    <w:overflowPunct w:val="0"/>
                    <w:spacing w:before="0" w:beforeAutospacing="0" w:after="0" w:afterAutospacing="0" w:line="260" w:lineRule="exact"/>
                    <w:ind w:left="21" w:leftChars="10" w:right="0"/>
                    <w:jc w:val="center"/>
                    <w:rPr>
                      <w:rFonts w:hint="default" w:ascii="Times New Roman" w:hAnsi="Times New Roman" w:eastAsia="宋体"/>
                      <w:color w:val="auto"/>
                      <w:sz w:val="21"/>
                      <w:u w:val="none"/>
                      <w:lang w:val="en-US" w:eastAsia="zh-CN"/>
                    </w:rPr>
                  </w:pPr>
                  <w:r>
                    <w:rPr>
                      <w:rFonts w:hint="eastAsia" w:ascii="Times New Roman" w:hAnsi="Times New Roman" w:eastAsia="宋体"/>
                      <w:color w:val="auto"/>
                      <w:sz w:val="21"/>
                      <w:u w:val="none"/>
                      <w:lang w:val="en-US" w:eastAsia="zh-CN"/>
                    </w:rPr>
                    <w:t>缝制</w:t>
                  </w:r>
                </w:p>
              </w:tc>
            </w:tr>
            <w:tr w14:paraId="151FBF0C">
              <w:tblPrEx>
                <w:tblCellMar>
                  <w:top w:w="0" w:type="dxa"/>
                  <w:left w:w="108" w:type="dxa"/>
                  <w:bottom w:w="0" w:type="dxa"/>
                  <w:right w:w="108" w:type="dxa"/>
                </w:tblCellMar>
              </w:tblPrEx>
              <w:trPr>
                <w:trHeight w:val="280" w:hRule="atLeast"/>
              </w:trPr>
              <w:tc>
                <w:tcPr>
                  <w:tcW w:w="704" w:type="dxa"/>
                  <w:tcBorders>
                    <w:top w:val="single" w:color="auto" w:sz="6" w:space="0"/>
                    <w:left w:val="nil"/>
                    <w:bottom w:val="single" w:color="auto" w:sz="6" w:space="0"/>
                    <w:right w:val="single" w:color="auto" w:sz="6" w:space="0"/>
                  </w:tcBorders>
                  <w:shd w:val="clear" w:color="auto" w:fill="auto"/>
                  <w:noWrap/>
                  <w:vAlign w:val="center"/>
                </w:tcPr>
                <w:p w14:paraId="55715BC3">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olor w:val="auto"/>
                      <w:sz w:val="21"/>
                      <w:szCs w:val="21"/>
                    </w:rPr>
                    <w:t>13</w:t>
                  </w:r>
                </w:p>
              </w:tc>
              <w:tc>
                <w:tcPr>
                  <w:tcW w:w="1604" w:type="dxa"/>
                  <w:tcBorders>
                    <w:top w:val="single" w:color="auto" w:sz="6" w:space="0"/>
                    <w:left w:val="single" w:color="auto" w:sz="6" w:space="0"/>
                    <w:bottom w:val="single" w:color="auto" w:sz="6" w:space="0"/>
                    <w:right w:val="single" w:color="auto" w:sz="6" w:space="0"/>
                  </w:tcBorders>
                  <w:noWrap/>
                  <w:vAlign w:val="center"/>
                </w:tcPr>
                <w:p w14:paraId="63D3D519">
                  <w:pPr>
                    <w:keepNext w:val="0"/>
                    <w:keepLines w:val="0"/>
                    <w:suppressLineNumbers w:val="0"/>
                    <w:kinsoku/>
                    <w:overflowPunct w:val="0"/>
                    <w:spacing w:before="0" w:beforeAutospacing="0" w:after="0" w:afterAutospacing="0" w:line="260" w:lineRule="exact"/>
                    <w:ind w:left="21" w:leftChars="10" w:right="0"/>
                    <w:jc w:val="center"/>
                    <w:rPr>
                      <w:rFonts w:hint="eastAsia" w:ascii="Times New Roman" w:hAnsi="Times New Roman" w:eastAsia="宋体"/>
                      <w:color w:val="auto"/>
                      <w:sz w:val="21"/>
                      <w:szCs w:val="21"/>
                      <w:u w:val="none"/>
                    </w:rPr>
                  </w:pPr>
                  <w:r>
                    <w:rPr>
                      <w:rFonts w:hint="eastAsia" w:ascii="Times New Roman" w:hAnsi="Times New Roman" w:eastAsia="宋体"/>
                      <w:color w:val="auto"/>
                      <w:sz w:val="21"/>
                      <w:u w:val="none"/>
                    </w:rPr>
                    <w:t>拉邦机</w:t>
                  </w:r>
                </w:p>
              </w:tc>
              <w:tc>
                <w:tcPr>
                  <w:tcW w:w="1964" w:type="dxa"/>
                  <w:tcBorders>
                    <w:top w:val="single" w:color="auto" w:sz="6" w:space="0"/>
                    <w:left w:val="single" w:color="auto" w:sz="6" w:space="0"/>
                    <w:bottom w:val="single" w:color="auto" w:sz="6" w:space="0"/>
                    <w:right w:val="single" w:color="auto" w:sz="6" w:space="0"/>
                  </w:tcBorders>
                  <w:noWrap/>
                  <w:vAlign w:val="center"/>
                </w:tcPr>
                <w:p w14:paraId="75E6C1F8">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u w:val="none"/>
                    </w:rPr>
                  </w:pPr>
                  <w:r>
                    <w:rPr>
                      <w:rFonts w:hint="eastAsia" w:ascii="Times New Roman" w:hAnsi="Times New Roman" w:eastAsia="宋体"/>
                      <w:color w:val="auto"/>
                      <w:sz w:val="21"/>
                      <w:szCs w:val="21"/>
                      <w:u w:val="none"/>
                    </w:rPr>
                    <w:t>/</w:t>
                  </w:r>
                </w:p>
              </w:tc>
              <w:tc>
                <w:tcPr>
                  <w:tcW w:w="1377" w:type="dxa"/>
                  <w:tcBorders>
                    <w:top w:val="single" w:color="auto" w:sz="6" w:space="0"/>
                    <w:left w:val="single" w:color="auto" w:sz="6" w:space="0"/>
                    <w:bottom w:val="single" w:color="auto" w:sz="6" w:space="0"/>
                    <w:right w:val="single" w:color="auto" w:sz="6" w:space="0"/>
                  </w:tcBorders>
                  <w:noWrap/>
                  <w:vAlign w:val="center"/>
                </w:tcPr>
                <w:p w14:paraId="69297088">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olor w:val="auto"/>
                      <w:sz w:val="21"/>
                      <w:szCs w:val="21"/>
                      <w:u w:val="none"/>
                      <w:lang w:val="en-US" w:eastAsia="zh-CN"/>
                    </w:rPr>
                  </w:pPr>
                  <w:r>
                    <w:rPr>
                      <w:rFonts w:hint="eastAsia" w:ascii="Times New Roman" w:hAnsi="Times New Roman" w:eastAsia="宋体"/>
                      <w:color w:val="auto"/>
                      <w:sz w:val="21"/>
                      <w:szCs w:val="21"/>
                      <w:u w:val="none"/>
                      <w:lang w:val="en-US" w:eastAsia="zh-CN"/>
                    </w:rPr>
                    <w:t>12</w:t>
                  </w:r>
                </w:p>
              </w:tc>
              <w:tc>
                <w:tcPr>
                  <w:tcW w:w="1359" w:type="dxa"/>
                  <w:tcBorders>
                    <w:top w:val="single" w:color="auto" w:sz="6" w:space="0"/>
                    <w:left w:val="single" w:color="auto" w:sz="6" w:space="0"/>
                    <w:bottom w:val="single" w:color="auto" w:sz="6" w:space="0"/>
                    <w:right w:val="single" w:color="auto" w:sz="6" w:space="0"/>
                  </w:tcBorders>
                  <w:noWrap/>
                  <w:vAlign w:val="center"/>
                </w:tcPr>
                <w:p w14:paraId="5B61F1DA">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u w:val="none"/>
                    </w:rPr>
                  </w:pPr>
                  <w:r>
                    <w:rPr>
                      <w:rFonts w:hint="eastAsia" w:ascii="Times New Roman" w:hAnsi="Times New Roman" w:eastAsia="宋体"/>
                      <w:color w:val="auto"/>
                      <w:sz w:val="21"/>
                      <w:szCs w:val="21"/>
                      <w:u w:val="none"/>
                    </w:rPr>
                    <w:t>台</w:t>
                  </w:r>
                </w:p>
              </w:tc>
              <w:tc>
                <w:tcPr>
                  <w:tcW w:w="1391" w:type="dxa"/>
                  <w:tcBorders>
                    <w:top w:val="single" w:color="auto" w:sz="6" w:space="0"/>
                    <w:left w:val="single" w:color="auto" w:sz="6" w:space="0"/>
                    <w:bottom w:val="single" w:color="auto" w:sz="6" w:space="0"/>
                    <w:right w:val="nil"/>
                  </w:tcBorders>
                  <w:noWrap/>
                  <w:vAlign w:val="center"/>
                </w:tcPr>
                <w:p w14:paraId="52579213">
                  <w:pPr>
                    <w:keepNext w:val="0"/>
                    <w:keepLines w:val="0"/>
                    <w:suppressLineNumbers w:val="0"/>
                    <w:kinsoku/>
                    <w:overflowPunct w:val="0"/>
                    <w:spacing w:before="0" w:beforeAutospacing="0" w:after="0" w:afterAutospacing="0" w:line="260" w:lineRule="exact"/>
                    <w:ind w:left="21" w:leftChars="10" w:right="0"/>
                    <w:jc w:val="center"/>
                    <w:rPr>
                      <w:rFonts w:hint="eastAsia" w:ascii="Times New Roman" w:hAnsi="Times New Roman" w:eastAsia="宋体"/>
                      <w:color w:val="auto"/>
                      <w:sz w:val="21"/>
                      <w:szCs w:val="21"/>
                      <w:u w:val="none"/>
                    </w:rPr>
                  </w:pPr>
                  <w:r>
                    <w:rPr>
                      <w:rFonts w:hint="eastAsia" w:ascii="Times New Roman" w:hAnsi="Times New Roman" w:eastAsia="宋体"/>
                      <w:color w:val="auto"/>
                      <w:sz w:val="21"/>
                      <w:u w:val="none"/>
                    </w:rPr>
                    <w:t>拉邦</w:t>
                  </w:r>
                </w:p>
              </w:tc>
            </w:tr>
            <w:tr w14:paraId="6848B065">
              <w:tblPrEx>
                <w:tblCellMar>
                  <w:top w:w="0" w:type="dxa"/>
                  <w:left w:w="108" w:type="dxa"/>
                  <w:bottom w:w="0" w:type="dxa"/>
                  <w:right w:w="108" w:type="dxa"/>
                </w:tblCellMar>
              </w:tblPrEx>
              <w:trPr>
                <w:trHeight w:val="280" w:hRule="atLeast"/>
              </w:trPr>
              <w:tc>
                <w:tcPr>
                  <w:tcW w:w="704" w:type="dxa"/>
                  <w:tcBorders>
                    <w:top w:val="single" w:color="auto" w:sz="6" w:space="0"/>
                    <w:left w:val="nil"/>
                    <w:bottom w:val="single" w:color="auto" w:sz="6" w:space="0"/>
                    <w:right w:val="single" w:color="auto" w:sz="6" w:space="0"/>
                  </w:tcBorders>
                  <w:shd w:val="clear" w:color="auto" w:fill="auto"/>
                  <w:noWrap/>
                  <w:vAlign w:val="center"/>
                </w:tcPr>
                <w:p w14:paraId="5D1E47A8">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olor w:val="auto"/>
                      <w:sz w:val="21"/>
                      <w:szCs w:val="21"/>
                    </w:rPr>
                    <w:t>14</w:t>
                  </w:r>
                </w:p>
              </w:tc>
              <w:tc>
                <w:tcPr>
                  <w:tcW w:w="1604" w:type="dxa"/>
                  <w:tcBorders>
                    <w:top w:val="single" w:color="auto" w:sz="6" w:space="0"/>
                    <w:left w:val="single" w:color="auto" w:sz="6" w:space="0"/>
                    <w:bottom w:val="single" w:color="auto" w:sz="6" w:space="0"/>
                    <w:right w:val="single" w:color="auto" w:sz="6" w:space="0"/>
                  </w:tcBorders>
                  <w:noWrap/>
                  <w:vAlign w:val="center"/>
                </w:tcPr>
                <w:p w14:paraId="2B48C7F8">
                  <w:pPr>
                    <w:keepNext w:val="0"/>
                    <w:keepLines w:val="0"/>
                    <w:suppressLineNumbers w:val="0"/>
                    <w:kinsoku/>
                    <w:overflowPunct w:val="0"/>
                    <w:spacing w:before="0" w:beforeAutospacing="0" w:after="0" w:afterAutospacing="0" w:line="260" w:lineRule="exact"/>
                    <w:ind w:left="21" w:leftChars="10" w:right="0"/>
                    <w:jc w:val="center"/>
                    <w:rPr>
                      <w:rFonts w:hint="eastAsia" w:ascii="Times New Roman" w:hAnsi="Times New Roman" w:eastAsia="宋体"/>
                      <w:color w:val="auto"/>
                      <w:sz w:val="21"/>
                      <w:szCs w:val="21"/>
                      <w:u w:val="none"/>
                      <w:lang w:eastAsia="zh-CN"/>
                    </w:rPr>
                  </w:pPr>
                  <w:r>
                    <w:rPr>
                      <w:rFonts w:hint="eastAsia" w:ascii="Times New Roman" w:hAnsi="Times New Roman" w:eastAsia="宋体"/>
                      <w:color w:val="auto"/>
                      <w:sz w:val="21"/>
                      <w:u w:val="none"/>
                      <w:lang w:val="en-US" w:eastAsia="zh-CN"/>
                    </w:rPr>
                    <w:t>覆压机</w:t>
                  </w:r>
                </w:p>
              </w:tc>
              <w:tc>
                <w:tcPr>
                  <w:tcW w:w="1964" w:type="dxa"/>
                  <w:tcBorders>
                    <w:top w:val="single" w:color="auto" w:sz="6" w:space="0"/>
                    <w:left w:val="single" w:color="auto" w:sz="6" w:space="0"/>
                    <w:bottom w:val="single" w:color="auto" w:sz="6" w:space="0"/>
                    <w:right w:val="single" w:color="auto" w:sz="6" w:space="0"/>
                  </w:tcBorders>
                  <w:noWrap/>
                  <w:vAlign w:val="center"/>
                </w:tcPr>
                <w:p w14:paraId="286110C1">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u w:val="none"/>
                    </w:rPr>
                  </w:pPr>
                  <w:r>
                    <w:rPr>
                      <w:rFonts w:hint="eastAsia" w:ascii="Times New Roman" w:hAnsi="Times New Roman" w:eastAsia="宋体"/>
                      <w:color w:val="auto"/>
                      <w:sz w:val="21"/>
                      <w:szCs w:val="21"/>
                      <w:u w:val="none"/>
                    </w:rPr>
                    <w:t>/</w:t>
                  </w:r>
                </w:p>
              </w:tc>
              <w:tc>
                <w:tcPr>
                  <w:tcW w:w="1377" w:type="dxa"/>
                  <w:tcBorders>
                    <w:top w:val="single" w:color="auto" w:sz="6" w:space="0"/>
                    <w:left w:val="single" w:color="auto" w:sz="6" w:space="0"/>
                    <w:bottom w:val="single" w:color="auto" w:sz="6" w:space="0"/>
                    <w:right w:val="single" w:color="auto" w:sz="6" w:space="0"/>
                  </w:tcBorders>
                  <w:noWrap/>
                  <w:vAlign w:val="center"/>
                </w:tcPr>
                <w:p w14:paraId="41E258A5">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u w:val="none"/>
                      <w:lang w:val="en-US" w:eastAsia="zh-CN"/>
                    </w:rPr>
                  </w:pPr>
                  <w:r>
                    <w:rPr>
                      <w:rFonts w:hint="eastAsia" w:ascii="Times New Roman" w:hAnsi="Times New Roman" w:eastAsia="宋体"/>
                      <w:color w:val="auto"/>
                      <w:sz w:val="21"/>
                      <w:szCs w:val="21"/>
                      <w:u w:val="none"/>
                      <w:lang w:val="en-US" w:eastAsia="zh-CN"/>
                    </w:rPr>
                    <w:t>2</w:t>
                  </w:r>
                </w:p>
              </w:tc>
              <w:tc>
                <w:tcPr>
                  <w:tcW w:w="1359" w:type="dxa"/>
                  <w:tcBorders>
                    <w:top w:val="single" w:color="auto" w:sz="6" w:space="0"/>
                    <w:left w:val="single" w:color="auto" w:sz="6" w:space="0"/>
                    <w:bottom w:val="single" w:color="auto" w:sz="6" w:space="0"/>
                    <w:right w:val="single" w:color="auto" w:sz="6" w:space="0"/>
                  </w:tcBorders>
                  <w:noWrap/>
                  <w:vAlign w:val="center"/>
                </w:tcPr>
                <w:p w14:paraId="77E5996F">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u w:val="none"/>
                    </w:rPr>
                  </w:pPr>
                  <w:r>
                    <w:rPr>
                      <w:rFonts w:hint="eastAsia" w:ascii="Times New Roman" w:hAnsi="Times New Roman" w:eastAsia="宋体"/>
                      <w:color w:val="auto"/>
                      <w:sz w:val="21"/>
                      <w:szCs w:val="21"/>
                      <w:u w:val="none"/>
                    </w:rPr>
                    <w:t>台</w:t>
                  </w:r>
                </w:p>
              </w:tc>
              <w:tc>
                <w:tcPr>
                  <w:tcW w:w="1391" w:type="dxa"/>
                  <w:tcBorders>
                    <w:top w:val="single" w:color="auto" w:sz="6" w:space="0"/>
                    <w:left w:val="single" w:color="auto" w:sz="6" w:space="0"/>
                    <w:bottom w:val="single" w:color="auto" w:sz="6" w:space="0"/>
                    <w:right w:val="nil"/>
                  </w:tcBorders>
                  <w:noWrap/>
                  <w:vAlign w:val="center"/>
                </w:tcPr>
                <w:p w14:paraId="4539FB0F">
                  <w:pPr>
                    <w:keepNext w:val="0"/>
                    <w:keepLines w:val="0"/>
                    <w:suppressLineNumbers w:val="0"/>
                    <w:kinsoku/>
                    <w:overflowPunct w:val="0"/>
                    <w:spacing w:before="0" w:beforeAutospacing="0" w:after="0" w:afterAutospacing="0" w:line="260" w:lineRule="exact"/>
                    <w:ind w:left="21" w:leftChars="10" w:right="0"/>
                    <w:jc w:val="center"/>
                    <w:rPr>
                      <w:rFonts w:hint="eastAsia" w:ascii="Times New Roman" w:hAnsi="Times New Roman" w:eastAsia="宋体"/>
                      <w:color w:val="auto"/>
                      <w:sz w:val="21"/>
                      <w:szCs w:val="21"/>
                      <w:u w:val="none"/>
                    </w:rPr>
                  </w:pPr>
                  <w:r>
                    <w:rPr>
                      <w:rFonts w:hint="eastAsia" w:ascii="Times New Roman" w:hAnsi="Times New Roman" w:eastAsia="宋体"/>
                      <w:color w:val="auto"/>
                      <w:sz w:val="21"/>
                      <w:u w:val="none"/>
                    </w:rPr>
                    <w:t>压机</w:t>
                  </w:r>
                </w:p>
              </w:tc>
            </w:tr>
            <w:tr w14:paraId="0827F942">
              <w:tblPrEx>
                <w:tblCellMar>
                  <w:top w:w="0" w:type="dxa"/>
                  <w:left w:w="108" w:type="dxa"/>
                  <w:bottom w:w="0" w:type="dxa"/>
                  <w:right w:w="108" w:type="dxa"/>
                </w:tblCellMar>
              </w:tblPrEx>
              <w:trPr>
                <w:trHeight w:val="280" w:hRule="atLeast"/>
              </w:trPr>
              <w:tc>
                <w:tcPr>
                  <w:tcW w:w="704" w:type="dxa"/>
                  <w:tcBorders>
                    <w:top w:val="single" w:color="auto" w:sz="6" w:space="0"/>
                    <w:left w:val="nil"/>
                    <w:bottom w:val="single" w:color="auto" w:sz="6" w:space="0"/>
                    <w:right w:val="single" w:color="auto" w:sz="6" w:space="0"/>
                  </w:tcBorders>
                  <w:shd w:val="clear" w:color="auto" w:fill="auto"/>
                  <w:noWrap/>
                  <w:vAlign w:val="center"/>
                </w:tcPr>
                <w:p w14:paraId="29BA7667">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olor w:val="auto"/>
                      <w:sz w:val="21"/>
                      <w:szCs w:val="21"/>
                    </w:rPr>
                    <w:t>15</w:t>
                  </w:r>
                </w:p>
              </w:tc>
              <w:tc>
                <w:tcPr>
                  <w:tcW w:w="1604" w:type="dxa"/>
                  <w:tcBorders>
                    <w:top w:val="single" w:color="auto" w:sz="6" w:space="0"/>
                    <w:left w:val="single" w:color="auto" w:sz="6" w:space="0"/>
                    <w:bottom w:val="single" w:color="auto" w:sz="6" w:space="0"/>
                    <w:right w:val="single" w:color="auto" w:sz="6" w:space="0"/>
                  </w:tcBorders>
                  <w:noWrap/>
                  <w:vAlign w:val="center"/>
                </w:tcPr>
                <w:p w14:paraId="3D76B06F">
                  <w:pPr>
                    <w:keepNext w:val="0"/>
                    <w:keepLines w:val="0"/>
                    <w:suppressLineNumbers w:val="0"/>
                    <w:kinsoku/>
                    <w:overflowPunct w:val="0"/>
                    <w:spacing w:before="0" w:beforeAutospacing="0" w:after="0" w:afterAutospacing="0" w:line="260" w:lineRule="exact"/>
                    <w:ind w:left="21" w:leftChars="10" w:right="0"/>
                    <w:jc w:val="center"/>
                    <w:rPr>
                      <w:rFonts w:hint="default" w:ascii="Times New Roman" w:hAnsi="Times New Roman" w:eastAsia="宋体"/>
                      <w:color w:val="auto"/>
                      <w:sz w:val="21"/>
                      <w:szCs w:val="21"/>
                      <w:u w:val="none"/>
                      <w:lang w:val="en-US" w:eastAsia="zh-CN"/>
                    </w:rPr>
                  </w:pPr>
                  <w:r>
                    <w:rPr>
                      <w:rFonts w:hint="eastAsia" w:ascii="Times New Roman" w:hAnsi="Times New Roman" w:eastAsia="宋体"/>
                      <w:color w:val="auto"/>
                      <w:sz w:val="21"/>
                      <w:u w:val="none"/>
                    </w:rPr>
                    <w:t>打磨机</w:t>
                  </w:r>
                </w:p>
              </w:tc>
              <w:tc>
                <w:tcPr>
                  <w:tcW w:w="1964" w:type="dxa"/>
                  <w:tcBorders>
                    <w:top w:val="single" w:color="auto" w:sz="6" w:space="0"/>
                    <w:left w:val="single" w:color="auto" w:sz="6" w:space="0"/>
                    <w:bottom w:val="single" w:color="auto" w:sz="6" w:space="0"/>
                    <w:right w:val="single" w:color="auto" w:sz="6" w:space="0"/>
                  </w:tcBorders>
                  <w:noWrap/>
                  <w:vAlign w:val="center"/>
                </w:tcPr>
                <w:p w14:paraId="686FBBBC">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u w:val="none"/>
                    </w:rPr>
                  </w:pPr>
                  <w:r>
                    <w:rPr>
                      <w:rFonts w:hint="eastAsia" w:ascii="Times New Roman" w:hAnsi="Times New Roman" w:eastAsia="宋体"/>
                      <w:color w:val="auto"/>
                      <w:sz w:val="21"/>
                      <w:szCs w:val="21"/>
                      <w:u w:val="none"/>
                    </w:rPr>
                    <w:t>/</w:t>
                  </w:r>
                </w:p>
              </w:tc>
              <w:tc>
                <w:tcPr>
                  <w:tcW w:w="1377" w:type="dxa"/>
                  <w:tcBorders>
                    <w:top w:val="single" w:color="auto" w:sz="6" w:space="0"/>
                    <w:left w:val="single" w:color="auto" w:sz="6" w:space="0"/>
                    <w:bottom w:val="single" w:color="auto" w:sz="6" w:space="0"/>
                    <w:right w:val="single" w:color="auto" w:sz="6" w:space="0"/>
                  </w:tcBorders>
                  <w:noWrap/>
                  <w:vAlign w:val="center"/>
                </w:tcPr>
                <w:p w14:paraId="228128A0">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u w:val="none"/>
                      <w:lang w:val="en-US" w:eastAsia="zh-CN"/>
                    </w:rPr>
                  </w:pPr>
                  <w:r>
                    <w:rPr>
                      <w:rFonts w:hint="eastAsia" w:ascii="Times New Roman" w:hAnsi="Times New Roman" w:eastAsia="宋体"/>
                      <w:color w:val="auto"/>
                      <w:sz w:val="21"/>
                      <w:szCs w:val="21"/>
                      <w:u w:val="none"/>
                      <w:lang w:val="en-US" w:eastAsia="zh-CN"/>
                    </w:rPr>
                    <w:t>6</w:t>
                  </w:r>
                </w:p>
              </w:tc>
              <w:tc>
                <w:tcPr>
                  <w:tcW w:w="1359" w:type="dxa"/>
                  <w:tcBorders>
                    <w:top w:val="single" w:color="auto" w:sz="6" w:space="0"/>
                    <w:left w:val="single" w:color="auto" w:sz="6" w:space="0"/>
                    <w:bottom w:val="single" w:color="auto" w:sz="6" w:space="0"/>
                    <w:right w:val="single" w:color="auto" w:sz="6" w:space="0"/>
                  </w:tcBorders>
                  <w:noWrap/>
                  <w:vAlign w:val="center"/>
                </w:tcPr>
                <w:p w14:paraId="06418D20">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u w:val="none"/>
                    </w:rPr>
                  </w:pPr>
                  <w:r>
                    <w:rPr>
                      <w:rFonts w:hint="eastAsia" w:ascii="Times New Roman" w:hAnsi="Times New Roman" w:eastAsia="宋体"/>
                      <w:color w:val="auto"/>
                      <w:sz w:val="21"/>
                      <w:szCs w:val="21"/>
                      <w:u w:val="none"/>
                    </w:rPr>
                    <w:t>台</w:t>
                  </w:r>
                </w:p>
              </w:tc>
              <w:tc>
                <w:tcPr>
                  <w:tcW w:w="1391" w:type="dxa"/>
                  <w:tcBorders>
                    <w:top w:val="single" w:color="auto" w:sz="6" w:space="0"/>
                    <w:left w:val="single" w:color="auto" w:sz="6" w:space="0"/>
                    <w:bottom w:val="single" w:color="auto" w:sz="6" w:space="0"/>
                    <w:right w:val="nil"/>
                  </w:tcBorders>
                  <w:noWrap/>
                  <w:vAlign w:val="center"/>
                </w:tcPr>
                <w:p w14:paraId="6B029F8A">
                  <w:pPr>
                    <w:keepNext w:val="0"/>
                    <w:keepLines w:val="0"/>
                    <w:suppressLineNumbers w:val="0"/>
                    <w:kinsoku/>
                    <w:overflowPunct w:val="0"/>
                    <w:spacing w:before="0" w:beforeAutospacing="0" w:after="0" w:afterAutospacing="0" w:line="260" w:lineRule="exact"/>
                    <w:ind w:left="21" w:leftChars="10" w:right="0"/>
                    <w:jc w:val="center"/>
                    <w:rPr>
                      <w:rFonts w:hint="eastAsia" w:ascii="Times New Roman" w:hAnsi="Times New Roman" w:eastAsia="宋体"/>
                      <w:color w:val="auto"/>
                      <w:sz w:val="21"/>
                      <w:szCs w:val="21"/>
                      <w:u w:val="none"/>
                      <w:lang w:eastAsia="zh-CN"/>
                    </w:rPr>
                  </w:pPr>
                  <w:r>
                    <w:rPr>
                      <w:rFonts w:hint="eastAsia" w:ascii="Times New Roman" w:hAnsi="Times New Roman" w:eastAsia="宋体"/>
                      <w:color w:val="auto"/>
                      <w:sz w:val="21"/>
                      <w:u w:val="none"/>
                      <w:lang w:val="en-US" w:eastAsia="zh-CN"/>
                    </w:rPr>
                    <w:t>打磨</w:t>
                  </w:r>
                </w:p>
              </w:tc>
            </w:tr>
            <w:tr w14:paraId="7619AC91">
              <w:tblPrEx>
                <w:tblCellMar>
                  <w:top w:w="0" w:type="dxa"/>
                  <w:left w:w="108" w:type="dxa"/>
                  <w:bottom w:w="0" w:type="dxa"/>
                  <w:right w:w="108" w:type="dxa"/>
                </w:tblCellMar>
              </w:tblPrEx>
              <w:trPr>
                <w:trHeight w:val="280" w:hRule="atLeast"/>
              </w:trPr>
              <w:tc>
                <w:tcPr>
                  <w:tcW w:w="704" w:type="dxa"/>
                  <w:tcBorders>
                    <w:top w:val="single" w:color="auto" w:sz="6" w:space="0"/>
                    <w:left w:val="nil"/>
                    <w:bottom w:val="single" w:color="auto" w:sz="6" w:space="0"/>
                    <w:right w:val="single" w:color="auto" w:sz="6" w:space="0"/>
                  </w:tcBorders>
                  <w:shd w:val="clear" w:color="auto" w:fill="auto"/>
                  <w:noWrap/>
                  <w:vAlign w:val="center"/>
                </w:tcPr>
                <w:p w14:paraId="56BDBCE0">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olor w:val="auto"/>
                      <w:sz w:val="21"/>
                      <w:szCs w:val="21"/>
                      <w:u w:val="none"/>
                      <w:lang w:val="en-US" w:eastAsia="zh-CN"/>
                    </w:rPr>
                    <w:t>16</w:t>
                  </w:r>
                </w:p>
              </w:tc>
              <w:tc>
                <w:tcPr>
                  <w:tcW w:w="1604" w:type="dxa"/>
                  <w:tcBorders>
                    <w:top w:val="single" w:color="auto" w:sz="6" w:space="0"/>
                    <w:left w:val="single" w:color="auto" w:sz="6" w:space="0"/>
                    <w:bottom w:val="single" w:color="auto" w:sz="6" w:space="0"/>
                    <w:right w:val="single" w:color="auto" w:sz="6" w:space="0"/>
                  </w:tcBorders>
                  <w:noWrap/>
                  <w:vAlign w:val="center"/>
                </w:tcPr>
                <w:p w14:paraId="0DC60599">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u w:val="none"/>
                    </w:rPr>
                  </w:pPr>
                  <w:r>
                    <w:rPr>
                      <w:rFonts w:hint="eastAsia" w:ascii="Times New Roman" w:hAnsi="Times New Roman" w:eastAsia="宋体"/>
                      <w:color w:val="auto"/>
                      <w:sz w:val="21"/>
                      <w:szCs w:val="21"/>
                      <w:u w:val="none"/>
                    </w:rPr>
                    <w:t>鞋舌压标机</w:t>
                  </w:r>
                </w:p>
              </w:tc>
              <w:tc>
                <w:tcPr>
                  <w:tcW w:w="1964" w:type="dxa"/>
                  <w:tcBorders>
                    <w:top w:val="single" w:color="auto" w:sz="6" w:space="0"/>
                    <w:left w:val="single" w:color="auto" w:sz="6" w:space="0"/>
                    <w:bottom w:val="single" w:color="auto" w:sz="6" w:space="0"/>
                    <w:right w:val="single" w:color="auto" w:sz="6" w:space="0"/>
                  </w:tcBorders>
                  <w:noWrap/>
                  <w:vAlign w:val="center"/>
                </w:tcPr>
                <w:p w14:paraId="39AAC050">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u w:val="none"/>
                    </w:rPr>
                  </w:pPr>
                  <w:r>
                    <w:rPr>
                      <w:rFonts w:hint="eastAsia" w:ascii="Times New Roman" w:hAnsi="Times New Roman" w:eastAsia="宋体"/>
                      <w:color w:val="auto"/>
                      <w:sz w:val="21"/>
                      <w:szCs w:val="21"/>
                      <w:u w:val="none"/>
                    </w:rPr>
                    <w:t>/</w:t>
                  </w:r>
                </w:p>
              </w:tc>
              <w:tc>
                <w:tcPr>
                  <w:tcW w:w="1377" w:type="dxa"/>
                  <w:tcBorders>
                    <w:top w:val="single" w:color="auto" w:sz="6" w:space="0"/>
                    <w:left w:val="single" w:color="auto" w:sz="6" w:space="0"/>
                    <w:bottom w:val="single" w:color="auto" w:sz="6" w:space="0"/>
                    <w:right w:val="single" w:color="auto" w:sz="6" w:space="0"/>
                  </w:tcBorders>
                  <w:noWrap/>
                  <w:vAlign w:val="center"/>
                </w:tcPr>
                <w:p w14:paraId="6FF99E5D">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u w:val="none"/>
                      <w:lang w:eastAsia="zh-CN"/>
                    </w:rPr>
                  </w:pPr>
                  <w:r>
                    <w:rPr>
                      <w:rFonts w:hint="eastAsia" w:ascii="Times New Roman" w:hAnsi="Times New Roman" w:eastAsia="宋体"/>
                      <w:color w:val="auto"/>
                      <w:sz w:val="21"/>
                      <w:szCs w:val="21"/>
                      <w:u w:val="none"/>
                      <w:lang w:val="en-US" w:eastAsia="zh-CN"/>
                    </w:rPr>
                    <w:t>3</w:t>
                  </w:r>
                </w:p>
              </w:tc>
              <w:tc>
                <w:tcPr>
                  <w:tcW w:w="1359" w:type="dxa"/>
                  <w:tcBorders>
                    <w:top w:val="single" w:color="auto" w:sz="6" w:space="0"/>
                    <w:left w:val="single" w:color="auto" w:sz="6" w:space="0"/>
                    <w:bottom w:val="single" w:color="auto" w:sz="6" w:space="0"/>
                    <w:right w:val="single" w:color="auto" w:sz="6" w:space="0"/>
                  </w:tcBorders>
                  <w:noWrap/>
                  <w:vAlign w:val="center"/>
                </w:tcPr>
                <w:p w14:paraId="7FD6AFB2">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u w:val="none"/>
                    </w:rPr>
                  </w:pPr>
                  <w:r>
                    <w:rPr>
                      <w:rFonts w:hint="eastAsia" w:ascii="Times New Roman" w:hAnsi="Times New Roman" w:eastAsia="宋体"/>
                      <w:color w:val="auto"/>
                      <w:sz w:val="21"/>
                      <w:szCs w:val="21"/>
                      <w:u w:val="none"/>
                    </w:rPr>
                    <w:t>台</w:t>
                  </w:r>
                </w:p>
              </w:tc>
              <w:tc>
                <w:tcPr>
                  <w:tcW w:w="1391" w:type="dxa"/>
                  <w:tcBorders>
                    <w:top w:val="single" w:color="auto" w:sz="6" w:space="0"/>
                    <w:left w:val="single" w:color="auto" w:sz="6" w:space="0"/>
                    <w:bottom w:val="single" w:color="auto" w:sz="6" w:space="0"/>
                    <w:right w:val="nil"/>
                  </w:tcBorders>
                  <w:noWrap/>
                  <w:vAlign w:val="center"/>
                </w:tcPr>
                <w:p w14:paraId="5F8328FF">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u w:val="none"/>
                      <w:lang w:val="en-US" w:eastAsia="zh-CN"/>
                    </w:rPr>
                  </w:pPr>
                  <w:r>
                    <w:rPr>
                      <w:rFonts w:hint="eastAsia" w:ascii="Times New Roman" w:hAnsi="Times New Roman" w:eastAsia="宋体"/>
                      <w:color w:val="auto"/>
                      <w:sz w:val="21"/>
                      <w:szCs w:val="21"/>
                      <w:u w:val="none"/>
                      <w:lang w:val="en-US" w:eastAsia="zh-CN"/>
                    </w:rPr>
                    <w:t>压标</w:t>
                  </w:r>
                </w:p>
              </w:tc>
            </w:tr>
            <w:tr w14:paraId="26CE4BEA">
              <w:tblPrEx>
                <w:tblCellMar>
                  <w:top w:w="0" w:type="dxa"/>
                  <w:left w:w="108" w:type="dxa"/>
                  <w:bottom w:w="0" w:type="dxa"/>
                  <w:right w:w="108" w:type="dxa"/>
                </w:tblCellMar>
              </w:tblPrEx>
              <w:trPr>
                <w:trHeight w:val="280" w:hRule="atLeast"/>
              </w:trPr>
              <w:tc>
                <w:tcPr>
                  <w:tcW w:w="704" w:type="dxa"/>
                  <w:tcBorders>
                    <w:top w:val="single" w:color="auto" w:sz="6" w:space="0"/>
                    <w:left w:val="nil"/>
                    <w:bottom w:val="single" w:color="auto" w:sz="6" w:space="0"/>
                    <w:right w:val="single" w:color="auto" w:sz="6" w:space="0"/>
                  </w:tcBorders>
                  <w:shd w:val="clear" w:color="auto" w:fill="auto"/>
                  <w:noWrap/>
                  <w:vAlign w:val="center"/>
                </w:tcPr>
                <w:p w14:paraId="16849503">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olor w:val="auto"/>
                      <w:sz w:val="21"/>
                      <w:szCs w:val="21"/>
                      <w:u w:val="none"/>
                      <w:lang w:val="en-US" w:eastAsia="zh-CN"/>
                    </w:rPr>
                    <w:t>17</w:t>
                  </w:r>
                </w:p>
              </w:tc>
              <w:tc>
                <w:tcPr>
                  <w:tcW w:w="1604" w:type="dxa"/>
                  <w:tcBorders>
                    <w:top w:val="single" w:color="auto" w:sz="6" w:space="0"/>
                    <w:left w:val="single" w:color="auto" w:sz="6" w:space="0"/>
                    <w:bottom w:val="single" w:color="auto" w:sz="6" w:space="0"/>
                    <w:right w:val="single" w:color="auto" w:sz="6" w:space="0"/>
                  </w:tcBorders>
                  <w:noWrap/>
                  <w:vAlign w:val="center"/>
                </w:tcPr>
                <w:p w14:paraId="4693F829">
                  <w:pPr>
                    <w:keepNext w:val="0"/>
                    <w:keepLines w:val="0"/>
                    <w:suppressLineNumbers w:val="0"/>
                    <w:kinsoku/>
                    <w:overflowPunct w:val="0"/>
                    <w:spacing w:before="0" w:beforeAutospacing="0" w:after="0" w:afterAutospacing="0" w:line="260" w:lineRule="exact"/>
                    <w:ind w:left="21" w:leftChars="10" w:right="0"/>
                    <w:jc w:val="center"/>
                    <w:rPr>
                      <w:rFonts w:hint="eastAsia" w:ascii="Times New Roman" w:hAnsi="Times New Roman" w:eastAsia="宋体"/>
                      <w:color w:val="auto"/>
                      <w:sz w:val="21"/>
                      <w:szCs w:val="21"/>
                      <w:u w:val="none"/>
                    </w:rPr>
                  </w:pPr>
                  <w:r>
                    <w:rPr>
                      <w:rFonts w:hint="eastAsia" w:ascii="Times New Roman" w:hAnsi="Times New Roman" w:eastAsia="宋体"/>
                      <w:color w:val="auto"/>
                      <w:sz w:val="21"/>
                      <w:u w:val="none"/>
                    </w:rPr>
                    <w:t>鞋头定型机</w:t>
                  </w:r>
                </w:p>
              </w:tc>
              <w:tc>
                <w:tcPr>
                  <w:tcW w:w="1964" w:type="dxa"/>
                  <w:tcBorders>
                    <w:top w:val="single" w:color="auto" w:sz="6" w:space="0"/>
                    <w:left w:val="single" w:color="auto" w:sz="6" w:space="0"/>
                    <w:bottom w:val="single" w:color="auto" w:sz="6" w:space="0"/>
                    <w:right w:val="single" w:color="auto" w:sz="6" w:space="0"/>
                  </w:tcBorders>
                  <w:noWrap/>
                  <w:vAlign w:val="center"/>
                </w:tcPr>
                <w:p w14:paraId="4E5C0E4F">
                  <w:pPr>
                    <w:keepNext w:val="0"/>
                    <w:keepLines w:val="0"/>
                    <w:suppressLineNumbers w:val="0"/>
                    <w:kinsoku/>
                    <w:overflowPunct w:val="0"/>
                    <w:spacing w:before="0" w:beforeAutospacing="0" w:after="0" w:afterAutospacing="0" w:line="260" w:lineRule="exact"/>
                    <w:ind w:left="21" w:leftChars="10" w:right="0"/>
                    <w:jc w:val="center"/>
                    <w:rPr>
                      <w:rFonts w:hint="eastAsia" w:ascii="Times New Roman" w:hAnsi="Times New Roman" w:eastAsia="宋体"/>
                      <w:color w:val="auto"/>
                      <w:sz w:val="21"/>
                      <w:szCs w:val="21"/>
                      <w:u w:val="none"/>
                    </w:rPr>
                  </w:pPr>
                  <w:r>
                    <w:rPr>
                      <w:rFonts w:hint="eastAsia" w:ascii="Times New Roman" w:hAnsi="Times New Roman" w:eastAsia="宋体"/>
                      <w:color w:val="auto"/>
                      <w:sz w:val="21"/>
                      <w:u w:val="none"/>
                    </w:rPr>
                    <w:t>川利牌</w:t>
                  </w:r>
                </w:p>
              </w:tc>
              <w:tc>
                <w:tcPr>
                  <w:tcW w:w="1377" w:type="dxa"/>
                  <w:tcBorders>
                    <w:top w:val="single" w:color="auto" w:sz="6" w:space="0"/>
                    <w:left w:val="single" w:color="auto" w:sz="6" w:space="0"/>
                    <w:bottom w:val="single" w:color="auto" w:sz="6" w:space="0"/>
                    <w:right w:val="single" w:color="auto" w:sz="6" w:space="0"/>
                  </w:tcBorders>
                  <w:noWrap/>
                  <w:vAlign w:val="center"/>
                </w:tcPr>
                <w:p w14:paraId="760746FC">
                  <w:pPr>
                    <w:keepNext w:val="0"/>
                    <w:keepLines w:val="0"/>
                    <w:suppressLineNumbers w:val="0"/>
                    <w:kinsoku/>
                    <w:overflowPunct w:val="0"/>
                    <w:spacing w:before="0" w:beforeAutospacing="0" w:after="0" w:afterAutospacing="0" w:line="260" w:lineRule="exact"/>
                    <w:ind w:left="21" w:leftChars="10" w:right="0"/>
                    <w:jc w:val="center"/>
                    <w:rPr>
                      <w:rFonts w:hint="eastAsia" w:ascii="Times New Roman" w:hAnsi="Times New Roman" w:eastAsia="宋体"/>
                      <w:color w:val="auto"/>
                      <w:sz w:val="21"/>
                      <w:szCs w:val="21"/>
                      <w:u w:val="none"/>
                    </w:rPr>
                  </w:pPr>
                  <w:r>
                    <w:rPr>
                      <w:rFonts w:hint="eastAsia" w:ascii="Times New Roman" w:hAnsi="Times New Roman" w:eastAsia="宋体"/>
                      <w:color w:val="auto"/>
                      <w:sz w:val="21"/>
                      <w:u w:val="none"/>
                      <w:lang w:val="en-US" w:eastAsia="zh-CN"/>
                    </w:rPr>
                    <w:t>6</w:t>
                  </w:r>
                </w:p>
              </w:tc>
              <w:tc>
                <w:tcPr>
                  <w:tcW w:w="1359" w:type="dxa"/>
                  <w:tcBorders>
                    <w:top w:val="single" w:color="auto" w:sz="6" w:space="0"/>
                    <w:left w:val="single" w:color="auto" w:sz="6" w:space="0"/>
                    <w:bottom w:val="single" w:color="auto" w:sz="6" w:space="0"/>
                    <w:right w:val="single" w:color="auto" w:sz="6" w:space="0"/>
                  </w:tcBorders>
                  <w:noWrap/>
                  <w:vAlign w:val="center"/>
                </w:tcPr>
                <w:p w14:paraId="75700A99">
                  <w:pPr>
                    <w:keepNext w:val="0"/>
                    <w:keepLines w:val="0"/>
                    <w:suppressLineNumbers w:val="0"/>
                    <w:kinsoku/>
                    <w:overflowPunct w:val="0"/>
                    <w:spacing w:before="0" w:beforeAutospacing="0" w:after="0" w:afterAutospacing="0" w:line="260" w:lineRule="exact"/>
                    <w:ind w:left="21" w:leftChars="10" w:right="0"/>
                    <w:jc w:val="center"/>
                    <w:rPr>
                      <w:rFonts w:hint="eastAsia" w:ascii="Times New Roman" w:hAnsi="Times New Roman" w:eastAsia="宋体"/>
                      <w:color w:val="auto"/>
                      <w:sz w:val="21"/>
                      <w:szCs w:val="21"/>
                      <w:u w:val="none"/>
                    </w:rPr>
                  </w:pPr>
                  <w:r>
                    <w:rPr>
                      <w:rFonts w:hint="eastAsia" w:ascii="Times New Roman" w:hAnsi="Times New Roman" w:eastAsia="宋体"/>
                      <w:color w:val="auto"/>
                      <w:sz w:val="21"/>
                      <w:u w:val="none"/>
                    </w:rPr>
                    <w:t>台</w:t>
                  </w:r>
                </w:p>
              </w:tc>
              <w:tc>
                <w:tcPr>
                  <w:tcW w:w="1391" w:type="dxa"/>
                  <w:vMerge w:val="restart"/>
                  <w:tcBorders>
                    <w:top w:val="single" w:color="auto" w:sz="6" w:space="0"/>
                    <w:left w:val="single" w:color="auto" w:sz="6" w:space="0"/>
                    <w:right w:val="nil"/>
                  </w:tcBorders>
                  <w:noWrap/>
                  <w:vAlign w:val="center"/>
                </w:tcPr>
                <w:p w14:paraId="0FF633E0">
                  <w:pPr>
                    <w:keepNext w:val="0"/>
                    <w:keepLines w:val="0"/>
                    <w:suppressLineNumbers w:val="0"/>
                    <w:kinsoku/>
                    <w:overflowPunct w:val="0"/>
                    <w:spacing w:before="0" w:beforeAutospacing="0" w:after="0" w:afterAutospacing="0" w:line="260" w:lineRule="exact"/>
                    <w:ind w:left="21" w:leftChars="10" w:right="0"/>
                    <w:jc w:val="center"/>
                    <w:rPr>
                      <w:rFonts w:hint="eastAsia" w:ascii="Times New Roman" w:hAnsi="Times New Roman" w:eastAsia="宋体"/>
                      <w:color w:val="auto"/>
                      <w:sz w:val="21"/>
                      <w:szCs w:val="21"/>
                      <w:u w:val="none"/>
                    </w:rPr>
                  </w:pPr>
                  <w:r>
                    <w:rPr>
                      <w:rFonts w:hint="eastAsia" w:ascii="Times New Roman" w:hAnsi="Times New Roman" w:eastAsia="宋体"/>
                      <w:color w:val="auto"/>
                      <w:sz w:val="21"/>
                      <w:u w:val="none"/>
                    </w:rPr>
                    <w:t>定型</w:t>
                  </w:r>
                </w:p>
              </w:tc>
            </w:tr>
            <w:tr w14:paraId="4C4DF536">
              <w:tblPrEx>
                <w:tblCellMar>
                  <w:top w:w="0" w:type="dxa"/>
                  <w:left w:w="108" w:type="dxa"/>
                  <w:bottom w:w="0" w:type="dxa"/>
                  <w:right w:w="108" w:type="dxa"/>
                </w:tblCellMar>
              </w:tblPrEx>
              <w:trPr>
                <w:trHeight w:val="280" w:hRule="atLeast"/>
              </w:trPr>
              <w:tc>
                <w:tcPr>
                  <w:tcW w:w="704" w:type="dxa"/>
                  <w:tcBorders>
                    <w:top w:val="single" w:color="auto" w:sz="6" w:space="0"/>
                    <w:left w:val="nil"/>
                    <w:bottom w:val="single" w:color="auto" w:sz="6" w:space="0"/>
                    <w:right w:val="single" w:color="auto" w:sz="6" w:space="0"/>
                  </w:tcBorders>
                  <w:shd w:val="clear" w:color="auto" w:fill="auto"/>
                  <w:noWrap/>
                  <w:vAlign w:val="center"/>
                </w:tcPr>
                <w:p w14:paraId="5D66E3DF">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olor w:val="auto"/>
                      <w:sz w:val="21"/>
                      <w:szCs w:val="21"/>
                      <w:lang w:val="en-US" w:eastAsia="zh-CN"/>
                    </w:rPr>
                    <w:t>18</w:t>
                  </w:r>
                </w:p>
              </w:tc>
              <w:tc>
                <w:tcPr>
                  <w:tcW w:w="1604" w:type="dxa"/>
                  <w:tcBorders>
                    <w:top w:val="single" w:color="auto" w:sz="6" w:space="0"/>
                    <w:left w:val="single" w:color="auto" w:sz="6" w:space="0"/>
                    <w:bottom w:val="single" w:color="auto" w:sz="6" w:space="0"/>
                    <w:right w:val="single" w:color="auto" w:sz="6" w:space="0"/>
                  </w:tcBorders>
                  <w:noWrap/>
                  <w:vAlign w:val="center"/>
                </w:tcPr>
                <w:p w14:paraId="0B8F9FC1">
                  <w:pPr>
                    <w:keepNext w:val="0"/>
                    <w:keepLines w:val="0"/>
                    <w:suppressLineNumbers w:val="0"/>
                    <w:kinsoku/>
                    <w:overflowPunct w:val="0"/>
                    <w:spacing w:before="0" w:beforeAutospacing="0" w:after="0" w:afterAutospacing="0" w:line="260" w:lineRule="exact"/>
                    <w:ind w:left="21" w:leftChars="10" w:right="0"/>
                    <w:jc w:val="center"/>
                    <w:rPr>
                      <w:rFonts w:hint="eastAsia" w:ascii="Times New Roman" w:hAnsi="Times New Roman" w:eastAsia="宋体"/>
                      <w:color w:val="auto"/>
                      <w:sz w:val="21"/>
                      <w:szCs w:val="21"/>
                      <w:u w:val="none"/>
                    </w:rPr>
                  </w:pPr>
                  <w:r>
                    <w:rPr>
                      <w:rFonts w:hint="eastAsia" w:ascii="Times New Roman" w:hAnsi="Times New Roman" w:eastAsia="宋体"/>
                      <w:color w:val="auto"/>
                      <w:sz w:val="21"/>
                      <w:u w:val="none"/>
                    </w:rPr>
                    <w:t>后锤定型机</w:t>
                  </w:r>
                </w:p>
              </w:tc>
              <w:tc>
                <w:tcPr>
                  <w:tcW w:w="1964" w:type="dxa"/>
                  <w:tcBorders>
                    <w:top w:val="single" w:color="auto" w:sz="6" w:space="0"/>
                    <w:left w:val="single" w:color="auto" w:sz="6" w:space="0"/>
                    <w:bottom w:val="single" w:color="auto" w:sz="6" w:space="0"/>
                    <w:right w:val="single" w:color="auto" w:sz="6" w:space="0"/>
                  </w:tcBorders>
                  <w:noWrap/>
                  <w:vAlign w:val="center"/>
                </w:tcPr>
                <w:p w14:paraId="6C840050">
                  <w:pPr>
                    <w:keepNext w:val="0"/>
                    <w:keepLines w:val="0"/>
                    <w:suppressLineNumbers w:val="0"/>
                    <w:kinsoku/>
                    <w:overflowPunct w:val="0"/>
                    <w:spacing w:before="0" w:beforeAutospacing="0" w:after="0" w:afterAutospacing="0" w:line="260" w:lineRule="exact"/>
                    <w:ind w:left="21" w:leftChars="10" w:right="0"/>
                    <w:jc w:val="center"/>
                    <w:rPr>
                      <w:rFonts w:hint="eastAsia" w:ascii="Times New Roman" w:hAnsi="Times New Roman" w:eastAsia="宋体"/>
                      <w:color w:val="auto"/>
                      <w:sz w:val="21"/>
                      <w:szCs w:val="21"/>
                      <w:u w:val="none"/>
                    </w:rPr>
                  </w:pPr>
                  <w:r>
                    <w:rPr>
                      <w:rFonts w:hint="eastAsia" w:ascii="Times New Roman" w:hAnsi="Times New Roman" w:eastAsia="宋体"/>
                      <w:color w:val="auto"/>
                      <w:sz w:val="21"/>
                      <w:u w:val="none"/>
                    </w:rPr>
                    <w:t>川利牌</w:t>
                  </w:r>
                </w:p>
              </w:tc>
              <w:tc>
                <w:tcPr>
                  <w:tcW w:w="1377" w:type="dxa"/>
                  <w:tcBorders>
                    <w:top w:val="single" w:color="auto" w:sz="6" w:space="0"/>
                    <w:left w:val="single" w:color="auto" w:sz="6" w:space="0"/>
                    <w:bottom w:val="single" w:color="auto" w:sz="6" w:space="0"/>
                    <w:right w:val="single" w:color="auto" w:sz="6" w:space="0"/>
                  </w:tcBorders>
                  <w:noWrap/>
                  <w:vAlign w:val="center"/>
                </w:tcPr>
                <w:p w14:paraId="6E0AE395">
                  <w:pPr>
                    <w:keepNext w:val="0"/>
                    <w:keepLines w:val="0"/>
                    <w:suppressLineNumbers w:val="0"/>
                    <w:kinsoku/>
                    <w:overflowPunct w:val="0"/>
                    <w:spacing w:before="0" w:beforeAutospacing="0" w:after="0" w:afterAutospacing="0" w:line="260" w:lineRule="exact"/>
                    <w:ind w:left="21" w:leftChars="10" w:right="0"/>
                    <w:jc w:val="center"/>
                    <w:rPr>
                      <w:rFonts w:hint="eastAsia" w:ascii="Times New Roman" w:hAnsi="Times New Roman" w:eastAsia="宋体"/>
                      <w:color w:val="auto"/>
                      <w:sz w:val="21"/>
                      <w:szCs w:val="21"/>
                      <w:u w:val="none"/>
                    </w:rPr>
                  </w:pPr>
                  <w:r>
                    <w:rPr>
                      <w:rFonts w:hint="eastAsia" w:ascii="Times New Roman" w:hAnsi="Times New Roman" w:eastAsia="宋体"/>
                      <w:color w:val="auto"/>
                      <w:sz w:val="21"/>
                      <w:u w:val="none"/>
                      <w:lang w:val="en-US" w:eastAsia="zh-CN"/>
                    </w:rPr>
                    <w:t>6</w:t>
                  </w:r>
                </w:p>
              </w:tc>
              <w:tc>
                <w:tcPr>
                  <w:tcW w:w="1359" w:type="dxa"/>
                  <w:tcBorders>
                    <w:top w:val="single" w:color="auto" w:sz="6" w:space="0"/>
                    <w:left w:val="single" w:color="auto" w:sz="6" w:space="0"/>
                    <w:bottom w:val="single" w:color="auto" w:sz="6" w:space="0"/>
                    <w:right w:val="single" w:color="auto" w:sz="6" w:space="0"/>
                  </w:tcBorders>
                  <w:noWrap/>
                  <w:vAlign w:val="center"/>
                </w:tcPr>
                <w:p w14:paraId="3C92C6FD">
                  <w:pPr>
                    <w:keepNext w:val="0"/>
                    <w:keepLines w:val="0"/>
                    <w:suppressLineNumbers w:val="0"/>
                    <w:kinsoku/>
                    <w:overflowPunct w:val="0"/>
                    <w:spacing w:before="0" w:beforeAutospacing="0" w:after="0" w:afterAutospacing="0" w:line="260" w:lineRule="exact"/>
                    <w:ind w:left="21" w:leftChars="10" w:right="0"/>
                    <w:jc w:val="center"/>
                    <w:rPr>
                      <w:rFonts w:hint="eastAsia" w:ascii="Times New Roman" w:hAnsi="Times New Roman" w:eastAsia="宋体"/>
                      <w:color w:val="auto"/>
                      <w:sz w:val="21"/>
                      <w:szCs w:val="21"/>
                      <w:u w:val="none"/>
                    </w:rPr>
                  </w:pPr>
                  <w:r>
                    <w:rPr>
                      <w:rFonts w:hint="eastAsia" w:ascii="Times New Roman" w:hAnsi="Times New Roman" w:eastAsia="宋体"/>
                      <w:color w:val="auto"/>
                      <w:sz w:val="21"/>
                      <w:u w:val="none"/>
                    </w:rPr>
                    <w:t>台</w:t>
                  </w:r>
                </w:p>
              </w:tc>
              <w:tc>
                <w:tcPr>
                  <w:tcW w:w="1391" w:type="dxa"/>
                  <w:vMerge w:val="continue"/>
                  <w:tcBorders>
                    <w:left w:val="single" w:color="auto" w:sz="6" w:space="0"/>
                    <w:right w:val="nil"/>
                  </w:tcBorders>
                  <w:noWrap/>
                  <w:vAlign w:val="center"/>
                </w:tcPr>
                <w:p w14:paraId="48D5C02B">
                  <w:pPr>
                    <w:keepNext w:val="0"/>
                    <w:keepLines w:val="0"/>
                    <w:suppressLineNumbers w:val="0"/>
                    <w:kinsoku/>
                    <w:overflowPunct w:val="0"/>
                    <w:spacing w:before="0" w:beforeAutospacing="0" w:after="0" w:afterAutospacing="0" w:line="260" w:lineRule="exact"/>
                    <w:ind w:left="21" w:leftChars="10" w:right="0"/>
                    <w:jc w:val="center"/>
                    <w:rPr>
                      <w:rFonts w:hint="eastAsia" w:ascii="Times New Roman" w:hAnsi="Times New Roman" w:eastAsia="宋体"/>
                      <w:color w:val="auto"/>
                      <w:sz w:val="21"/>
                      <w:szCs w:val="21"/>
                      <w:u w:val="none"/>
                    </w:rPr>
                  </w:pPr>
                </w:p>
              </w:tc>
            </w:tr>
            <w:tr w14:paraId="30B3B8CE">
              <w:tblPrEx>
                <w:tblCellMar>
                  <w:top w:w="0" w:type="dxa"/>
                  <w:left w:w="108" w:type="dxa"/>
                  <w:bottom w:w="0" w:type="dxa"/>
                  <w:right w:w="108" w:type="dxa"/>
                </w:tblCellMar>
              </w:tblPrEx>
              <w:trPr>
                <w:trHeight w:val="280" w:hRule="atLeast"/>
              </w:trPr>
              <w:tc>
                <w:tcPr>
                  <w:tcW w:w="704" w:type="dxa"/>
                  <w:tcBorders>
                    <w:top w:val="single" w:color="auto" w:sz="6" w:space="0"/>
                    <w:left w:val="nil"/>
                    <w:bottom w:val="single" w:color="auto" w:sz="6" w:space="0"/>
                    <w:right w:val="single" w:color="auto" w:sz="6" w:space="0"/>
                  </w:tcBorders>
                  <w:shd w:val="clear" w:color="auto" w:fill="auto"/>
                  <w:noWrap/>
                  <w:vAlign w:val="center"/>
                </w:tcPr>
                <w:p w14:paraId="59D6A15D">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olor w:val="auto"/>
                      <w:sz w:val="21"/>
                      <w:szCs w:val="21"/>
                      <w:lang w:val="en-US" w:eastAsia="zh-CN"/>
                    </w:rPr>
                    <w:t>19</w:t>
                  </w:r>
                </w:p>
              </w:tc>
              <w:tc>
                <w:tcPr>
                  <w:tcW w:w="1604" w:type="dxa"/>
                  <w:tcBorders>
                    <w:top w:val="single" w:color="auto" w:sz="6" w:space="0"/>
                    <w:left w:val="single" w:color="auto" w:sz="6" w:space="0"/>
                    <w:bottom w:val="single" w:color="auto" w:sz="6" w:space="0"/>
                    <w:right w:val="single" w:color="auto" w:sz="6" w:space="0"/>
                  </w:tcBorders>
                  <w:noWrap/>
                  <w:vAlign w:val="center"/>
                </w:tcPr>
                <w:p w14:paraId="5CC906A5">
                  <w:pPr>
                    <w:keepNext w:val="0"/>
                    <w:keepLines w:val="0"/>
                    <w:suppressLineNumbers w:val="0"/>
                    <w:kinsoku/>
                    <w:overflowPunct w:val="0"/>
                    <w:spacing w:before="0" w:beforeAutospacing="0" w:after="0" w:afterAutospacing="0" w:line="260" w:lineRule="exact"/>
                    <w:ind w:left="21" w:leftChars="10" w:right="0"/>
                    <w:jc w:val="center"/>
                    <w:rPr>
                      <w:rFonts w:hint="eastAsia" w:ascii="Times New Roman" w:hAnsi="Times New Roman" w:eastAsia="宋体"/>
                      <w:color w:val="auto"/>
                      <w:sz w:val="21"/>
                      <w:szCs w:val="21"/>
                      <w:u w:val="none"/>
                    </w:rPr>
                  </w:pPr>
                  <w:r>
                    <w:rPr>
                      <w:rFonts w:hint="eastAsia" w:ascii="Times New Roman" w:hAnsi="Times New Roman" w:eastAsia="宋体"/>
                      <w:color w:val="auto"/>
                      <w:sz w:val="21"/>
                      <w:u w:val="none"/>
                      <w:lang w:val="en-US" w:eastAsia="zh-CN"/>
                    </w:rPr>
                    <w:t>自动急速</w:t>
                  </w:r>
                  <w:r>
                    <w:rPr>
                      <w:rFonts w:hint="eastAsia" w:ascii="Times New Roman" w:hAnsi="Times New Roman" w:eastAsia="宋体"/>
                      <w:color w:val="auto"/>
                      <w:sz w:val="21"/>
                      <w:u w:val="none"/>
                    </w:rPr>
                    <w:t>冷冻定型机</w:t>
                  </w:r>
                </w:p>
              </w:tc>
              <w:tc>
                <w:tcPr>
                  <w:tcW w:w="1964" w:type="dxa"/>
                  <w:tcBorders>
                    <w:top w:val="single" w:color="auto" w:sz="6" w:space="0"/>
                    <w:left w:val="single" w:color="auto" w:sz="6" w:space="0"/>
                    <w:bottom w:val="single" w:color="auto" w:sz="6" w:space="0"/>
                    <w:right w:val="single" w:color="auto" w:sz="6" w:space="0"/>
                  </w:tcBorders>
                  <w:noWrap/>
                  <w:vAlign w:val="center"/>
                </w:tcPr>
                <w:p w14:paraId="303F0468">
                  <w:pPr>
                    <w:keepNext w:val="0"/>
                    <w:keepLines w:val="0"/>
                    <w:suppressLineNumbers w:val="0"/>
                    <w:kinsoku/>
                    <w:overflowPunct w:val="0"/>
                    <w:spacing w:before="0" w:beforeAutospacing="0" w:after="0" w:afterAutospacing="0" w:line="260" w:lineRule="exact"/>
                    <w:ind w:left="21" w:leftChars="10" w:right="0"/>
                    <w:jc w:val="center"/>
                    <w:rPr>
                      <w:rFonts w:hint="default" w:ascii="Times New Roman" w:hAnsi="Times New Roman" w:eastAsia="宋体"/>
                      <w:color w:val="auto"/>
                      <w:sz w:val="21"/>
                      <w:szCs w:val="21"/>
                      <w:u w:val="none"/>
                      <w:lang w:val="en-US" w:eastAsia="zh-CN"/>
                    </w:rPr>
                  </w:pPr>
                  <w:r>
                    <w:rPr>
                      <w:rFonts w:hint="eastAsia" w:ascii="Times New Roman" w:hAnsi="Times New Roman" w:eastAsia="宋体"/>
                      <w:color w:val="auto"/>
                      <w:sz w:val="21"/>
                      <w:u w:val="none"/>
                      <w:lang w:val="en-US" w:eastAsia="zh-CN"/>
                    </w:rPr>
                    <w:t>SW-808</w:t>
                  </w:r>
                </w:p>
              </w:tc>
              <w:tc>
                <w:tcPr>
                  <w:tcW w:w="1377" w:type="dxa"/>
                  <w:tcBorders>
                    <w:top w:val="single" w:color="auto" w:sz="6" w:space="0"/>
                    <w:left w:val="single" w:color="auto" w:sz="6" w:space="0"/>
                    <w:bottom w:val="single" w:color="auto" w:sz="6" w:space="0"/>
                    <w:right w:val="single" w:color="auto" w:sz="6" w:space="0"/>
                  </w:tcBorders>
                  <w:noWrap/>
                  <w:vAlign w:val="center"/>
                </w:tcPr>
                <w:p w14:paraId="04A71DA9">
                  <w:pPr>
                    <w:keepNext w:val="0"/>
                    <w:keepLines w:val="0"/>
                    <w:suppressLineNumbers w:val="0"/>
                    <w:kinsoku/>
                    <w:overflowPunct w:val="0"/>
                    <w:spacing w:before="0" w:beforeAutospacing="0" w:after="0" w:afterAutospacing="0" w:line="260" w:lineRule="exact"/>
                    <w:ind w:left="21" w:leftChars="10" w:right="0"/>
                    <w:jc w:val="center"/>
                    <w:rPr>
                      <w:rFonts w:hint="eastAsia" w:ascii="Times New Roman" w:hAnsi="Times New Roman" w:eastAsia="宋体"/>
                      <w:color w:val="auto"/>
                      <w:sz w:val="21"/>
                      <w:szCs w:val="21"/>
                      <w:u w:val="none"/>
                    </w:rPr>
                  </w:pPr>
                  <w:r>
                    <w:rPr>
                      <w:rFonts w:hint="eastAsia" w:ascii="Times New Roman" w:hAnsi="Times New Roman" w:eastAsia="宋体"/>
                      <w:color w:val="auto"/>
                      <w:sz w:val="21"/>
                      <w:u w:val="none"/>
                      <w:lang w:val="en-US" w:eastAsia="zh-CN"/>
                    </w:rPr>
                    <w:t>2</w:t>
                  </w:r>
                </w:p>
              </w:tc>
              <w:tc>
                <w:tcPr>
                  <w:tcW w:w="1359" w:type="dxa"/>
                  <w:tcBorders>
                    <w:top w:val="single" w:color="auto" w:sz="6" w:space="0"/>
                    <w:left w:val="single" w:color="auto" w:sz="6" w:space="0"/>
                    <w:bottom w:val="single" w:color="auto" w:sz="6" w:space="0"/>
                    <w:right w:val="single" w:color="auto" w:sz="6" w:space="0"/>
                  </w:tcBorders>
                  <w:noWrap/>
                  <w:vAlign w:val="center"/>
                </w:tcPr>
                <w:p w14:paraId="05BC96A1">
                  <w:pPr>
                    <w:keepNext w:val="0"/>
                    <w:keepLines w:val="0"/>
                    <w:suppressLineNumbers w:val="0"/>
                    <w:kinsoku/>
                    <w:overflowPunct w:val="0"/>
                    <w:spacing w:before="0" w:beforeAutospacing="0" w:after="0" w:afterAutospacing="0" w:line="260" w:lineRule="exact"/>
                    <w:ind w:left="21" w:leftChars="10" w:right="0"/>
                    <w:jc w:val="center"/>
                    <w:rPr>
                      <w:rFonts w:hint="eastAsia" w:ascii="Times New Roman" w:hAnsi="Times New Roman" w:eastAsia="宋体"/>
                      <w:color w:val="auto"/>
                      <w:sz w:val="21"/>
                      <w:szCs w:val="21"/>
                      <w:u w:val="none"/>
                    </w:rPr>
                  </w:pPr>
                  <w:r>
                    <w:rPr>
                      <w:rFonts w:hint="eastAsia" w:ascii="Times New Roman" w:hAnsi="Times New Roman" w:eastAsia="宋体"/>
                      <w:color w:val="auto"/>
                      <w:sz w:val="21"/>
                      <w:u w:val="none"/>
                    </w:rPr>
                    <w:t>台</w:t>
                  </w:r>
                </w:p>
              </w:tc>
              <w:tc>
                <w:tcPr>
                  <w:tcW w:w="1391" w:type="dxa"/>
                  <w:vMerge w:val="continue"/>
                  <w:tcBorders>
                    <w:left w:val="single" w:color="auto" w:sz="6" w:space="0"/>
                    <w:bottom w:val="single" w:color="auto" w:sz="6" w:space="0"/>
                    <w:right w:val="nil"/>
                  </w:tcBorders>
                  <w:noWrap/>
                  <w:vAlign w:val="center"/>
                </w:tcPr>
                <w:p w14:paraId="5A2CF993">
                  <w:pPr>
                    <w:keepNext w:val="0"/>
                    <w:keepLines w:val="0"/>
                    <w:suppressLineNumbers w:val="0"/>
                    <w:kinsoku/>
                    <w:overflowPunct w:val="0"/>
                    <w:spacing w:before="0" w:beforeAutospacing="0" w:after="0" w:afterAutospacing="0" w:line="260" w:lineRule="exact"/>
                    <w:ind w:left="21" w:leftChars="10" w:right="0"/>
                    <w:jc w:val="center"/>
                    <w:rPr>
                      <w:rFonts w:hint="eastAsia" w:ascii="Times New Roman" w:hAnsi="Times New Roman" w:eastAsia="宋体"/>
                      <w:color w:val="auto"/>
                      <w:sz w:val="21"/>
                      <w:szCs w:val="21"/>
                      <w:u w:val="none"/>
                    </w:rPr>
                  </w:pPr>
                </w:p>
              </w:tc>
            </w:tr>
            <w:tr w14:paraId="350CA1A3">
              <w:tblPrEx>
                <w:tblCellMar>
                  <w:top w:w="0" w:type="dxa"/>
                  <w:left w:w="108" w:type="dxa"/>
                  <w:bottom w:w="0" w:type="dxa"/>
                  <w:right w:w="108" w:type="dxa"/>
                </w:tblCellMar>
              </w:tblPrEx>
              <w:trPr>
                <w:trHeight w:val="280" w:hRule="atLeast"/>
              </w:trPr>
              <w:tc>
                <w:tcPr>
                  <w:tcW w:w="704" w:type="dxa"/>
                  <w:tcBorders>
                    <w:top w:val="single" w:color="auto" w:sz="6" w:space="0"/>
                    <w:left w:val="nil"/>
                    <w:bottom w:val="single" w:color="auto" w:sz="6" w:space="0"/>
                    <w:right w:val="single" w:color="auto" w:sz="6" w:space="0"/>
                  </w:tcBorders>
                  <w:shd w:val="clear" w:color="auto" w:fill="auto"/>
                  <w:noWrap/>
                  <w:vAlign w:val="center"/>
                </w:tcPr>
                <w:p w14:paraId="78C353DD">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olor w:val="auto"/>
                      <w:sz w:val="21"/>
                      <w:szCs w:val="21"/>
                      <w:lang w:val="en-US" w:eastAsia="zh-CN"/>
                    </w:rPr>
                    <w:t>20</w:t>
                  </w:r>
                </w:p>
              </w:tc>
              <w:tc>
                <w:tcPr>
                  <w:tcW w:w="1604" w:type="dxa"/>
                  <w:tcBorders>
                    <w:top w:val="single" w:color="auto" w:sz="6" w:space="0"/>
                    <w:left w:val="single" w:color="auto" w:sz="6" w:space="0"/>
                    <w:bottom w:val="single" w:color="auto" w:sz="6" w:space="0"/>
                    <w:right w:val="single" w:color="auto" w:sz="6" w:space="0"/>
                  </w:tcBorders>
                  <w:noWrap/>
                  <w:vAlign w:val="top"/>
                </w:tcPr>
                <w:p w14:paraId="53C2B97D">
                  <w:pPr>
                    <w:keepNext w:val="0"/>
                    <w:keepLines w:val="0"/>
                    <w:suppressLineNumbers w:val="0"/>
                    <w:kinsoku/>
                    <w:overflowPunct w:val="0"/>
                    <w:spacing w:before="0" w:beforeAutospacing="0" w:after="0" w:afterAutospacing="0" w:line="260" w:lineRule="exact"/>
                    <w:ind w:left="21" w:leftChars="10" w:right="0"/>
                    <w:jc w:val="center"/>
                    <w:rPr>
                      <w:rFonts w:hint="default" w:ascii="Times New Roman" w:hAnsi="Times New Roman" w:eastAsia="宋体"/>
                      <w:color w:val="auto"/>
                      <w:sz w:val="21"/>
                      <w:szCs w:val="21"/>
                      <w:u w:val="none"/>
                      <w:lang w:val="en-US" w:eastAsia="zh-CN"/>
                    </w:rPr>
                  </w:pPr>
                  <w:r>
                    <w:rPr>
                      <w:rFonts w:hint="eastAsia" w:ascii="Times New Roman" w:hAnsi="Times New Roman" w:eastAsia="宋体"/>
                      <w:color w:val="auto"/>
                      <w:sz w:val="21"/>
                      <w:u w:val="none"/>
                      <w:lang w:val="en-US" w:eastAsia="zh-CN"/>
                    </w:rPr>
                    <w:t>冷粘流水线</w:t>
                  </w:r>
                </w:p>
              </w:tc>
              <w:tc>
                <w:tcPr>
                  <w:tcW w:w="1964" w:type="dxa"/>
                  <w:tcBorders>
                    <w:top w:val="single" w:color="auto" w:sz="6" w:space="0"/>
                    <w:left w:val="single" w:color="auto" w:sz="6" w:space="0"/>
                    <w:bottom w:val="single" w:color="auto" w:sz="6" w:space="0"/>
                    <w:right w:val="single" w:color="auto" w:sz="6" w:space="0"/>
                  </w:tcBorders>
                  <w:noWrap/>
                  <w:vAlign w:val="center"/>
                </w:tcPr>
                <w:p w14:paraId="2EE12FB3">
                  <w:pPr>
                    <w:keepNext w:val="0"/>
                    <w:keepLines w:val="0"/>
                    <w:suppressLineNumbers w:val="0"/>
                    <w:kinsoku/>
                    <w:overflowPunct w:val="0"/>
                    <w:spacing w:before="0" w:beforeAutospacing="0" w:after="0" w:afterAutospacing="0" w:line="260" w:lineRule="exact"/>
                    <w:ind w:left="21" w:leftChars="10" w:right="0"/>
                    <w:jc w:val="center"/>
                    <w:rPr>
                      <w:rFonts w:hint="eastAsia" w:ascii="Times New Roman" w:hAnsi="Times New Roman" w:eastAsia="宋体"/>
                      <w:color w:val="auto"/>
                      <w:sz w:val="21"/>
                      <w:szCs w:val="21"/>
                      <w:u w:val="none"/>
                      <w:lang w:eastAsia="zh-CN"/>
                    </w:rPr>
                  </w:pPr>
                  <w:r>
                    <w:rPr>
                      <w:rFonts w:hint="eastAsia" w:ascii="Times New Roman" w:hAnsi="Times New Roman" w:eastAsia="宋体"/>
                      <w:color w:val="auto"/>
                      <w:sz w:val="21"/>
                      <w:u w:val="none"/>
                      <w:lang w:val="en-US" w:eastAsia="zh-CN"/>
                    </w:rPr>
                    <w:t>/</w:t>
                  </w:r>
                </w:p>
              </w:tc>
              <w:tc>
                <w:tcPr>
                  <w:tcW w:w="1377" w:type="dxa"/>
                  <w:tcBorders>
                    <w:top w:val="single" w:color="auto" w:sz="6" w:space="0"/>
                    <w:left w:val="single" w:color="auto" w:sz="6" w:space="0"/>
                    <w:bottom w:val="single" w:color="auto" w:sz="6" w:space="0"/>
                    <w:right w:val="single" w:color="auto" w:sz="6" w:space="0"/>
                  </w:tcBorders>
                  <w:noWrap/>
                  <w:vAlign w:val="center"/>
                </w:tcPr>
                <w:p w14:paraId="210137ED">
                  <w:pPr>
                    <w:keepNext w:val="0"/>
                    <w:keepLines w:val="0"/>
                    <w:suppressLineNumbers w:val="0"/>
                    <w:kinsoku/>
                    <w:overflowPunct w:val="0"/>
                    <w:spacing w:before="0" w:beforeAutospacing="0" w:after="0" w:afterAutospacing="0" w:line="260" w:lineRule="exact"/>
                    <w:ind w:left="21" w:leftChars="10" w:right="0"/>
                    <w:jc w:val="center"/>
                    <w:rPr>
                      <w:rFonts w:hint="eastAsia" w:ascii="Times New Roman" w:hAnsi="Times New Roman" w:eastAsia="宋体"/>
                      <w:color w:val="auto"/>
                      <w:sz w:val="21"/>
                      <w:szCs w:val="21"/>
                      <w:u w:val="none"/>
                      <w:lang w:val="en-US" w:eastAsia="zh-CN"/>
                    </w:rPr>
                  </w:pPr>
                  <w:r>
                    <w:rPr>
                      <w:rFonts w:hint="eastAsia"/>
                      <w:color w:val="auto"/>
                      <w:sz w:val="21"/>
                      <w:szCs w:val="21"/>
                      <w:u w:val="none"/>
                      <w:lang w:val="en-US" w:eastAsia="zh-CN"/>
                    </w:rPr>
                    <w:t>3</w:t>
                  </w:r>
                </w:p>
              </w:tc>
              <w:tc>
                <w:tcPr>
                  <w:tcW w:w="1359" w:type="dxa"/>
                  <w:tcBorders>
                    <w:top w:val="single" w:color="auto" w:sz="6" w:space="0"/>
                    <w:left w:val="single" w:color="auto" w:sz="6" w:space="0"/>
                    <w:bottom w:val="single" w:color="auto" w:sz="6" w:space="0"/>
                    <w:right w:val="single" w:color="auto" w:sz="6" w:space="0"/>
                  </w:tcBorders>
                  <w:noWrap/>
                  <w:vAlign w:val="center"/>
                </w:tcPr>
                <w:p w14:paraId="170A4C3B">
                  <w:pPr>
                    <w:keepNext w:val="0"/>
                    <w:keepLines w:val="0"/>
                    <w:suppressLineNumbers w:val="0"/>
                    <w:kinsoku/>
                    <w:overflowPunct w:val="0"/>
                    <w:spacing w:before="0" w:beforeAutospacing="0" w:after="0" w:afterAutospacing="0" w:line="260" w:lineRule="exact"/>
                    <w:ind w:left="21" w:leftChars="10" w:right="0"/>
                    <w:jc w:val="center"/>
                    <w:rPr>
                      <w:rFonts w:hint="default" w:ascii="Times New Roman" w:hAnsi="Times New Roman" w:eastAsia="宋体"/>
                      <w:color w:val="auto"/>
                      <w:sz w:val="21"/>
                      <w:szCs w:val="21"/>
                      <w:u w:val="none"/>
                      <w:lang w:val="en-US" w:eastAsia="zh-CN"/>
                    </w:rPr>
                  </w:pPr>
                  <w:r>
                    <w:rPr>
                      <w:rFonts w:hint="eastAsia" w:ascii="Times New Roman" w:hAnsi="Times New Roman" w:eastAsia="宋体"/>
                      <w:color w:val="auto"/>
                      <w:sz w:val="21"/>
                      <w:szCs w:val="21"/>
                      <w:u w:val="none"/>
                      <w:lang w:val="en-US" w:eastAsia="zh-CN"/>
                    </w:rPr>
                    <w:t>条</w:t>
                  </w:r>
                </w:p>
              </w:tc>
              <w:tc>
                <w:tcPr>
                  <w:tcW w:w="1391" w:type="dxa"/>
                  <w:tcBorders>
                    <w:top w:val="single" w:color="auto" w:sz="6" w:space="0"/>
                    <w:left w:val="single" w:color="auto" w:sz="6" w:space="0"/>
                    <w:bottom w:val="single" w:color="auto" w:sz="6" w:space="0"/>
                    <w:right w:val="nil"/>
                  </w:tcBorders>
                  <w:noWrap/>
                  <w:vAlign w:val="center"/>
                </w:tcPr>
                <w:p w14:paraId="73BF44F8">
                  <w:pPr>
                    <w:keepNext w:val="0"/>
                    <w:keepLines w:val="0"/>
                    <w:suppressLineNumbers w:val="0"/>
                    <w:kinsoku/>
                    <w:overflowPunct w:val="0"/>
                    <w:spacing w:before="0" w:beforeAutospacing="0" w:after="0" w:afterAutospacing="0" w:line="260" w:lineRule="exact"/>
                    <w:ind w:left="21" w:leftChars="10" w:right="0"/>
                    <w:jc w:val="center"/>
                    <w:rPr>
                      <w:rFonts w:hint="eastAsia" w:ascii="Times New Roman" w:hAnsi="Times New Roman" w:eastAsia="宋体"/>
                      <w:color w:val="auto"/>
                      <w:sz w:val="21"/>
                      <w:szCs w:val="21"/>
                      <w:u w:val="none"/>
                    </w:rPr>
                  </w:pPr>
                  <w:r>
                    <w:rPr>
                      <w:rFonts w:hint="eastAsia" w:ascii="Times New Roman" w:hAnsi="Times New Roman" w:eastAsia="宋体"/>
                      <w:color w:val="auto"/>
                      <w:sz w:val="21"/>
                      <w:u w:val="none"/>
                    </w:rPr>
                    <w:t>刷胶</w:t>
                  </w:r>
                </w:p>
              </w:tc>
            </w:tr>
            <w:tr w14:paraId="543A3DCA">
              <w:tblPrEx>
                <w:tblCellMar>
                  <w:top w:w="0" w:type="dxa"/>
                  <w:left w:w="108" w:type="dxa"/>
                  <w:bottom w:w="0" w:type="dxa"/>
                  <w:right w:w="108" w:type="dxa"/>
                </w:tblCellMar>
              </w:tblPrEx>
              <w:trPr>
                <w:trHeight w:val="90" w:hRule="atLeast"/>
              </w:trPr>
              <w:tc>
                <w:tcPr>
                  <w:tcW w:w="704" w:type="dxa"/>
                  <w:tcBorders>
                    <w:top w:val="single" w:color="auto" w:sz="6" w:space="0"/>
                    <w:left w:val="nil"/>
                    <w:bottom w:val="single" w:color="auto" w:sz="6" w:space="0"/>
                    <w:right w:val="single" w:color="auto" w:sz="6" w:space="0"/>
                  </w:tcBorders>
                  <w:shd w:val="clear" w:color="auto" w:fill="auto"/>
                  <w:noWrap/>
                  <w:vAlign w:val="center"/>
                </w:tcPr>
                <w:p w14:paraId="1F7C3D7B">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b/>
                      <w:bCs/>
                      <w:color w:val="auto"/>
                      <w:kern w:val="2"/>
                      <w:sz w:val="21"/>
                      <w:szCs w:val="21"/>
                      <w:lang w:val="en-US" w:eastAsia="zh-CN" w:bidi="ar-SA"/>
                    </w:rPr>
                  </w:pPr>
                  <w:r>
                    <w:rPr>
                      <w:rFonts w:hint="eastAsia" w:ascii="Times New Roman" w:hAnsi="Times New Roman" w:eastAsia="宋体"/>
                      <w:color w:val="auto"/>
                      <w:sz w:val="21"/>
                      <w:szCs w:val="21"/>
                    </w:rPr>
                    <w:t>2</w:t>
                  </w:r>
                  <w:r>
                    <w:rPr>
                      <w:rFonts w:hint="eastAsia" w:ascii="Times New Roman" w:hAnsi="Times New Roman" w:eastAsia="宋体"/>
                      <w:color w:val="auto"/>
                      <w:sz w:val="21"/>
                      <w:szCs w:val="21"/>
                      <w:lang w:val="en-US" w:eastAsia="zh-CN"/>
                    </w:rPr>
                    <w:t>1</w:t>
                  </w:r>
                </w:p>
              </w:tc>
              <w:tc>
                <w:tcPr>
                  <w:tcW w:w="1604" w:type="dxa"/>
                  <w:tcBorders>
                    <w:top w:val="single" w:color="auto" w:sz="6" w:space="0"/>
                    <w:left w:val="single" w:color="auto" w:sz="6" w:space="0"/>
                    <w:bottom w:val="single" w:color="auto" w:sz="6" w:space="0"/>
                    <w:right w:val="single" w:color="auto" w:sz="6" w:space="0"/>
                  </w:tcBorders>
                  <w:noWrap/>
                  <w:vAlign w:val="center"/>
                </w:tcPr>
                <w:p w14:paraId="2C35CA79">
                  <w:pPr>
                    <w:keepNext w:val="0"/>
                    <w:keepLines w:val="0"/>
                    <w:suppressLineNumbers w:val="0"/>
                    <w:kinsoku/>
                    <w:overflowPunct w:val="0"/>
                    <w:spacing w:before="0" w:beforeAutospacing="0" w:after="0" w:afterAutospacing="0" w:line="260" w:lineRule="exact"/>
                    <w:ind w:left="21" w:leftChars="10" w:right="0"/>
                    <w:jc w:val="center"/>
                    <w:rPr>
                      <w:rFonts w:hint="eastAsia" w:ascii="Times New Roman" w:hAnsi="Times New Roman" w:eastAsia="宋体"/>
                      <w:color w:val="auto"/>
                      <w:sz w:val="21"/>
                      <w:szCs w:val="21"/>
                      <w:u w:val="none"/>
                      <w:lang w:eastAsia="zh-CN"/>
                    </w:rPr>
                  </w:pPr>
                  <w:r>
                    <w:rPr>
                      <w:rFonts w:hint="eastAsia" w:ascii="Times New Roman" w:hAnsi="Times New Roman" w:eastAsia="宋体"/>
                      <w:color w:val="auto"/>
                      <w:sz w:val="21"/>
                      <w:u w:val="none"/>
                      <w:lang w:val="en-US" w:eastAsia="zh-CN"/>
                    </w:rPr>
                    <w:t>烘干机</w:t>
                  </w:r>
                </w:p>
              </w:tc>
              <w:tc>
                <w:tcPr>
                  <w:tcW w:w="1964" w:type="dxa"/>
                  <w:tcBorders>
                    <w:top w:val="single" w:color="auto" w:sz="6" w:space="0"/>
                    <w:left w:val="single" w:color="auto" w:sz="6" w:space="0"/>
                    <w:bottom w:val="single" w:color="auto" w:sz="6" w:space="0"/>
                    <w:right w:val="single" w:color="auto" w:sz="6" w:space="0"/>
                  </w:tcBorders>
                  <w:noWrap/>
                  <w:vAlign w:val="center"/>
                </w:tcPr>
                <w:p w14:paraId="08AA04EB">
                  <w:pPr>
                    <w:keepNext w:val="0"/>
                    <w:keepLines w:val="0"/>
                    <w:suppressLineNumbers w:val="0"/>
                    <w:kinsoku/>
                    <w:overflowPunct w:val="0"/>
                    <w:spacing w:before="0" w:beforeAutospacing="0" w:after="0" w:afterAutospacing="0" w:line="260" w:lineRule="exact"/>
                    <w:ind w:left="21" w:leftChars="10" w:right="0"/>
                    <w:jc w:val="center"/>
                    <w:rPr>
                      <w:rFonts w:hint="default" w:ascii="Times New Roman" w:hAnsi="Times New Roman" w:eastAsia="宋体"/>
                      <w:color w:val="auto"/>
                      <w:sz w:val="21"/>
                      <w:szCs w:val="21"/>
                      <w:u w:val="none"/>
                      <w:lang w:val="en-US" w:eastAsia="zh-CN"/>
                    </w:rPr>
                  </w:pPr>
                  <w:r>
                    <w:rPr>
                      <w:rFonts w:hint="eastAsia" w:ascii="Times New Roman" w:hAnsi="Times New Roman" w:eastAsia="宋体"/>
                      <w:color w:val="auto"/>
                      <w:sz w:val="21"/>
                      <w:szCs w:val="21"/>
                      <w:u w:val="none"/>
                      <w:lang w:val="en-US" w:eastAsia="zh-CN"/>
                    </w:rPr>
                    <w:t>1.5*3*0.5m</w:t>
                  </w:r>
                </w:p>
              </w:tc>
              <w:tc>
                <w:tcPr>
                  <w:tcW w:w="1377" w:type="dxa"/>
                  <w:tcBorders>
                    <w:top w:val="single" w:color="auto" w:sz="6" w:space="0"/>
                    <w:left w:val="single" w:color="auto" w:sz="6" w:space="0"/>
                    <w:bottom w:val="single" w:color="auto" w:sz="6" w:space="0"/>
                    <w:right w:val="single" w:color="auto" w:sz="6" w:space="0"/>
                  </w:tcBorders>
                  <w:noWrap/>
                  <w:vAlign w:val="center"/>
                </w:tcPr>
                <w:p w14:paraId="2B7DD24B">
                  <w:pPr>
                    <w:keepNext w:val="0"/>
                    <w:keepLines w:val="0"/>
                    <w:suppressLineNumbers w:val="0"/>
                    <w:kinsoku/>
                    <w:overflowPunct w:val="0"/>
                    <w:spacing w:before="0" w:beforeAutospacing="0" w:after="0" w:afterAutospacing="0" w:line="260" w:lineRule="exact"/>
                    <w:ind w:left="21" w:leftChars="10" w:right="0"/>
                    <w:jc w:val="center"/>
                    <w:rPr>
                      <w:rFonts w:hint="eastAsia" w:ascii="Times New Roman" w:hAnsi="Times New Roman" w:eastAsia="宋体"/>
                      <w:color w:val="auto"/>
                      <w:sz w:val="21"/>
                      <w:szCs w:val="21"/>
                      <w:u w:val="none"/>
                      <w:lang w:val="en-US" w:eastAsia="zh-CN"/>
                    </w:rPr>
                  </w:pPr>
                  <w:r>
                    <w:rPr>
                      <w:rFonts w:hint="eastAsia"/>
                      <w:color w:val="auto"/>
                      <w:sz w:val="21"/>
                      <w:szCs w:val="21"/>
                      <w:u w:val="none"/>
                      <w:lang w:val="en-US" w:eastAsia="zh-CN"/>
                    </w:rPr>
                    <w:t>6</w:t>
                  </w:r>
                </w:p>
              </w:tc>
              <w:tc>
                <w:tcPr>
                  <w:tcW w:w="1359" w:type="dxa"/>
                  <w:tcBorders>
                    <w:top w:val="single" w:color="auto" w:sz="6" w:space="0"/>
                    <w:left w:val="single" w:color="auto" w:sz="6" w:space="0"/>
                    <w:bottom w:val="single" w:color="auto" w:sz="6" w:space="0"/>
                    <w:right w:val="single" w:color="auto" w:sz="6" w:space="0"/>
                  </w:tcBorders>
                  <w:noWrap/>
                  <w:vAlign w:val="center"/>
                </w:tcPr>
                <w:p w14:paraId="655BAC5F">
                  <w:pPr>
                    <w:keepNext w:val="0"/>
                    <w:keepLines w:val="0"/>
                    <w:suppressLineNumbers w:val="0"/>
                    <w:kinsoku/>
                    <w:overflowPunct w:val="0"/>
                    <w:spacing w:before="0" w:beforeAutospacing="0" w:after="0" w:afterAutospacing="0" w:line="260" w:lineRule="exact"/>
                    <w:ind w:left="21" w:leftChars="10" w:right="0"/>
                    <w:jc w:val="center"/>
                    <w:rPr>
                      <w:rFonts w:hint="eastAsia" w:ascii="Times New Roman" w:hAnsi="Times New Roman" w:eastAsia="宋体"/>
                      <w:color w:val="auto"/>
                      <w:sz w:val="21"/>
                      <w:szCs w:val="21"/>
                      <w:u w:val="none"/>
                      <w:lang w:val="en-US" w:eastAsia="zh-CN"/>
                    </w:rPr>
                  </w:pPr>
                  <w:r>
                    <w:rPr>
                      <w:rFonts w:hint="eastAsia" w:ascii="Times New Roman" w:hAnsi="Times New Roman" w:eastAsia="宋体"/>
                      <w:color w:val="auto"/>
                      <w:sz w:val="21"/>
                      <w:szCs w:val="21"/>
                      <w:u w:val="none"/>
                      <w:lang w:val="en-US" w:eastAsia="zh-CN"/>
                    </w:rPr>
                    <w:t>套</w:t>
                  </w:r>
                </w:p>
              </w:tc>
              <w:tc>
                <w:tcPr>
                  <w:tcW w:w="1391" w:type="dxa"/>
                  <w:tcBorders>
                    <w:top w:val="single" w:color="auto" w:sz="6" w:space="0"/>
                    <w:left w:val="single" w:color="auto" w:sz="6" w:space="0"/>
                    <w:bottom w:val="single" w:color="auto" w:sz="6" w:space="0"/>
                    <w:right w:val="nil"/>
                  </w:tcBorders>
                  <w:noWrap/>
                  <w:vAlign w:val="center"/>
                </w:tcPr>
                <w:p w14:paraId="587683E0">
                  <w:pPr>
                    <w:keepNext w:val="0"/>
                    <w:keepLines w:val="0"/>
                    <w:suppressLineNumbers w:val="0"/>
                    <w:kinsoku/>
                    <w:overflowPunct w:val="0"/>
                    <w:spacing w:before="0" w:beforeAutospacing="0" w:after="0" w:afterAutospacing="0" w:line="260" w:lineRule="exact"/>
                    <w:ind w:left="21" w:leftChars="10" w:right="0"/>
                    <w:jc w:val="center"/>
                    <w:rPr>
                      <w:rFonts w:hint="eastAsia" w:ascii="Times New Roman" w:hAnsi="Times New Roman" w:eastAsia="宋体"/>
                      <w:color w:val="auto"/>
                      <w:sz w:val="21"/>
                      <w:szCs w:val="21"/>
                      <w:u w:val="none"/>
                    </w:rPr>
                  </w:pPr>
                  <w:r>
                    <w:rPr>
                      <w:rFonts w:hint="eastAsia" w:ascii="Times New Roman" w:hAnsi="Times New Roman" w:eastAsia="宋体"/>
                      <w:color w:val="auto"/>
                      <w:sz w:val="21"/>
                      <w:u w:val="none"/>
                    </w:rPr>
                    <w:t>定型</w:t>
                  </w:r>
                </w:p>
              </w:tc>
            </w:tr>
            <w:tr w14:paraId="6F22441D">
              <w:tblPrEx>
                <w:tblCellMar>
                  <w:top w:w="0" w:type="dxa"/>
                  <w:left w:w="108" w:type="dxa"/>
                  <w:bottom w:w="0" w:type="dxa"/>
                  <w:right w:w="108" w:type="dxa"/>
                </w:tblCellMar>
              </w:tblPrEx>
              <w:trPr>
                <w:trHeight w:val="280" w:hRule="atLeast"/>
              </w:trPr>
              <w:tc>
                <w:tcPr>
                  <w:tcW w:w="704" w:type="dxa"/>
                  <w:tcBorders>
                    <w:top w:val="single" w:color="auto" w:sz="6" w:space="0"/>
                    <w:left w:val="nil"/>
                    <w:bottom w:val="single" w:color="auto" w:sz="6" w:space="0"/>
                    <w:right w:val="single" w:color="auto" w:sz="6" w:space="0"/>
                  </w:tcBorders>
                  <w:shd w:val="clear" w:color="auto" w:fill="auto"/>
                  <w:noWrap/>
                  <w:vAlign w:val="center"/>
                </w:tcPr>
                <w:p w14:paraId="68097B90">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22</w:t>
                  </w:r>
                </w:p>
              </w:tc>
              <w:tc>
                <w:tcPr>
                  <w:tcW w:w="1604" w:type="dxa"/>
                  <w:tcBorders>
                    <w:top w:val="single" w:color="auto" w:sz="6" w:space="0"/>
                    <w:left w:val="single" w:color="auto" w:sz="6" w:space="0"/>
                    <w:bottom w:val="single" w:color="auto" w:sz="6" w:space="0"/>
                    <w:right w:val="single" w:color="auto" w:sz="6" w:space="0"/>
                  </w:tcBorders>
                  <w:noWrap/>
                  <w:vAlign w:val="center"/>
                </w:tcPr>
                <w:p w14:paraId="7F31DE22">
                  <w:pPr>
                    <w:keepNext w:val="0"/>
                    <w:keepLines w:val="0"/>
                    <w:suppressLineNumbers w:val="0"/>
                    <w:kinsoku/>
                    <w:overflowPunct w:val="0"/>
                    <w:spacing w:before="0" w:beforeAutospacing="0" w:after="0" w:afterAutospacing="0" w:line="260" w:lineRule="exact"/>
                    <w:ind w:left="21" w:leftChars="10" w:right="0"/>
                    <w:jc w:val="center"/>
                    <w:rPr>
                      <w:rFonts w:hint="eastAsia" w:ascii="Times New Roman" w:hAnsi="Times New Roman" w:eastAsia="宋体"/>
                      <w:color w:val="auto"/>
                      <w:sz w:val="21"/>
                      <w:u w:val="none"/>
                    </w:rPr>
                  </w:pPr>
                  <w:r>
                    <w:rPr>
                      <w:rFonts w:hint="eastAsia" w:ascii="Times New Roman" w:hAnsi="Times New Roman" w:eastAsia="宋体"/>
                      <w:color w:val="auto"/>
                      <w:sz w:val="21"/>
                      <w:u w:val="none"/>
                    </w:rPr>
                    <w:t>过胶机</w:t>
                  </w:r>
                </w:p>
              </w:tc>
              <w:tc>
                <w:tcPr>
                  <w:tcW w:w="1964" w:type="dxa"/>
                  <w:tcBorders>
                    <w:top w:val="single" w:color="auto" w:sz="6" w:space="0"/>
                    <w:left w:val="single" w:color="auto" w:sz="6" w:space="0"/>
                    <w:bottom w:val="single" w:color="auto" w:sz="6" w:space="0"/>
                    <w:right w:val="single" w:color="auto" w:sz="6" w:space="0"/>
                  </w:tcBorders>
                  <w:noWrap/>
                  <w:vAlign w:val="center"/>
                </w:tcPr>
                <w:p w14:paraId="58D28AA5">
                  <w:pPr>
                    <w:keepNext w:val="0"/>
                    <w:keepLines w:val="0"/>
                    <w:suppressLineNumbers w:val="0"/>
                    <w:kinsoku/>
                    <w:overflowPunct w:val="0"/>
                    <w:spacing w:before="0" w:beforeAutospacing="0" w:after="0" w:afterAutospacing="0" w:line="260" w:lineRule="exact"/>
                    <w:ind w:left="21" w:leftChars="10" w:right="0"/>
                    <w:jc w:val="center"/>
                    <w:rPr>
                      <w:rFonts w:hint="eastAsia" w:ascii="Times New Roman" w:hAnsi="Times New Roman" w:eastAsia="宋体"/>
                      <w:color w:val="auto"/>
                      <w:sz w:val="21"/>
                      <w:u w:val="none"/>
                      <w:lang w:val="en-US" w:eastAsia="zh-CN"/>
                    </w:rPr>
                  </w:pPr>
                  <w:r>
                    <w:rPr>
                      <w:rFonts w:hint="eastAsia" w:ascii="Times New Roman" w:hAnsi="Times New Roman" w:eastAsia="宋体"/>
                      <w:color w:val="auto"/>
                      <w:sz w:val="21"/>
                      <w:u w:val="none"/>
                      <w:lang w:val="en-US" w:eastAsia="zh-CN"/>
                    </w:rPr>
                    <w:t>/</w:t>
                  </w:r>
                </w:p>
              </w:tc>
              <w:tc>
                <w:tcPr>
                  <w:tcW w:w="1377" w:type="dxa"/>
                  <w:tcBorders>
                    <w:top w:val="single" w:color="auto" w:sz="6" w:space="0"/>
                    <w:left w:val="single" w:color="auto" w:sz="6" w:space="0"/>
                    <w:bottom w:val="single" w:color="auto" w:sz="6" w:space="0"/>
                    <w:right w:val="single" w:color="auto" w:sz="6" w:space="0"/>
                  </w:tcBorders>
                  <w:noWrap/>
                  <w:vAlign w:val="center"/>
                </w:tcPr>
                <w:p w14:paraId="7D3E4E90">
                  <w:pPr>
                    <w:keepNext w:val="0"/>
                    <w:keepLines w:val="0"/>
                    <w:suppressLineNumbers w:val="0"/>
                    <w:kinsoku/>
                    <w:overflowPunct w:val="0"/>
                    <w:spacing w:before="0" w:beforeAutospacing="0" w:after="0" w:afterAutospacing="0" w:line="260" w:lineRule="exact"/>
                    <w:ind w:left="21" w:leftChars="10" w:right="0"/>
                    <w:jc w:val="center"/>
                    <w:rPr>
                      <w:rFonts w:hint="default" w:ascii="Times New Roman" w:hAnsi="Times New Roman" w:eastAsia="宋体"/>
                      <w:color w:val="auto"/>
                      <w:sz w:val="21"/>
                      <w:u w:val="none"/>
                      <w:lang w:val="en-US" w:eastAsia="zh-CN"/>
                    </w:rPr>
                  </w:pPr>
                  <w:r>
                    <w:rPr>
                      <w:rFonts w:hint="eastAsia" w:ascii="Times New Roman" w:hAnsi="Times New Roman" w:eastAsia="宋体"/>
                      <w:color w:val="auto"/>
                      <w:sz w:val="21"/>
                      <w:u w:val="none"/>
                      <w:lang w:val="en-US" w:eastAsia="zh-CN"/>
                    </w:rPr>
                    <w:t>2</w:t>
                  </w:r>
                </w:p>
              </w:tc>
              <w:tc>
                <w:tcPr>
                  <w:tcW w:w="1359" w:type="dxa"/>
                  <w:tcBorders>
                    <w:top w:val="single" w:color="auto" w:sz="6" w:space="0"/>
                    <w:left w:val="single" w:color="auto" w:sz="6" w:space="0"/>
                    <w:bottom w:val="single" w:color="auto" w:sz="6" w:space="0"/>
                    <w:right w:val="single" w:color="auto" w:sz="6" w:space="0"/>
                  </w:tcBorders>
                  <w:noWrap/>
                  <w:vAlign w:val="center"/>
                </w:tcPr>
                <w:p w14:paraId="59711C31">
                  <w:pPr>
                    <w:keepNext w:val="0"/>
                    <w:keepLines w:val="0"/>
                    <w:suppressLineNumbers w:val="0"/>
                    <w:kinsoku/>
                    <w:overflowPunct w:val="0"/>
                    <w:spacing w:before="0" w:beforeAutospacing="0" w:after="0" w:afterAutospacing="0" w:line="260" w:lineRule="exact"/>
                    <w:ind w:left="21" w:leftChars="10" w:right="0"/>
                    <w:jc w:val="center"/>
                    <w:rPr>
                      <w:rFonts w:hint="eastAsia" w:ascii="Times New Roman" w:hAnsi="Times New Roman" w:eastAsia="宋体"/>
                      <w:color w:val="auto"/>
                      <w:sz w:val="21"/>
                      <w:u w:val="none"/>
                    </w:rPr>
                  </w:pPr>
                  <w:r>
                    <w:rPr>
                      <w:rFonts w:hint="eastAsia" w:ascii="Times New Roman" w:hAnsi="Times New Roman" w:eastAsia="宋体"/>
                      <w:color w:val="auto"/>
                      <w:sz w:val="21"/>
                      <w:u w:val="none"/>
                    </w:rPr>
                    <w:t>台</w:t>
                  </w:r>
                </w:p>
              </w:tc>
              <w:tc>
                <w:tcPr>
                  <w:tcW w:w="1391" w:type="dxa"/>
                  <w:tcBorders>
                    <w:top w:val="single" w:color="auto" w:sz="6" w:space="0"/>
                    <w:left w:val="single" w:color="auto" w:sz="6" w:space="0"/>
                    <w:bottom w:val="single" w:color="auto" w:sz="6" w:space="0"/>
                    <w:right w:val="nil"/>
                  </w:tcBorders>
                  <w:noWrap/>
                  <w:vAlign w:val="center"/>
                </w:tcPr>
                <w:p w14:paraId="2E4D5164">
                  <w:pPr>
                    <w:keepNext w:val="0"/>
                    <w:keepLines w:val="0"/>
                    <w:suppressLineNumbers w:val="0"/>
                    <w:kinsoku/>
                    <w:overflowPunct w:val="0"/>
                    <w:spacing w:before="0" w:beforeAutospacing="0" w:after="0" w:afterAutospacing="0" w:line="260" w:lineRule="exact"/>
                    <w:ind w:left="21" w:leftChars="10" w:right="0"/>
                    <w:jc w:val="center"/>
                    <w:rPr>
                      <w:rFonts w:hint="default" w:ascii="Times New Roman" w:hAnsi="Times New Roman" w:eastAsia="宋体"/>
                      <w:color w:val="auto"/>
                      <w:sz w:val="21"/>
                      <w:u w:val="none"/>
                      <w:lang w:val="en-US" w:eastAsia="zh-CN"/>
                    </w:rPr>
                  </w:pPr>
                  <w:r>
                    <w:rPr>
                      <w:rFonts w:hint="eastAsia" w:ascii="Times New Roman" w:hAnsi="Times New Roman" w:eastAsia="宋体"/>
                      <w:color w:val="auto"/>
                      <w:sz w:val="21"/>
                      <w:u w:val="none"/>
                      <w:lang w:val="en-US" w:eastAsia="zh-CN"/>
                    </w:rPr>
                    <w:t>上胶</w:t>
                  </w:r>
                </w:p>
              </w:tc>
            </w:tr>
            <w:tr w14:paraId="0D46101A">
              <w:tblPrEx>
                <w:tblCellMar>
                  <w:top w:w="0" w:type="dxa"/>
                  <w:left w:w="108" w:type="dxa"/>
                  <w:bottom w:w="0" w:type="dxa"/>
                  <w:right w:w="108" w:type="dxa"/>
                </w:tblCellMar>
              </w:tblPrEx>
              <w:trPr>
                <w:trHeight w:val="280" w:hRule="atLeast"/>
              </w:trPr>
              <w:tc>
                <w:tcPr>
                  <w:tcW w:w="704" w:type="dxa"/>
                  <w:tcBorders>
                    <w:top w:val="single" w:color="auto" w:sz="6" w:space="0"/>
                    <w:left w:val="nil"/>
                    <w:bottom w:val="single" w:color="auto" w:sz="6" w:space="0"/>
                    <w:right w:val="single" w:color="auto" w:sz="6" w:space="0"/>
                  </w:tcBorders>
                  <w:shd w:val="clear" w:color="auto" w:fill="auto"/>
                  <w:noWrap/>
                  <w:vAlign w:val="center"/>
                </w:tcPr>
                <w:p w14:paraId="7551C5E9">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olor w:val="auto"/>
                      <w:sz w:val="21"/>
                      <w:szCs w:val="21"/>
                    </w:rPr>
                    <w:t>2</w:t>
                  </w:r>
                  <w:r>
                    <w:rPr>
                      <w:rFonts w:hint="eastAsia" w:ascii="Times New Roman" w:hAnsi="Times New Roman" w:eastAsia="宋体"/>
                      <w:color w:val="auto"/>
                      <w:sz w:val="21"/>
                      <w:szCs w:val="21"/>
                      <w:lang w:val="en-US" w:eastAsia="zh-CN"/>
                    </w:rPr>
                    <w:t>3</w:t>
                  </w:r>
                </w:p>
              </w:tc>
              <w:tc>
                <w:tcPr>
                  <w:tcW w:w="1604" w:type="dxa"/>
                  <w:tcBorders>
                    <w:top w:val="single" w:color="auto" w:sz="6" w:space="0"/>
                    <w:left w:val="single" w:color="auto" w:sz="6" w:space="0"/>
                    <w:bottom w:val="single" w:color="auto" w:sz="6" w:space="0"/>
                    <w:right w:val="single" w:color="auto" w:sz="6" w:space="0"/>
                  </w:tcBorders>
                  <w:noWrap/>
                  <w:vAlign w:val="center"/>
                </w:tcPr>
                <w:p w14:paraId="761EF0C6">
                  <w:pPr>
                    <w:keepNext w:val="0"/>
                    <w:keepLines w:val="0"/>
                    <w:suppressLineNumbers w:val="0"/>
                    <w:kinsoku/>
                    <w:overflowPunct w:val="0"/>
                    <w:spacing w:before="0" w:beforeAutospacing="0" w:after="0" w:afterAutospacing="0" w:line="260" w:lineRule="exact"/>
                    <w:ind w:left="21" w:leftChars="10" w:right="0"/>
                    <w:jc w:val="center"/>
                    <w:rPr>
                      <w:rFonts w:hint="eastAsia" w:ascii="Times New Roman" w:hAnsi="Times New Roman" w:eastAsia="宋体"/>
                      <w:color w:val="auto"/>
                      <w:sz w:val="21"/>
                      <w:szCs w:val="21"/>
                      <w:u w:val="none"/>
                    </w:rPr>
                  </w:pPr>
                  <w:r>
                    <w:rPr>
                      <w:rFonts w:hint="eastAsia" w:ascii="Times New Roman" w:hAnsi="Times New Roman" w:eastAsia="宋体"/>
                      <w:color w:val="auto"/>
                      <w:sz w:val="21"/>
                      <w:u w:val="none"/>
                    </w:rPr>
                    <w:t>打扣机</w:t>
                  </w:r>
                </w:p>
              </w:tc>
              <w:tc>
                <w:tcPr>
                  <w:tcW w:w="1964" w:type="dxa"/>
                  <w:tcBorders>
                    <w:top w:val="single" w:color="auto" w:sz="6" w:space="0"/>
                    <w:left w:val="single" w:color="auto" w:sz="6" w:space="0"/>
                    <w:bottom w:val="single" w:color="auto" w:sz="6" w:space="0"/>
                    <w:right w:val="single" w:color="auto" w:sz="6" w:space="0"/>
                  </w:tcBorders>
                  <w:noWrap/>
                  <w:vAlign w:val="center"/>
                </w:tcPr>
                <w:p w14:paraId="23E17262">
                  <w:pPr>
                    <w:keepNext w:val="0"/>
                    <w:keepLines w:val="0"/>
                    <w:suppressLineNumbers w:val="0"/>
                    <w:kinsoku/>
                    <w:overflowPunct w:val="0"/>
                    <w:spacing w:before="0" w:beforeAutospacing="0" w:after="0" w:afterAutospacing="0" w:line="260" w:lineRule="exact"/>
                    <w:ind w:left="21" w:leftChars="10" w:right="0"/>
                    <w:jc w:val="center"/>
                    <w:rPr>
                      <w:rFonts w:hint="eastAsia" w:ascii="Times New Roman" w:hAnsi="Times New Roman" w:eastAsia="宋体"/>
                      <w:color w:val="auto"/>
                      <w:sz w:val="21"/>
                      <w:szCs w:val="21"/>
                      <w:u w:val="none"/>
                    </w:rPr>
                  </w:pPr>
                  <w:r>
                    <w:rPr>
                      <w:rFonts w:hint="eastAsia" w:ascii="Times New Roman" w:hAnsi="Times New Roman" w:eastAsia="宋体"/>
                      <w:color w:val="auto"/>
                      <w:sz w:val="21"/>
                      <w:u w:val="none"/>
                    </w:rPr>
                    <w:t>/</w:t>
                  </w:r>
                </w:p>
              </w:tc>
              <w:tc>
                <w:tcPr>
                  <w:tcW w:w="1377" w:type="dxa"/>
                  <w:tcBorders>
                    <w:top w:val="single" w:color="auto" w:sz="6" w:space="0"/>
                    <w:left w:val="single" w:color="auto" w:sz="6" w:space="0"/>
                    <w:bottom w:val="single" w:color="auto" w:sz="6" w:space="0"/>
                    <w:right w:val="single" w:color="auto" w:sz="6" w:space="0"/>
                  </w:tcBorders>
                  <w:noWrap/>
                  <w:vAlign w:val="center"/>
                </w:tcPr>
                <w:p w14:paraId="7C8AC05A">
                  <w:pPr>
                    <w:keepNext w:val="0"/>
                    <w:keepLines w:val="0"/>
                    <w:suppressLineNumbers w:val="0"/>
                    <w:kinsoku/>
                    <w:overflowPunct w:val="0"/>
                    <w:spacing w:before="0" w:beforeAutospacing="0" w:after="0" w:afterAutospacing="0" w:line="260" w:lineRule="exact"/>
                    <w:ind w:left="21" w:leftChars="10" w:right="0"/>
                    <w:jc w:val="center"/>
                    <w:rPr>
                      <w:rFonts w:hint="default" w:ascii="Times New Roman" w:hAnsi="Times New Roman" w:eastAsia="宋体"/>
                      <w:color w:val="auto"/>
                      <w:sz w:val="21"/>
                      <w:szCs w:val="21"/>
                      <w:u w:val="none"/>
                      <w:lang w:val="en-US" w:eastAsia="zh-CN"/>
                    </w:rPr>
                  </w:pPr>
                  <w:r>
                    <w:rPr>
                      <w:rFonts w:hint="eastAsia" w:ascii="Times New Roman" w:hAnsi="Times New Roman" w:eastAsia="宋体"/>
                      <w:color w:val="auto"/>
                      <w:sz w:val="21"/>
                      <w:u w:val="none"/>
                      <w:lang w:eastAsia="zh-CN"/>
                    </w:rPr>
                    <w:t>1</w:t>
                  </w:r>
                  <w:r>
                    <w:rPr>
                      <w:rFonts w:hint="eastAsia" w:ascii="Times New Roman" w:hAnsi="Times New Roman" w:eastAsia="宋体"/>
                      <w:color w:val="auto"/>
                      <w:sz w:val="21"/>
                      <w:u w:val="none"/>
                      <w:lang w:val="en-US" w:eastAsia="zh-CN"/>
                    </w:rPr>
                    <w:t>0</w:t>
                  </w:r>
                </w:p>
              </w:tc>
              <w:tc>
                <w:tcPr>
                  <w:tcW w:w="1359" w:type="dxa"/>
                  <w:tcBorders>
                    <w:top w:val="single" w:color="auto" w:sz="6" w:space="0"/>
                    <w:left w:val="single" w:color="auto" w:sz="6" w:space="0"/>
                    <w:bottom w:val="single" w:color="auto" w:sz="6" w:space="0"/>
                    <w:right w:val="single" w:color="auto" w:sz="6" w:space="0"/>
                  </w:tcBorders>
                  <w:noWrap/>
                  <w:vAlign w:val="center"/>
                </w:tcPr>
                <w:p w14:paraId="412F019F">
                  <w:pPr>
                    <w:keepNext w:val="0"/>
                    <w:keepLines w:val="0"/>
                    <w:suppressLineNumbers w:val="0"/>
                    <w:kinsoku/>
                    <w:overflowPunct w:val="0"/>
                    <w:spacing w:before="0" w:beforeAutospacing="0" w:after="0" w:afterAutospacing="0" w:line="260" w:lineRule="exact"/>
                    <w:ind w:left="21" w:leftChars="10" w:right="0"/>
                    <w:jc w:val="center"/>
                    <w:rPr>
                      <w:rFonts w:hint="eastAsia" w:ascii="Times New Roman" w:hAnsi="Times New Roman" w:eastAsia="宋体"/>
                      <w:color w:val="auto"/>
                      <w:sz w:val="21"/>
                      <w:szCs w:val="21"/>
                      <w:u w:val="none"/>
                    </w:rPr>
                  </w:pPr>
                  <w:r>
                    <w:rPr>
                      <w:rFonts w:hint="eastAsia" w:ascii="Times New Roman" w:hAnsi="Times New Roman" w:eastAsia="宋体"/>
                      <w:color w:val="auto"/>
                      <w:sz w:val="21"/>
                      <w:u w:val="none"/>
                    </w:rPr>
                    <w:t>台</w:t>
                  </w:r>
                </w:p>
              </w:tc>
              <w:tc>
                <w:tcPr>
                  <w:tcW w:w="1391" w:type="dxa"/>
                  <w:tcBorders>
                    <w:top w:val="single" w:color="auto" w:sz="6" w:space="0"/>
                    <w:left w:val="single" w:color="auto" w:sz="6" w:space="0"/>
                    <w:bottom w:val="single" w:color="auto" w:sz="6" w:space="0"/>
                    <w:right w:val="nil"/>
                  </w:tcBorders>
                  <w:noWrap/>
                  <w:vAlign w:val="center"/>
                </w:tcPr>
                <w:p w14:paraId="0C726177">
                  <w:pPr>
                    <w:keepNext w:val="0"/>
                    <w:keepLines w:val="0"/>
                    <w:suppressLineNumbers w:val="0"/>
                    <w:kinsoku/>
                    <w:overflowPunct w:val="0"/>
                    <w:spacing w:before="0" w:beforeAutospacing="0" w:after="0" w:afterAutospacing="0" w:line="260" w:lineRule="exact"/>
                    <w:ind w:left="21" w:leftChars="10" w:right="0"/>
                    <w:jc w:val="center"/>
                    <w:rPr>
                      <w:rFonts w:hint="eastAsia" w:ascii="Times New Roman" w:hAnsi="Times New Roman" w:eastAsia="宋体"/>
                      <w:color w:val="auto"/>
                      <w:sz w:val="21"/>
                      <w:szCs w:val="21"/>
                      <w:u w:val="none"/>
                    </w:rPr>
                  </w:pPr>
                  <w:r>
                    <w:rPr>
                      <w:rFonts w:hint="eastAsia" w:ascii="Times New Roman" w:hAnsi="Times New Roman" w:eastAsia="宋体"/>
                      <w:color w:val="auto"/>
                      <w:sz w:val="21"/>
                      <w:u w:val="none"/>
                    </w:rPr>
                    <w:t>打扣</w:t>
                  </w:r>
                </w:p>
              </w:tc>
            </w:tr>
            <w:tr w14:paraId="778EA70B">
              <w:tblPrEx>
                <w:tblCellMar>
                  <w:top w:w="0" w:type="dxa"/>
                  <w:left w:w="108" w:type="dxa"/>
                  <w:bottom w:w="0" w:type="dxa"/>
                  <w:right w:w="108" w:type="dxa"/>
                </w:tblCellMar>
              </w:tblPrEx>
              <w:trPr>
                <w:trHeight w:val="90" w:hRule="atLeast"/>
              </w:trPr>
              <w:tc>
                <w:tcPr>
                  <w:tcW w:w="704" w:type="dxa"/>
                  <w:tcBorders>
                    <w:top w:val="single" w:color="auto" w:sz="6" w:space="0"/>
                    <w:left w:val="nil"/>
                    <w:bottom w:val="single" w:color="auto" w:sz="6" w:space="0"/>
                    <w:right w:val="single" w:color="auto" w:sz="6" w:space="0"/>
                  </w:tcBorders>
                  <w:shd w:val="clear" w:color="auto" w:fill="auto"/>
                  <w:noWrap/>
                  <w:vAlign w:val="center"/>
                </w:tcPr>
                <w:p w14:paraId="30740F35">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olor w:val="auto"/>
                      <w:sz w:val="21"/>
                      <w:szCs w:val="21"/>
                      <w:lang w:val="en-US" w:eastAsia="zh-CN"/>
                    </w:rPr>
                    <w:t>24</w:t>
                  </w:r>
                </w:p>
              </w:tc>
              <w:tc>
                <w:tcPr>
                  <w:tcW w:w="1604" w:type="dxa"/>
                  <w:tcBorders>
                    <w:top w:val="single" w:color="auto" w:sz="6" w:space="0"/>
                    <w:left w:val="single" w:color="auto" w:sz="6" w:space="0"/>
                    <w:bottom w:val="single" w:color="auto" w:sz="6" w:space="0"/>
                    <w:right w:val="single" w:color="auto" w:sz="6" w:space="0"/>
                  </w:tcBorders>
                  <w:noWrap/>
                  <w:vAlign w:val="center"/>
                </w:tcPr>
                <w:p w14:paraId="244AAADC">
                  <w:pPr>
                    <w:keepNext w:val="0"/>
                    <w:keepLines w:val="0"/>
                    <w:suppressLineNumbers w:val="0"/>
                    <w:kinsoku/>
                    <w:overflowPunct w:val="0"/>
                    <w:spacing w:before="0" w:beforeAutospacing="0" w:after="0" w:afterAutospacing="0" w:line="260" w:lineRule="exact"/>
                    <w:ind w:left="21" w:leftChars="10" w:right="0"/>
                    <w:jc w:val="center"/>
                    <w:rPr>
                      <w:rFonts w:hint="default" w:ascii="Times New Roman" w:hAnsi="Times New Roman" w:eastAsia="宋体"/>
                      <w:color w:val="auto"/>
                      <w:sz w:val="21"/>
                      <w:u w:val="none"/>
                      <w:lang w:val="en-US" w:eastAsia="zh-CN"/>
                    </w:rPr>
                  </w:pPr>
                  <w:r>
                    <w:rPr>
                      <w:rFonts w:hint="eastAsia"/>
                      <w:color w:val="auto"/>
                      <w:sz w:val="21"/>
                      <w:u w:val="none"/>
                      <w:lang w:val="en-US" w:eastAsia="zh-CN"/>
                    </w:rPr>
                    <w:t>冲孔机</w:t>
                  </w:r>
                </w:p>
              </w:tc>
              <w:tc>
                <w:tcPr>
                  <w:tcW w:w="1964" w:type="dxa"/>
                  <w:tcBorders>
                    <w:top w:val="single" w:color="auto" w:sz="6" w:space="0"/>
                    <w:left w:val="single" w:color="auto" w:sz="6" w:space="0"/>
                    <w:bottom w:val="single" w:color="auto" w:sz="6" w:space="0"/>
                    <w:right w:val="single" w:color="auto" w:sz="6" w:space="0"/>
                  </w:tcBorders>
                  <w:noWrap/>
                  <w:vAlign w:val="center"/>
                </w:tcPr>
                <w:p w14:paraId="3FF13473">
                  <w:pPr>
                    <w:keepNext w:val="0"/>
                    <w:keepLines w:val="0"/>
                    <w:suppressLineNumbers w:val="0"/>
                    <w:kinsoku/>
                    <w:overflowPunct w:val="0"/>
                    <w:spacing w:before="0" w:beforeAutospacing="0" w:after="0" w:afterAutospacing="0" w:line="260" w:lineRule="exact"/>
                    <w:ind w:left="21" w:leftChars="10" w:right="0"/>
                    <w:jc w:val="center"/>
                    <w:rPr>
                      <w:rFonts w:hint="eastAsia" w:ascii="Times New Roman" w:hAnsi="Times New Roman" w:eastAsia="宋体"/>
                      <w:color w:val="auto"/>
                      <w:sz w:val="21"/>
                      <w:u w:val="none"/>
                    </w:rPr>
                  </w:pPr>
                  <w:r>
                    <w:rPr>
                      <w:rFonts w:hint="eastAsia" w:ascii="Times New Roman" w:hAnsi="Times New Roman" w:eastAsia="宋体"/>
                      <w:color w:val="auto"/>
                      <w:sz w:val="21"/>
                      <w:u w:val="none"/>
                    </w:rPr>
                    <w:t>/</w:t>
                  </w:r>
                </w:p>
              </w:tc>
              <w:tc>
                <w:tcPr>
                  <w:tcW w:w="1377" w:type="dxa"/>
                  <w:tcBorders>
                    <w:top w:val="single" w:color="auto" w:sz="6" w:space="0"/>
                    <w:left w:val="single" w:color="auto" w:sz="6" w:space="0"/>
                    <w:bottom w:val="single" w:color="auto" w:sz="6" w:space="0"/>
                    <w:right w:val="single" w:color="auto" w:sz="6" w:space="0"/>
                  </w:tcBorders>
                  <w:noWrap/>
                  <w:vAlign w:val="center"/>
                </w:tcPr>
                <w:p w14:paraId="72A3CF28">
                  <w:pPr>
                    <w:keepNext w:val="0"/>
                    <w:keepLines w:val="0"/>
                    <w:suppressLineNumbers w:val="0"/>
                    <w:kinsoku/>
                    <w:overflowPunct w:val="0"/>
                    <w:spacing w:before="0" w:beforeAutospacing="0" w:after="0" w:afterAutospacing="0" w:line="260" w:lineRule="exact"/>
                    <w:ind w:left="21" w:leftChars="10" w:right="0"/>
                    <w:jc w:val="center"/>
                    <w:rPr>
                      <w:rFonts w:hint="default" w:ascii="Times New Roman" w:hAnsi="Times New Roman" w:eastAsia="宋体"/>
                      <w:color w:val="auto"/>
                      <w:sz w:val="21"/>
                      <w:u w:val="none"/>
                      <w:lang w:val="en-US" w:eastAsia="zh-CN"/>
                    </w:rPr>
                  </w:pPr>
                  <w:r>
                    <w:rPr>
                      <w:rFonts w:hint="eastAsia"/>
                      <w:color w:val="auto"/>
                      <w:sz w:val="21"/>
                      <w:u w:val="none"/>
                      <w:lang w:val="en-US" w:eastAsia="zh-CN"/>
                    </w:rPr>
                    <w:t>10</w:t>
                  </w:r>
                </w:p>
              </w:tc>
              <w:tc>
                <w:tcPr>
                  <w:tcW w:w="1359" w:type="dxa"/>
                  <w:tcBorders>
                    <w:top w:val="single" w:color="auto" w:sz="6" w:space="0"/>
                    <w:left w:val="single" w:color="auto" w:sz="6" w:space="0"/>
                    <w:bottom w:val="single" w:color="auto" w:sz="6" w:space="0"/>
                    <w:right w:val="single" w:color="auto" w:sz="6" w:space="0"/>
                  </w:tcBorders>
                  <w:noWrap/>
                  <w:vAlign w:val="center"/>
                </w:tcPr>
                <w:p w14:paraId="58CB3054">
                  <w:pPr>
                    <w:keepNext w:val="0"/>
                    <w:keepLines w:val="0"/>
                    <w:suppressLineNumbers w:val="0"/>
                    <w:kinsoku/>
                    <w:overflowPunct w:val="0"/>
                    <w:spacing w:before="0" w:beforeAutospacing="0" w:after="0" w:afterAutospacing="0" w:line="260" w:lineRule="exact"/>
                    <w:ind w:left="21" w:leftChars="10" w:right="0"/>
                    <w:jc w:val="center"/>
                    <w:rPr>
                      <w:rFonts w:hint="eastAsia" w:ascii="Times New Roman" w:hAnsi="Times New Roman" w:eastAsia="宋体"/>
                      <w:color w:val="auto"/>
                      <w:sz w:val="21"/>
                      <w:u w:val="none"/>
                    </w:rPr>
                  </w:pPr>
                  <w:r>
                    <w:rPr>
                      <w:rFonts w:hint="eastAsia" w:ascii="Times New Roman" w:hAnsi="Times New Roman" w:eastAsia="宋体"/>
                      <w:color w:val="auto"/>
                      <w:sz w:val="21"/>
                      <w:u w:val="none"/>
                    </w:rPr>
                    <w:t>台</w:t>
                  </w:r>
                </w:p>
              </w:tc>
              <w:tc>
                <w:tcPr>
                  <w:tcW w:w="1391" w:type="dxa"/>
                  <w:tcBorders>
                    <w:top w:val="single" w:color="auto" w:sz="6" w:space="0"/>
                    <w:left w:val="single" w:color="auto" w:sz="6" w:space="0"/>
                    <w:bottom w:val="single" w:color="auto" w:sz="6" w:space="0"/>
                    <w:right w:val="nil"/>
                  </w:tcBorders>
                  <w:noWrap/>
                  <w:vAlign w:val="center"/>
                </w:tcPr>
                <w:p w14:paraId="46F3F8AA">
                  <w:pPr>
                    <w:keepNext w:val="0"/>
                    <w:keepLines w:val="0"/>
                    <w:suppressLineNumbers w:val="0"/>
                    <w:kinsoku/>
                    <w:overflowPunct w:val="0"/>
                    <w:spacing w:before="0" w:beforeAutospacing="0" w:after="0" w:afterAutospacing="0" w:line="260" w:lineRule="exact"/>
                    <w:ind w:left="21" w:leftChars="10" w:right="0"/>
                    <w:jc w:val="center"/>
                    <w:rPr>
                      <w:rFonts w:hint="eastAsia" w:ascii="Times New Roman" w:hAnsi="Times New Roman" w:eastAsia="宋体"/>
                      <w:color w:val="auto"/>
                      <w:sz w:val="21"/>
                      <w:u w:val="none"/>
                      <w:lang w:val="en-US" w:eastAsia="zh-CN"/>
                    </w:rPr>
                  </w:pPr>
                  <w:r>
                    <w:rPr>
                      <w:rFonts w:hint="eastAsia"/>
                      <w:color w:val="auto"/>
                      <w:sz w:val="21"/>
                      <w:u w:val="none"/>
                      <w:lang w:val="en-US" w:eastAsia="zh-CN"/>
                    </w:rPr>
                    <w:t>冲孔</w:t>
                  </w:r>
                </w:p>
              </w:tc>
            </w:tr>
            <w:tr w14:paraId="217B76C6">
              <w:tblPrEx>
                <w:tblCellMar>
                  <w:top w:w="0" w:type="dxa"/>
                  <w:left w:w="108" w:type="dxa"/>
                  <w:bottom w:w="0" w:type="dxa"/>
                  <w:right w:w="108" w:type="dxa"/>
                </w:tblCellMar>
              </w:tblPrEx>
              <w:trPr>
                <w:trHeight w:val="280" w:hRule="atLeast"/>
              </w:trPr>
              <w:tc>
                <w:tcPr>
                  <w:tcW w:w="704" w:type="dxa"/>
                  <w:tcBorders>
                    <w:top w:val="single" w:color="auto" w:sz="6" w:space="0"/>
                    <w:left w:val="nil"/>
                    <w:bottom w:val="single" w:color="auto" w:sz="6" w:space="0"/>
                    <w:right w:val="single" w:color="auto" w:sz="6" w:space="0"/>
                  </w:tcBorders>
                  <w:shd w:val="clear" w:color="auto" w:fill="auto"/>
                  <w:noWrap/>
                  <w:vAlign w:val="center"/>
                </w:tcPr>
                <w:p w14:paraId="6C86913A">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olor w:val="auto"/>
                      <w:sz w:val="21"/>
                      <w:szCs w:val="21"/>
                      <w:lang w:val="en-US" w:eastAsia="zh-CN"/>
                    </w:rPr>
                    <w:t>25</w:t>
                  </w:r>
                </w:p>
              </w:tc>
              <w:tc>
                <w:tcPr>
                  <w:tcW w:w="1604" w:type="dxa"/>
                  <w:tcBorders>
                    <w:top w:val="single" w:color="auto" w:sz="6" w:space="0"/>
                    <w:left w:val="single" w:color="auto" w:sz="6" w:space="0"/>
                    <w:bottom w:val="single" w:color="auto" w:sz="6" w:space="0"/>
                    <w:right w:val="single" w:color="auto" w:sz="6" w:space="0"/>
                  </w:tcBorders>
                  <w:noWrap/>
                  <w:vAlign w:val="center"/>
                </w:tcPr>
                <w:p w14:paraId="3D743D8E">
                  <w:pPr>
                    <w:keepNext w:val="0"/>
                    <w:keepLines w:val="0"/>
                    <w:suppressLineNumbers w:val="0"/>
                    <w:kinsoku/>
                    <w:overflowPunct w:val="0"/>
                    <w:spacing w:before="0" w:beforeAutospacing="0" w:after="0" w:afterAutospacing="0" w:line="260" w:lineRule="exact"/>
                    <w:ind w:left="21" w:leftChars="10" w:right="0"/>
                    <w:jc w:val="center"/>
                    <w:rPr>
                      <w:rFonts w:hint="eastAsia" w:ascii="Times New Roman" w:hAnsi="Times New Roman" w:eastAsia="宋体"/>
                      <w:color w:val="auto"/>
                      <w:sz w:val="21"/>
                      <w:szCs w:val="21"/>
                      <w:u w:val="none"/>
                    </w:rPr>
                  </w:pPr>
                  <w:r>
                    <w:rPr>
                      <w:rFonts w:hint="eastAsia" w:ascii="Times New Roman" w:hAnsi="Times New Roman" w:eastAsia="宋体"/>
                      <w:color w:val="auto"/>
                      <w:sz w:val="21"/>
                      <w:u w:val="none"/>
                    </w:rPr>
                    <w:t>贴合机</w:t>
                  </w:r>
                </w:p>
              </w:tc>
              <w:tc>
                <w:tcPr>
                  <w:tcW w:w="1964" w:type="dxa"/>
                  <w:tcBorders>
                    <w:top w:val="single" w:color="auto" w:sz="6" w:space="0"/>
                    <w:left w:val="single" w:color="auto" w:sz="6" w:space="0"/>
                    <w:bottom w:val="single" w:color="auto" w:sz="6" w:space="0"/>
                    <w:right w:val="single" w:color="auto" w:sz="6" w:space="0"/>
                  </w:tcBorders>
                  <w:noWrap/>
                  <w:vAlign w:val="center"/>
                </w:tcPr>
                <w:p w14:paraId="5E4216AB">
                  <w:pPr>
                    <w:keepNext w:val="0"/>
                    <w:keepLines w:val="0"/>
                    <w:suppressLineNumbers w:val="0"/>
                    <w:kinsoku/>
                    <w:overflowPunct w:val="0"/>
                    <w:spacing w:before="0" w:beforeAutospacing="0" w:after="0" w:afterAutospacing="0" w:line="260" w:lineRule="exact"/>
                    <w:ind w:left="21" w:leftChars="10" w:right="0"/>
                    <w:jc w:val="center"/>
                    <w:rPr>
                      <w:rFonts w:hint="eastAsia" w:ascii="Times New Roman" w:hAnsi="Times New Roman" w:eastAsia="宋体"/>
                      <w:color w:val="auto"/>
                      <w:sz w:val="21"/>
                      <w:szCs w:val="21"/>
                      <w:u w:val="none"/>
                    </w:rPr>
                  </w:pPr>
                  <w:r>
                    <w:rPr>
                      <w:rFonts w:hint="eastAsia" w:ascii="Times New Roman" w:hAnsi="Times New Roman" w:eastAsia="宋体"/>
                      <w:color w:val="auto"/>
                      <w:sz w:val="21"/>
                      <w:u w:val="none"/>
                    </w:rPr>
                    <w:t>/</w:t>
                  </w:r>
                </w:p>
              </w:tc>
              <w:tc>
                <w:tcPr>
                  <w:tcW w:w="1377" w:type="dxa"/>
                  <w:tcBorders>
                    <w:top w:val="single" w:color="auto" w:sz="6" w:space="0"/>
                    <w:left w:val="single" w:color="auto" w:sz="6" w:space="0"/>
                    <w:bottom w:val="single" w:color="auto" w:sz="6" w:space="0"/>
                    <w:right w:val="single" w:color="auto" w:sz="6" w:space="0"/>
                  </w:tcBorders>
                  <w:noWrap/>
                  <w:vAlign w:val="center"/>
                </w:tcPr>
                <w:p w14:paraId="104E4334">
                  <w:pPr>
                    <w:keepNext w:val="0"/>
                    <w:keepLines w:val="0"/>
                    <w:suppressLineNumbers w:val="0"/>
                    <w:kinsoku/>
                    <w:overflowPunct w:val="0"/>
                    <w:spacing w:before="0" w:beforeAutospacing="0" w:after="0" w:afterAutospacing="0" w:line="260" w:lineRule="exact"/>
                    <w:ind w:left="21" w:leftChars="10" w:right="0"/>
                    <w:jc w:val="center"/>
                    <w:rPr>
                      <w:rFonts w:hint="default" w:ascii="Times New Roman" w:hAnsi="Times New Roman" w:eastAsia="宋体"/>
                      <w:color w:val="auto"/>
                      <w:sz w:val="21"/>
                      <w:szCs w:val="21"/>
                      <w:u w:val="none"/>
                      <w:lang w:val="en-US" w:eastAsia="zh-CN"/>
                    </w:rPr>
                  </w:pPr>
                  <w:r>
                    <w:rPr>
                      <w:rFonts w:hint="eastAsia" w:ascii="Times New Roman" w:hAnsi="Times New Roman" w:eastAsia="宋体"/>
                      <w:color w:val="auto"/>
                      <w:sz w:val="21"/>
                      <w:szCs w:val="21"/>
                      <w:u w:val="none"/>
                      <w:lang w:val="en-US" w:eastAsia="zh-CN"/>
                    </w:rPr>
                    <w:t>10</w:t>
                  </w:r>
                </w:p>
              </w:tc>
              <w:tc>
                <w:tcPr>
                  <w:tcW w:w="1359" w:type="dxa"/>
                  <w:tcBorders>
                    <w:top w:val="single" w:color="auto" w:sz="6" w:space="0"/>
                    <w:left w:val="single" w:color="auto" w:sz="6" w:space="0"/>
                    <w:bottom w:val="single" w:color="auto" w:sz="6" w:space="0"/>
                    <w:right w:val="single" w:color="auto" w:sz="6" w:space="0"/>
                  </w:tcBorders>
                  <w:noWrap/>
                  <w:vAlign w:val="center"/>
                </w:tcPr>
                <w:p w14:paraId="20827C88">
                  <w:pPr>
                    <w:keepNext w:val="0"/>
                    <w:keepLines w:val="0"/>
                    <w:suppressLineNumbers w:val="0"/>
                    <w:kinsoku/>
                    <w:overflowPunct w:val="0"/>
                    <w:spacing w:before="0" w:beforeAutospacing="0" w:after="0" w:afterAutospacing="0" w:line="260" w:lineRule="exact"/>
                    <w:ind w:left="21" w:leftChars="10" w:right="0"/>
                    <w:jc w:val="center"/>
                    <w:rPr>
                      <w:rFonts w:hint="eastAsia" w:ascii="Times New Roman" w:hAnsi="Times New Roman" w:eastAsia="宋体"/>
                      <w:color w:val="auto"/>
                      <w:sz w:val="21"/>
                      <w:szCs w:val="21"/>
                      <w:u w:val="none"/>
                    </w:rPr>
                  </w:pPr>
                  <w:r>
                    <w:rPr>
                      <w:rFonts w:hint="eastAsia" w:ascii="Times New Roman" w:hAnsi="Times New Roman" w:eastAsia="宋体"/>
                      <w:color w:val="auto"/>
                      <w:sz w:val="21"/>
                      <w:u w:val="none"/>
                    </w:rPr>
                    <w:t>台</w:t>
                  </w:r>
                </w:p>
              </w:tc>
              <w:tc>
                <w:tcPr>
                  <w:tcW w:w="1391" w:type="dxa"/>
                  <w:tcBorders>
                    <w:top w:val="single" w:color="auto" w:sz="6" w:space="0"/>
                    <w:left w:val="single" w:color="auto" w:sz="6" w:space="0"/>
                    <w:bottom w:val="single" w:color="auto" w:sz="6" w:space="0"/>
                    <w:right w:val="nil"/>
                  </w:tcBorders>
                  <w:noWrap/>
                  <w:vAlign w:val="center"/>
                </w:tcPr>
                <w:p w14:paraId="70E3CDBF">
                  <w:pPr>
                    <w:keepNext w:val="0"/>
                    <w:keepLines w:val="0"/>
                    <w:suppressLineNumbers w:val="0"/>
                    <w:kinsoku/>
                    <w:overflowPunct w:val="0"/>
                    <w:spacing w:before="0" w:beforeAutospacing="0" w:after="0" w:afterAutospacing="0" w:line="260" w:lineRule="exact"/>
                    <w:ind w:left="21" w:leftChars="10" w:right="0"/>
                    <w:jc w:val="center"/>
                    <w:rPr>
                      <w:rFonts w:hint="eastAsia" w:ascii="Times New Roman" w:hAnsi="Times New Roman" w:eastAsia="宋体"/>
                      <w:color w:val="auto"/>
                      <w:sz w:val="21"/>
                      <w:szCs w:val="21"/>
                      <w:u w:val="none"/>
                    </w:rPr>
                  </w:pPr>
                  <w:r>
                    <w:rPr>
                      <w:rFonts w:hint="eastAsia" w:ascii="Times New Roman" w:hAnsi="Times New Roman" w:eastAsia="宋体"/>
                      <w:color w:val="auto"/>
                      <w:sz w:val="21"/>
                      <w:u w:val="none"/>
                    </w:rPr>
                    <w:t>贴合</w:t>
                  </w:r>
                </w:p>
              </w:tc>
            </w:tr>
            <w:tr w14:paraId="25EB7398">
              <w:tblPrEx>
                <w:tblCellMar>
                  <w:top w:w="0" w:type="dxa"/>
                  <w:left w:w="108" w:type="dxa"/>
                  <w:bottom w:w="0" w:type="dxa"/>
                  <w:right w:w="108" w:type="dxa"/>
                </w:tblCellMar>
              </w:tblPrEx>
              <w:trPr>
                <w:trHeight w:val="280" w:hRule="atLeast"/>
              </w:trPr>
              <w:tc>
                <w:tcPr>
                  <w:tcW w:w="704" w:type="dxa"/>
                  <w:tcBorders>
                    <w:top w:val="single" w:color="auto" w:sz="6" w:space="0"/>
                    <w:left w:val="nil"/>
                    <w:bottom w:val="single" w:color="auto" w:sz="6" w:space="0"/>
                    <w:right w:val="single" w:color="auto" w:sz="6" w:space="0"/>
                  </w:tcBorders>
                  <w:shd w:val="clear" w:color="auto" w:fill="auto"/>
                  <w:noWrap/>
                  <w:vAlign w:val="center"/>
                </w:tcPr>
                <w:p w14:paraId="12DFFB1F">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26</w:t>
                  </w:r>
                </w:p>
              </w:tc>
              <w:tc>
                <w:tcPr>
                  <w:tcW w:w="1604" w:type="dxa"/>
                  <w:tcBorders>
                    <w:top w:val="single" w:color="auto" w:sz="6" w:space="0"/>
                    <w:left w:val="single" w:color="auto" w:sz="6" w:space="0"/>
                    <w:bottom w:val="single" w:color="auto" w:sz="6" w:space="0"/>
                    <w:right w:val="single" w:color="auto" w:sz="6" w:space="0"/>
                  </w:tcBorders>
                  <w:noWrap/>
                  <w:vAlign w:val="center"/>
                </w:tcPr>
                <w:p w14:paraId="28615546">
                  <w:pPr>
                    <w:keepNext w:val="0"/>
                    <w:keepLines w:val="0"/>
                    <w:suppressLineNumbers w:val="0"/>
                    <w:kinsoku/>
                    <w:overflowPunct w:val="0"/>
                    <w:spacing w:before="0" w:beforeAutospacing="0" w:after="0" w:afterAutospacing="0" w:line="260" w:lineRule="exact"/>
                    <w:ind w:left="21" w:leftChars="10" w:right="0"/>
                    <w:jc w:val="center"/>
                    <w:rPr>
                      <w:rFonts w:hint="eastAsia" w:ascii="Times New Roman" w:hAnsi="Times New Roman" w:eastAsia="宋体"/>
                      <w:color w:val="auto"/>
                      <w:sz w:val="21"/>
                      <w:szCs w:val="21"/>
                      <w:u w:val="none"/>
                    </w:rPr>
                  </w:pPr>
                  <w:r>
                    <w:rPr>
                      <w:rFonts w:hint="eastAsia" w:ascii="Times New Roman" w:hAnsi="Times New Roman" w:eastAsia="宋体"/>
                      <w:color w:val="auto"/>
                      <w:sz w:val="21"/>
                      <w:u w:val="none"/>
                    </w:rPr>
                    <w:t>拔楦机</w:t>
                  </w:r>
                </w:p>
              </w:tc>
              <w:tc>
                <w:tcPr>
                  <w:tcW w:w="1964" w:type="dxa"/>
                  <w:tcBorders>
                    <w:top w:val="single" w:color="auto" w:sz="6" w:space="0"/>
                    <w:left w:val="single" w:color="auto" w:sz="6" w:space="0"/>
                    <w:bottom w:val="single" w:color="auto" w:sz="6" w:space="0"/>
                    <w:right w:val="single" w:color="auto" w:sz="6" w:space="0"/>
                  </w:tcBorders>
                  <w:noWrap/>
                  <w:vAlign w:val="center"/>
                </w:tcPr>
                <w:p w14:paraId="0C639057">
                  <w:pPr>
                    <w:keepNext w:val="0"/>
                    <w:keepLines w:val="0"/>
                    <w:suppressLineNumbers w:val="0"/>
                    <w:kinsoku/>
                    <w:overflowPunct w:val="0"/>
                    <w:spacing w:before="0" w:beforeAutospacing="0" w:after="0" w:afterAutospacing="0" w:line="260" w:lineRule="exact"/>
                    <w:ind w:left="21" w:leftChars="10" w:right="0"/>
                    <w:jc w:val="center"/>
                    <w:rPr>
                      <w:rFonts w:hint="eastAsia" w:ascii="Times New Roman" w:hAnsi="Times New Roman" w:eastAsia="宋体"/>
                      <w:color w:val="auto"/>
                      <w:sz w:val="21"/>
                      <w:szCs w:val="21"/>
                      <w:u w:val="none"/>
                    </w:rPr>
                  </w:pPr>
                  <w:r>
                    <w:rPr>
                      <w:rFonts w:hint="eastAsia" w:ascii="Times New Roman" w:hAnsi="Times New Roman" w:eastAsia="宋体"/>
                      <w:color w:val="auto"/>
                      <w:sz w:val="21"/>
                      <w:u w:val="none"/>
                    </w:rPr>
                    <w:t>/</w:t>
                  </w:r>
                </w:p>
              </w:tc>
              <w:tc>
                <w:tcPr>
                  <w:tcW w:w="1377" w:type="dxa"/>
                  <w:tcBorders>
                    <w:top w:val="single" w:color="auto" w:sz="6" w:space="0"/>
                    <w:left w:val="single" w:color="auto" w:sz="6" w:space="0"/>
                    <w:bottom w:val="single" w:color="auto" w:sz="6" w:space="0"/>
                    <w:right w:val="single" w:color="auto" w:sz="6" w:space="0"/>
                  </w:tcBorders>
                  <w:noWrap/>
                  <w:vAlign w:val="center"/>
                </w:tcPr>
                <w:p w14:paraId="146018D4">
                  <w:pPr>
                    <w:keepNext w:val="0"/>
                    <w:keepLines w:val="0"/>
                    <w:suppressLineNumbers w:val="0"/>
                    <w:kinsoku/>
                    <w:overflowPunct w:val="0"/>
                    <w:spacing w:before="0" w:beforeAutospacing="0" w:after="0" w:afterAutospacing="0" w:line="260" w:lineRule="exact"/>
                    <w:ind w:left="21" w:leftChars="10" w:right="0"/>
                    <w:jc w:val="center"/>
                    <w:rPr>
                      <w:rFonts w:hint="default" w:ascii="Times New Roman" w:hAnsi="Times New Roman" w:eastAsia="宋体"/>
                      <w:color w:val="auto"/>
                      <w:sz w:val="21"/>
                      <w:szCs w:val="21"/>
                      <w:u w:val="none"/>
                      <w:lang w:val="en-US"/>
                    </w:rPr>
                  </w:pPr>
                  <w:r>
                    <w:rPr>
                      <w:rFonts w:hint="eastAsia" w:ascii="Times New Roman" w:hAnsi="Times New Roman" w:eastAsia="宋体"/>
                      <w:color w:val="auto"/>
                      <w:sz w:val="21"/>
                      <w:u w:val="none"/>
                      <w:lang w:val="en-US" w:eastAsia="zh-CN"/>
                    </w:rPr>
                    <w:t>10</w:t>
                  </w:r>
                </w:p>
              </w:tc>
              <w:tc>
                <w:tcPr>
                  <w:tcW w:w="1359" w:type="dxa"/>
                  <w:tcBorders>
                    <w:top w:val="single" w:color="auto" w:sz="6" w:space="0"/>
                    <w:left w:val="single" w:color="auto" w:sz="6" w:space="0"/>
                    <w:bottom w:val="single" w:color="auto" w:sz="6" w:space="0"/>
                    <w:right w:val="single" w:color="auto" w:sz="6" w:space="0"/>
                  </w:tcBorders>
                  <w:noWrap/>
                  <w:vAlign w:val="center"/>
                </w:tcPr>
                <w:p w14:paraId="24A050D4">
                  <w:pPr>
                    <w:keepNext w:val="0"/>
                    <w:keepLines w:val="0"/>
                    <w:suppressLineNumbers w:val="0"/>
                    <w:kinsoku/>
                    <w:overflowPunct w:val="0"/>
                    <w:spacing w:before="0" w:beforeAutospacing="0" w:after="0" w:afterAutospacing="0" w:line="260" w:lineRule="exact"/>
                    <w:ind w:left="21" w:leftChars="10" w:right="0"/>
                    <w:jc w:val="center"/>
                    <w:rPr>
                      <w:rFonts w:hint="eastAsia" w:ascii="Times New Roman" w:hAnsi="Times New Roman" w:eastAsia="宋体"/>
                      <w:color w:val="auto"/>
                      <w:sz w:val="21"/>
                      <w:szCs w:val="21"/>
                      <w:u w:val="none"/>
                    </w:rPr>
                  </w:pPr>
                  <w:r>
                    <w:rPr>
                      <w:rFonts w:hint="eastAsia" w:ascii="Times New Roman" w:hAnsi="Times New Roman" w:eastAsia="宋体"/>
                      <w:color w:val="auto"/>
                      <w:sz w:val="21"/>
                      <w:u w:val="none"/>
                    </w:rPr>
                    <w:t>台</w:t>
                  </w:r>
                </w:p>
              </w:tc>
              <w:tc>
                <w:tcPr>
                  <w:tcW w:w="1391" w:type="dxa"/>
                  <w:tcBorders>
                    <w:top w:val="single" w:color="auto" w:sz="6" w:space="0"/>
                    <w:left w:val="single" w:color="auto" w:sz="6" w:space="0"/>
                    <w:bottom w:val="single" w:color="auto" w:sz="6" w:space="0"/>
                    <w:right w:val="nil"/>
                  </w:tcBorders>
                  <w:noWrap/>
                  <w:vAlign w:val="center"/>
                </w:tcPr>
                <w:p w14:paraId="3A0D7E36">
                  <w:pPr>
                    <w:keepNext w:val="0"/>
                    <w:keepLines w:val="0"/>
                    <w:suppressLineNumbers w:val="0"/>
                    <w:kinsoku/>
                    <w:overflowPunct w:val="0"/>
                    <w:spacing w:before="0" w:beforeAutospacing="0" w:after="0" w:afterAutospacing="0" w:line="260" w:lineRule="exact"/>
                    <w:ind w:left="21" w:leftChars="10" w:right="0"/>
                    <w:jc w:val="center"/>
                    <w:rPr>
                      <w:rFonts w:hint="eastAsia" w:ascii="Times New Roman" w:hAnsi="Times New Roman" w:eastAsia="宋体"/>
                      <w:color w:val="auto"/>
                      <w:sz w:val="21"/>
                      <w:szCs w:val="21"/>
                      <w:u w:val="none"/>
                    </w:rPr>
                  </w:pPr>
                  <w:r>
                    <w:rPr>
                      <w:rFonts w:hint="eastAsia" w:ascii="Times New Roman" w:hAnsi="Times New Roman" w:eastAsia="宋体"/>
                      <w:color w:val="auto"/>
                      <w:sz w:val="21"/>
                      <w:u w:val="none"/>
                    </w:rPr>
                    <w:t>拔楦</w:t>
                  </w:r>
                </w:p>
              </w:tc>
            </w:tr>
            <w:tr w14:paraId="37FC0A21">
              <w:tblPrEx>
                <w:tblCellMar>
                  <w:top w:w="0" w:type="dxa"/>
                  <w:left w:w="108" w:type="dxa"/>
                  <w:bottom w:w="0" w:type="dxa"/>
                  <w:right w:w="108" w:type="dxa"/>
                </w:tblCellMar>
              </w:tblPrEx>
              <w:trPr>
                <w:trHeight w:val="280" w:hRule="atLeast"/>
              </w:trPr>
              <w:tc>
                <w:tcPr>
                  <w:tcW w:w="704" w:type="dxa"/>
                  <w:tcBorders>
                    <w:top w:val="single" w:color="auto" w:sz="6" w:space="0"/>
                    <w:left w:val="nil"/>
                    <w:bottom w:val="single" w:color="auto" w:sz="6" w:space="0"/>
                    <w:right w:val="single" w:color="auto" w:sz="6" w:space="0"/>
                  </w:tcBorders>
                  <w:shd w:val="clear" w:color="auto" w:fill="auto"/>
                  <w:noWrap/>
                  <w:vAlign w:val="center"/>
                </w:tcPr>
                <w:p w14:paraId="2136CC82">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27</w:t>
                  </w:r>
                </w:p>
              </w:tc>
              <w:tc>
                <w:tcPr>
                  <w:tcW w:w="1604" w:type="dxa"/>
                  <w:tcBorders>
                    <w:top w:val="single" w:color="auto" w:sz="6" w:space="0"/>
                    <w:left w:val="single" w:color="auto" w:sz="6" w:space="0"/>
                    <w:bottom w:val="single" w:color="auto" w:sz="6" w:space="0"/>
                    <w:right w:val="single" w:color="auto" w:sz="6" w:space="0"/>
                  </w:tcBorders>
                  <w:shd w:val="clear" w:color="auto" w:fill="auto"/>
                  <w:noWrap/>
                  <w:vAlign w:val="center"/>
                </w:tcPr>
                <w:p w14:paraId="70BF1B7F">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olor w:val="auto"/>
                      <w:sz w:val="21"/>
                      <w:szCs w:val="21"/>
                    </w:rPr>
                    <w:t>修边机</w:t>
                  </w:r>
                </w:p>
              </w:tc>
              <w:tc>
                <w:tcPr>
                  <w:tcW w:w="1964" w:type="dxa"/>
                  <w:tcBorders>
                    <w:top w:val="single" w:color="auto" w:sz="6" w:space="0"/>
                    <w:left w:val="single" w:color="auto" w:sz="6" w:space="0"/>
                    <w:bottom w:val="single" w:color="auto" w:sz="6" w:space="0"/>
                    <w:right w:val="single" w:color="auto" w:sz="6" w:space="0"/>
                  </w:tcBorders>
                  <w:shd w:val="clear" w:color="auto" w:fill="auto"/>
                  <w:noWrap/>
                  <w:vAlign w:val="center"/>
                </w:tcPr>
                <w:p w14:paraId="370BE8F1">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olor w:val="auto"/>
                      <w:sz w:val="21"/>
                      <w:szCs w:val="21"/>
                    </w:rPr>
                    <w:t>TTY201</w:t>
                  </w:r>
                </w:p>
              </w:tc>
              <w:tc>
                <w:tcPr>
                  <w:tcW w:w="1377" w:type="dxa"/>
                  <w:tcBorders>
                    <w:top w:val="single" w:color="auto" w:sz="6" w:space="0"/>
                    <w:left w:val="single" w:color="auto" w:sz="6" w:space="0"/>
                    <w:bottom w:val="single" w:color="auto" w:sz="6" w:space="0"/>
                    <w:right w:val="single" w:color="auto" w:sz="6" w:space="0"/>
                  </w:tcBorders>
                  <w:shd w:val="clear" w:color="auto" w:fill="auto"/>
                  <w:noWrap/>
                  <w:vAlign w:val="center"/>
                </w:tcPr>
                <w:p w14:paraId="09BC1221">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olor w:val="auto"/>
                      <w:sz w:val="21"/>
                      <w:szCs w:val="21"/>
                      <w:lang w:val="en-US" w:eastAsia="zh-CN"/>
                    </w:rPr>
                    <w:t>3</w:t>
                  </w:r>
                </w:p>
              </w:tc>
              <w:tc>
                <w:tcPr>
                  <w:tcW w:w="1359" w:type="dxa"/>
                  <w:tcBorders>
                    <w:top w:val="single" w:color="auto" w:sz="6" w:space="0"/>
                    <w:left w:val="single" w:color="auto" w:sz="6" w:space="0"/>
                    <w:bottom w:val="single" w:color="auto" w:sz="6" w:space="0"/>
                    <w:right w:val="single" w:color="auto" w:sz="6" w:space="0"/>
                  </w:tcBorders>
                  <w:shd w:val="clear" w:color="auto" w:fill="auto"/>
                  <w:noWrap/>
                  <w:vAlign w:val="center"/>
                </w:tcPr>
                <w:p w14:paraId="47602A97">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olor w:val="auto"/>
                      <w:sz w:val="21"/>
                      <w:szCs w:val="21"/>
                    </w:rPr>
                    <w:t>套</w:t>
                  </w:r>
                </w:p>
              </w:tc>
              <w:tc>
                <w:tcPr>
                  <w:tcW w:w="1391" w:type="dxa"/>
                  <w:tcBorders>
                    <w:top w:val="single" w:color="auto" w:sz="6" w:space="0"/>
                    <w:left w:val="single" w:color="auto" w:sz="6" w:space="0"/>
                    <w:bottom w:val="single" w:color="auto" w:sz="6" w:space="0"/>
                    <w:right w:val="nil"/>
                  </w:tcBorders>
                  <w:shd w:val="clear" w:color="auto" w:fill="auto"/>
                  <w:noWrap/>
                  <w:vAlign w:val="center"/>
                </w:tcPr>
                <w:p w14:paraId="0496268E">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修边</w:t>
                  </w:r>
                </w:p>
              </w:tc>
            </w:tr>
            <w:tr w14:paraId="02B6D6C3">
              <w:tblPrEx>
                <w:tblCellMar>
                  <w:top w:w="0" w:type="dxa"/>
                  <w:left w:w="108" w:type="dxa"/>
                  <w:bottom w:w="0" w:type="dxa"/>
                  <w:right w:w="108" w:type="dxa"/>
                </w:tblCellMar>
              </w:tblPrEx>
              <w:trPr>
                <w:trHeight w:val="156" w:hRule="atLeast"/>
              </w:trPr>
              <w:tc>
                <w:tcPr>
                  <w:tcW w:w="8399" w:type="dxa"/>
                  <w:gridSpan w:val="6"/>
                  <w:tcBorders>
                    <w:top w:val="single" w:color="auto" w:sz="6" w:space="0"/>
                    <w:left w:val="nil"/>
                    <w:bottom w:val="single" w:color="auto" w:sz="6" w:space="0"/>
                    <w:right w:val="nil"/>
                  </w:tcBorders>
                  <w:shd w:val="clear" w:color="auto" w:fill="auto"/>
                  <w:noWrap/>
                  <w:vAlign w:val="center"/>
                </w:tcPr>
                <w:p w14:paraId="21BFB1A1">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lang w:val="en-US" w:eastAsia="zh-CN"/>
                    </w:rPr>
                  </w:pPr>
                  <w:r>
                    <w:rPr>
                      <w:rFonts w:hint="eastAsia"/>
                      <w:color w:val="auto"/>
                      <w:sz w:val="21"/>
                      <w:szCs w:val="21"/>
                      <w:lang w:val="en-US" w:eastAsia="zh-CN"/>
                    </w:rPr>
                    <w:t>运输设备</w:t>
                  </w:r>
                </w:p>
              </w:tc>
            </w:tr>
            <w:tr w14:paraId="0033678E">
              <w:tblPrEx>
                <w:tblCellMar>
                  <w:top w:w="0" w:type="dxa"/>
                  <w:left w:w="108" w:type="dxa"/>
                  <w:bottom w:w="0" w:type="dxa"/>
                  <w:right w:w="108" w:type="dxa"/>
                </w:tblCellMar>
              </w:tblPrEx>
              <w:trPr>
                <w:trHeight w:val="156" w:hRule="atLeast"/>
              </w:trPr>
              <w:tc>
                <w:tcPr>
                  <w:tcW w:w="704" w:type="dxa"/>
                  <w:tcBorders>
                    <w:top w:val="single" w:color="auto" w:sz="6" w:space="0"/>
                    <w:left w:val="nil"/>
                    <w:bottom w:val="single" w:color="auto" w:sz="6" w:space="0"/>
                    <w:right w:val="single" w:color="auto" w:sz="6" w:space="0"/>
                  </w:tcBorders>
                  <w:shd w:val="clear" w:color="auto" w:fill="auto"/>
                  <w:noWrap/>
                  <w:vAlign w:val="center"/>
                </w:tcPr>
                <w:p w14:paraId="2BCB66A6">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28</w:t>
                  </w:r>
                </w:p>
              </w:tc>
              <w:tc>
                <w:tcPr>
                  <w:tcW w:w="1604" w:type="dxa"/>
                  <w:tcBorders>
                    <w:top w:val="single" w:color="auto" w:sz="6" w:space="0"/>
                    <w:left w:val="single" w:color="auto" w:sz="6" w:space="0"/>
                    <w:bottom w:val="single" w:color="auto" w:sz="6" w:space="0"/>
                    <w:right w:val="single" w:color="auto" w:sz="6" w:space="0"/>
                  </w:tcBorders>
                  <w:noWrap/>
                  <w:vAlign w:val="center"/>
                </w:tcPr>
                <w:p w14:paraId="50764392">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rPr>
                  </w:pPr>
                  <w:r>
                    <w:rPr>
                      <w:rFonts w:hint="eastAsia" w:ascii="Times New Roman" w:hAnsi="Times New Roman" w:eastAsia="宋体"/>
                      <w:color w:val="auto"/>
                      <w:sz w:val="21"/>
                      <w:szCs w:val="21"/>
                    </w:rPr>
                    <w:t>电动叉车</w:t>
                  </w:r>
                </w:p>
              </w:tc>
              <w:tc>
                <w:tcPr>
                  <w:tcW w:w="1964" w:type="dxa"/>
                  <w:tcBorders>
                    <w:top w:val="single" w:color="auto" w:sz="6" w:space="0"/>
                    <w:left w:val="single" w:color="auto" w:sz="6" w:space="0"/>
                    <w:bottom w:val="single" w:color="auto" w:sz="6" w:space="0"/>
                    <w:right w:val="single" w:color="auto" w:sz="6" w:space="0"/>
                  </w:tcBorders>
                  <w:noWrap/>
                  <w:vAlign w:val="center"/>
                </w:tcPr>
                <w:p w14:paraId="0071B3AC">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lang w:eastAsia="zh-CN"/>
                    </w:rPr>
                  </w:pPr>
                  <w:r>
                    <w:rPr>
                      <w:rFonts w:hint="eastAsia" w:ascii="Times New Roman" w:hAnsi="Times New Roman" w:eastAsia="宋体"/>
                      <w:color w:val="auto"/>
                      <w:sz w:val="21"/>
                      <w:szCs w:val="21"/>
                      <w:lang w:val="en-US" w:eastAsia="zh-CN"/>
                    </w:rPr>
                    <w:t>/</w:t>
                  </w:r>
                </w:p>
              </w:tc>
              <w:tc>
                <w:tcPr>
                  <w:tcW w:w="1377" w:type="dxa"/>
                  <w:tcBorders>
                    <w:top w:val="single" w:color="auto" w:sz="6" w:space="0"/>
                    <w:left w:val="single" w:color="auto" w:sz="6" w:space="0"/>
                    <w:bottom w:val="single" w:color="auto" w:sz="6" w:space="0"/>
                    <w:right w:val="single" w:color="auto" w:sz="6" w:space="0"/>
                  </w:tcBorders>
                  <w:noWrap/>
                  <w:vAlign w:val="center"/>
                </w:tcPr>
                <w:p w14:paraId="7CC9CDF1">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rPr>
                  </w:pPr>
                  <w:r>
                    <w:rPr>
                      <w:rFonts w:hint="eastAsia" w:ascii="Times New Roman" w:hAnsi="Times New Roman" w:eastAsia="宋体"/>
                      <w:color w:val="auto"/>
                      <w:sz w:val="21"/>
                      <w:szCs w:val="21"/>
                    </w:rPr>
                    <w:t>1</w:t>
                  </w:r>
                </w:p>
              </w:tc>
              <w:tc>
                <w:tcPr>
                  <w:tcW w:w="1359" w:type="dxa"/>
                  <w:tcBorders>
                    <w:top w:val="single" w:color="auto" w:sz="6" w:space="0"/>
                    <w:left w:val="single" w:color="auto" w:sz="6" w:space="0"/>
                    <w:bottom w:val="single" w:color="auto" w:sz="6" w:space="0"/>
                    <w:right w:val="single" w:color="auto" w:sz="6" w:space="0"/>
                  </w:tcBorders>
                  <w:noWrap/>
                  <w:vAlign w:val="center"/>
                </w:tcPr>
                <w:p w14:paraId="18D82430">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rPr>
                  </w:pPr>
                  <w:r>
                    <w:rPr>
                      <w:rFonts w:hint="eastAsia" w:ascii="Times New Roman" w:hAnsi="Times New Roman" w:eastAsia="宋体"/>
                      <w:color w:val="auto"/>
                      <w:sz w:val="21"/>
                      <w:szCs w:val="21"/>
                    </w:rPr>
                    <w:t>台</w:t>
                  </w:r>
                </w:p>
              </w:tc>
              <w:tc>
                <w:tcPr>
                  <w:tcW w:w="1391" w:type="dxa"/>
                  <w:tcBorders>
                    <w:top w:val="single" w:color="auto" w:sz="6" w:space="0"/>
                    <w:left w:val="single" w:color="auto" w:sz="6" w:space="0"/>
                    <w:bottom w:val="single" w:color="auto" w:sz="6" w:space="0"/>
                    <w:right w:val="nil"/>
                  </w:tcBorders>
                  <w:noWrap/>
                  <w:vAlign w:val="center"/>
                </w:tcPr>
                <w:p w14:paraId="28D56C5C">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olor w:val="auto"/>
                      <w:sz w:val="21"/>
                      <w:szCs w:val="21"/>
                      <w:lang w:val="en-US" w:eastAsia="zh-CN"/>
                    </w:rPr>
                  </w:pPr>
                </w:p>
              </w:tc>
            </w:tr>
            <w:tr w14:paraId="1F6768C9">
              <w:tblPrEx>
                <w:tblCellMar>
                  <w:top w:w="0" w:type="dxa"/>
                  <w:left w:w="108" w:type="dxa"/>
                  <w:bottom w:w="0" w:type="dxa"/>
                  <w:right w:w="108" w:type="dxa"/>
                </w:tblCellMar>
              </w:tblPrEx>
              <w:trPr>
                <w:trHeight w:val="280" w:hRule="atLeast"/>
              </w:trPr>
              <w:tc>
                <w:tcPr>
                  <w:tcW w:w="704" w:type="dxa"/>
                  <w:tcBorders>
                    <w:top w:val="single" w:color="auto" w:sz="6" w:space="0"/>
                    <w:left w:val="nil"/>
                    <w:bottom w:val="single" w:color="auto" w:sz="6" w:space="0"/>
                    <w:right w:val="single" w:color="auto" w:sz="6" w:space="0"/>
                  </w:tcBorders>
                  <w:shd w:val="clear" w:color="auto" w:fill="auto"/>
                  <w:noWrap/>
                  <w:vAlign w:val="center"/>
                </w:tcPr>
                <w:p w14:paraId="37E53CFD">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29</w:t>
                  </w:r>
                </w:p>
              </w:tc>
              <w:tc>
                <w:tcPr>
                  <w:tcW w:w="1604" w:type="dxa"/>
                  <w:tcBorders>
                    <w:top w:val="single" w:color="auto" w:sz="6" w:space="0"/>
                    <w:left w:val="single" w:color="auto" w:sz="6" w:space="0"/>
                    <w:bottom w:val="single" w:color="auto" w:sz="6" w:space="0"/>
                    <w:right w:val="single" w:color="auto" w:sz="6" w:space="0"/>
                  </w:tcBorders>
                  <w:noWrap/>
                  <w:vAlign w:val="center"/>
                </w:tcPr>
                <w:p w14:paraId="24176485">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rPr>
                  </w:pPr>
                  <w:r>
                    <w:rPr>
                      <w:rFonts w:hint="eastAsia" w:ascii="Times New Roman" w:hAnsi="Times New Roman" w:eastAsia="宋体"/>
                      <w:color w:val="auto"/>
                      <w:sz w:val="21"/>
                      <w:szCs w:val="21"/>
                    </w:rPr>
                    <w:t>普通叉车</w:t>
                  </w:r>
                </w:p>
              </w:tc>
              <w:tc>
                <w:tcPr>
                  <w:tcW w:w="1964" w:type="dxa"/>
                  <w:tcBorders>
                    <w:top w:val="single" w:color="auto" w:sz="6" w:space="0"/>
                    <w:left w:val="single" w:color="auto" w:sz="6" w:space="0"/>
                    <w:bottom w:val="single" w:color="auto" w:sz="6" w:space="0"/>
                    <w:right w:val="single" w:color="auto" w:sz="6" w:space="0"/>
                  </w:tcBorders>
                  <w:noWrap/>
                  <w:vAlign w:val="center"/>
                </w:tcPr>
                <w:p w14:paraId="23F0FD51">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lang w:eastAsia="zh-CN"/>
                    </w:rPr>
                  </w:pPr>
                  <w:r>
                    <w:rPr>
                      <w:rFonts w:hint="eastAsia" w:ascii="Times New Roman" w:hAnsi="Times New Roman" w:eastAsia="宋体"/>
                      <w:color w:val="auto"/>
                      <w:sz w:val="21"/>
                      <w:szCs w:val="21"/>
                      <w:lang w:val="en-US" w:eastAsia="zh-CN"/>
                    </w:rPr>
                    <w:t>/</w:t>
                  </w:r>
                </w:p>
              </w:tc>
              <w:tc>
                <w:tcPr>
                  <w:tcW w:w="1377" w:type="dxa"/>
                  <w:tcBorders>
                    <w:top w:val="single" w:color="auto" w:sz="6" w:space="0"/>
                    <w:left w:val="single" w:color="auto" w:sz="6" w:space="0"/>
                    <w:bottom w:val="single" w:color="auto" w:sz="6" w:space="0"/>
                    <w:right w:val="single" w:color="auto" w:sz="6" w:space="0"/>
                  </w:tcBorders>
                  <w:noWrap/>
                  <w:vAlign w:val="center"/>
                </w:tcPr>
                <w:p w14:paraId="66D94A24">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rPr>
                  </w:pPr>
                  <w:r>
                    <w:rPr>
                      <w:rFonts w:hint="eastAsia" w:ascii="Times New Roman" w:hAnsi="Times New Roman" w:eastAsia="宋体"/>
                      <w:color w:val="auto"/>
                      <w:sz w:val="21"/>
                      <w:szCs w:val="21"/>
                    </w:rPr>
                    <w:t>3</w:t>
                  </w:r>
                </w:p>
              </w:tc>
              <w:tc>
                <w:tcPr>
                  <w:tcW w:w="1359" w:type="dxa"/>
                  <w:tcBorders>
                    <w:top w:val="single" w:color="auto" w:sz="6" w:space="0"/>
                    <w:left w:val="single" w:color="auto" w:sz="6" w:space="0"/>
                    <w:bottom w:val="single" w:color="auto" w:sz="6" w:space="0"/>
                    <w:right w:val="single" w:color="auto" w:sz="6" w:space="0"/>
                  </w:tcBorders>
                  <w:noWrap/>
                  <w:vAlign w:val="center"/>
                </w:tcPr>
                <w:p w14:paraId="678832D3">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rPr>
                  </w:pPr>
                  <w:r>
                    <w:rPr>
                      <w:rFonts w:hint="eastAsia" w:ascii="Times New Roman" w:hAnsi="Times New Roman" w:eastAsia="宋体"/>
                      <w:color w:val="auto"/>
                      <w:sz w:val="21"/>
                      <w:szCs w:val="21"/>
                    </w:rPr>
                    <w:t>台</w:t>
                  </w:r>
                </w:p>
              </w:tc>
              <w:tc>
                <w:tcPr>
                  <w:tcW w:w="1391" w:type="dxa"/>
                  <w:tcBorders>
                    <w:top w:val="single" w:color="auto" w:sz="6" w:space="0"/>
                    <w:left w:val="single" w:color="auto" w:sz="6" w:space="0"/>
                    <w:bottom w:val="single" w:color="auto" w:sz="6" w:space="0"/>
                    <w:right w:val="nil"/>
                  </w:tcBorders>
                  <w:noWrap/>
                  <w:vAlign w:val="center"/>
                </w:tcPr>
                <w:p w14:paraId="6F292F0E">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rPr>
                  </w:pPr>
                </w:p>
              </w:tc>
            </w:tr>
            <w:tr w14:paraId="59D02289">
              <w:tblPrEx>
                <w:tblCellMar>
                  <w:top w:w="0" w:type="dxa"/>
                  <w:left w:w="108" w:type="dxa"/>
                  <w:bottom w:w="0" w:type="dxa"/>
                  <w:right w:w="108" w:type="dxa"/>
                </w:tblCellMar>
              </w:tblPrEx>
              <w:trPr>
                <w:trHeight w:val="280" w:hRule="atLeast"/>
              </w:trPr>
              <w:tc>
                <w:tcPr>
                  <w:tcW w:w="8399" w:type="dxa"/>
                  <w:gridSpan w:val="6"/>
                  <w:tcBorders>
                    <w:top w:val="single" w:color="auto" w:sz="6" w:space="0"/>
                    <w:left w:val="nil"/>
                    <w:bottom w:val="single" w:color="auto" w:sz="6" w:space="0"/>
                    <w:right w:val="nil"/>
                  </w:tcBorders>
                  <w:shd w:val="clear" w:color="auto" w:fill="auto"/>
                  <w:noWrap/>
                  <w:vAlign w:val="center"/>
                </w:tcPr>
                <w:p w14:paraId="2C2ED2E6">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废气处理</w:t>
                  </w:r>
                </w:p>
              </w:tc>
            </w:tr>
            <w:tr w14:paraId="70D59140">
              <w:tblPrEx>
                <w:tblCellMar>
                  <w:top w:w="0" w:type="dxa"/>
                  <w:left w:w="108" w:type="dxa"/>
                  <w:bottom w:w="0" w:type="dxa"/>
                  <w:right w:w="108" w:type="dxa"/>
                </w:tblCellMar>
              </w:tblPrEx>
              <w:trPr>
                <w:trHeight w:val="280" w:hRule="atLeast"/>
              </w:trPr>
              <w:tc>
                <w:tcPr>
                  <w:tcW w:w="704" w:type="dxa"/>
                  <w:tcBorders>
                    <w:top w:val="single" w:color="auto" w:sz="6" w:space="0"/>
                    <w:left w:val="nil"/>
                    <w:bottom w:val="single" w:color="auto" w:sz="6" w:space="0"/>
                    <w:right w:val="single" w:color="auto" w:sz="6" w:space="0"/>
                  </w:tcBorders>
                  <w:shd w:val="clear" w:color="auto" w:fill="auto"/>
                  <w:noWrap/>
                  <w:vAlign w:val="center"/>
                </w:tcPr>
                <w:p w14:paraId="15876517">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30</w:t>
                  </w:r>
                </w:p>
              </w:tc>
              <w:tc>
                <w:tcPr>
                  <w:tcW w:w="1604" w:type="dxa"/>
                  <w:tcBorders>
                    <w:top w:val="single" w:color="auto" w:sz="6" w:space="0"/>
                    <w:left w:val="single" w:color="auto" w:sz="6" w:space="0"/>
                    <w:bottom w:val="single" w:color="auto" w:sz="6" w:space="0"/>
                    <w:right w:val="single" w:color="auto" w:sz="6" w:space="0"/>
                  </w:tcBorders>
                  <w:noWrap/>
                  <w:vAlign w:val="center"/>
                </w:tcPr>
                <w:p w14:paraId="7A2F9DAF">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b/>
                      <w:bCs/>
                      <w:color w:val="auto"/>
                      <w:sz w:val="21"/>
                      <w:szCs w:val="21"/>
                    </w:rPr>
                  </w:pPr>
                  <w:r>
                    <w:rPr>
                      <w:rFonts w:hint="eastAsia" w:ascii="Times New Roman" w:hAnsi="Times New Roman" w:eastAsia="宋体" w:cs="Times New Roman"/>
                      <w:color w:val="auto"/>
                      <w:sz w:val="21"/>
                      <w:szCs w:val="21"/>
                      <w:lang w:eastAsia="zh-CN"/>
                    </w:rPr>
                    <w:t>有机废气处理（</w:t>
                  </w:r>
                  <w:r>
                    <w:rPr>
                      <w:rFonts w:hint="eastAsia" w:cs="Times New Roman"/>
                      <w:color w:val="auto"/>
                      <w:sz w:val="21"/>
                      <w:szCs w:val="21"/>
                      <w:lang w:val="en-US" w:eastAsia="zh-CN"/>
                    </w:rPr>
                    <w:t>集气罩</w:t>
                  </w:r>
                  <w:r>
                    <w:rPr>
                      <w:rFonts w:hint="eastAsia" w:ascii="Times New Roman" w:hAnsi="Times New Roman" w:eastAsia="宋体" w:cs="Times New Roman"/>
                      <w:color w:val="auto"/>
                      <w:sz w:val="21"/>
                      <w:szCs w:val="21"/>
                      <w:lang w:eastAsia="zh-CN"/>
                    </w:rPr>
                    <w:t>+</w:t>
                  </w:r>
                  <w:r>
                    <w:rPr>
                      <w:rFonts w:hint="eastAsia" w:cs="Times New Roman"/>
                      <w:color w:val="auto"/>
                      <w:sz w:val="21"/>
                      <w:szCs w:val="21"/>
                      <w:lang w:val="en-US" w:eastAsia="zh-CN"/>
                    </w:rPr>
                    <w:t>五</w:t>
                  </w:r>
                  <w:r>
                    <w:rPr>
                      <w:rFonts w:hint="eastAsia" w:ascii="Times New Roman" w:hAnsi="Times New Roman" w:eastAsia="宋体" w:cs="Times New Roman"/>
                      <w:color w:val="auto"/>
                      <w:sz w:val="21"/>
                      <w:szCs w:val="21"/>
                      <w:lang w:eastAsia="zh-CN"/>
                    </w:rPr>
                    <w:t>级活性炭吸附）</w:t>
                  </w:r>
                </w:p>
              </w:tc>
              <w:tc>
                <w:tcPr>
                  <w:tcW w:w="1964" w:type="dxa"/>
                  <w:tcBorders>
                    <w:top w:val="single" w:color="auto" w:sz="6" w:space="0"/>
                    <w:left w:val="single" w:color="auto" w:sz="6" w:space="0"/>
                    <w:bottom w:val="single" w:color="auto" w:sz="6" w:space="0"/>
                    <w:right w:val="single" w:color="auto" w:sz="6" w:space="0"/>
                  </w:tcBorders>
                  <w:noWrap/>
                  <w:vAlign w:val="center"/>
                </w:tcPr>
                <w:p w14:paraId="2351D352">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定制</w:t>
                  </w:r>
                  <w:r>
                    <w:rPr>
                      <w:rFonts w:hint="eastAsia"/>
                      <w:color w:val="auto"/>
                      <w:sz w:val="21"/>
                      <w:szCs w:val="21"/>
                      <w:lang w:val="en-US" w:eastAsia="zh-CN"/>
                    </w:rPr>
                    <w:t>-</w:t>
                  </w:r>
                </w:p>
              </w:tc>
              <w:tc>
                <w:tcPr>
                  <w:tcW w:w="1377" w:type="dxa"/>
                  <w:tcBorders>
                    <w:top w:val="single" w:color="auto" w:sz="6" w:space="0"/>
                    <w:left w:val="single" w:color="auto" w:sz="6" w:space="0"/>
                    <w:bottom w:val="single" w:color="auto" w:sz="6" w:space="0"/>
                    <w:right w:val="single" w:color="auto" w:sz="6" w:space="0"/>
                  </w:tcBorders>
                  <w:noWrap/>
                  <w:vAlign w:val="center"/>
                </w:tcPr>
                <w:p w14:paraId="308EEC31">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lang w:val="en-US" w:eastAsia="zh-CN"/>
                    </w:rPr>
                  </w:pPr>
                  <w:r>
                    <w:rPr>
                      <w:rFonts w:hint="eastAsia"/>
                      <w:color w:val="auto"/>
                      <w:sz w:val="21"/>
                      <w:szCs w:val="21"/>
                      <w:lang w:val="en-US" w:eastAsia="zh-CN"/>
                    </w:rPr>
                    <w:t>3</w:t>
                  </w:r>
                </w:p>
              </w:tc>
              <w:tc>
                <w:tcPr>
                  <w:tcW w:w="1359" w:type="dxa"/>
                  <w:tcBorders>
                    <w:top w:val="single" w:color="auto" w:sz="6" w:space="0"/>
                    <w:left w:val="single" w:color="auto" w:sz="6" w:space="0"/>
                    <w:bottom w:val="single" w:color="auto" w:sz="6" w:space="0"/>
                    <w:right w:val="single" w:color="auto" w:sz="6" w:space="0"/>
                  </w:tcBorders>
                  <w:noWrap/>
                  <w:vAlign w:val="center"/>
                </w:tcPr>
                <w:p w14:paraId="6D91C342">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套</w:t>
                  </w:r>
                </w:p>
              </w:tc>
              <w:tc>
                <w:tcPr>
                  <w:tcW w:w="1391" w:type="dxa"/>
                  <w:tcBorders>
                    <w:top w:val="single" w:color="auto" w:sz="6" w:space="0"/>
                    <w:left w:val="single" w:color="auto" w:sz="6" w:space="0"/>
                    <w:bottom w:val="single" w:color="auto" w:sz="6" w:space="0"/>
                    <w:right w:val="nil"/>
                  </w:tcBorders>
                  <w:noWrap/>
                  <w:vAlign w:val="center"/>
                </w:tcPr>
                <w:p w14:paraId="3F62BAF1">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olor w:val="auto"/>
                      <w:sz w:val="21"/>
                      <w:szCs w:val="21"/>
                      <w:lang w:val="en-US" w:eastAsia="zh-CN"/>
                    </w:rPr>
                  </w:pPr>
                </w:p>
              </w:tc>
            </w:tr>
            <w:tr w14:paraId="12FB366E">
              <w:tblPrEx>
                <w:tblCellMar>
                  <w:top w:w="0" w:type="dxa"/>
                  <w:left w:w="108" w:type="dxa"/>
                  <w:bottom w:w="0" w:type="dxa"/>
                  <w:right w:w="108" w:type="dxa"/>
                </w:tblCellMar>
              </w:tblPrEx>
              <w:trPr>
                <w:trHeight w:val="280" w:hRule="atLeast"/>
              </w:trPr>
              <w:tc>
                <w:tcPr>
                  <w:tcW w:w="704" w:type="dxa"/>
                  <w:tcBorders>
                    <w:top w:val="single" w:color="auto" w:sz="6" w:space="0"/>
                    <w:left w:val="nil"/>
                    <w:bottom w:val="single" w:color="auto" w:sz="12" w:space="0"/>
                    <w:right w:val="single" w:color="auto" w:sz="6" w:space="0"/>
                  </w:tcBorders>
                  <w:shd w:val="clear" w:color="auto" w:fill="auto"/>
                  <w:noWrap/>
                  <w:vAlign w:val="center"/>
                </w:tcPr>
                <w:p w14:paraId="02F56B0B">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31</w:t>
                  </w:r>
                </w:p>
              </w:tc>
              <w:tc>
                <w:tcPr>
                  <w:tcW w:w="1604" w:type="dxa"/>
                  <w:tcBorders>
                    <w:top w:val="single" w:color="auto" w:sz="6" w:space="0"/>
                    <w:left w:val="single" w:color="auto" w:sz="6" w:space="0"/>
                    <w:bottom w:val="single" w:color="auto" w:sz="12" w:space="0"/>
                    <w:right w:val="single" w:color="auto" w:sz="6" w:space="0"/>
                  </w:tcBorders>
                  <w:noWrap/>
                  <w:vAlign w:val="center"/>
                </w:tcPr>
                <w:p w14:paraId="65DD9A2B">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rPr>
                  </w:pPr>
                  <w:r>
                    <w:rPr>
                      <w:rFonts w:hint="eastAsia" w:ascii="Times New Roman" w:hAnsi="Times New Roman" w:eastAsia="宋体" w:cs="Times New Roman"/>
                      <w:color w:val="auto"/>
                      <w:sz w:val="21"/>
                      <w:szCs w:val="21"/>
                      <w:lang w:val="en-US" w:eastAsia="zh-CN"/>
                    </w:rPr>
                    <w:t>粉尘</w:t>
                  </w:r>
                  <w:r>
                    <w:rPr>
                      <w:rFonts w:hint="eastAsia" w:ascii="Times New Roman" w:hAnsi="Times New Roman" w:eastAsia="宋体" w:cs="Times New Roman"/>
                      <w:color w:val="auto"/>
                      <w:sz w:val="21"/>
                      <w:szCs w:val="21"/>
                      <w:lang w:eastAsia="zh-CN"/>
                    </w:rPr>
                    <w:t>处理（</w:t>
                  </w:r>
                  <w:r>
                    <w:rPr>
                      <w:rFonts w:hint="eastAsia" w:cs="Times New Roman"/>
                      <w:color w:val="auto"/>
                      <w:sz w:val="21"/>
                      <w:szCs w:val="21"/>
                      <w:lang w:val="en-US" w:eastAsia="zh-CN"/>
                    </w:rPr>
                    <w:t>集气罩</w:t>
                  </w:r>
                  <w:r>
                    <w:rPr>
                      <w:rFonts w:hint="eastAsia" w:ascii="Times New Roman" w:hAnsi="Times New Roman" w:eastAsia="宋体" w:cs="Times New Roman"/>
                      <w:color w:val="auto"/>
                      <w:sz w:val="21"/>
                      <w:szCs w:val="21"/>
                      <w:lang w:eastAsia="zh-CN"/>
                    </w:rPr>
                    <w:t>+</w:t>
                  </w:r>
                  <w:r>
                    <w:rPr>
                      <w:rFonts w:hint="eastAsia" w:cs="Times New Roman"/>
                      <w:color w:val="auto"/>
                      <w:sz w:val="21"/>
                      <w:szCs w:val="21"/>
                      <w:lang w:val="en-US" w:eastAsia="zh-CN"/>
                    </w:rPr>
                    <w:t>布袋除尘</w:t>
                  </w:r>
                  <w:r>
                    <w:rPr>
                      <w:rFonts w:hint="eastAsia" w:ascii="Times New Roman" w:hAnsi="Times New Roman" w:eastAsia="宋体" w:cs="Times New Roman"/>
                      <w:color w:val="auto"/>
                      <w:sz w:val="21"/>
                      <w:szCs w:val="21"/>
                      <w:lang w:eastAsia="zh-CN"/>
                    </w:rPr>
                    <w:t>）</w:t>
                  </w:r>
                </w:p>
              </w:tc>
              <w:tc>
                <w:tcPr>
                  <w:tcW w:w="1964" w:type="dxa"/>
                  <w:tcBorders>
                    <w:top w:val="single" w:color="auto" w:sz="6" w:space="0"/>
                    <w:left w:val="single" w:color="auto" w:sz="6" w:space="0"/>
                    <w:bottom w:val="single" w:color="auto" w:sz="12" w:space="0"/>
                    <w:right w:val="single" w:color="auto" w:sz="6" w:space="0"/>
                  </w:tcBorders>
                  <w:noWrap/>
                  <w:vAlign w:val="center"/>
                </w:tcPr>
                <w:p w14:paraId="281ECECF">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定制</w:t>
                  </w:r>
                </w:p>
              </w:tc>
              <w:tc>
                <w:tcPr>
                  <w:tcW w:w="1377" w:type="dxa"/>
                  <w:tcBorders>
                    <w:top w:val="single" w:color="auto" w:sz="6" w:space="0"/>
                    <w:left w:val="single" w:color="auto" w:sz="6" w:space="0"/>
                    <w:bottom w:val="single" w:color="auto" w:sz="12" w:space="0"/>
                    <w:right w:val="single" w:color="auto" w:sz="6" w:space="0"/>
                  </w:tcBorders>
                  <w:noWrap/>
                  <w:vAlign w:val="center"/>
                </w:tcPr>
                <w:p w14:paraId="0FA245D8">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olor w:val="auto"/>
                      <w:sz w:val="21"/>
                      <w:szCs w:val="21"/>
                      <w:lang w:val="en-US"/>
                    </w:rPr>
                  </w:pPr>
                  <w:r>
                    <w:rPr>
                      <w:rFonts w:hint="eastAsia" w:ascii="Times New Roman" w:hAnsi="Times New Roman" w:eastAsia="宋体"/>
                      <w:color w:val="auto"/>
                      <w:sz w:val="21"/>
                      <w:szCs w:val="21"/>
                      <w:lang w:val="en-US" w:eastAsia="zh-CN"/>
                    </w:rPr>
                    <w:t>1</w:t>
                  </w:r>
                </w:p>
              </w:tc>
              <w:tc>
                <w:tcPr>
                  <w:tcW w:w="1359" w:type="dxa"/>
                  <w:tcBorders>
                    <w:top w:val="single" w:color="auto" w:sz="6" w:space="0"/>
                    <w:left w:val="single" w:color="auto" w:sz="6" w:space="0"/>
                    <w:bottom w:val="single" w:color="auto" w:sz="12" w:space="0"/>
                    <w:right w:val="single" w:color="auto" w:sz="6" w:space="0"/>
                  </w:tcBorders>
                  <w:noWrap/>
                  <w:vAlign w:val="center"/>
                </w:tcPr>
                <w:p w14:paraId="7859E8BF">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rPr>
                  </w:pPr>
                  <w:r>
                    <w:rPr>
                      <w:rFonts w:hint="eastAsia" w:ascii="Times New Roman" w:hAnsi="Times New Roman" w:eastAsia="宋体"/>
                      <w:color w:val="auto"/>
                      <w:sz w:val="21"/>
                      <w:szCs w:val="21"/>
                      <w:lang w:val="en-US" w:eastAsia="zh-CN"/>
                    </w:rPr>
                    <w:t>套</w:t>
                  </w:r>
                </w:p>
              </w:tc>
              <w:tc>
                <w:tcPr>
                  <w:tcW w:w="1391" w:type="dxa"/>
                  <w:tcBorders>
                    <w:top w:val="single" w:color="auto" w:sz="6" w:space="0"/>
                    <w:left w:val="single" w:color="auto" w:sz="6" w:space="0"/>
                    <w:bottom w:val="single" w:color="auto" w:sz="12" w:space="0"/>
                    <w:right w:val="nil"/>
                  </w:tcBorders>
                  <w:noWrap/>
                  <w:vAlign w:val="center"/>
                </w:tcPr>
                <w:p w14:paraId="5B8EE914">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lang w:val="en-US" w:eastAsia="zh-CN"/>
                    </w:rPr>
                  </w:pPr>
                </w:p>
              </w:tc>
            </w:tr>
          </w:tbl>
          <w:p w14:paraId="5FCA96C6">
            <w:pPr>
              <w:keepNext w:val="0"/>
              <w:keepLines w:val="0"/>
              <w:suppressLineNumbers w:val="0"/>
              <w:spacing w:before="0" w:beforeAutospacing="0" w:after="0" w:afterAutospacing="0"/>
              <w:ind w:left="0" w:right="0" w:firstLine="422"/>
              <w:jc w:val="center"/>
              <w:rPr>
                <w:rFonts w:hint="default" w:ascii="Times New Roman" w:hAnsi="Times New Roman" w:eastAsia="宋体"/>
                <w:b/>
                <w:bCs/>
                <w:color w:val="auto"/>
                <w:sz w:val="21"/>
                <w:szCs w:val="21"/>
              </w:rPr>
            </w:pPr>
            <w:r>
              <w:rPr>
                <w:rFonts w:hint="default" w:ascii="Times New Roman" w:hAnsi="Times New Roman" w:eastAsia="宋体"/>
                <w:b/>
                <w:bCs/>
                <w:color w:val="auto"/>
                <w:sz w:val="21"/>
                <w:szCs w:val="21"/>
              </w:rPr>
              <w:t>表2-</w:t>
            </w:r>
            <w:r>
              <w:rPr>
                <w:rFonts w:hint="default" w:ascii="Times New Roman" w:hAnsi="Times New Roman" w:eastAsia="宋体"/>
                <w:b/>
                <w:bCs/>
                <w:color w:val="auto"/>
                <w:sz w:val="21"/>
                <w:szCs w:val="21"/>
                <w:lang w:val="en-US" w:eastAsia="zh-CN"/>
              </w:rPr>
              <w:t>4</w:t>
            </w:r>
            <w:r>
              <w:rPr>
                <w:rFonts w:hint="default" w:ascii="Times New Roman" w:hAnsi="Times New Roman" w:eastAsia="宋体"/>
                <w:b/>
                <w:bCs/>
                <w:color w:val="auto"/>
                <w:sz w:val="21"/>
                <w:szCs w:val="21"/>
              </w:rPr>
              <w:t xml:space="preserve">  </w:t>
            </w:r>
            <w:r>
              <w:rPr>
                <w:rFonts w:hint="default" w:ascii="Times New Roman" w:hAnsi="Times New Roman" w:eastAsia="宋体"/>
                <w:b/>
                <w:bCs/>
                <w:color w:val="auto"/>
                <w:sz w:val="21"/>
                <w:szCs w:val="21"/>
                <w:lang w:val="en-US" w:eastAsia="zh-CN"/>
              </w:rPr>
              <w:t>项目</w:t>
            </w:r>
            <w:r>
              <w:rPr>
                <w:rFonts w:hint="default" w:ascii="Times New Roman" w:hAnsi="Times New Roman" w:eastAsia="宋体"/>
                <w:b/>
                <w:bCs/>
                <w:color w:val="auto"/>
                <w:sz w:val="21"/>
                <w:szCs w:val="21"/>
              </w:rPr>
              <w:t>设备</w:t>
            </w:r>
            <w:r>
              <w:rPr>
                <w:rFonts w:hint="default" w:ascii="Times New Roman" w:hAnsi="Times New Roman" w:eastAsia="宋体"/>
                <w:b/>
                <w:bCs/>
                <w:color w:val="auto"/>
                <w:sz w:val="21"/>
                <w:szCs w:val="21"/>
                <w:lang w:val="en-US" w:eastAsia="zh-CN"/>
              </w:rPr>
              <w:t>产能匹配性</w:t>
            </w:r>
            <w:r>
              <w:rPr>
                <w:rFonts w:hint="default" w:ascii="Times New Roman" w:hAnsi="Times New Roman" w:eastAsia="宋体"/>
                <w:b/>
                <w:bCs/>
                <w:color w:val="auto"/>
                <w:sz w:val="21"/>
                <w:szCs w:val="21"/>
              </w:rPr>
              <w:t>一览表</w:t>
            </w:r>
          </w:p>
          <w:tbl>
            <w:tblPr>
              <w:tblStyle w:val="26"/>
              <w:tblW w:w="8397"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1317"/>
              <w:gridCol w:w="555"/>
              <w:gridCol w:w="1342"/>
              <w:gridCol w:w="1001"/>
              <w:gridCol w:w="1605"/>
              <w:gridCol w:w="1493"/>
              <w:gridCol w:w="1084"/>
            </w:tblGrid>
            <w:tr w14:paraId="4EED59D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765" w:hRule="atLeast"/>
                <w:jc w:val="center"/>
              </w:trPr>
              <w:tc>
                <w:tcPr>
                  <w:tcW w:w="1317" w:type="dxa"/>
                  <w:tcBorders>
                    <w:bottom w:val="single" w:color="auto" w:sz="12" w:space="0"/>
                  </w:tcBorders>
                  <w:shd w:val="clear" w:color="auto" w:fill="FFFFFF" w:themeFill="background1"/>
                  <w:noWrap w:val="0"/>
                  <w:vAlign w:val="center"/>
                </w:tcPr>
                <w:p w14:paraId="010D0F7A">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宋体"/>
                      <w:color w:val="auto"/>
                      <w:sz w:val="21"/>
                      <w:szCs w:val="21"/>
                    </w:rPr>
                  </w:pPr>
                  <w:r>
                    <w:rPr>
                      <w:rFonts w:hint="eastAsia" w:ascii="Times New Roman" w:hAnsi="Times New Roman" w:eastAsia="宋体" w:cs="宋体"/>
                      <w:b/>
                      <w:bCs/>
                      <w:color w:val="auto"/>
                      <w:sz w:val="21"/>
                      <w:szCs w:val="21"/>
                      <w:lang w:val="en-US" w:eastAsia="zh-CN"/>
                    </w:rPr>
                    <w:t>名称</w:t>
                  </w:r>
                </w:p>
              </w:tc>
              <w:tc>
                <w:tcPr>
                  <w:tcW w:w="555" w:type="dxa"/>
                  <w:tcBorders>
                    <w:bottom w:val="single" w:color="auto" w:sz="12" w:space="0"/>
                  </w:tcBorders>
                  <w:shd w:val="clear" w:color="auto" w:fill="FFFFFF" w:themeFill="background1"/>
                  <w:noWrap w:val="0"/>
                  <w:vAlign w:val="center"/>
                </w:tcPr>
                <w:p w14:paraId="70845E8C">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宋体"/>
                      <w:b/>
                      <w:bCs/>
                      <w:color w:val="auto"/>
                      <w:sz w:val="21"/>
                      <w:szCs w:val="21"/>
                      <w:lang w:eastAsia="zh-CN"/>
                    </w:rPr>
                  </w:pPr>
                  <w:r>
                    <w:rPr>
                      <w:rFonts w:hint="eastAsia" w:ascii="Times New Roman" w:hAnsi="Times New Roman" w:eastAsia="宋体" w:cs="宋体"/>
                      <w:b/>
                      <w:bCs/>
                      <w:color w:val="auto"/>
                      <w:sz w:val="21"/>
                      <w:szCs w:val="21"/>
                      <w:lang w:val="en-US" w:eastAsia="zh-CN"/>
                    </w:rPr>
                    <w:t>数量（台）</w:t>
                  </w:r>
                </w:p>
              </w:tc>
              <w:tc>
                <w:tcPr>
                  <w:tcW w:w="1342" w:type="dxa"/>
                  <w:tcBorders>
                    <w:bottom w:val="single" w:color="auto" w:sz="12" w:space="0"/>
                  </w:tcBorders>
                  <w:shd w:val="clear" w:color="auto" w:fill="FFFFFF" w:themeFill="background1"/>
                  <w:noWrap w:val="0"/>
                  <w:vAlign w:val="center"/>
                </w:tcPr>
                <w:p w14:paraId="23249A04">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宋体"/>
                      <w:b/>
                      <w:bCs/>
                      <w:color w:val="auto"/>
                      <w:sz w:val="21"/>
                      <w:szCs w:val="21"/>
                      <w:lang w:val="en-US" w:eastAsia="zh-CN"/>
                    </w:rPr>
                  </w:pPr>
                  <w:r>
                    <w:rPr>
                      <w:rFonts w:hint="eastAsia" w:ascii="Times New Roman" w:hAnsi="Times New Roman" w:eastAsia="宋体" w:cs="宋体"/>
                      <w:b/>
                      <w:bCs/>
                      <w:color w:val="auto"/>
                      <w:sz w:val="21"/>
                      <w:szCs w:val="21"/>
                      <w:lang w:val="en-US" w:eastAsia="zh-CN"/>
                    </w:rPr>
                    <w:t>总生产能力</w:t>
                  </w:r>
                </w:p>
              </w:tc>
              <w:tc>
                <w:tcPr>
                  <w:tcW w:w="1001" w:type="dxa"/>
                  <w:tcBorders>
                    <w:bottom w:val="single" w:color="auto" w:sz="12" w:space="0"/>
                  </w:tcBorders>
                  <w:shd w:val="clear" w:color="auto" w:fill="FFFFFF" w:themeFill="background1"/>
                  <w:noWrap w:val="0"/>
                  <w:vAlign w:val="center"/>
                </w:tcPr>
                <w:p w14:paraId="43E4A2C2">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宋体"/>
                      <w:b/>
                      <w:bCs/>
                      <w:color w:val="auto"/>
                      <w:sz w:val="21"/>
                      <w:szCs w:val="21"/>
                      <w:lang w:val="en-US" w:eastAsia="zh-CN"/>
                    </w:rPr>
                  </w:pPr>
                  <w:r>
                    <w:rPr>
                      <w:rFonts w:hint="eastAsia" w:ascii="Times New Roman" w:hAnsi="Times New Roman" w:eastAsia="宋体" w:cs="宋体"/>
                      <w:b/>
                      <w:bCs/>
                      <w:color w:val="auto"/>
                      <w:sz w:val="21"/>
                      <w:szCs w:val="21"/>
                      <w:lang w:val="en-US" w:eastAsia="zh-CN"/>
                    </w:rPr>
                    <w:t>年加工时间（h）</w:t>
                  </w:r>
                </w:p>
              </w:tc>
              <w:tc>
                <w:tcPr>
                  <w:tcW w:w="1605" w:type="dxa"/>
                  <w:tcBorders>
                    <w:bottom w:val="single" w:color="auto" w:sz="12" w:space="0"/>
                  </w:tcBorders>
                  <w:shd w:val="clear" w:color="auto" w:fill="FFFFFF" w:themeFill="background1"/>
                  <w:noWrap w:val="0"/>
                  <w:vAlign w:val="center"/>
                </w:tcPr>
                <w:p w14:paraId="2102F75B">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宋体"/>
                      <w:b/>
                      <w:bCs/>
                      <w:color w:val="auto"/>
                      <w:sz w:val="21"/>
                      <w:szCs w:val="21"/>
                      <w:lang w:val="en-US" w:eastAsia="zh-CN"/>
                    </w:rPr>
                  </w:pPr>
                  <w:r>
                    <w:rPr>
                      <w:rFonts w:hint="eastAsia" w:ascii="Times New Roman" w:hAnsi="Times New Roman" w:eastAsia="宋体" w:cs="宋体"/>
                      <w:b/>
                      <w:bCs/>
                      <w:color w:val="auto"/>
                      <w:sz w:val="21"/>
                      <w:szCs w:val="21"/>
                      <w:lang w:val="en-US" w:eastAsia="zh-CN"/>
                    </w:rPr>
                    <w:t>年生产能力</w:t>
                  </w:r>
                </w:p>
              </w:tc>
              <w:tc>
                <w:tcPr>
                  <w:tcW w:w="1493" w:type="dxa"/>
                  <w:tcBorders>
                    <w:bottom w:val="single" w:color="auto" w:sz="12" w:space="0"/>
                  </w:tcBorders>
                  <w:shd w:val="clear" w:color="auto" w:fill="FFFFFF" w:themeFill="background1"/>
                  <w:noWrap w:val="0"/>
                  <w:vAlign w:val="center"/>
                </w:tcPr>
                <w:p w14:paraId="5D858C7E">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宋体"/>
                      <w:b/>
                      <w:bCs/>
                      <w:color w:val="auto"/>
                      <w:sz w:val="21"/>
                      <w:szCs w:val="21"/>
                      <w:lang w:val="en-US" w:eastAsia="zh-CN"/>
                    </w:rPr>
                  </w:pPr>
                  <w:r>
                    <w:rPr>
                      <w:rFonts w:hint="eastAsia" w:ascii="Times New Roman" w:hAnsi="Times New Roman" w:eastAsia="宋体" w:cs="宋体"/>
                      <w:b/>
                      <w:bCs/>
                      <w:color w:val="auto"/>
                      <w:sz w:val="21"/>
                      <w:szCs w:val="21"/>
                      <w:lang w:val="en-US" w:eastAsia="zh-CN"/>
                    </w:rPr>
                    <w:t>项目年生产总量</w:t>
                  </w:r>
                </w:p>
              </w:tc>
              <w:tc>
                <w:tcPr>
                  <w:tcW w:w="1084" w:type="dxa"/>
                  <w:tcBorders>
                    <w:bottom w:val="single" w:color="auto" w:sz="12" w:space="0"/>
                  </w:tcBorders>
                  <w:shd w:val="clear" w:color="auto" w:fill="FFFFFF" w:themeFill="background1"/>
                  <w:noWrap w:val="0"/>
                  <w:vAlign w:val="center"/>
                </w:tcPr>
                <w:p w14:paraId="459812E0">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宋体"/>
                      <w:b/>
                      <w:bCs/>
                      <w:color w:val="auto"/>
                      <w:sz w:val="21"/>
                      <w:szCs w:val="21"/>
                      <w:lang w:val="en-US" w:eastAsia="zh-CN"/>
                    </w:rPr>
                  </w:pPr>
                  <w:r>
                    <w:rPr>
                      <w:rFonts w:hint="eastAsia" w:ascii="Times New Roman" w:hAnsi="Times New Roman" w:eastAsia="宋体" w:cs="宋体"/>
                      <w:b/>
                      <w:bCs/>
                      <w:color w:val="auto"/>
                      <w:sz w:val="21"/>
                      <w:szCs w:val="21"/>
                      <w:lang w:val="en-US" w:eastAsia="zh-CN"/>
                    </w:rPr>
                    <w:t>设备是否匹配产能</w:t>
                  </w:r>
                </w:p>
              </w:tc>
            </w:tr>
            <w:tr w14:paraId="64559F7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13" w:hRule="atLeast"/>
                <w:jc w:val="center"/>
              </w:trPr>
              <w:tc>
                <w:tcPr>
                  <w:tcW w:w="8397" w:type="dxa"/>
                  <w:gridSpan w:val="7"/>
                  <w:tcBorders>
                    <w:top w:val="single" w:color="auto" w:sz="12" w:space="0"/>
                  </w:tcBorders>
                  <w:noWrap w:val="0"/>
                  <w:vAlign w:val="center"/>
                </w:tcPr>
                <w:p w14:paraId="7F218522">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宋体"/>
                      <w:color w:val="auto"/>
                      <w:sz w:val="21"/>
                      <w:szCs w:val="21"/>
                    </w:rPr>
                  </w:pPr>
                  <w:r>
                    <w:rPr>
                      <w:rFonts w:hint="eastAsia"/>
                      <w:color w:val="auto"/>
                      <w:sz w:val="21"/>
                      <w:szCs w:val="21"/>
                      <w:lang w:val="en-US" w:eastAsia="zh-CN"/>
                    </w:rPr>
                    <w:t>注塑鞋底制造</w:t>
                  </w:r>
                </w:p>
              </w:tc>
            </w:tr>
            <w:tr w14:paraId="44D3FB8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72" w:hRule="atLeast"/>
                <w:jc w:val="center"/>
              </w:trPr>
              <w:tc>
                <w:tcPr>
                  <w:tcW w:w="1317" w:type="dxa"/>
                  <w:shd w:val="clear" w:color="auto" w:fill="auto"/>
                  <w:noWrap w:val="0"/>
                  <w:vAlign w:val="center"/>
                </w:tcPr>
                <w:p w14:paraId="00C1D852">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宋体"/>
                      <w:color w:val="auto"/>
                      <w:kern w:val="2"/>
                      <w:sz w:val="21"/>
                      <w:szCs w:val="21"/>
                      <w:lang w:val="en-US" w:eastAsia="zh-CN" w:bidi="ar-SA"/>
                    </w:rPr>
                  </w:pPr>
                  <w:r>
                    <w:rPr>
                      <w:rFonts w:hint="eastAsia" w:ascii="Times New Roman" w:hAnsi="Times New Roman" w:eastAsia="宋体"/>
                      <w:color w:val="auto"/>
                      <w:sz w:val="21"/>
                      <w:szCs w:val="21"/>
                      <w:lang w:val="en-US" w:eastAsia="zh-CN"/>
                    </w:rPr>
                    <w:t>圆盘机注塑</w:t>
                  </w:r>
                </w:p>
              </w:tc>
              <w:tc>
                <w:tcPr>
                  <w:tcW w:w="555" w:type="dxa"/>
                  <w:shd w:val="clear" w:color="auto" w:fill="auto"/>
                  <w:noWrap w:val="0"/>
                  <w:vAlign w:val="center"/>
                </w:tcPr>
                <w:p w14:paraId="21D8D945">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宋体"/>
                      <w:color w:val="auto"/>
                      <w:kern w:val="2"/>
                      <w:sz w:val="21"/>
                      <w:szCs w:val="21"/>
                      <w:lang w:val="en-US" w:eastAsia="zh-CN" w:bidi="ar-SA"/>
                    </w:rPr>
                  </w:pPr>
                  <w:r>
                    <w:rPr>
                      <w:rFonts w:hint="eastAsia" w:ascii="Times New Roman" w:hAnsi="Times New Roman" w:eastAsia="宋体"/>
                      <w:color w:val="auto"/>
                      <w:sz w:val="21"/>
                      <w:szCs w:val="21"/>
                      <w:lang w:val="en-US" w:eastAsia="zh-CN"/>
                    </w:rPr>
                    <w:t>10</w:t>
                  </w:r>
                </w:p>
              </w:tc>
              <w:tc>
                <w:tcPr>
                  <w:tcW w:w="1342" w:type="dxa"/>
                  <w:shd w:val="clear" w:color="auto" w:fill="auto"/>
                  <w:noWrap w:val="0"/>
                  <w:vAlign w:val="center"/>
                </w:tcPr>
                <w:p w14:paraId="17110D01">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宋体"/>
                      <w:color w:val="auto"/>
                      <w:kern w:val="2"/>
                      <w:sz w:val="21"/>
                      <w:szCs w:val="21"/>
                      <w:lang w:val="en-US" w:eastAsia="zh-CN" w:bidi="ar-SA"/>
                    </w:rPr>
                  </w:pPr>
                  <w:r>
                    <w:rPr>
                      <w:rFonts w:hint="eastAsia" w:ascii="Times New Roman" w:hAnsi="Times New Roman" w:eastAsia="宋体" w:cs="宋体"/>
                      <w:color w:val="auto"/>
                      <w:sz w:val="21"/>
                      <w:szCs w:val="21"/>
                      <w:lang w:val="en-US" w:eastAsia="zh-CN"/>
                    </w:rPr>
                    <w:t>0.03万双</w:t>
                  </w:r>
                  <w:r>
                    <w:rPr>
                      <w:rFonts w:hint="eastAsia" w:ascii="Times New Roman" w:hAnsi="Times New Roman" w:eastAsia="宋体" w:cs="宋体"/>
                      <w:b w:val="0"/>
                      <w:bCs w:val="0"/>
                      <w:color w:val="auto"/>
                      <w:sz w:val="21"/>
                      <w:szCs w:val="21"/>
                      <w:lang w:val="en-US" w:eastAsia="zh-CN"/>
                    </w:rPr>
                    <w:t>/h</w:t>
                  </w:r>
                </w:p>
              </w:tc>
              <w:tc>
                <w:tcPr>
                  <w:tcW w:w="1001" w:type="dxa"/>
                  <w:shd w:val="clear" w:color="auto" w:fill="auto"/>
                  <w:noWrap w:val="0"/>
                  <w:vAlign w:val="center"/>
                </w:tcPr>
                <w:p w14:paraId="121B9286">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宋体"/>
                      <w:color w:val="auto"/>
                      <w:kern w:val="2"/>
                      <w:sz w:val="21"/>
                      <w:szCs w:val="21"/>
                      <w:lang w:val="en-US" w:eastAsia="zh-CN" w:bidi="ar-SA"/>
                    </w:rPr>
                  </w:pPr>
                  <w:r>
                    <w:rPr>
                      <w:rFonts w:hint="eastAsia" w:ascii="Times New Roman" w:hAnsi="Times New Roman" w:eastAsia="宋体" w:cs="宋体"/>
                      <w:color w:val="auto"/>
                      <w:sz w:val="21"/>
                      <w:szCs w:val="21"/>
                      <w:lang w:val="en-US" w:eastAsia="zh-CN"/>
                    </w:rPr>
                    <w:t>4800</w:t>
                  </w:r>
                </w:p>
              </w:tc>
              <w:tc>
                <w:tcPr>
                  <w:tcW w:w="1605" w:type="dxa"/>
                  <w:shd w:val="clear" w:color="auto" w:fill="auto"/>
                  <w:noWrap w:val="0"/>
                  <w:vAlign w:val="center"/>
                </w:tcPr>
                <w:p w14:paraId="1DB8125A">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宋体"/>
                      <w:color w:val="auto"/>
                      <w:kern w:val="2"/>
                      <w:sz w:val="21"/>
                      <w:szCs w:val="21"/>
                      <w:lang w:val="en-US" w:eastAsia="zh-CN" w:bidi="ar-SA"/>
                    </w:rPr>
                  </w:pPr>
                  <w:r>
                    <w:rPr>
                      <w:rFonts w:hint="eastAsia" w:ascii="Times New Roman" w:hAnsi="Times New Roman" w:eastAsia="宋体" w:cs="宋体"/>
                      <w:color w:val="auto"/>
                      <w:sz w:val="21"/>
                      <w:szCs w:val="21"/>
                      <w:lang w:val="en-US" w:eastAsia="zh-CN"/>
                    </w:rPr>
                    <w:t>144万双</w:t>
                  </w:r>
                  <w:r>
                    <w:rPr>
                      <w:rFonts w:hint="eastAsia" w:ascii="Times New Roman" w:hAnsi="Times New Roman" w:eastAsia="宋体" w:cs="宋体"/>
                      <w:b w:val="0"/>
                      <w:bCs w:val="0"/>
                      <w:color w:val="auto"/>
                      <w:sz w:val="21"/>
                      <w:szCs w:val="21"/>
                      <w:lang w:val="en-US" w:eastAsia="zh-CN"/>
                    </w:rPr>
                    <w:t>/a</w:t>
                  </w:r>
                </w:p>
              </w:tc>
              <w:tc>
                <w:tcPr>
                  <w:tcW w:w="1493" w:type="dxa"/>
                  <w:shd w:val="clear" w:color="auto" w:fill="auto"/>
                  <w:noWrap w:val="0"/>
                  <w:vAlign w:val="center"/>
                </w:tcPr>
                <w:p w14:paraId="523A713F">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宋体"/>
                      <w:color w:val="auto"/>
                      <w:kern w:val="2"/>
                      <w:sz w:val="21"/>
                      <w:szCs w:val="21"/>
                      <w:lang w:val="en-US" w:eastAsia="zh-CN" w:bidi="ar-SA"/>
                    </w:rPr>
                  </w:pPr>
                  <w:r>
                    <w:rPr>
                      <w:rFonts w:hint="eastAsia" w:ascii="Times New Roman" w:hAnsi="Times New Roman" w:eastAsia="宋体" w:cs="宋体"/>
                      <w:color w:val="auto"/>
                      <w:sz w:val="21"/>
                      <w:szCs w:val="21"/>
                      <w:lang w:val="en-US" w:eastAsia="zh-CN"/>
                    </w:rPr>
                    <w:t>120万双</w:t>
                  </w:r>
                  <w:r>
                    <w:rPr>
                      <w:rFonts w:hint="eastAsia" w:ascii="Times New Roman" w:hAnsi="Times New Roman" w:eastAsia="宋体" w:cs="宋体"/>
                      <w:b w:val="0"/>
                      <w:bCs w:val="0"/>
                      <w:color w:val="auto"/>
                      <w:sz w:val="21"/>
                      <w:szCs w:val="21"/>
                      <w:lang w:val="en-US" w:eastAsia="zh-CN"/>
                    </w:rPr>
                    <w:t>/a</w:t>
                  </w:r>
                </w:p>
              </w:tc>
              <w:tc>
                <w:tcPr>
                  <w:tcW w:w="1084" w:type="dxa"/>
                  <w:shd w:val="clear" w:color="auto" w:fill="auto"/>
                  <w:noWrap w:val="0"/>
                  <w:vAlign w:val="center"/>
                </w:tcPr>
                <w:p w14:paraId="67F5A656">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宋体"/>
                      <w:color w:val="auto"/>
                      <w:kern w:val="2"/>
                      <w:sz w:val="21"/>
                      <w:szCs w:val="21"/>
                      <w:lang w:val="en-US" w:eastAsia="zh-CN" w:bidi="ar-SA"/>
                    </w:rPr>
                  </w:pPr>
                  <w:r>
                    <w:rPr>
                      <w:rFonts w:hint="eastAsia" w:ascii="Times New Roman" w:hAnsi="Times New Roman" w:eastAsia="宋体" w:cs="宋体"/>
                      <w:color w:val="auto"/>
                      <w:sz w:val="21"/>
                      <w:szCs w:val="21"/>
                      <w:lang w:val="en-US" w:eastAsia="zh-CN"/>
                    </w:rPr>
                    <w:t>是</w:t>
                  </w:r>
                </w:p>
              </w:tc>
            </w:tr>
            <w:tr w14:paraId="12AD597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72" w:hRule="atLeast"/>
                <w:jc w:val="center"/>
              </w:trPr>
              <w:tc>
                <w:tcPr>
                  <w:tcW w:w="1317" w:type="dxa"/>
                  <w:noWrap w:val="0"/>
                  <w:vAlign w:val="center"/>
                </w:tcPr>
                <w:p w14:paraId="2D1D1256">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宋体"/>
                      <w:color w:val="auto"/>
                      <w:sz w:val="21"/>
                      <w:szCs w:val="21"/>
                      <w:lang w:val="en-US" w:eastAsia="zh-CN"/>
                    </w:rPr>
                  </w:pPr>
                  <w:r>
                    <w:rPr>
                      <w:rFonts w:hint="eastAsia" w:ascii="Times New Roman" w:hAnsi="Times New Roman" w:eastAsia="宋体"/>
                      <w:color w:val="auto"/>
                      <w:sz w:val="21"/>
                      <w:szCs w:val="21"/>
                      <w:lang w:val="en-US" w:eastAsia="zh-CN"/>
                    </w:rPr>
                    <w:t>立式机注塑</w:t>
                  </w:r>
                </w:p>
              </w:tc>
              <w:tc>
                <w:tcPr>
                  <w:tcW w:w="555" w:type="dxa"/>
                  <w:noWrap w:val="0"/>
                  <w:vAlign w:val="center"/>
                </w:tcPr>
                <w:p w14:paraId="46D820D3">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宋体"/>
                      <w:color w:val="auto"/>
                      <w:sz w:val="21"/>
                      <w:szCs w:val="21"/>
                      <w:lang w:val="en-US" w:eastAsia="zh-CN"/>
                    </w:rPr>
                  </w:pPr>
                  <w:r>
                    <w:rPr>
                      <w:rFonts w:hint="eastAsia" w:ascii="Times New Roman" w:hAnsi="Times New Roman" w:eastAsia="宋体"/>
                      <w:color w:val="auto"/>
                      <w:sz w:val="21"/>
                      <w:szCs w:val="21"/>
                      <w:lang w:val="en-US" w:eastAsia="zh-CN"/>
                    </w:rPr>
                    <w:t>10</w:t>
                  </w:r>
                </w:p>
              </w:tc>
              <w:tc>
                <w:tcPr>
                  <w:tcW w:w="1342" w:type="dxa"/>
                  <w:noWrap w:val="0"/>
                  <w:vAlign w:val="center"/>
                </w:tcPr>
                <w:p w14:paraId="6BD52B13">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0.02万双</w:t>
                  </w:r>
                  <w:r>
                    <w:rPr>
                      <w:rFonts w:hint="eastAsia" w:ascii="Times New Roman" w:hAnsi="Times New Roman" w:eastAsia="宋体" w:cs="宋体"/>
                      <w:b w:val="0"/>
                      <w:bCs w:val="0"/>
                      <w:color w:val="auto"/>
                      <w:sz w:val="21"/>
                      <w:szCs w:val="21"/>
                      <w:lang w:val="en-US" w:eastAsia="zh-CN"/>
                    </w:rPr>
                    <w:t>/h</w:t>
                  </w:r>
                </w:p>
              </w:tc>
              <w:tc>
                <w:tcPr>
                  <w:tcW w:w="1001" w:type="dxa"/>
                  <w:noWrap w:val="0"/>
                  <w:vAlign w:val="center"/>
                </w:tcPr>
                <w:p w14:paraId="06A5290A">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宋体"/>
                      <w:color w:val="auto"/>
                      <w:sz w:val="21"/>
                      <w:szCs w:val="21"/>
                    </w:rPr>
                  </w:pPr>
                  <w:r>
                    <w:rPr>
                      <w:rFonts w:hint="eastAsia" w:ascii="Times New Roman" w:hAnsi="Times New Roman" w:eastAsia="宋体" w:cs="宋体"/>
                      <w:color w:val="auto"/>
                      <w:sz w:val="21"/>
                      <w:szCs w:val="21"/>
                      <w:lang w:val="en-US" w:eastAsia="zh-CN"/>
                    </w:rPr>
                    <w:t>4800</w:t>
                  </w:r>
                </w:p>
              </w:tc>
              <w:tc>
                <w:tcPr>
                  <w:tcW w:w="1605" w:type="dxa"/>
                  <w:noWrap w:val="0"/>
                  <w:vAlign w:val="center"/>
                </w:tcPr>
                <w:p w14:paraId="67461690">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96万双</w:t>
                  </w:r>
                  <w:r>
                    <w:rPr>
                      <w:rFonts w:hint="eastAsia" w:ascii="Times New Roman" w:hAnsi="Times New Roman" w:eastAsia="宋体" w:cs="宋体"/>
                      <w:b w:val="0"/>
                      <w:bCs w:val="0"/>
                      <w:color w:val="auto"/>
                      <w:sz w:val="21"/>
                      <w:szCs w:val="21"/>
                      <w:lang w:val="en-US" w:eastAsia="zh-CN"/>
                    </w:rPr>
                    <w:t>/a</w:t>
                  </w:r>
                </w:p>
              </w:tc>
              <w:tc>
                <w:tcPr>
                  <w:tcW w:w="1493" w:type="dxa"/>
                  <w:noWrap w:val="0"/>
                  <w:vAlign w:val="center"/>
                </w:tcPr>
                <w:p w14:paraId="2A88F7D1">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80万双</w:t>
                  </w:r>
                  <w:r>
                    <w:rPr>
                      <w:rFonts w:hint="eastAsia" w:ascii="Times New Roman" w:hAnsi="Times New Roman" w:eastAsia="宋体" w:cs="宋体"/>
                      <w:b w:val="0"/>
                      <w:bCs w:val="0"/>
                      <w:color w:val="auto"/>
                      <w:sz w:val="21"/>
                      <w:szCs w:val="21"/>
                      <w:lang w:val="en-US" w:eastAsia="zh-CN"/>
                    </w:rPr>
                    <w:t>/a</w:t>
                  </w:r>
                </w:p>
              </w:tc>
              <w:tc>
                <w:tcPr>
                  <w:tcW w:w="1084" w:type="dxa"/>
                  <w:noWrap w:val="0"/>
                  <w:vAlign w:val="center"/>
                </w:tcPr>
                <w:p w14:paraId="1F4A9003">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宋体"/>
                      <w:color w:val="auto"/>
                      <w:sz w:val="21"/>
                      <w:szCs w:val="21"/>
                    </w:rPr>
                  </w:pPr>
                  <w:r>
                    <w:rPr>
                      <w:rFonts w:hint="eastAsia" w:ascii="Times New Roman" w:hAnsi="Times New Roman" w:eastAsia="宋体" w:cs="宋体"/>
                      <w:color w:val="auto"/>
                      <w:sz w:val="21"/>
                      <w:szCs w:val="21"/>
                      <w:lang w:val="en-US" w:eastAsia="zh-CN"/>
                    </w:rPr>
                    <w:t>是</w:t>
                  </w:r>
                </w:p>
              </w:tc>
            </w:tr>
            <w:tr w14:paraId="1BE3292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1317" w:type="dxa"/>
                  <w:noWrap w:val="0"/>
                  <w:vAlign w:val="center"/>
                </w:tcPr>
                <w:p w14:paraId="39B1EB62">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宋体"/>
                      <w:color w:val="auto"/>
                      <w:sz w:val="21"/>
                      <w:szCs w:val="21"/>
                      <w:lang w:val="en-US" w:eastAsia="zh-CN"/>
                    </w:rPr>
                  </w:pPr>
                  <w:r>
                    <w:rPr>
                      <w:rFonts w:hint="eastAsia" w:ascii="Times New Roman" w:hAnsi="Times New Roman" w:eastAsia="宋体" w:cs="Times New Roman"/>
                      <w:b w:val="0"/>
                      <w:bCs/>
                      <w:color w:val="auto"/>
                      <w:sz w:val="21"/>
                      <w:szCs w:val="21"/>
                      <w:lang w:val="en-US" w:eastAsia="zh-CN"/>
                    </w:rPr>
                    <w:t>拌料机</w:t>
                  </w:r>
                </w:p>
              </w:tc>
              <w:tc>
                <w:tcPr>
                  <w:tcW w:w="555" w:type="dxa"/>
                  <w:noWrap w:val="0"/>
                  <w:vAlign w:val="center"/>
                </w:tcPr>
                <w:p w14:paraId="15FFF847">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宋体"/>
                      <w:color w:val="auto"/>
                      <w:sz w:val="21"/>
                      <w:szCs w:val="21"/>
                      <w:lang w:val="en-US" w:eastAsia="zh-CN"/>
                    </w:rPr>
                  </w:pPr>
                  <w:r>
                    <w:rPr>
                      <w:rFonts w:hint="eastAsia"/>
                      <w:color w:val="auto"/>
                      <w:sz w:val="21"/>
                      <w:szCs w:val="21"/>
                      <w:lang w:val="en-US" w:eastAsia="zh-CN"/>
                    </w:rPr>
                    <w:t>5</w:t>
                  </w:r>
                </w:p>
              </w:tc>
              <w:tc>
                <w:tcPr>
                  <w:tcW w:w="1342" w:type="dxa"/>
                  <w:noWrap w:val="0"/>
                  <w:vAlign w:val="center"/>
                </w:tcPr>
                <w:p w14:paraId="244B7D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0.125</w:t>
                  </w:r>
                  <w:r>
                    <w:rPr>
                      <w:rFonts w:hint="eastAsia" w:ascii="Times New Roman" w:hAnsi="Times New Roman" w:eastAsia="宋体" w:cs="宋体"/>
                      <w:b w:val="0"/>
                      <w:bCs w:val="0"/>
                      <w:color w:val="auto"/>
                      <w:sz w:val="21"/>
                      <w:szCs w:val="21"/>
                      <w:lang w:val="en-US" w:eastAsia="zh-CN"/>
                    </w:rPr>
                    <w:t>t/h</w:t>
                  </w:r>
                </w:p>
              </w:tc>
              <w:tc>
                <w:tcPr>
                  <w:tcW w:w="1001" w:type="dxa"/>
                  <w:noWrap w:val="0"/>
                  <w:vAlign w:val="center"/>
                </w:tcPr>
                <w:p w14:paraId="38A7A7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宋体"/>
                      <w:color w:val="auto"/>
                      <w:sz w:val="21"/>
                      <w:szCs w:val="21"/>
                    </w:rPr>
                  </w:pPr>
                  <w:r>
                    <w:rPr>
                      <w:rFonts w:hint="eastAsia" w:ascii="Times New Roman" w:hAnsi="Times New Roman" w:eastAsia="宋体" w:cs="宋体"/>
                      <w:color w:val="auto"/>
                      <w:sz w:val="21"/>
                      <w:szCs w:val="21"/>
                      <w:lang w:val="en-US" w:eastAsia="zh-CN"/>
                    </w:rPr>
                    <w:t>4800</w:t>
                  </w:r>
                </w:p>
              </w:tc>
              <w:tc>
                <w:tcPr>
                  <w:tcW w:w="1605" w:type="dxa"/>
                  <w:noWrap w:val="0"/>
                  <w:vAlign w:val="center"/>
                </w:tcPr>
                <w:p w14:paraId="4889AE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600</w:t>
                  </w:r>
                  <w:r>
                    <w:rPr>
                      <w:rFonts w:hint="eastAsia" w:ascii="Times New Roman" w:hAnsi="Times New Roman" w:eastAsia="宋体" w:cs="宋体"/>
                      <w:b w:val="0"/>
                      <w:bCs w:val="0"/>
                      <w:color w:val="auto"/>
                      <w:sz w:val="21"/>
                      <w:szCs w:val="21"/>
                      <w:lang w:val="en-US" w:eastAsia="zh-CN"/>
                    </w:rPr>
                    <w:t>t/a</w:t>
                  </w:r>
                </w:p>
              </w:tc>
              <w:tc>
                <w:tcPr>
                  <w:tcW w:w="1493" w:type="dxa"/>
                  <w:noWrap w:val="0"/>
                  <w:vAlign w:val="center"/>
                </w:tcPr>
                <w:p w14:paraId="329B275B">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496</w:t>
                  </w:r>
                  <w:r>
                    <w:rPr>
                      <w:rFonts w:hint="eastAsia" w:ascii="Times New Roman" w:hAnsi="Times New Roman" w:eastAsia="宋体" w:cs="宋体"/>
                      <w:b w:val="0"/>
                      <w:bCs w:val="0"/>
                      <w:color w:val="auto"/>
                      <w:sz w:val="21"/>
                      <w:szCs w:val="21"/>
                      <w:lang w:val="en-US" w:eastAsia="zh-CN"/>
                    </w:rPr>
                    <w:t>t/a</w:t>
                  </w:r>
                </w:p>
              </w:tc>
              <w:tc>
                <w:tcPr>
                  <w:tcW w:w="1084" w:type="dxa"/>
                  <w:noWrap w:val="0"/>
                  <w:vAlign w:val="center"/>
                </w:tcPr>
                <w:p w14:paraId="14AD3F8B">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宋体"/>
                      <w:color w:val="auto"/>
                      <w:sz w:val="21"/>
                      <w:szCs w:val="21"/>
                    </w:rPr>
                  </w:pPr>
                  <w:r>
                    <w:rPr>
                      <w:rFonts w:hint="eastAsia" w:ascii="Times New Roman" w:hAnsi="Times New Roman" w:eastAsia="宋体" w:cs="宋体"/>
                      <w:color w:val="auto"/>
                      <w:sz w:val="21"/>
                      <w:szCs w:val="21"/>
                      <w:lang w:val="en-US" w:eastAsia="zh-CN"/>
                    </w:rPr>
                    <w:t>是</w:t>
                  </w:r>
                </w:p>
              </w:tc>
            </w:tr>
            <w:tr w14:paraId="5DAE5D6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72" w:hRule="atLeast"/>
                <w:jc w:val="center"/>
              </w:trPr>
              <w:tc>
                <w:tcPr>
                  <w:tcW w:w="8397" w:type="dxa"/>
                  <w:gridSpan w:val="7"/>
                  <w:noWrap w:val="0"/>
                  <w:vAlign w:val="center"/>
                </w:tcPr>
                <w:p w14:paraId="25987224">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宋体"/>
                      <w:color w:val="auto"/>
                      <w:sz w:val="21"/>
                      <w:szCs w:val="21"/>
                    </w:rPr>
                  </w:pPr>
                  <w:r>
                    <w:rPr>
                      <w:rFonts w:hint="eastAsia"/>
                      <w:color w:val="auto"/>
                      <w:sz w:val="21"/>
                      <w:szCs w:val="21"/>
                      <w:lang w:val="en-US" w:eastAsia="zh-CN"/>
                    </w:rPr>
                    <w:t>鞋垫制造</w:t>
                  </w:r>
                </w:p>
              </w:tc>
            </w:tr>
            <w:tr w14:paraId="386B2C4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72" w:hRule="atLeast"/>
                <w:jc w:val="center"/>
              </w:trPr>
              <w:tc>
                <w:tcPr>
                  <w:tcW w:w="1317" w:type="dxa"/>
                  <w:shd w:val="clear" w:color="auto" w:fill="auto"/>
                  <w:noWrap w:val="0"/>
                  <w:vAlign w:val="center"/>
                </w:tcPr>
                <w:p w14:paraId="2A2247EC">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b/>
                      <w:bCs/>
                      <w:color w:val="auto"/>
                      <w:kern w:val="2"/>
                      <w:sz w:val="21"/>
                      <w:szCs w:val="21"/>
                      <w:lang w:val="en-US" w:eastAsia="zh-CN" w:bidi="ar-SA"/>
                    </w:rPr>
                  </w:pPr>
                  <w:r>
                    <w:rPr>
                      <w:rFonts w:hint="eastAsia" w:ascii="Times New Roman" w:hAnsi="Times New Roman" w:eastAsia="宋体"/>
                      <w:b w:val="0"/>
                      <w:bCs/>
                      <w:color w:val="auto"/>
                      <w:sz w:val="21"/>
                      <w:szCs w:val="21"/>
                      <w:lang w:val="en-US" w:eastAsia="zh-CN"/>
                    </w:rPr>
                    <w:t>自动化聚氨酯机发泡机</w:t>
                  </w:r>
                </w:p>
              </w:tc>
              <w:tc>
                <w:tcPr>
                  <w:tcW w:w="555" w:type="dxa"/>
                  <w:noWrap w:val="0"/>
                  <w:vAlign w:val="center"/>
                </w:tcPr>
                <w:p w14:paraId="355ACD58">
                  <w:pPr>
                    <w:pStyle w:val="6"/>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2</w:t>
                  </w:r>
                </w:p>
              </w:tc>
              <w:tc>
                <w:tcPr>
                  <w:tcW w:w="1342" w:type="dxa"/>
                  <w:shd w:val="clear" w:color="auto" w:fill="auto"/>
                  <w:noWrap w:val="0"/>
                  <w:vAlign w:val="center"/>
                </w:tcPr>
                <w:p w14:paraId="030E5B68">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宋体"/>
                      <w:color w:val="auto"/>
                      <w:kern w:val="2"/>
                      <w:sz w:val="21"/>
                      <w:szCs w:val="21"/>
                      <w:lang w:val="en-US" w:eastAsia="zh-CN" w:bidi="ar-SA"/>
                    </w:rPr>
                  </w:pPr>
                  <w:r>
                    <w:rPr>
                      <w:rFonts w:hint="eastAsia" w:ascii="Times New Roman" w:hAnsi="Times New Roman" w:eastAsia="宋体" w:cs="宋体"/>
                      <w:color w:val="auto"/>
                      <w:sz w:val="21"/>
                      <w:szCs w:val="21"/>
                      <w:lang w:val="en-US" w:eastAsia="zh-CN"/>
                    </w:rPr>
                    <w:t>0.05万双</w:t>
                  </w:r>
                  <w:r>
                    <w:rPr>
                      <w:rFonts w:hint="eastAsia" w:ascii="Times New Roman" w:hAnsi="Times New Roman" w:eastAsia="宋体" w:cs="宋体"/>
                      <w:b w:val="0"/>
                      <w:bCs w:val="0"/>
                      <w:color w:val="auto"/>
                      <w:sz w:val="21"/>
                      <w:szCs w:val="21"/>
                      <w:lang w:val="en-US" w:eastAsia="zh-CN"/>
                    </w:rPr>
                    <w:t>/h</w:t>
                  </w:r>
                </w:p>
              </w:tc>
              <w:tc>
                <w:tcPr>
                  <w:tcW w:w="1001" w:type="dxa"/>
                  <w:shd w:val="clear" w:color="auto" w:fill="auto"/>
                  <w:noWrap w:val="0"/>
                  <w:vAlign w:val="center"/>
                </w:tcPr>
                <w:p w14:paraId="30DCB949">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宋体"/>
                      <w:color w:val="auto"/>
                      <w:kern w:val="2"/>
                      <w:sz w:val="21"/>
                      <w:szCs w:val="21"/>
                      <w:lang w:val="en-US" w:eastAsia="zh-CN" w:bidi="ar-SA"/>
                    </w:rPr>
                  </w:pPr>
                  <w:r>
                    <w:rPr>
                      <w:rFonts w:hint="eastAsia" w:ascii="Times New Roman" w:hAnsi="Times New Roman" w:eastAsia="宋体" w:cs="宋体"/>
                      <w:color w:val="auto"/>
                      <w:sz w:val="21"/>
                      <w:szCs w:val="21"/>
                      <w:lang w:val="en-US" w:eastAsia="zh-CN"/>
                    </w:rPr>
                    <w:t>4800</w:t>
                  </w:r>
                </w:p>
              </w:tc>
              <w:tc>
                <w:tcPr>
                  <w:tcW w:w="1605" w:type="dxa"/>
                  <w:shd w:val="clear" w:color="auto" w:fill="auto"/>
                  <w:noWrap w:val="0"/>
                  <w:vAlign w:val="center"/>
                </w:tcPr>
                <w:p w14:paraId="399300B7">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宋体"/>
                      <w:color w:val="auto"/>
                      <w:kern w:val="2"/>
                      <w:sz w:val="21"/>
                      <w:szCs w:val="21"/>
                      <w:lang w:val="en-US" w:eastAsia="zh-CN" w:bidi="ar-SA"/>
                    </w:rPr>
                  </w:pPr>
                  <w:r>
                    <w:rPr>
                      <w:rFonts w:hint="eastAsia" w:ascii="Times New Roman" w:hAnsi="Times New Roman" w:eastAsia="宋体" w:cs="宋体"/>
                      <w:color w:val="auto"/>
                      <w:sz w:val="21"/>
                      <w:szCs w:val="21"/>
                      <w:lang w:val="en-US" w:eastAsia="zh-CN"/>
                    </w:rPr>
                    <w:t>240万双</w:t>
                  </w:r>
                  <w:r>
                    <w:rPr>
                      <w:rFonts w:hint="eastAsia" w:ascii="Times New Roman" w:hAnsi="Times New Roman" w:eastAsia="宋体" w:cs="宋体"/>
                      <w:b w:val="0"/>
                      <w:bCs w:val="0"/>
                      <w:color w:val="auto"/>
                      <w:sz w:val="21"/>
                      <w:szCs w:val="21"/>
                      <w:lang w:val="en-US" w:eastAsia="zh-CN"/>
                    </w:rPr>
                    <w:t>/a</w:t>
                  </w:r>
                </w:p>
              </w:tc>
              <w:tc>
                <w:tcPr>
                  <w:tcW w:w="1493" w:type="dxa"/>
                  <w:shd w:val="clear" w:color="auto" w:fill="auto"/>
                  <w:noWrap w:val="0"/>
                  <w:vAlign w:val="center"/>
                </w:tcPr>
                <w:p w14:paraId="184FE692">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宋体"/>
                      <w:color w:val="auto"/>
                      <w:kern w:val="2"/>
                      <w:sz w:val="21"/>
                      <w:szCs w:val="21"/>
                      <w:lang w:val="en-US" w:eastAsia="zh-CN" w:bidi="ar-SA"/>
                    </w:rPr>
                  </w:pPr>
                  <w:r>
                    <w:rPr>
                      <w:rFonts w:hint="eastAsia" w:ascii="Times New Roman" w:hAnsi="Times New Roman" w:eastAsia="宋体" w:cs="宋体"/>
                      <w:color w:val="auto"/>
                      <w:sz w:val="21"/>
                      <w:szCs w:val="21"/>
                      <w:lang w:val="en-US" w:eastAsia="zh-CN"/>
                    </w:rPr>
                    <w:t>200万双</w:t>
                  </w:r>
                  <w:r>
                    <w:rPr>
                      <w:rFonts w:hint="eastAsia" w:ascii="Times New Roman" w:hAnsi="Times New Roman" w:eastAsia="宋体" w:cs="宋体"/>
                      <w:b w:val="0"/>
                      <w:bCs w:val="0"/>
                      <w:color w:val="auto"/>
                      <w:sz w:val="21"/>
                      <w:szCs w:val="21"/>
                      <w:lang w:val="en-US" w:eastAsia="zh-CN"/>
                    </w:rPr>
                    <w:t>/a</w:t>
                  </w:r>
                </w:p>
              </w:tc>
              <w:tc>
                <w:tcPr>
                  <w:tcW w:w="1084" w:type="dxa"/>
                  <w:noWrap w:val="0"/>
                  <w:vAlign w:val="center"/>
                </w:tcPr>
                <w:p w14:paraId="273A55BA">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是</w:t>
                  </w:r>
                </w:p>
              </w:tc>
            </w:tr>
            <w:tr w14:paraId="0AA9997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72" w:hRule="atLeast"/>
                <w:jc w:val="center"/>
              </w:trPr>
              <w:tc>
                <w:tcPr>
                  <w:tcW w:w="1317" w:type="dxa"/>
                  <w:shd w:val="clear" w:color="auto" w:fill="auto"/>
                  <w:noWrap w:val="0"/>
                  <w:vAlign w:val="center"/>
                </w:tcPr>
                <w:p w14:paraId="14709A5C">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b w:val="0"/>
                      <w:bCs/>
                      <w:color w:val="auto"/>
                      <w:kern w:val="2"/>
                      <w:sz w:val="21"/>
                      <w:szCs w:val="21"/>
                      <w:lang w:val="en-US" w:eastAsia="zh-CN" w:bidi="ar-SA"/>
                    </w:rPr>
                  </w:pPr>
                  <w:r>
                    <w:rPr>
                      <w:rFonts w:hint="eastAsia" w:ascii="Times New Roman" w:hAnsi="Times New Roman" w:eastAsia="宋体" w:cs="Times New Roman"/>
                      <w:b w:val="0"/>
                      <w:bCs/>
                      <w:color w:val="auto"/>
                      <w:sz w:val="21"/>
                      <w:szCs w:val="21"/>
                      <w:lang w:val="en-US" w:eastAsia="zh-CN"/>
                    </w:rPr>
                    <w:t>拌料机</w:t>
                  </w:r>
                </w:p>
              </w:tc>
              <w:tc>
                <w:tcPr>
                  <w:tcW w:w="555" w:type="dxa"/>
                  <w:noWrap w:val="0"/>
                  <w:vAlign w:val="center"/>
                </w:tcPr>
                <w:p w14:paraId="6ED27A21">
                  <w:pPr>
                    <w:pStyle w:val="6"/>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2</w:t>
                  </w:r>
                </w:p>
              </w:tc>
              <w:tc>
                <w:tcPr>
                  <w:tcW w:w="1342" w:type="dxa"/>
                  <w:shd w:val="clear" w:color="auto" w:fill="auto"/>
                  <w:noWrap w:val="0"/>
                  <w:vAlign w:val="center"/>
                </w:tcPr>
                <w:p w14:paraId="2F9F5E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宋体"/>
                      <w:color w:val="auto"/>
                      <w:kern w:val="2"/>
                      <w:sz w:val="21"/>
                      <w:szCs w:val="21"/>
                      <w:lang w:val="en-US" w:eastAsia="zh-CN" w:bidi="ar-SA"/>
                    </w:rPr>
                  </w:pPr>
                  <w:r>
                    <w:rPr>
                      <w:rFonts w:hint="eastAsia" w:ascii="Times New Roman" w:hAnsi="Times New Roman" w:eastAsia="宋体" w:cs="宋体"/>
                      <w:color w:val="auto"/>
                      <w:sz w:val="21"/>
                      <w:szCs w:val="21"/>
                      <w:lang w:val="en-US" w:eastAsia="zh-CN"/>
                    </w:rPr>
                    <w:t>0.025</w:t>
                  </w:r>
                  <w:r>
                    <w:rPr>
                      <w:rFonts w:hint="eastAsia" w:ascii="Times New Roman" w:hAnsi="Times New Roman" w:eastAsia="宋体" w:cs="宋体"/>
                      <w:b w:val="0"/>
                      <w:bCs w:val="0"/>
                      <w:color w:val="auto"/>
                      <w:sz w:val="21"/>
                      <w:szCs w:val="21"/>
                      <w:lang w:val="en-US" w:eastAsia="zh-CN"/>
                    </w:rPr>
                    <w:t>t/h</w:t>
                  </w:r>
                </w:p>
              </w:tc>
              <w:tc>
                <w:tcPr>
                  <w:tcW w:w="1001" w:type="dxa"/>
                  <w:shd w:val="clear" w:color="auto" w:fill="auto"/>
                  <w:noWrap w:val="0"/>
                  <w:vAlign w:val="center"/>
                </w:tcPr>
                <w:p w14:paraId="56B0A3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宋体"/>
                      <w:color w:val="auto"/>
                      <w:kern w:val="2"/>
                      <w:sz w:val="21"/>
                      <w:szCs w:val="21"/>
                      <w:lang w:val="en-US" w:eastAsia="zh-CN" w:bidi="ar-SA"/>
                    </w:rPr>
                  </w:pPr>
                  <w:r>
                    <w:rPr>
                      <w:rFonts w:hint="eastAsia" w:ascii="Times New Roman" w:hAnsi="Times New Roman" w:eastAsia="宋体" w:cs="宋体"/>
                      <w:color w:val="auto"/>
                      <w:sz w:val="21"/>
                      <w:szCs w:val="21"/>
                      <w:lang w:val="en-US" w:eastAsia="zh-CN"/>
                    </w:rPr>
                    <w:t>4800</w:t>
                  </w:r>
                </w:p>
              </w:tc>
              <w:tc>
                <w:tcPr>
                  <w:tcW w:w="1605" w:type="dxa"/>
                  <w:shd w:val="clear" w:color="auto" w:fill="auto"/>
                  <w:noWrap w:val="0"/>
                  <w:vAlign w:val="center"/>
                </w:tcPr>
                <w:p w14:paraId="539E8F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宋体"/>
                      <w:color w:val="auto"/>
                      <w:kern w:val="2"/>
                      <w:sz w:val="21"/>
                      <w:szCs w:val="21"/>
                      <w:lang w:val="en-US" w:eastAsia="zh-CN" w:bidi="ar-SA"/>
                    </w:rPr>
                  </w:pPr>
                  <w:r>
                    <w:rPr>
                      <w:rFonts w:hint="eastAsia" w:ascii="Times New Roman" w:hAnsi="Times New Roman" w:eastAsia="宋体" w:cs="宋体"/>
                      <w:color w:val="auto"/>
                      <w:sz w:val="21"/>
                      <w:szCs w:val="21"/>
                      <w:lang w:val="en-US" w:eastAsia="zh-CN"/>
                    </w:rPr>
                    <w:t>120</w:t>
                  </w:r>
                  <w:r>
                    <w:rPr>
                      <w:rFonts w:hint="eastAsia" w:ascii="Times New Roman" w:hAnsi="Times New Roman" w:eastAsia="宋体" w:cs="宋体"/>
                      <w:b w:val="0"/>
                      <w:bCs w:val="0"/>
                      <w:color w:val="auto"/>
                      <w:sz w:val="21"/>
                      <w:szCs w:val="21"/>
                      <w:lang w:val="en-US" w:eastAsia="zh-CN"/>
                    </w:rPr>
                    <w:t>t/a</w:t>
                  </w:r>
                </w:p>
              </w:tc>
              <w:tc>
                <w:tcPr>
                  <w:tcW w:w="1493" w:type="dxa"/>
                  <w:shd w:val="clear" w:color="auto" w:fill="auto"/>
                  <w:noWrap w:val="0"/>
                  <w:vAlign w:val="center"/>
                </w:tcPr>
                <w:p w14:paraId="3F9D1045">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宋体"/>
                      <w:color w:val="auto"/>
                      <w:kern w:val="2"/>
                      <w:sz w:val="21"/>
                      <w:szCs w:val="21"/>
                      <w:lang w:val="en-US" w:eastAsia="zh-CN" w:bidi="ar-SA"/>
                    </w:rPr>
                  </w:pPr>
                  <w:r>
                    <w:rPr>
                      <w:rFonts w:hint="eastAsia" w:ascii="Times New Roman" w:hAnsi="Times New Roman" w:eastAsia="宋体" w:cs="宋体"/>
                      <w:color w:val="auto"/>
                      <w:sz w:val="21"/>
                      <w:szCs w:val="21"/>
                      <w:lang w:val="en-US" w:eastAsia="zh-CN"/>
                    </w:rPr>
                    <w:t>81</w:t>
                  </w:r>
                  <w:r>
                    <w:rPr>
                      <w:rFonts w:hint="eastAsia" w:ascii="Times New Roman" w:hAnsi="Times New Roman" w:eastAsia="宋体" w:cs="宋体"/>
                      <w:b w:val="0"/>
                      <w:bCs w:val="0"/>
                      <w:color w:val="auto"/>
                      <w:sz w:val="21"/>
                      <w:szCs w:val="21"/>
                      <w:lang w:val="en-US" w:eastAsia="zh-CN"/>
                    </w:rPr>
                    <w:t>t/a</w:t>
                  </w:r>
                </w:p>
              </w:tc>
              <w:tc>
                <w:tcPr>
                  <w:tcW w:w="1084" w:type="dxa"/>
                  <w:noWrap w:val="0"/>
                  <w:vAlign w:val="center"/>
                </w:tcPr>
                <w:p w14:paraId="124FBF56">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是</w:t>
                  </w:r>
                </w:p>
              </w:tc>
            </w:tr>
            <w:tr w14:paraId="19652C2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72" w:hRule="atLeast"/>
                <w:jc w:val="center"/>
              </w:trPr>
              <w:tc>
                <w:tcPr>
                  <w:tcW w:w="8397" w:type="dxa"/>
                  <w:gridSpan w:val="7"/>
                  <w:shd w:val="clear" w:color="auto" w:fill="auto"/>
                  <w:noWrap w:val="0"/>
                  <w:vAlign w:val="center"/>
                </w:tcPr>
                <w:p w14:paraId="46A69DF8">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宋体"/>
                      <w:color w:val="auto"/>
                      <w:sz w:val="21"/>
                      <w:szCs w:val="21"/>
                      <w:lang w:val="en-US" w:eastAsia="zh-CN"/>
                    </w:rPr>
                  </w:pPr>
                  <w:r>
                    <w:rPr>
                      <w:rFonts w:hint="eastAsia" w:ascii="Times New Roman" w:hAnsi="Times New Roman" w:eastAsia="宋体"/>
                      <w:color w:val="auto"/>
                      <w:sz w:val="21"/>
                      <w:szCs w:val="21"/>
                      <w:lang w:val="en-US" w:eastAsia="zh-CN"/>
                    </w:rPr>
                    <w:t>裁切区</w:t>
                  </w:r>
                </w:p>
              </w:tc>
            </w:tr>
            <w:tr w14:paraId="1F29D5A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72" w:hRule="atLeast"/>
                <w:jc w:val="center"/>
              </w:trPr>
              <w:tc>
                <w:tcPr>
                  <w:tcW w:w="1317" w:type="dxa"/>
                  <w:shd w:val="clear" w:color="auto" w:fill="auto"/>
                  <w:noWrap w:val="0"/>
                  <w:vAlign w:val="center"/>
                </w:tcPr>
                <w:p w14:paraId="6D450C58">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精雕CNC裁断机</w:t>
                  </w:r>
                </w:p>
              </w:tc>
              <w:tc>
                <w:tcPr>
                  <w:tcW w:w="555" w:type="dxa"/>
                  <w:noWrap w:val="0"/>
                  <w:vAlign w:val="center"/>
                </w:tcPr>
                <w:p w14:paraId="7590EC3D">
                  <w:pPr>
                    <w:pStyle w:val="6"/>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20</w:t>
                  </w:r>
                </w:p>
              </w:tc>
              <w:tc>
                <w:tcPr>
                  <w:tcW w:w="1342" w:type="dxa"/>
                  <w:shd w:val="clear" w:color="auto" w:fill="auto"/>
                  <w:noWrap w:val="0"/>
                  <w:vAlign w:val="center"/>
                </w:tcPr>
                <w:p w14:paraId="44EC29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宋体"/>
                      <w:color w:val="auto"/>
                      <w:kern w:val="2"/>
                      <w:sz w:val="21"/>
                      <w:szCs w:val="21"/>
                      <w:lang w:val="en-US" w:eastAsia="zh-CN" w:bidi="ar-SA"/>
                    </w:rPr>
                  </w:pPr>
                  <w:r>
                    <w:rPr>
                      <w:rFonts w:hint="eastAsia" w:ascii="Times New Roman" w:hAnsi="Times New Roman" w:eastAsia="宋体" w:cs="宋体"/>
                      <w:color w:val="auto"/>
                      <w:sz w:val="21"/>
                      <w:szCs w:val="21"/>
                      <w:lang w:val="en-US" w:eastAsia="zh-CN"/>
                    </w:rPr>
                    <w:t>0.008万码</w:t>
                  </w:r>
                  <w:r>
                    <w:rPr>
                      <w:rFonts w:hint="eastAsia" w:ascii="Times New Roman" w:hAnsi="Times New Roman" w:eastAsia="宋体" w:cs="宋体"/>
                      <w:b w:val="0"/>
                      <w:bCs w:val="0"/>
                      <w:color w:val="auto"/>
                      <w:sz w:val="21"/>
                      <w:szCs w:val="21"/>
                      <w:lang w:val="en-US" w:eastAsia="zh-CN"/>
                    </w:rPr>
                    <w:t>/h</w:t>
                  </w:r>
                </w:p>
              </w:tc>
              <w:tc>
                <w:tcPr>
                  <w:tcW w:w="1001" w:type="dxa"/>
                  <w:shd w:val="clear" w:color="auto" w:fill="auto"/>
                  <w:noWrap w:val="0"/>
                  <w:vAlign w:val="center"/>
                </w:tcPr>
                <w:p w14:paraId="1C7787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宋体"/>
                      <w:color w:val="auto"/>
                      <w:kern w:val="2"/>
                      <w:sz w:val="21"/>
                      <w:szCs w:val="21"/>
                      <w:lang w:val="en-US" w:eastAsia="zh-CN" w:bidi="ar-SA"/>
                    </w:rPr>
                  </w:pPr>
                  <w:r>
                    <w:rPr>
                      <w:rFonts w:hint="eastAsia" w:ascii="Times New Roman" w:hAnsi="Times New Roman" w:eastAsia="宋体" w:cs="宋体"/>
                      <w:color w:val="auto"/>
                      <w:sz w:val="21"/>
                      <w:szCs w:val="21"/>
                      <w:lang w:val="en-US" w:eastAsia="zh-CN"/>
                    </w:rPr>
                    <w:t>2400</w:t>
                  </w:r>
                </w:p>
              </w:tc>
              <w:tc>
                <w:tcPr>
                  <w:tcW w:w="1605" w:type="dxa"/>
                  <w:shd w:val="clear" w:color="auto" w:fill="auto"/>
                  <w:noWrap w:val="0"/>
                  <w:vAlign w:val="center"/>
                </w:tcPr>
                <w:p w14:paraId="198A57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宋体"/>
                      <w:color w:val="auto"/>
                      <w:kern w:val="2"/>
                      <w:sz w:val="21"/>
                      <w:szCs w:val="21"/>
                      <w:lang w:val="en-US" w:eastAsia="zh-CN" w:bidi="ar-SA"/>
                    </w:rPr>
                  </w:pPr>
                  <w:r>
                    <w:rPr>
                      <w:rFonts w:hint="eastAsia" w:ascii="Times New Roman" w:hAnsi="Times New Roman" w:eastAsia="宋体" w:cs="宋体"/>
                      <w:color w:val="auto"/>
                      <w:sz w:val="21"/>
                      <w:szCs w:val="21"/>
                      <w:lang w:val="en-US" w:eastAsia="zh-CN"/>
                    </w:rPr>
                    <w:t>19.2万码</w:t>
                  </w:r>
                  <w:r>
                    <w:rPr>
                      <w:rFonts w:hint="eastAsia" w:ascii="Times New Roman" w:hAnsi="Times New Roman" w:eastAsia="宋体" w:cs="宋体"/>
                      <w:b w:val="0"/>
                      <w:bCs w:val="0"/>
                      <w:color w:val="auto"/>
                      <w:sz w:val="21"/>
                      <w:szCs w:val="21"/>
                      <w:lang w:val="en-US" w:eastAsia="zh-CN"/>
                    </w:rPr>
                    <w:t>/a</w:t>
                  </w:r>
                </w:p>
              </w:tc>
              <w:tc>
                <w:tcPr>
                  <w:tcW w:w="1493" w:type="dxa"/>
                  <w:shd w:val="clear" w:color="auto" w:fill="auto"/>
                  <w:noWrap w:val="0"/>
                  <w:vAlign w:val="center"/>
                </w:tcPr>
                <w:p w14:paraId="261FA7D6">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宋体"/>
                      <w:color w:val="auto"/>
                      <w:kern w:val="2"/>
                      <w:sz w:val="21"/>
                      <w:szCs w:val="21"/>
                      <w:lang w:val="en-US" w:eastAsia="zh-CN" w:bidi="ar-SA"/>
                    </w:rPr>
                  </w:pPr>
                  <w:r>
                    <w:rPr>
                      <w:rFonts w:hint="eastAsia" w:ascii="Times New Roman" w:hAnsi="Times New Roman" w:eastAsia="宋体" w:cs="宋体"/>
                      <w:color w:val="auto"/>
                      <w:sz w:val="21"/>
                      <w:szCs w:val="21"/>
                      <w:lang w:val="en-US" w:eastAsia="zh-CN"/>
                    </w:rPr>
                    <w:t>15.6万码</w:t>
                  </w:r>
                  <w:r>
                    <w:rPr>
                      <w:rFonts w:hint="eastAsia" w:ascii="Times New Roman" w:hAnsi="Times New Roman" w:eastAsia="宋体" w:cs="宋体"/>
                      <w:b w:val="0"/>
                      <w:bCs w:val="0"/>
                      <w:color w:val="auto"/>
                      <w:sz w:val="21"/>
                      <w:szCs w:val="21"/>
                      <w:lang w:val="en-US" w:eastAsia="zh-CN"/>
                    </w:rPr>
                    <w:t>/a</w:t>
                  </w:r>
                </w:p>
              </w:tc>
              <w:tc>
                <w:tcPr>
                  <w:tcW w:w="1084" w:type="dxa"/>
                  <w:shd w:val="clear" w:color="auto" w:fill="auto"/>
                  <w:noWrap w:val="0"/>
                  <w:vAlign w:val="center"/>
                </w:tcPr>
                <w:p w14:paraId="582D29AB">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宋体"/>
                      <w:color w:val="auto"/>
                      <w:kern w:val="2"/>
                      <w:sz w:val="21"/>
                      <w:szCs w:val="21"/>
                      <w:lang w:val="en-US" w:eastAsia="zh-CN" w:bidi="ar-SA"/>
                    </w:rPr>
                  </w:pPr>
                  <w:r>
                    <w:rPr>
                      <w:rFonts w:hint="eastAsia" w:ascii="Times New Roman" w:hAnsi="Times New Roman" w:eastAsia="宋体" w:cs="宋体"/>
                      <w:color w:val="auto"/>
                      <w:sz w:val="21"/>
                      <w:szCs w:val="21"/>
                      <w:lang w:val="en-US" w:eastAsia="zh-CN"/>
                    </w:rPr>
                    <w:t>是</w:t>
                  </w:r>
                </w:p>
              </w:tc>
            </w:tr>
            <w:tr w14:paraId="7DA8943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72" w:hRule="atLeast"/>
                <w:jc w:val="center"/>
              </w:trPr>
              <w:tc>
                <w:tcPr>
                  <w:tcW w:w="1317" w:type="dxa"/>
                  <w:shd w:val="clear" w:color="auto" w:fill="auto"/>
                  <w:noWrap w:val="0"/>
                  <w:vAlign w:val="center"/>
                </w:tcPr>
                <w:p w14:paraId="570A75CD">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下料机</w:t>
                  </w:r>
                </w:p>
              </w:tc>
              <w:tc>
                <w:tcPr>
                  <w:tcW w:w="555" w:type="dxa"/>
                  <w:noWrap w:val="0"/>
                  <w:vAlign w:val="center"/>
                </w:tcPr>
                <w:p w14:paraId="356C32CE">
                  <w:pPr>
                    <w:pStyle w:val="6"/>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10</w:t>
                  </w:r>
                </w:p>
              </w:tc>
              <w:tc>
                <w:tcPr>
                  <w:tcW w:w="1342" w:type="dxa"/>
                  <w:shd w:val="clear" w:color="auto" w:fill="auto"/>
                  <w:noWrap w:val="0"/>
                  <w:vAlign w:val="center"/>
                </w:tcPr>
                <w:p w14:paraId="3C0F58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宋体"/>
                      <w:color w:val="auto"/>
                      <w:kern w:val="2"/>
                      <w:sz w:val="21"/>
                      <w:szCs w:val="21"/>
                      <w:lang w:val="en-US" w:eastAsia="zh-CN" w:bidi="ar-SA"/>
                    </w:rPr>
                  </w:pPr>
                  <w:r>
                    <w:rPr>
                      <w:rFonts w:hint="eastAsia" w:ascii="Times New Roman" w:hAnsi="Times New Roman" w:eastAsia="宋体" w:cs="宋体"/>
                      <w:color w:val="auto"/>
                      <w:sz w:val="21"/>
                      <w:szCs w:val="21"/>
                      <w:lang w:val="en-US" w:eastAsia="zh-CN"/>
                    </w:rPr>
                    <w:t>0.008万码</w:t>
                  </w:r>
                  <w:r>
                    <w:rPr>
                      <w:rFonts w:hint="eastAsia" w:ascii="Times New Roman" w:hAnsi="Times New Roman" w:eastAsia="宋体" w:cs="宋体"/>
                      <w:b w:val="0"/>
                      <w:bCs w:val="0"/>
                      <w:color w:val="auto"/>
                      <w:sz w:val="21"/>
                      <w:szCs w:val="21"/>
                      <w:lang w:val="en-US" w:eastAsia="zh-CN"/>
                    </w:rPr>
                    <w:t>/h</w:t>
                  </w:r>
                </w:p>
              </w:tc>
              <w:tc>
                <w:tcPr>
                  <w:tcW w:w="1001" w:type="dxa"/>
                  <w:shd w:val="clear" w:color="auto" w:fill="auto"/>
                  <w:noWrap w:val="0"/>
                  <w:vAlign w:val="center"/>
                </w:tcPr>
                <w:p w14:paraId="62CF94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宋体"/>
                      <w:color w:val="auto"/>
                      <w:kern w:val="2"/>
                      <w:sz w:val="21"/>
                      <w:szCs w:val="21"/>
                      <w:lang w:val="en-US" w:eastAsia="zh-CN" w:bidi="ar-SA"/>
                    </w:rPr>
                  </w:pPr>
                  <w:r>
                    <w:rPr>
                      <w:rFonts w:hint="eastAsia" w:ascii="Times New Roman" w:hAnsi="Times New Roman" w:eastAsia="宋体" w:cs="宋体"/>
                      <w:color w:val="auto"/>
                      <w:sz w:val="21"/>
                      <w:szCs w:val="21"/>
                      <w:lang w:val="en-US" w:eastAsia="zh-CN"/>
                    </w:rPr>
                    <w:t>2400</w:t>
                  </w:r>
                </w:p>
              </w:tc>
              <w:tc>
                <w:tcPr>
                  <w:tcW w:w="1605" w:type="dxa"/>
                  <w:shd w:val="clear" w:color="auto" w:fill="auto"/>
                  <w:noWrap w:val="0"/>
                  <w:vAlign w:val="center"/>
                </w:tcPr>
                <w:p w14:paraId="753233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宋体"/>
                      <w:color w:val="auto"/>
                      <w:kern w:val="2"/>
                      <w:sz w:val="21"/>
                      <w:szCs w:val="21"/>
                      <w:lang w:val="en-US" w:eastAsia="zh-CN" w:bidi="ar-SA"/>
                    </w:rPr>
                  </w:pPr>
                  <w:r>
                    <w:rPr>
                      <w:rFonts w:hint="eastAsia" w:ascii="Times New Roman" w:hAnsi="Times New Roman" w:eastAsia="宋体" w:cs="宋体"/>
                      <w:color w:val="auto"/>
                      <w:sz w:val="21"/>
                      <w:szCs w:val="21"/>
                      <w:lang w:val="en-US" w:eastAsia="zh-CN"/>
                    </w:rPr>
                    <w:t>19.2万码</w:t>
                  </w:r>
                  <w:r>
                    <w:rPr>
                      <w:rFonts w:hint="eastAsia" w:ascii="Times New Roman" w:hAnsi="Times New Roman" w:eastAsia="宋体" w:cs="宋体"/>
                      <w:b w:val="0"/>
                      <w:bCs w:val="0"/>
                      <w:color w:val="auto"/>
                      <w:sz w:val="21"/>
                      <w:szCs w:val="21"/>
                      <w:lang w:val="en-US" w:eastAsia="zh-CN"/>
                    </w:rPr>
                    <w:t>/a</w:t>
                  </w:r>
                </w:p>
              </w:tc>
              <w:tc>
                <w:tcPr>
                  <w:tcW w:w="1493" w:type="dxa"/>
                  <w:shd w:val="clear" w:color="auto" w:fill="auto"/>
                  <w:noWrap w:val="0"/>
                  <w:vAlign w:val="center"/>
                </w:tcPr>
                <w:p w14:paraId="45F8C24C">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宋体"/>
                      <w:color w:val="auto"/>
                      <w:kern w:val="2"/>
                      <w:sz w:val="21"/>
                      <w:szCs w:val="21"/>
                      <w:lang w:val="en-US" w:eastAsia="zh-CN" w:bidi="ar-SA"/>
                    </w:rPr>
                  </w:pPr>
                  <w:r>
                    <w:rPr>
                      <w:rFonts w:hint="eastAsia" w:ascii="Times New Roman" w:hAnsi="Times New Roman" w:eastAsia="宋体" w:cs="宋体"/>
                      <w:color w:val="auto"/>
                      <w:sz w:val="21"/>
                      <w:szCs w:val="21"/>
                      <w:lang w:val="en-US" w:eastAsia="zh-CN"/>
                    </w:rPr>
                    <w:t>15.6万码</w:t>
                  </w:r>
                  <w:r>
                    <w:rPr>
                      <w:rFonts w:hint="eastAsia" w:ascii="Times New Roman" w:hAnsi="Times New Roman" w:eastAsia="宋体" w:cs="宋体"/>
                      <w:b w:val="0"/>
                      <w:bCs w:val="0"/>
                      <w:color w:val="auto"/>
                      <w:sz w:val="21"/>
                      <w:szCs w:val="21"/>
                      <w:lang w:val="en-US" w:eastAsia="zh-CN"/>
                    </w:rPr>
                    <w:t>/a</w:t>
                  </w:r>
                </w:p>
              </w:tc>
              <w:tc>
                <w:tcPr>
                  <w:tcW w:w="1084" w:type="dxa"/>
                  <w:shd w:val="clear" w:color="auto" w:fill="auto"/>
                  <w:noWrap w:val="0"/>
                  <w:vAlign w:val="center"/>
                </w:tcPr>
                <w:p w14:paraId="0416883E">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宋体"/>
                      <w:color w:val="auto"/>
                      <w:kern w:val="2"/>
                      <w:sz w:val="21"/>
                      <w:szCs w:val="21"/>
                      <w:lang w:val="en-US" w:eastAsia="zh-CN" w:bidi="ar-SA"/>
                    </w:rPr>
                  </w:pPr>
                  <w:r>
                    <w:rPr>
                      <w:rFonts w:hint="eastAsia" w:ascii="Times New Roman" w:hAnsi="Times New Roman" w:eastAsia="宋体" w:cs="宋体"/>
                      <w:color w:val="auto"/>
                      <w:sz w:val="21"/>
                      <w:szCs w:val="21"/>
                      <w:lang w:val="en-US" w:eastAsia="zh-CN"/>
                    </w:rPr>
                    <w:t>是</w:t>
                  </w:r>
                </w:p>
              </w:tc>
            </w:tr>
            <w:tr w14:paraId="6FEA6D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72" w:hRule="atLeast"/>
                <w:jc w:val="center"/>
              </w:trPr>
              <w:tc>
                <w:tcPr>
                  <w:tcW w:w="8397" w:type="dxa"/>
                  <w:gridSpan w:val="7"/>
                  <w:noWrap w:val="0"/>
                  <w:vAlign w:val="center"/>
                </w:tcPr>
                <w:p w14:paraId="1CEDC066">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宋体"/>
                      <w:color w:val="auto"/>
                      <w:sz w:val="21"/>
                      <w:szCs w:val="21"/>
                      <w:lang w:val="en-US" w:eastAsia="zh-CN"/>
                    </w:rPr>
                  </w:pPr>
                  <w:r>
                    <w:rPr>
                      <w:rFonts w:hint="eastAsia"/>
                      <w:color w:val="auto"/>
                      <w:sz w:val="21"/>
                      <w:szCs w:val="21"/>
                      <w:lang w:val="en-US" w:eastAsia="zh-CN"/>
                    </w:rPr>
                    <w:t>丝网印花区</w:t>
                  </w:r>
                </w:p>
              </w:tc>
            </w:tr>
            <w:tr w14:paraId="1DFB41A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72" w:hRule="atLeast"/>
                <w:jc w:val="center"/>
              </w:trPr>
              <w:tc>
                <w:tcPr>
                  <w:tcW w:w="1317" w:type="dxa"/>
                  <w:noWrap w:val="0"/>
                  <w:vAlign w:val="center"/>
                </w:tcPr>
                <w:p w14:paraId="7725C4BA">
                  <w:pPr>
                    <w:pStyle w:val="6"/>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宋体"/>
                      <w:color w:val="auto"/>
                      <w:sz w:val="21"/>
                      <w:szCs w:val="21"/>
                    </w:rPr>
                  </w:pPr>
                  <w:r>
                    <w:rPr>
                      <w:rFonts w:hint="eastAsia" w:ascii="Times New Roman" w:hAnsi="Times New Roman" w:eastAsia="宋体"/>
                      <w:color w:val="auto"/>
                      <w:sz w:val="21"/>
                      <w:szCs w:val="21"/>
                      <w:lang w:val="en-US" w:eastAsia="zh-CN"/>
                    </w:rPr>
                    <w:t>压烫机</w:t>
                  </w:r>
                </w:p>
              </w:tc>
              <w:tc>
                <w:tcPr>
                  <w:tcW w:w="555" w:type="dxa"/>
                  <w:noWrap w:val="0"/>
                  <w:vAlign w:val="center"/>
                </w:tcPr>
                <w:p w14:paraId="4C40F357">
                  <w:pPr>
                    <w:pStyle w:val="6"/>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1</w:t>
                  </w:r>
                </w:p>
              </w:tc>
              <w:tc>
                <w:tcPr>
                  <w:tcW w:w="1342" w:type="dxa"/>
                  <w:noWrap w:val="0"/>
                  <w:vAlign w:val="center"/>
                </w:tcPr>
                <w:p w14:paraId="12FFCA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0.03万双</w:t>
                  </w:r>
                  <w:r>
                    <w:rPr>
                      <w:rFonts w:hint="eastAsia" w:ascii="Times New Roman" w:hAnsi="Times New Roman" w:eastAsia="宋体" w:cs="宋体"/>
                      <w:b w:val="0"/>
                      <w:bCs w:val="0"/>
                      <w:color w:val="auto"/>
                      <w:sz w:val="21"/>
                      <w:szCs w:val="21"/>
                      <w:lang w:val="en-US" w:eastAsia="zh-CN"/>
                    </w:rPr>
                    <w:t>/h</w:t>
                  </w:r>
                </w:p>
              </w:tc>
              <w:tc>
                <w:tcPr>
                  <w:tcW w:w="1001" w:type="dxa"/>
                  <w:noWrap w:val="0"/>
                  <w:vAlign w:val="center"/>
                </w:tcPr>
                <w:p w14:paraId="4B8BC1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2400</w:t>
                  </w:r>
                </w:p>
              </w:tc>
              <w:tc>
                <w:tcPr>
                  <w:tcW w:w="1605" w:type="dxa"/>
                  <w:noWrap w:val="0"/>
                  <w:vAlign w:val="center"/>
                </w:tcPr>
                <w:p w14:paraId="52CF0A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72万双</w:t>
                  </w:r>
                  <w:r>
                    <w:rPr>
                      <w:rFonts w:hint="eastAsia" w:ascii="Times New Roman" w:hAnsi="Times New Roman" w:eastAsia="宋体" w:cs="宋体"/>
                      <w:b w:val="0"/>
                      <w:bCs w:val="0"/>
                      <w:color w:val="auto"/>
                      <w:sz w:val="21"/>
                      <w:szCs w:val="21"/>
                      <w:lang w:val="en-US" w:eastAsia="zh-CN"/>
                    </w:rPr>
                    <w:t>/a</w:t>
                  </w:r>
                </w:p>
              </w:tc>
              <w:tc>
                <w:tcPr>
                  <w:tcW w:w="1493" w:type="dxa"/>
                  <w:noWrap w:val="0"/>
                  <w:vAlign w:val="center"/>
                </w:tcPr>
                <w:p w14:paraId="0BBD58EE">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60万双</w:t>
                  </w:r>
                  <w:r>
                    <w:rPr>
                      <w:rFonts w:hint="eastAsia" w:ascii="Times New Roman" w:hAnsi="Times New Roman" w:eastAsia="宋体" w:cs="宋体"/>
                      <w:b w:val="0"/>
                      <w:bCs w:val="0"/>
                      <w:color w:val="auto"/>
                      <w:sz w:val="21"/>
                      <w:szCs w:val="21"/>
                      <w:lang w:val="en-US" w:eastAsia="zh-CN"/>
                    </w:rPr>
                    <w:t>/a</w:t>
                  </w:r>
                </w:p>
              </w:tc>
              <w:tc>
                <w:tcPr>
                  <w:tcW w:w="1084" w:type="dxa"/>
                  <w:noWrap w:val="0"/>
                  <w:vAlign w:val="center"/>
                </w:tcPr>
                <w:p w14:paraId="451F49D0">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是</w:t>
                  </w:r>
                </w:p>
              </w:tc>
            </w:tr>
            <w:tr w14:paraId="5942B29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72" w:hRule="atLeast"/>
                <w:jc w:val="center"/>
              </w:trPr>
              <w:tc>
                <w:tcPr>
                  <w:tcW w:w="8397" w:type="dxa"/>
                  <w:gridSpan w:val="7"/>
                  <w:noWrap w:val="0"/>
                  <w:vAlign w:val="center"/>
                </w:tcPr>
                <w:p w14:paraId="156BFE3D">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宋体"/>
                      <w:color w:val="auto"/>
                      <w:sz w:val="21"/>
                      <w:szCs w:val="21"/>
                      <w:lang w:val="en-US" w:eastAsia="zh-CN"/>
                    </w:rPr>
                  </w:pPr>
                  <w:r>
                    <w:rPr>
                      <w:rFonts w:hint="eastAsia" w:cs="宋体"/>
                      <w:color w:val="auto"/>
                      <w:sz w:val="21"/>
                      <w:szCs w:val="21"/>
                      <w:highlight w:val="none"/>
                      <w:lang w:val="en-US" w:eastAsia="zh-CN"/>
                    </w:rPr>
                    <w:t>皮鞋、高跟鞋、PVC注塑鞋生产线</w:t>
                  </w:r>
                </w:p>
              </w:tc>
            </w:tr>
            <w:tr w14:paraId="3E902C7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72" w:hRule="atLeast"/>
                <w:jc w:val="center"/>
              </w:trPr>
              <w:tc>
                <w:tcPr>
                  <w:tcW w:w="1317" w:type="dxa"/>
                  <w:shd w:val="clear" w:color="auto" w:fill="auto"/>
                  <w:noWrap w:val="0"/>
                  <w:vAlign w:val="center"/>
                </w:tcPr>
                <w:p w14:paraId="69ADE304">
                  <w:pPr>
                    <w:keepNext w:val="0"/>
                    <w:keepLines w:val="0"/>
                    <w:suppressLineNumbers w:val="0"/>
                    <w:kinsoku/>
                    <w:overflowPunct w:val="0"/>
                    <w:spacing w:before="0" w:beforeAutospacing="0" w:after="0" w:afterAutospacing="0" w:line="260" w:lineRule="exact"/>
                    <w:ind w:left="21" w:leftChars="10" w:right="0"/>
                    <w:jc w:val="center"/>
                    <w:rPr>
                      <w:rFonts w:hint="eastAsia"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olor w:val="auto"/>
                      <w:sz w:val="21"/>
                      <w:u w:val="none"/>
                    </w:rPr>
                    <w:t>针车</w:t>
                  </w:r>
                </w:p>
              </w:tc>
              <w:tc>
                <w:tcPr>
                  <w:tcW w:w="555" w:type="dxa"/>
                  <w:shd w:val="clear" w:color="auto" w:fill="auto"/>
                  <w:noWrap w:val="0"/>
                  <w:vAlign w:val="center"/>
                </w:tcPr>
                <w:p w14:paraId="7A452FA7">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olor w:val="auto"/>
                      <w:sz w:val="21"/>
                      <w:szCs w:val="21"/>
                      <w:u w:val="none"/>
                      <w:lang w:val="en-US" w:eastAsia="zh-CN"/>
                    </w:rPr>
                    <w:t>60</w:t>
                  </w:r>
                </w:p>
              </w:tc>
              <w:tc>
                <w:tcPr>
                  <w:tcW w:w="1342" w:type="dxa"/>
                  <w:shd w:val="clear" w:color="auto" w:fill="auto"/>
                  <w:noWrap w:val="0"/>
                  <w:vAlign w:val="center"/>
                </w:tcPr>
                <w:p w14:paraId="0AC10E11">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宋体"/>
                      <w:color w:val="auto"/>
                      <w:kern w:val="2"/>
                      <w:sz w:val="21"/>
                      <w:szCs w:val="21"/>
                      <w:lang w:val="en-US" w:eastAsia="zh-CN" w:bidi="ar-SA"/>
                    </w:rPr>
                  </w:pPr>
                  <w:r>
                    <w:rPr>
                      <w:rFonts w:hint="eastAsia" w:cs="宋体"/>
                      <w:color w:val="auto"/>
                      <w:sz w:val="21"/>
                      <w:szCs w:val="21"/>
                      <w:lang w:val="en-US" w:eastAsia="zh-CN"/>
                    </w:rPr>
                    <w:t>0.075</w:t>
                  </w:r>
                  <w:r>
                    <w:rPr>
                      <w:rFonts w:hint="eastAsia" w:ascii="Times New Roman" w:hAnsi="Times New Roman" w:eastAsia="宋体" w:cs="宋体"/>
                      <w:color w:val="auto"/>
                      <w:sz w:val="21"/>
                      <w:szCs w:val="21"/>
                      <w:lang w:val="en-US" w:eastAsia="zh-CN"/>
                    </w:rPr>
                    <w:t>万双</w:t>
                  </w:r>
                  <w:r>
                    <w:rPr>
                      <w:rFonts w:hint="eastAsia" w:ascii="Times New Roman" w:hAnsi="Times New Roman" w:eastAsia="宋体" w:cs="宋体"/>
                      <w:b w:val="0"/>
                      <w:bCs w:val="0"/>
                      <w:color w:val="auto"/>
                      <w:sz w:val="21"/>
                      <w:szCs w:val="21"/>
                      <w:lang w:val="en-US" w:eastAsia="zh-CN"/>
                    </w:rPr>
                    <w:t>/h</w:t>
                  </w:r>
                </w:p>
              </w:tc>
              <w:tc>
                <w:tcPr>
                  <w:tcW w:w="1001" w:type="dxa"/>
                  <w:shd w:val="clear" w:color="auto" w:fill="auto"/>
                  <w:noWrap w:val="0"/>
                  <w:vAlign w:val="center"/>
                </w:tcPr>
                <w:p w14:paraId="527E762E">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宋体"/>
                      <w:color w:val="auto"/>
                      <w:kern w:val="2"/>
                      <w:sz w:val="21"/>
                      <w:szCs w:val="21"/>
                      <w:lang w:val="en-US" w:eastAsia="zh-CN" w:bidi="ar-SA"/>
                    </w:rPr>
                  </w:pPr>
                  <w:r>
                    <w:rPr>
                      <w:rFonts w:hint="eastAsia" w:ascii="Times New Roman" w:hAnsi="Times New Roman" w:eastAsia="宋体" w:cs="宋体"/>
                      <w:color w:val="auto"/>
                      <w:sz w:val="21"/>
                      <w:szCs w:val="21"/>
                      <w:lang w:val="en-US" w:eastAsia="zh-CN"/>
                    </w:rPr>
                    <w:t>4800</w:t>
                  </w:r>
                </w:p>
              </w:tc>
              <w:tc>
                <w:tcPr>
                  <w:tcW w:w="1605" w:type="dxa"/>
                  <w:shd w:val="clear" w:color="auto" w:fill="auto"/>
                  <w:noWrap w:val="0"/>
                  <w:vAlign w:val="center"/>
                </w:tcPr>
                <w:p w14:paraId="44C0F747">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宋体"/>
                      <w:color w:val="auto"/>
                      <w:kern w:val="2"/>
                      <w:sz w:val="21"/>
                      <w:szCs w:val="21"/>
                      <w:lang w:val="en-US" w:eastAsia="zh-CN" w:bidi="ar-SA"/>
                    </w:rPr>
                  </w:pPr>
                  <w:r>
                    <w:rPr>
                      <w:rFonts w:hint="eastAsia" w:cs="宋体"/>
                      <w:color w:val="auto"/>
                      <w:sz w:val="21"/>
                      <w:szCs w:val="21"/>
                      <w:lang w:val="en-US" w:eastAsia="zh-CN"/>
                    </w:rPr>
                    <w:t>360</w:t>
                  </w:r>
                  <w:r>
                    <w:rPr>
                      <w:rFonts w:hint="eastAsia" w:ascii="Times New Roman" w:hAnsi="Times New Roman" w:eastAsia="宋体" w:cs="宋体"/>
                      <w:color w:val="auto"/>
                      <w:sz w:val="21"/>
                      <w:szCs w:val="21"/>
                      <w:lang w:val="en-US" w:eastAsia="zh-CN"/>
                    </w:rPr>
                    <w:t>万双</w:t>
                  </w:r>
                  <w:r>
                    <w:rPr>
                      <w:rFonts w:hint="eastAsia" w:ascii="Times New Roman" w:hAnsi="Times New Roman" w:eastAsia="宋体" w:cs="宋体"/>
                      <w:b w:val="0"/>
                      <w:bCs w:val="0"/>
                      <w:color w:val="auto"/>
                      <w:sz w:val="21"/>
                      <w:szCs w:val="21"/>
                      <w:lang w:val="en-US" w:eastAsia="zh-CN"/>
                    </w:rPr>
                    <w:t>/a</w:t>
                  </w:r>
                </w:p>
              </w:tc>
              <w:tc>
                <w:tcPr>
                  <w:tcW w:w="1493" w:type="dxa"/>
                  <w:shd w:val="clear" w:color="auto" w:fill="auto"/>
                  <w:noWrap w:val="0"/>
                  <w:vAlign w:val="center"/>
                </w:tcPr>
                <w:p w14:paraId="05B1F42D">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宋体"/>
                      <w:color w:val="auto"/>
                      <w:kern w:val="2"/>
                      <w:sz w:val="21"/>
                      <w:szCs w:val="21"/>
                      <w:lang w:val="en-US" w:eastAsia="zh-CN" w:bidi="ar-SA"/>
                    </w:rPr>
                  </w:pPr>
                  <w:r>
                    <w:rPr>
                      <w:rFonts w:hint="eastAsia" w:ascii="Times New Roman" w:hAnsi="Times New Roman" w:eastAsia="宋体" w:cs="宋体"/>
                      <w:color w:val="auto"/>
                      <w:sz w:val="21"/>
                      <w:szCs w:val="21"/>
                      <w:lang w:val="en-US" w:eastAsia="zh-CN"/>
                    </w:rPr>
                    <w:t>280万双</w:t>
                  </w:r>
                  <w:r>
                    <w:rPr>
                      <w:rFonts w:hint="eastAsia" w:ascii="Times New Roman" w:hAnsi="Times New Roman" w:eastAsia="宋体" w:cs="宋体"/>
                      <w:b w:val="0"/>
                      <w:bCs w:val="0"/>
                      <w:color w:val="auto"/>
                      <w:sz w:val="21"/>
                      <w:szCs w:val="21"/>
                      <w:lang w:val="en-US" w:eastAsia="zh-CN"/>
                    </w:rPr>
                    <w:t>/a</w:t>
                  </w:r>
                </w:p>
              </w:tc>
              <w:tc>
                <w:tcPr>
                  <w:tcW w:w="1084" w:type="dxa"/>
                  <w:noWrap w:val="0"/>
                  <w:vAlign w:val="center"/>
                </w:tcPr>
                <w:p w14:paraId="38BA1311">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是</w:t>
                  </w:r>
                </w:p>
              </w:tc>
            </w:tr>
            <w:tr w14:paraId="79584B7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72" w:hRule="atLeast"/>
                <w:jc w:val="center"/>
              </w:trPr>
              <w:tc>
                <w:tcPr>
                  <w:tcW w:w="1317" w:type="dxa"/>
                  <w:shd w:val="clear" w:color="auto" w:fill="auto"/>
                  <w:noWrap w:val="0"/>
                  <w:vAlign w:val="center"/>
                </w:tcPr>
                <w:p w14:paraId="7066FA27">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olor w:val="auto"/>
                      <w:sz w:val="21"/>
                      <w:szCs w:val="21"/>
                    </w:rPr>
                    <w:t>电子花样机</w:t>
                  </w:r>
                </w:p>
              </w:tc>
              <w:tc>
                <w:tcPr>
                  <w:tcW w:w="555" w:type="dxa"/>
                  <w:shd w:val="clear" w:color="auto" w:fill="auto"/>
                  <w:noWrap w:val="0"/>
                  <w:vAlign w:val="center"/>
                </w:tcPr>
                <w:p w14:paraId="0F956225">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olor w:val="auto"/>
                      <w:sz w:val="21"/>
                      <w:szCs w:val="21"/>
                      <w:lang w:val="en-US" w:eastAsia="zh-CN"/>
                    </w:rPr>
                    <w:t>60</w:t>
                  </w:r>
                </w:p>
              </w:tc>
              <w:tc>
                <w:tcPr>
                  <w:tcW w:w="1342" w:type="dxa"/>
                  <w:shd w:val="clear" w:color="auto" w:fill="auto"/>
                  <w:noWrap w:val="0"/>
                  <w:vAlign w:val="center"/>
                </w:tcPr>
                <w:p w14:paraId="081E3886">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宋体"/>
                      <w:color w:val="auto"/>
                      <w:kern w:val="2"/>
                      <w:sz w:val="21"/>
                      <w:szCs w:val="21"/>
                      <w:lang w:val="en-US" w:eastAsia="zh-CN" w:bidi="ar-SA"/>
                    </w:rPr>
                  </w:pPr>
                  <w:r>
                    <w:rPr>
                      <w:rFonts w:hint="eastAsia" w:cs="宋体"/>
                      <w:color w:val="auto"/>
                      <w:sz w:val="21"/>
                      <w:szCs w:val="21"/>
                      <w:lang w:val="en-US" w:eastAsia="zh-CN"/>
                    </w:rPr>
                    <w:t>0.075</w:t>
                  </w:r>
                  <w:r>
                    <w:rPr>
                      <w:rFonts w:hint="eastAsia" w:ascii="Times New Roman" w:hAnsi="Times New Roman" w:eastAsia="宋体" w:cs="宋体"/>
                      <w:color w:val="auto"/>
                      <w:sz w:val="21"/>
                      <w:szCs w:val="21"/>
                      <w:lang w:val="en-US" w:eastAsia="zh-CN"/>
                    </w:rPr>
                    <w:t>万双</w:t>
                  </w:r>
                  <w:r>
                    <w:rPr>
                      <w:rFonts w:hint="eastAsia" w:ascii="Times New Roman" w:hAnsi="Times New Roman" w:eastAsia="宋体" w:cs="宋体"/>
                      <w:b w:val="0"/>
                      <w:bCs w:val="0"/>
                      <w:color w:val="auto"/>
                      <w:sz w:val="21"/>
                      <w:szCs w:val="21"/>
                      <w:lang w:val="en-US" w:eastAsia="zh-CN"/>
                    </w:rPr>
                    <w:t>/h</w:t>
                  </w:r>
                </w:p>
              </w:tc>
              <w:tc>
                <w:tcPr>
                  <w:tcW w:w="1001" w:type="dxa"/>
                  <w:shd w:val="clear" w:color="auto" w:fill="auto"/>
                  <w:noWrap w:val="0"/>
                  <w:vAlign w:val="center"/>
                </w:tcPr>
                <w:p w14:paraId="47FDCFC4">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宋体"/>
                      <w:color w:val="auto"/>
                      <w:kern w:val="2"/>
                      <w:sz w:val="21"/>
                      <w:szCs w:val="21"/>
                      <w:lang w:val="en-US" w:eastAsia="zh-CN" w:bidi="ar-SA"/>
                    </w:rPr>
                  </w:pPr>
                  <w:r>
                    <w:rPr>
                      <w:rFonts w:hint="eastAsia" w:ascii="Times New Roman" w:hAnsi="Times New Roman" w:eastAsia="宋体" w:cs="宋体"/>
                      <w:color w:val="auto"/>
                      <w:sz w:val="21"/>
                      <w:szCs w:val="21"/>
                      <w:lang w:val="en-US" w:eastAsia="zh-CN"/>
                    </w:rPr>
                    <w:t>4800</w:t>
                  </w:r>
                </w:p>
              </w:tc>
              <w:tc>
                <w:tcPr>
                  <w:tcW w:w="1605" w:type="dxa"/>
                  <w:shd w:val="clear" w:color="auto" w:fill="auto"/>
                  <w:noWrap w:val="0"/>
                  <w:vAlign w:val="center"/>
                </w:tcPr>
                <w:p w14:paraId="14CA4151">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宋体"/>
                      <w:color w:val="auto"/>
                      <w:kern w:val="2"/>
                      <w:sz w:val="21"/>
                      <w:szCs w:val="21"/>
                      <w:lang w:val="en-US" w:eastAsia="zh-CN" w:bidi="ar-SA"/>
                    </w:rPr>
                  </w:pPr>
                  <w:r>
                    <w:rPr>
                      <w:rFonts w:hint="eastAsia" w:cs="宋体"/>
                      <w:color w:val="auto"/>
                      <w:sz w:val="21"/>
                      <w:szCs w:val="21"/>
                      <w:lang w:val="en-US" w:eastAsia="zh-CN"/>
                    </w:rPr>
                    <w:t>360</w:t>
                  </w:r>
                  <w:r>
                    <w:rPr>
                      <w:rFonts w:hint="eastAsia" w:ascii="Times New Roman" w:hAnsi="Times New Roman" w:eastAsia="宋体" w:cs="宋体"/>
                      <w:color w:val="auto"/>
                      <w:sz w:val="21"/>
                      <w:szCs w:val="21"/>
                      <w:lang w:val="en-US" w:eastAsia="zh-CN"/>
                    </w:rPr>
                    <w:t>万双</w:t>
                  </w:r>
                  <w:r>
                    <w:rPr>
                      <w:rFonts w:hint="eastAsia" w:ascii="Times New Roman" w:hAnsi="Times New Roman" w:eastAsia="宋体" w:cs="宋体"/>
                      <w:b w:val="0"/>
                      <w:bCs w:val="0"/>
                      <w:color w:val="auto"/>
                      <w:sz w:val="21"/>
                      <w:szCs w:val="21"/>
                      <w:lang w:val="en-US" w:eastAsia="zh-CN"/>
                    </w:rPr>
                    <w:t>/a</w:t>
                  </w:r>
                </w:p>
              </w:tc>
              <w:tc>
                <w:tcPr>
                  <w:tcW w:w="1493" w:type="dxa"/>
                  <w:shd w:val="clear" w:color="auto" w:fill="auto"/>
                  <w:noWrap w:val="0"/>
                  <w:vAlign w:val="center"/>
                </w:tcPr>
                <w:p w14:paraId="40871930">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宋体"/>
                      <w:color w:val="auto"/>
                      <w:kern w:val="2"/>
                      <w:sz w:val="21"/>
                      <w:szCs w:val="21"/>
                      <w:lang w:val="en-US" w:eastAsia="zh-CN" w:bidi="ar-SA"/>
                    </w:rPr>
                  </w:pPr>
                  <w:r>
                    <w:rPr>
                      <w:rFonts w:hint="eastAsia" w:ascii="Times New Roman" w:hAnsi="Times New Roman" w:eastAsia="宋体" w:cs="宋体"/>
                      <w:color w:val="auto"/>
                      <w:sz w:val="21"/>
                      <w:szCs w:val="21"/>
                      <w:lang w:val="en-US" w:eastAsia="zh-CN"/>
                    </w:rPr>
                    <w:t>280万双</w:t>
                  </w:r>
                  <w:r>
                    <w:rPr>
                      <w:rFonts w:hint="eastAsia" w:ascii="Times New Roman" w:hAnsi="Times New Roman" w:eastAsia="宋体" w:cs="宋体"/>
                      <w:b w:val="0"/>
                      <w:bCs w:val="0"/>
                      <w:color w:val="auto"/>
                      <w:sz w:val="21"/>
                      <w:szCs w:val="21"/>
                      <w:lang w:val="en-US" w:eastAsia="zh-CN"/>
                    </w:rPr>
                    <w:t>/a</w:t>
                  </w:r>
                </w:p>
              </w:tc>
              <w:tc>
                <w:tcPr>
                  <w:tcW w:w="1084" w:type="dxa"/>
                  <w:noWrap w:val="0"/>
                  <w:vAlign w:val="center"/>
                </w:tcPr>
                <w:p w14:paraId="55479F7E">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是</w:t>
                  </w:r>
                </w:p>
              </w:tc>
            </w:tr>
            <w:tr w14:paraId="4331B37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1317" w:type="dxa"/>
                  <w:shd w:val="clear" w:color="auto" w:fill="auto"/>
                  <w:noWrap w:val="0"/>
                  <w:vAlign w:val="center"/>
                </w:tcPr>
                <w:p w14:paraId="155BD115">
                  <w:pPr>
                    <w:keepNext w:val="0"/>
                    <w:keepLines w:val="0"/>
                    <w:suppressLineNumbers w:val="0"/>
                    <w:kinsoku/>
                    <w:overflowPunct w:val="0"/>
                    <w:spacing w:before="0" w:beforeAutospacing="0" w:after="0" w:afterAutospacing="0" w:line="260" w:lineRule="exact"/>
                    <w:ind w:left="21" w:leftChars="10" w:right="0"/>
                    <w:jc w:val="center"/>
                    <w:rPr>
                      <w:rFonts w:hint="default"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olor w:val="auto"/>
                      <w:sz w:val="21"/>
                      <w:u w:val="none"/>
                    </w:rPr>
                    <w:t>拉邦机</w:t>
                  </w:r>
                </w:p>
              </w:tc>
              <w:tc>
                <w:tcPr>
                  <w:tcW w:w="555" w:type="dxa"/>
                  <w:shd w:val="clear" w:color="auto" w:fill="auto"/>
                  <w:noWrap w:val="0"/>
                  <w:vAlign w:val="center"/>
                </w:tcPr>
                <w:p w14:paraId="04C6DA19">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olor w:val="auto"/>
                      <w:sz w:val="21"/>
                      <w:szCs w:val="21"/>
                      <w:u w:val="none"/>
                      <w:lang w:val="en-US" w:eastAsia="zh-CN"/>
                    </w:rPr>
                    <w:t>12</w:t>
                  </w:r>
                </w:p>
              </w:tc>
              <w:tc>
                <w:tcPr>
                  <w:tcW w:w="1342" w:type="dxa"/>
                  <w:shd w:val="clear" w:color="auto" w:fill="auto"/>
                  <w:noWrap w:val="0"/>
                  <w:vAlign w:val="center"/>
                </w:tcPr>
                <w:p w14:paraId="26FFE80D">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宋体"/>
                      <w:color w:val="auto"/>
                      <w:kern w:val="2"/>
                      <w:sz w:val="21"/>
                      <w:szCs w:val="21"/>
                      <w:lang w:val="en-US" w:eastAsia="zh-CN" w:bidi="ar-SA"/>
                    </w:rPr>
                  </w:pPr>
                  <w:r>
                    <w:rPr>
                      <w:rFonts w:hint="eastAsia" w:cs="宋体"/>
                      <w:color w:val="auto"/>
                      <w:sz w:val="21"/>
                      <w:szCs w:val="21"/>
                      <w:lang w:val="en-US" w:eastAsia="zh-CN"/>
                    </w:rPr>
                    <w:t>0.072</w:t>
                  </w:r>
                  <w:r>
                    <w:rPr>
                      <w:rFonts w:hint="eastAsia" w:ascii="Times New Roman" w:hAnsi="Times New Roman" w:eastAsia="宋体" w:cs="宋体"/>
                      <w:color w:val="auto"/>
                      <w:sz w:val="21"/>
                      <w:szCs w:val="21"/>
                      <w:lang w:val="en-US" w:eastAsia="zh-CN"/>
                    </w:rPr>
                    <w:t>万双</w:t>
                  </w:r>
                  <w:r>
                    <w:rPr>
                      <w:rFonts w:hint="eastAsia" w:ascii="Times New Roman" w:hAnsi="Times New Roman" w:eastAsia="宋体" w:cs="宋体"/>
                      <w:b w:val="0"/>
                      <w:bCs w:val="0"/>
                      <w:color w:val="auto"/>
                      <w:sz w:val="21"/>
                      <w:szCs w:val="21"/>
                      <w:lang w:val="en-US" w:eastAsia="zh-CN"/>
                    </w:rPr>
                    <w:t>/h</w:t>
                  </w:r>
                </w:p>
              </w:tc>
              <w:tc>
                <w:tcPr>
                  <w:tcW w:w="1001" w:type="dxa"/>
                  <w:shd w:val="clear" w:color="auto" w:fill="auto"/>
                  <w:noWrap w:val="0"/>
                  <w:vAlign w:val="center"/>
                </w:tcPr>
                <w:p w14:paraId="581706E8">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宋体"/>
                      <w:color w:val="auto"/>
                      <w:kern w:val="2"/>
                      <w:sz w:val="21"/>
                      <w:szCs w:val="21"/>
                      <w:lang w:val="en-US" w:eastAsia="zh-CN" w:bidi="ar-SA"/>
                    </w:rPr>
                  </w:pPr>
                  <w:r>
                    <w:rPr>
                      <w:rFonts w:hint="eastAsia" w:ascii="Times New Roman" w:hAnsi="Times New Roman" w:eastAsia="宋体" w:cs="宋体"/>
                      <w:color w:val="auto"/>
                      <w:sz w:val="21"/>
                      <w:szCs w:val="21"/>
                      <w:lang w:val="en-US" w:eastAsia="zh-CN"/>
                    </w:rPr>
                    <w:t>4800</w:t>
                  </w:r>
                </w:p>
              </w:tc>
              <w:tc>
                <w:tcPr>
                  <w:tcW w:w="1605" w:type="dxa"/>
                  <w:shd w:val="clear" w:color="auto" w:fill="auto"/>
                  <w:noWrap w:val="0"/>
                  <w:vAlign w:val="center"/>
                </w:tcPr>
                <w:p w14:paraId="7937A918">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宋体"/>
                      <w:color w:val="auto"/>
                      <w:kern w:val="2"/>
                      <w:sz w:val="21"/>
                      <w:szCs w:val="21"/>
                      <w:lang w:val="en-US" w:eastAsia="zh-CN" w:bidi="ar-SA"/>
                    </w:rPr>
                  </w:pPr>
                  <w:r>
                    <w:rPr>
                      <w:rFonts w:hint="eastAsia" w:cs="宋体"/>
                      <w:color w:val="auto"/>
                      <w:sz w:val="21"/>
                      <w:szCs w:val="21"/>
                      <w:lang w:val="en-US" w:eastAsia="zh-CN"/>
                    </w:rPr>
                    <w:t>345.6</w:t>
                  </w:r>
                  <w:r>
                    <w:rPr>
                      <w:rFonts w:hint="eastAsia" w:ascii="Times New Roman" w:hAnsi="Times New Roman" w:eastAsia="宋体" w:cs="宋体"/>
                      <w:color w:val="auto"/>
                      <w:sz w:val="21"/>
                      <w:szCs w:val="21"/>
                      <w:lang w:val="en-US" w:eastAsia="zh-CN"/>
                    </w:rPr>
                    <w:t>万双</w:t>
                  </w:r>
                  <w:r>
                    <w:rPr>
                      <w:rFonts w:hint="eastAsia" w:ascii="Times New Roman" w:hAnsi="Times New Roman" w:eastAsia="宋体" w:cs="宋体"/>
                      <w:b w:val="0"/>
                      <w:bCs w:val="0"/>
                      <w:color w:val="auto"/>
                      <w:sz w:val="21"/>
                      <w:szCs w:val="21"/>
                      <w:lang w:val="en-US" w:eastAsia="zh-CN"/>
                    </w:rPr>
                    <w:t>/a</w:t>
                  </w:r>
                </w:p>
              </w:tc>
              <w:tc>
                <w:tcPr>
                  <w:tcW w:w="1493" w:type="dxa"/>
                  <w:shd w:val="clear" w:color="auto" w:fill="auto"/>
                  <w:noWrap w:val="0"/>
                  <w:vAlign w:val="center"/>
                </w:tcPr>
                <w:p w14:paraId="2091DC2C">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宋体"/>
                      <w:color w:val="auto"/>
                      <w:kern w:val="2"/>
                      <w:sz w:val="21"/>
                      <w:szCs w:val="21"/>
                      <w:lang w:val="en-US" w:eastAsia="zh-CN" w:bidi="ar-SA"/>
                    </w:rPr>
                  </w:pPr>
                  <w:r>
                    <w:rPr>
                      <w:rFonts w:hint="eastAsia" w:ascii="Times New Roman" w:hAnsi="Times New Roman" w:eastAsia="宋体" w:cs="宋体"/>
                      <w:color w:val="auto"/>
                      <w:sz w:val="21"/>
                      <w:szCs w:val="21"/>
                      <w:lang w:val="en-US" w:eastAsia="zh-CN"/>
                    </w:rPr>
                    <w:t>280万双</w:t>
                  </w:r>
                  <w:r>
                    <w:rPr>
                      <w:rFonts w:hint="eastAsia" w:ascii="Times New Roman" w:hAnsi="Times New Roman" w:eastAsia="宋体" w:cs="宋体"/>
                      <w:b w:val="0"/>
                      <w:bCs w:val="0"/>
                      <w:color w:val="auto"/>
                      <w:sz w:val="21"/>
                      <w:szCs w:val="21"/>
                      <w:lang w:val="en-US" w:eastAsia="zh-CN"/>
                    </w:rPr>
                    <w:t>/a</w:t>
                  </w:r>
                </w:p>
              </w:tc>
              <w:tc>
                <w:tcPr>
                  <w:tcW w:w="1084" w:type="dxa"/>
                  <w:noWrap w:val="0"/>
                  <w:vAlign w:val="center"/>
                </w:tcPr>
                <w:p w14:paraId="31979A59">
                  <w:pPr>
                    <w:keepNext w:val="0"/>
                    <w:keepLines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是</w:t>
                  </w:r>
                </w:p>
              </w:tc>
            </w:tr>
            <w:tr w14:paraId="67DA5AB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1317" w:type="dxa"/>
                  <w:shd w:val="clear" w:color="auto" w:fill="auto"/>
                  <w:noWrap w:val="0"/>
                  <w:vAlign w:val="center"/>
                </w:tcPr>
                <w:p w14:paraId="2916BF93">
                  <w:pPr>
                    <w:keepNext w:val="0"/>
                    <w:keepLines w:val="0"/>
                    <w:suppressLineNumbers w:val="0"/>
                    <w:kinsoku/>
                    <w:overflowPunct w:val="0"/>
                    <w:spacing w:before="0" w:beforeAutospacing="0" w:after="0" w:afterAutospacing="0" w:line="260" w:lineRule="exact"/>
                    <w:ind w:left="21" w:leftChars="10" w:right="0"/>
                    <w:jc w:val="center"/>
                    <w:rPr>
                      <w:rFonts w:hint="default"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olor w:val="auto"/>
                      <w:sz w:val="21"/>
                      <w:u w:val="none"/>
                      <w:lang w:val="en-US" w:eastAsia="zh-CN"/>
                    </w:rPr>
                    <w:t>覆压机</w:t>
                  </w:r>
                </w:p>
              </w:tc>
              <w:tc>
                <w:tcPr>
                  <w:tcW w:w="555" w:type="dxa"/>
                  <w:shd w:val="clear" w:color="auto" w:fill="auto"/>
                  <w:noWrap w:val="0"/>
                  <w:vAlign w:val="center"/>
                </w:tcPr>
                <w:p w14:paraId="4BEA5231">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olor w:val="auto"/>
                      <w:sz w:val="21"/>
                      <w:szCs w:val="21"/>
                      <w:u w:val="none"/>
                      <w:lang w:val="en-US" w:eastAsia="zh-CN"/>
                    </w:rPr>
                    <w:t>2</w:t>
                  </w:r>
                </w:p>
              </w:tc>
              <w:tc>
                <w:tcPr>
                  <w:tcW w:w="1342" w:type="dxa"/>
                  <w:shd w:val="clear" w:color="auto" w:fill="auto"/>
                  <w:noWrap w:val="0"/>
                  <w:vAlign w:val="center"/>
                </w:tcPr>
                <w:p w14:paraId="582B564C">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宋体"/>
                      <w:color w:val="auto"/>
                      <w:kern w:val="2"/>
                      <w:sz w:val="21"/>
                      <w:szCs w:val="21"/>
                      <w:lang w:val="en-US" w:eastAsia="zh-CN" w:bidi="ar-SA"/>
                    </w:rPr>
                  </w:pPr>
                  <w:r>
                    <w:rPr>
                      <w:rFonts w:hint="eastAsia" w:cs="宋体"/>
                      <w:color w:val="auto"/>
                      <w:sz w:val="21"/>
                      <w:szCs w:val="21"/>
                      <w:lang w:val="en-US" w:eastAsia="zh-CN"/>
                    </w:rPr>
                    <w:t>0.07</w:t>
                  </w:r>
                  <w:r>
                    <w:rPr>
                      <w:rFonts w:hint="eastAsia" w:ascii="Times New Roman" w:hAnsi="Times New Roman" w:eastAsia="宋体" w:cs="宋体"/>
                      <w:color w:val="auto"/>
                      <w:sz w:val="21"/>
                      <w:szCs w:val="21"/>
                      <w:lang w:val="en-US" w:eastAsia="zh-CN"/>
                    </w:rPr>
                    <w:t>万双</w:t>
                  </w:r>
                  <w:r>
                    <w:rPr>
                      <w:rFonts w:hint="eastAsia" w:ascii="Times New Roman" w:hAnsi="Times New Roman" w:eastAsia="宋体" w:cs="宋体"/>
                      <w:b w:val="0"/>
                      <w:bCs w:val="0"/>
                      <w:color w:val="auto"/>
                      <w:sz w:val="21"/>
                      <w:szCs w:val="21"/>
                      <w:lang w:val="en-US" w:eastAsia="zh-CN"/>
                    </w:rPr>
                    <w:t>/h</w:t>
                  </w:r>
                </w:p>
              </w:tc>
              <w:tc>
                <w:tcPr>
                  <w:tcW w:w="1001" w:type="dxa"/>
                  <w:shd w:val="clear" w:color="auto" w:fill="auto"/>
                  <w:noWrap w:val="0"/>
                  <w:vAlign w:val="center"/>
                </w:tcPr>
                <w:p w14:paraId="1A691FF5">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宋体"/>
                      <w:color w:val="auto"/>
                      <w:kern w:val="2"/>
                      <w:sz w:val="21"/>
                      <w:szCs w:val="21"/>
                      <w:lang w:val="en-US" w:eastAsia="zh-CN" w:bidi="ar-SA"/>
                    </w:rPr>
                  </w:pPr>
                  <w:r>
                    <w:rPr>
                      <w:rFonts w:hint="eastAsia" w:ascii="Times New Roman" w:hAnsi="Times New Roman" w:eastAsia="宋体" w:cs="宋体"/>
                      <w:color w:val="auto"/>
                      <w:sz w:val="21"/>
                      <w:szCs w:val="21"/>
                      <w:lang w:val="en-US" w:eastAsia="zh-CN"/>
                    </w:rPr>
                    <w:t>4800</w:t>
                  </w:r>
                </w:p>
              </w:tc>
              <w:tc>
                <w:tcPr>
                  <w:tcW w:w="1605" w:type="dxa"/>
                  <w:shd w:val="clear" w:color="auto" w:fill="auto"/>
                  <w:noWrap w:val="0"/>
                  <w:vAlign w:val="center"/>
                </w:tcPr>
                <w:p w14:paraId="36A9C82F">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宋体"/>
                      <w:color w:val="auto"/>
                      <w:kern w:val="2"/>
                      <w:sz w:val="21"/>
                      <w:szCs w:val="21"/>
                      <w:lang w:val="en-US" w:eastAsia="zh-CN" w:bidi="ar-SA"/>
                    </w:rPr>
                  </w:pPr>
                  <w:r>
                    <w:rPr>
                      <w:rFonts w:hint="eastAsia" w:cs="宋体"/>
                      <w:color w:val="auto"/>
                      <w:sz w:val="21"/>
                      <w:szCs w:val="21"/>
                      <w:lang w:val="en-US" w:eastAsia="zh-CN"/>
                    </w:rPr>
                    <w:t>336</w:t>
                  </w:r>
                  <w:r>
                    <w:rPr>
                      <w:rFonts w:hint="eastAsia" w:ascii="Times New Roman" w:hAnsi="Times New Roman" w:eastAsia="宋体" w:cs="宋体"/>
                      <w:color w:val="auto"/>
                      <w:sz w:val="21"/>
                      <w:szCs w:val="21"/>
                      <w:lang w:val="en-US" w:eastAsia="zh-CN"/>
                    </w:rPr>
                    <w:t>万双</w:t>
                  </w:r>
                  <w:r>
                    <w:rPr>
                      <w:rFonts w:hint="eastAsia" w:ascii="Times New Roman" w:hAnsi="Times New Roman" w:eastAsia="宋体" w:cs="宋体"/>
                      <w:b w:val="0"/>
                      <w:bCs w:val="0"/>
                      <w:color w:val="auto"/>
                      <w:sz w:val="21"/>
                      <w:szCs w:val="21"/>
                      <w:lang w:val="en-US" w:eastAsia="zh-CN"/>
                    </w:rPr>
                    <w:t>/a</w:t>
                  </w:r>
                </w:p>
              </w:tc>
              <w:tc>
                <w:tcPr>
                  <w:tcW w:w="1493" w:type="dxa"/>
                  <w:shd w:val="clear" w:color="auto" w:fill="auto"/>
                  <w:noWrap w:val="0"/>
                  <w:vAlign w:val="center"/>
                </w:tcPr>
                <w:p w14:paraId="1B674F26">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宋体"/>
                      <w:color w:val="auto"/>
                      <w:kern w:val="2"/>
                      <w:sz w:val="21"/>
                      <w:szCs w:val="21"/>
                      <w:lang w:val="en-US" w:eastAsia="zh-CN" w:bidi="ar-SA"/>
                    </w:rPr>
                  </w:pPr>
                  <w:r>
                    <w:rPr>
                      <w:rFonts w:hint="eastAsia" w:ascii="Times New Roman" w:hAnsi="Times New Roman" w:eastAsia="宋体" w:cs="宋体"/>
                      <w:color w:val="auto"/>
                      <w:sz w:val="21"/>
                      <w:szCs w:val="21"/>
                      <w:lang w:val="en-US" w:eastAsia="zh-CN"/>
                    </w:rPr>
                    <w:t>280万双</w:t>
                  </w:r>
                  <w:r>
                    <w:rPr>
                      <w:rFonts w:hint="eastAsia" w:ascii="Times New Roman" w:hAnsi="Times New Roman" w:eastAsia="宋体" w:cs="宋体"/>
                      <w:b w:val="0"/>
                      <w:bCs w:val="0"/>
                      <w:color w:val="auto"/>
                      <w:sz w:val="21"/>
                      <w:szCs w:val="21"/>
                      <w:lang w:val="en-US" w:eastAsia="zh-CN"/>
                    </w:rPr>
                    <w:t>/a</w:t>
                  </w:r>
                </w:p>
              </w:tc>
              <w:tc>
                <w:tcPr>
                  <w:tcW w:w="1084" w:type="dxa"/>
                  <w:noWrap w:val="0"/>
                  <w:vAlign w:val="center"/>
                </w:tcPr>
                <w:p w14:paraId="488B47D4">
                  <w:pPr>
                    <w:keepNext w:val="0"/>
                    <w:keepLines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是</w:t>
                  </w:r>
                </w:p>
              </w:tc>
            </w:tr>
            <w:tr w14:paraId="1C3A6A8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1317" w:type="dxa"/>
                  <w:shd w:val="clear" w:color="auto" w:fill="auto"/>
                  <w:noWrap w:val="0"/>
                  <w:vAlign w:val="center"/>
                </w:tcPr>
                <w:p w14:paraId="2BCCAF62">
                  <w:pPr>
                    <w:keepNext w:val="0"/>
                    <w:keepLines w:val="0"/>
                    <w:suppressLineNumbers w:val="0"/>
                    <w:kinsoku/>
                    <w:overflowPunct w:val="0"/>
                    <w:spacing w:before="0" w:beforeAutospacing="0" w:after="0" w:afterAutospacing="0" w:line="260" w:lineRule="exact"/>
                    <w:ind w:left="21" w:leftChars="10" w:right="0"/>
                    <w:jc w:val="center"/>
                    <w:rPr>
                      <w:rFonts w:hint="default"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olor w:val="auto"/>
                      <w:sz w:val="21"/>
                      <w:u w:val="none"/>
                    </w:rPr>
                    <w:t>打磨机</w:t>
                  </w:r>
                </w:p>
              </w:tc>
              <w:tc>
                <w:tcPr>
                  <w:tcW w:w="555" w:type="dxa"/>
                  <w:shd w:val="clear" w:color="auto" w:fill="auto"/>
                  <w:noWrap w:val="0"/>
                  <w:vAlign w:val="center"/>
                </w:tcPr>
                <w:p w14:paraId="19683AB2">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olor w:val="auto"/>
                      <w:sz w:val="21"/>
                      <w:szCs w:val="21"/>
                      <w:u w:val="none"/>
                      <w:lang w:val="en-US" w:eastAsia="zh-CN"/>
                    </w:rPr>
                    <w:t>6</w:t>
                  </w:r>
                </w:p>
              </w:tc>
              <w:tc>
                <w:tcPr>
                  <w:tcW w:w="1342" w:type="dxa"/>
                  <w:noWrap w:val="0"/>
                  <w:vAlign w:val="center"/>
                </w:tcPr>
                <w:p w14:paraId="135E396C">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宋体"/>
                      <w:color w:val="auto"/>
                      <w:sz w:val="21"/>
                      <w:szCs w:val="21"/>
                      <w:lang w:val="en-US" w:eastAsia="zh-CN"/>
                    </w:rPr>
                  </w:pPr>
                  <w:r>
                    <w:rPr>
                      <w:rFonts w:hint="eastAsia" w:cs="宋体"/>
                      <w:color w:val="auto"/>
                      <w:sz w:val="21"/>
                      <w:szCs w:val="21"/>
                      <w:lang w:val="en-US" w:eastAsia="zh-CN"/>
                    </w:rPr>
                    <w:t>0.018</w:t>
                  </w:r>
                  <w:r>
                    <w:rPr>
                      <w:rFonts w:hint="eastAsia" w:ascii="Times New Roman" w:hAnsi="Times New Roman" w:eastAsia="宋体" w:cs="宋体"/>
                      <w:color w:val="auto"/>
                      <w:sz w:val="21"/>
                      <w:szCs w:val="21"/>
                      <w:lang w:val="en-US" w:eastAsia="zh-CN"/>
                    </w:rPr>
                    <w:t>万双</w:t>
                  </w:r>
                  <w:r>
                    <w:rPr>
                      <w:rFonts w:hint="eastAsia" w:ascii="Times New Roman" w:hAnsi="Times New Roman" w:eastAsia="宋体" w:cs="宋体"/>
                      <w:b w:val="0"/>
                      <w:bCs w:val="0"/>
                      <w:color w:val="auto"/>
                      <w:sz w:val="21"/>
                      <w:szCs w:val="21"/>
                      <w:lang w:val="en-US" w:eastAsia="zh-CN"/>
                    </w:rPr>
                    <w:t>/h</w:t>
                  </w:r>
                </w:p>
              </w:tc>
              <w:tc>
                <w:tcPr>
                  <w:tcW w:w="1001" w:type="dxa"/>
                  <w:noWrap w:val="0"/>
                  <w:vAlign w:val="center"/>
                </w:tcPr>
                <w:p w14:paraId="1BF204C4">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4800</w:t>
                  </w:r>
                </w:p>
              </w:tc>
              <w:tc>
                <w:tcPr>
                  <w:tcW w:w="1605" w:type="dxa"/>
                  <w:noWrap w:val="0"/>
                  <w:vAlign w:val="center"/>
                </w:tcPr>
                <w:p w14:paraId="5AAB553D">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宋体"/>
                      <w:color w:val="auto"/>
                      <w:sz w:val="21"/>
                      <w:szCs w:val="21"/>
                      <w:lang w:val="en-US" w:eastAsia="zh-CN"/>
                    </w:rPr>
                  </w:pPr>
                  <w:r>
                    <w:rPr>
                      <w:rFonts w:hint="eastAsia" w:cs="宋体"/>
                      <w:color w:val="auto"/>
                      <w:sz w:val="21"/>
                      <w:szCs w:val="21"/>
                      <w:lang w:val="en-US" w:eastAsia="zh-CN"/>
                    </w:rPr>
                    <w:t>86.4</w:t>
                  </w:r>
                  <w:r>
                    <w:rPr>
                      <w:rFonts w:hint="eastAsia" w:ascii="Times New Roman" w:hAnsi="Times New Roman" w:eastAsia="宋体" w:cs="宋体"/>
                      <w:color w:val="auto"/>
                      <w:sz w:val="21"/>
                      <w:szCs w:val="21"/>
                      <w:lang w:val="en-US" w:eastAsia="zh-CN"/>
                    </w:rPr>
                    <w:t>万双</w:t>
                  </w:r>
                  <w:r>
                    <w:rPr>
                      <w:rFonts w:hint="eastAsia" w:ascii="Times New Roman" w:hAnsi="Times New Roman" w:eastAsia="宋体" w:cs="宋体"/>
                      <w:b w:val="0"/>
                      <w:bCs w:val="0"/>
                      <w:color w:val="auto"/>
                      <w:sz w:val="21"/>
                      <w:szCs w:val="21"/>
                      <w:lang w:val="en-US" w:eastAsia="zh-CN"/>
                    </w:rPr>
                    <w:t>/a</w:t>
                  </w:r>
                </w:p>
              </w:tc>
              <w:tc>
                <w:tcPr>
                  <w:tcW w:w="1493" w:type="dxa"/>
                  <w:noWrap w:val="0"/>
                  <w:vAlign w:val="center"/>
                </w:tcPr>
                <w:p w14:paraId="5EB7794E">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56万双</w:t>
                  </w:r>
                  <w:r>
                    <w:rPr>
                      <w:rFonts w:hint="eastAsia" w:ascii="Times New Roman" w:hAnsi="Times New Roman" w:eastAsia="宋体" w:cs="宋体"/>
                      <w:b w:val="0"/>
                      <w:bCs w:val="0"/>
                      <w:color w:val="auto"/>
                      <w:sz w:val="21"/>
                      <w:szCs w:val="21"/>
                      <w:lang w:val="en-US" w:eastAsia="zh-CN"/>
                    </w:rPr>
                    <w:t>/a</w:t>
                  </w:r>
                </w:p>
              </w:tc>
              <w:tc>
                <w:tcPr>
                  <w:tcW w:w="1084" w:type="dxa"/>
                  <w:noWrap w:val="0"/>
                  <w:vAlign w:val="center"/>
                </w:tcPr>
                <w:p w14:paraId="5E3010EC">
                  <w:pPr>
                    <w:keepNext w:val="0"/>
                    <w:keepLines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是</w:t>
                  </w:r>
                </w:p>
              </w:tc>
            </w:tr>
            <w:tr w14:paraId="6C5D852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1317" w:type="dxa"/>
                  <w:shd w:val="clear" w:color="auto" w:fill="auto"/>
                  <w:noWrap w:val="0"/>
                  <w:vAlign w:val="center"/>
                </w:tcPr>
                <w:p w14:paraId="4D264F6C">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olor w:val="auto"/>
                      <w:sz w:val="21"/>
                      <w:szCs w:val="21"/>
                      <w:u w:val="none"/>
                    </w:rPr>
                    <w:t>鞋舌压标机</w:t>
                  </w:r>
                </w:p>
              </w:tc>
              <w:tc>
                <w:tcPr>
                  <w:tcW w:w="555" w:type="dxa"/>
                  <w:shd w:val="clear" w:color="auto" w:fill="auto"/>
                  <w:noWrap w:val="0"/>
                  <w:vAlign w:val="center"/>
                </w:tcPr>
                <w:p w14:paraId="09FE7C94">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olor w:val="auto"/>
                      <w:sz w:val="21"/>
                      <w:szCs w:val="21"/>
                      <w:u w:val="none"/>
                      <w:lang w:val="en-US" w:eastAsia="zh-CN"/>
                    </w:rPr>
                    <w:t>3</w:t>
                  </w:r>
                </w:p>
              </w:tc>
              <w:tc>
                <w:tcPr>
                  <w:tcW w:w="1342" w:type="dxa"/>
                  <w:noWrap w:val="0"/>
                  <w:vAlign w:val="center"/>
                </w:tcPr>
                <w:p w14:paraId="4EA06BAF">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宋体"/>
                      <w:color w:val="auto"/>
                      <w:sz w:val="21"/>
                      <w:szCs w:val="21"/>
                      <w:lang w:val="en-US" w:eastAsia="zh-CN"/>
                    </w:rPr>
                  </w:pPr>
                  <w:r>
                    <w:rPr>
                      <w:rFonts w:hint="eastAsia" w:cs="宋体"/>
                      <w:color w:val="auto"/>
                      <w:sz w:val="21"/>
                      <w:szCs w:val="21"/>
                      <w:lang w:val="en-US" w:eastAsia="zh-CN"/>
                    </w:rPr>
                    <w:t>0.06</w:t>
                  </w:r>
                  <w:r>
                    <w:rPr>
                      <w:rFonts w:hint="eastAsia" w:ascii="Times New Roman" w:hAnsi="Times New Roman" w:eastAsia="宋体" w:cs="宋体"/>
                      <w:color w:val="auto"/>
                      <w:sz w:val="21"/>
                      <w:szCs w:val="21"/>
                      <w:lang w:val="en-US" w:eastAsia="zh-CN"/>
                    </w:rPr>
                    <w:t>万双</w:t>
                  </w:r>
                  <w:r>
                    <w:rPr>
                      <w:rFonts w:hint="eastAsia" w:ascii="Times New Roman" w:hAnsi="Times New Roman" w:eastAsia="宋体" w:cs="宋体"/>
                      <w:b w:val="0"/>
                      <w:bCs w:val="0"/>
                      <w:color w:val="auto"/>
                      <w:sz w:val="21"/>
                      <w:szCs w:val="21"/>
                      <w:lang w:val="en-US" w:eastAsia="zh-CN"/>
                    </w:rPr>
                    <w:t>/h</w:t>
                  </w:r>
                </w:p>
              </w:tc>
              <w:tc>
                <w:tcPr>
                  <w:tcW w:w="1001" w:type="dxa"/>
                  <w:noWrap w:val="0"/>
                  <w:vAlign w:val="center"/>
                </w:tcPr>
                <w:p w14:paraId="137D819E">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4800</w:t>
                  </w:r>
                </w:p>
              </w:tc>
              <w:tc>
                <w:tcPr>
                  <w:tcW w:w="1605" w:type="dxa"/>
                  <w:noWrap w:val="0"/>
                  <w:vAlign w:val="center"/>
                </w:tcPr>
                <w:p w14:paraId="39CB1176">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宋体"/>
                      <w:color w:val="auto"/>
                      <w:sz w:val="21"/>
                      <w:szCs w:val="21"/>
                      <w:lang w:val="en-US" w:eastAsia="zh-CN"/>
                    </w:rPr>
                  </w:pPr>
                  <w:r>
                    <w:rPr>
                      <w:rFonts w:hint="eastAsia" w:cs="宋体"/>
                      <w:color w:val="auto"/>
                      <w:sz w:val="21"/>
                      <w:szCs w:val="21"/>
                      <w:lang w:val="en-US" w:eastAsia="zh-CN"/>
                    </w:rPr>
                    <w:t>288</w:t>
                  </w:r>
                  <w:r>
                    <w:rPr>
                      <w:rFonts w:hint="eastAsia" w:ascii="Times New Roman" w:hAnsi="Times New Roman" w:eastAsia="宋体" w:cs="宋体"/>
                      <w:color w:val="auto"/>
                      <w:sz w:val="21"/>
                      <w:szCs w:val="21"/>
                      <w:lang w:val="en-US" w:eastAsia="zh-CN"/>
                    </w:rPr>
                    <w:t>万双</w:t>
                  </w:r>
                  <w:r>
                    <w:rPr>
                      <w:rFonts w:hint="eastAsia" w:ascii="Times New Roman" w:hAnsi="Times New Roman" w:eastAsia="宋体" w:cs="宋体"/>
                      <w:b w:val="0"/>
                      <w:bCs w:val="0"/>
                      <w:color w:val="auto"/>
                      <w:sz w:val="21"/>
                      <w:szCs w:val="21"/>
                      <w:lang w:val="en-US" w:eastAsia="zh-CN"/>
                    </w:rPr>
                    <w:t>/a</w:t>
                  </w:r>
                </w:p>
              </w:tc>
              <w:tc>
                <w:tcPr>
                  <w:tcW w:w="1493" w:type="dxa"/>
                  <w:noWrap w:val="0"/>
                  <w:vAlign w:val="center"/>
                </w:tcPr>
                <w:p w14:paraId="0B0E41B4">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280万双</w:t>
                  </w:r>
                  <w:r>
                    <w:rPr>
                      <w:rFonts w:hint="eastAsia" w:ascii="Times New Roman" w:hAnsi="Times New Roman" w:eastAsia="宋体" w:cs="宋体"/>
                      <w:b w:val="0"/>
                      <w:bCs w:val="0"/>
                      <w:color w:val="auto"/>
                      <w:sz w:val="21"/>
                      <w:szCs w:val="21"/>
                      <w:lang w:val="en-US" w:eastAsia="zh-CN"/>
                    </w:rPr>
                    <w:t>/a</w:t>
                  </w:r>
                </w:p>
              </w:tc>
              <w:tc>
                <w:tcPr>
                  <w:tcW w:w="1084" w:type="dxa"/>
                  <w:noWrap w:val="0"/>
                  <w:vAlign w:val="center"/>
                </w:tcPr>
                <w:p w14:paraId="44C9CA99">
                  <w:pPr>
                    <w:keepNext w:val="0"/>
                    <w:keepLines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是</w:t>
                  </w:r>
                </w:p>
              </w:tc>
            </w:tr>
            <w:tr w14:paraId="2E0747A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1317" w:type="dxa"/>
                  <w:shd w:val="clear" w:color="auto" w:fill="auto"/>
                  <w:noWrap w:val="0"/>
                  <w:vAlign w:val="center"/>
                </w:tcPr>
                <w:p w14:paraId="79298C86">
                  <w:pPr>
                    <w:keepNext w:val="0"/>
                    <w:keepLines w:val="0"/>
                    <w:suppressLineNumbers w:val="0"/>
                    <w:kinsoku/>
                    <w:overflowPunct w:val="0"/>
                    <w:spacing w:before="0" w:beforeAutospacing="0" w:after="0" w:afterAutospacing="0" w:line="260" w:lineRule="exact"/>
                    <w:ind w:left="21" w:leftChars="10" w:right="0"/>
                    <w:jc w:val="center"/>
                    <w:rPr>
                      <w:rFonts w:hint="default"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olor w:val="auto"/>
                      <w:sz w:val="21"/>
                      <w:u w:val="none"/>
                    </w:rPr>
                    <w:t>鞋头定型机</w:t>
                  </w:r>
                </w:p>
              </w:tc>
              <w:tc>
                <w:tcPr>
                  <w:tcW w:w="555" w:type="dxa"/>
                  <w:shd w:val="clear" w:color="auto" w:fill="auto"/>
                  <w:noWrap w:val="0"/>
                  <w:vAlign w:val="center"/>
                </w:tcPr>
                <w:p w14:paraId="6D23D0B1">
                  <w:pPr>
                    <w:keepNext w:val="0"/>
                    <w:keepLines w:val="0"/>
                    <w:suppressLineNumbers w:val="0"/>
                    <w:kinsoku/>
                    <w:overflowPunct w:val="0"/>
                    <w:spacing w:before="0" w:beforeAutospacing="0" w:after="0" w:afterAutospacing="0" w:line="260" w:lineRule="exact"/>
                    <w:ind w:left="21" w:leftChars="10" w:right="0"/>
                    <w:jc w:val="center"/>
                    <w:rPr>
                      <w:rFonts w:hint="default"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olor w:val="auto"/>
                      <w:sz w:val="21"/>
                      <w:u w:val="none"/>
                      <w:lang w:val="en-US" w:eastAsia="zh-CN"/>
                    </w:rPr>
                    <w:t>6</w:t>
                  </w:r>
                </w:p>
              </w:tc>
              <w:tc>
                <w:tcPr>
                  <w:tcW w:w="1342" w:type="dxa"/>
                  <w:noWrap w:val="0"/>
                  <w:vAlign w:val="center"/>
                </w:tcPr>
                <w:p w14:paraId="2DE1FE4E">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宋体"/>
                      <w:color w:val="auto"/>
                      <w:sz w:val="21"/>
                      <w:szCs w:val="21"/>
                      <w:lang w:val="en-US" w:eastAsia="zh-CN"/>
                    </w:rPr>
                  </w:pPr>
                  <w:r>
                    <w:rPr>
                      <w:rFonts w:hint="eastAsia" w:cs="宋体"/>
                      <w:color w:val="auto"/>
                      <w:sz w:val="21"/>
                      <w:szCs w:val="21"/>
                      <w:lang w:val="en-US" w:eastAsia="zh-CN"/>
                    </w:rPr>
                    <w:t>0.06</w:t>
                  </w:r>
                  <w:r>
                    <w:rPr>
                      <w:rFonts w:hint="eastAsia" w:ascii="Times New Roman" w:hAnsi="Times New Roman" w:eastAsia="宋体" w:cs="宋体"/>
                      <w:color w:val="auto"/>
                      <w:sz w:val="21"/>
                      <w:szCs w:val="21"/>
                      <w:lang w:val="en-US" w:eastAsia="zh-CN"/>
                    </w:rPr>
                    <w:t>万双</w:t>
                  </w:r>
                  <w:r>
                    <w:rPr>
                      <w:rFonts w:hint="eastAsia" w:ascii="Times New Roman" w:hAnsi="Times New Roman" w:eastAsia="宋体" w:cs="宋体"/>
                      <w:b w:val="0"/>
                      <w:bCs w:val="0"/>
                      <w:color w:val="auto"/>
                      <w:sz w:val="21"/>
                      <w:szCs w:val="21"/>
                      <w:lang w:val="en-US" w:eastAsia="zh-CN"/>
                    </w:rPr>
                    <w:t>/h</w:t>
                  </w:r>
                </w:p>
              </w:tc>
              <w:tc>
                <w:tcPr>
                  <w:tcW w:w="1001" w:type="dxa"/>
                  <w:noWrap w:val="0"/>
                  <w:vAlign w:val="center"/>
                </w:tcPr>
                <w:p w14:paraId="06F4AAEF">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4800</w:t>
                  </w:r>
                </w:p>
              </w:tc>
              <w:tc>
                <w:tcPr>
                  <w:tcW w:w="1605" w:type="dxa"/>
                  <w:noWrap w:val="0"/>
                  <w:vAlign w:val="center"/>
                </w:tcPr>
                <w:p w14:paraId="79EC53F0">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宋体"/>
                      <w:color w:val="auto"/>
                      <w:sz w:val="21"/>
                      <w:szCs w:val="21"/>
                      <w:lang w:val="en-US" w:eastAsia="zh-CN"/>
                    </w:rPr>
                  </w:pPr>
                  <w:r>
                    <w:rPr>
                      <w:rFonts w:hint="eastAsia" w:cs="宋体"/>
                      <w:color w:val="auto"/>
                      <w:sz w:val="21"/>
                      <w:szCs w:val="21"/>
                      <w:lang w:val="en-US" w:eastAsia="zh-CN"/>
                    </w:rPr>
                    <w:t>288</w:t>
                  </w:r>
                  <w:r>
                    <w:rPr>
                      <w:rFonts w:hint="eastAsia" w:ascii="Times New Roman" w:hAnsi="Times New Roman" w:eastAsia="宋体" w:cs="宋体"/>
                      <w:color w:val="auto"/>
                      <w:sz w:val="21"/>
                      <w:szCs w:val="21"/>
                      <w:lang w:val="en-US" w:eastAsia="zh-CN"/>
                    </w:rPr>
                    <w:t>万双</w:t>
                  </w:r>
                  <w:r>
                    <w:rPr>
                      <w:rFonts w:hint="eastAsia" w:ascii="Times New Roman" w:hAnsi="Times New Roman" w:eastAsia="宋体" w:cs="宋体"/>
                      <w:b w:val="0"/>
                      <w:bCs w:val="0"/>
                      <w:color w:val="auto"/>
                      <w:sz w:val="21"/>
                      <w:szCs w:val="21"/>
                      <w:lang w:val="en-US" w:eastAsia="zh-CN"/>
                    </w:rPr>
                    <w:t>/a</w:t>
                  </w:r>
                </w:p>
              </w:tc>
              <w:tc>
                <w:tcPr>
                  <w:tcW w:w="1493" w:type="dxa"/>
                  <w:noWrap w:val="0"/>
                  <w:vAlign w:val="center"/>
                </w:tcPr>
                <w:p w14:paraId="4E0C6F99">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280万双</w:t>
                  </w:r>
                  <w:r>
                    <w:rPr>
                      <w:rFonts w:hint="eastAsia" w:ascii="Times New Roman" w:hAnsi="Times New Roman" w:eastAsia="宋体" w:cs="宋体"/>
                      <w:b w:val="0"/>
                      <w:bCs w:val="0"/>
                      <w:color w:val="auto"/>
                      <w:sz w:val="21"/>
                      <w:szCs w:val="21"/>
                      <w:lang w:val="en-US" w:eastAsia="zh-CN"/>
                    </w:rPr>
                    <w:t>/a</w:t>
                  </w:r>
                </w:p>
              </w:tc>
              <w:tc>
                <w:tcPr>
                  <w:tcW w:w="1084" w:type="dxa"/>
                  <w:noWrap w:val="0"/>
                  <w:vAlign w:val="center"/>
                </w:tcPr>
                <w:p w14:paraId="41A70ECD">
                  <w:pPr>
                    <w:keepNext w:val="0"/>
                    <w:keepLines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是</w:t>
                  </w:r>
                </w:p>
              </w:tc>
            </w:tr>
            <w:tr w14:paraId="01D4ED5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1317" w:type="dxa"/>
                  <w:shd w:val="clear" w:color="auto" w:fill="auto"/>
                  <w:noWrap w:val="0"/>
                  <w:vAlign w:val="center"/>
                </w:tcPr>
                <w:p w14:paraId="2441B40B">
                  <w:pPr>
                    <w:keepNext w:val="0"/>
                    <w:keepLines w:val="0"/>
                    <w:suppressLineNumbers w:val="0"/>
                    <w:kinsoku/>
                    <w:overflowPunct w:val="0"/>
                    <w:spacing w:before="0" w:beforeAutospacing="0" w:after="0" w:afterAutospacing="0" w:line="260" w:lineRule="exact"/>
                    <w:ind w:left="21" w:leftChars="10" w:right="0"/>
                    <w:jc w:val="center"/>
                    <w:rPr>
                      <w:rFonts w:hint="default"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olor w:val="auto"/>
                      <w:sz w:val="21"/>
                      <w:u w:val="none"/>
                    </w:rPr>
                    <w:t>后锤定型机</w:t>
                  </w:r>
                </w:p>
              </w:tc>
              <w:tc>
                <w:tcPr>
                  <w:tcW w:w="555" w:type="dxa"/>
                  <w:shd w:val="clear" w:color="auto" w:fill="auto"/>
                  <w:noWrap w:val="0"/>
                  <w:vAlign w:val="center"/>
                </w:tcPr>
                <w:p w14:paraId="539FBEBD">
                  <w:pPr>
                    <w:keepNext w:val="0"/>
                    <w:keepLines w:val="0"/>
                    <w:suppressLineNumbers w:val="0"/>
                    <w:kinsoku/>
                    <w:overflowPunct w:val="0"/>
                    <w:spacing w:before="0" w:beforeAutospacing="0" w:after="0" w:afterAutospacing="0" w:line="260" w:lineRule="exact"/>
                    <w:ind w:left="21" w:leftChars="10" w:right="0"/>
                    <w:jc w:val="center"/>
                    <w:rPr>
                      <w:rFonts w:hint="default"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olor w:val="auto"/>
                      <w:sz w:val="21"/>
                      <w:u w:val="none"/>
                      <w:lang w:val="en-US" w:eastAsia="zh-CN"/>
                    </w:rPr>
                    <w:t>6</w:t>
                  </w:r>
                </w:p>
              </w:tc>
              <w:tc>
                <w:tcPr>
                  <w:tcW w:w="1342" w:type="dxa"/>
                  <w:noWrap w:val="0"/>
                  <w:vAlign w:val="center"/>
                </w:tcPr>
                <w:p w14:paraId="65FDC742">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宋体"/>
                      <w:color w:val="auto"/>
                      <w:sz w:val="21"/>
                      <w:szCs w:val="21"/>
                      <w:lang w:val="en-US" w:eastAsia="zh-CN"/>
                    </w:rPr>
                  </w:pPr>
                  <w:r>
                    <w:rPr>
                      <w:rFonts w:hint="eastAsia" w:cs="宋体"/>
                      <w:color w:val="auto"/>
                      <w:sz w:val="21"/>
                      <w:szCs w:val="21"/>
                      <w:lang w:val="en-US" w:eastAsia="zh-CN"/>
                    </w:rPr>
                    <w:t>0.06</w:t>
                  </w:r>
                  <w:r>
                    <w:rPr>
                      <w:rFonts w:hint="eastAsia" w:ascii="Times New Roman" w:hAnsi="Times New Roman" w:eastAsia="宋体" w:cs="宋体"/>
                      <w:color w:val="auto"/>
                      <w:sz w:val="21"/>
                      <w:szCs w:val="21"/>
                      <w:lang w:val="en-US" w:eastAsia="zh-CN"/>
                    </w:rPr>
                    <w:t>万双</w:t>
                  </w:r>
                  <w:r>
                    <w:rPr>
                      <w:rFonts w:hint="eastAsia" w:ascii="Times New Roman" w:hAnsi="Times New Roman" w:eastAsia="宋体" w:cs="宋体"/>
                      <w:b w:val="0"/>
                      <w:bCs w:val="0"/>
                      <w:color w:val="auto"/>
                      <w:sz w:val="21"/>
                      <w:szCs w:val="21"/>
                      <w:lang w:val="en-US" w:eastAsia="zh-CN"/>
                    </w:rPr>
                    <w:t>/h</w:t>
                  </w:r>
                </w:p>
              </w:tc>
              <w:tc>
                <w:tcPr>
                  <w:tcW w:w="1001" w:type="dxa"/>
                  <w:noWrap w:val="0"/>
                  <w:vAlign w:val="center"/>
                </w:tcPr>
                <w:p w14:paraId="284916EF">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4800</w:t>
                  </w:r>
                </w:p>
              </w:tc>
              <w:tc>
                <w:tcPr>
                  <w:tcW w:w="1605" w:type="dxa"/>
                  <w:noWrap w:val="0"/>
                  <w:vAlign w:val="center"/>
                </w:tcPr>
                <w:p w14:paraId="3ACFBC26">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宋体"/>
                      <w:color w:val="auto"/>
                      <w:sz w:val="21"/>
                      <w:szCs w:val="21"/>
                      <w:lang w:val="en-US" w:eastAsia="zh-CN"/>
                    </w:rPr>
                  </w:pPr>
                  <w:r>
                    <w:rPr>
                      <w:rFonts w:hint="eastAsia" w:cs="宋体"/>
                      <w:color w:val="auto"/>
                      <w:sz w:val="21"/>
                      <w:szCs w:val="21"/>
                      <w:lang w:val="en-US" w:eastAsia="zh-CN"/>
                    </w:rPr>
                    <w:t>288</w:t>
                  </w:r>
                  <w:r>
                    <w:rPr>
                      <w:rFonts w:hint="eastAsia" w:ascii="Times New Roman" w:hAnsi="Times New Roman" w:eastAsia="宋体" w:cs="宋体"/>
                      <w:color w:val="auto"/>
                      <w:sz w:val="21"/>
                      <w:szCs w:val="21"/>
                      <w:lang w:val="en-US" w:eastAsia="zh-CN"/>
                    </w:rPr>
                    <w:t>万双</w:t>
                  </w:r>
                  <w:r>
                    <w:rPr>
                      <w:rFonts w:hint="eastAsia" w:ascii="Times New Roman" w:hAnsi="Times New Roman" w:eastAsia="宋体" w:cs="宋体"/>
                      <w:b w:val="0"/>
                      <w:bCs w:val="0"/>
                      <w:color w:val="auto"/>
                      <w:sz w:val="21"/>
                      <w:szCs w:val="21"/>
                      <w:lang w:val="en-US" w:eastAsia="zh-CN"/>
                    </w:rPr>
                    <w:t>/a</w:t>
                  </w:r>
                </w:p>
              </w:tc>
              <w:tc>
                <w:tcPr>
                  <w:tcW w:w="1493" w:type="dxa"/>
                  <w:noWrap w:val="0"/>
                  <w:vAlign w:val="center"/>
                </w:tcPr>
                <w:p w14:paraId="22D867EB">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宋体"/>
                      <w:color w:val="auto"/>
                      <w:sz w:val="21"/>
                      <w:szCs w:val="21"/>
                      <w:lang w:val="en-US" w:eastAsia="zh-CN"/>
                    </w:rPr>
                  </w:pPr>
                  <w:r>
                    <w:rPr>
                      <w:rFonts w:hint="eastAsia" w:cs="宋体"/>
                      <w:color w:val="auto"/>
                      <w:sz w:val="21"/>
                      <w:szCs w:val="21"/>
                      <w:lang w:val="en-US" w:eastAsia="zh-CN"/>
                    </w:rPr>
                    <w:t>20</w:t>
                  </w:r>
                  <w:r>
                    <w:rPr>
                      <w:rFonts w:hint="eastAsia" w:ascii="Times New Roman" w:hAnsi="Times New Roman" w:eastAsia="宋体" w:cs="宋体"/>
                      <w:color w:val="auto"/>
                      <w:sz w:val="21"/>
                      <w:szCs w:val="21"/>
                      <w:lang w:val="en-US" w:eastAsia="zh-CN"/>
                    </w:rPr>
                    <w:t>0万双</w:t>
                  </w:r>
                  <w:r>
                    <w:rPr>
                      <w:rFonts w:hint="eastAsia" w:ascii="Times New Roman" w:hAnsi="Times New Roman" w:eastAsia="宋体" w:cs="宋体"/>
                      <w:b w:val="0"/>
                      <w:bCs w:val="0"/>
                      <w:color w:val="auto"/>
                      <w:sz w:val="21"/>
                      <w:szCs w:val="21"/>
                      <w:lang w:val="en-US" w:eastAsia="zh-CN"/>
                    </w:rPr>
                    <w:t>/a</w:t>
                  </w:r>
                </w:p>
              </w:tc>
              <w:tc>
                <w:tcPr>
                  <w:tcW w:w="1084" w:type="dxa"/>
                  <w:noWrap w:val="0"/>
                  <w:vAlign w:val="center"/>
                </w:tcPr>
                <w:p w14:paraId="13CFE5D3">
                  <w:pPr>
                    <w:keepNext w:val="0"/>
                    <w:keepLines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是</w:t>
                  </w:r>
                </w:p>
              </w:tc>
            </w:tr>
            <w:tr w14:paraId="35BD4CE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1317" w:type="dxa"/>
                  <w:shd w:val="clear" w:color="auto" w:fill="auto"/>
                  <w:noWrap w:val="0"/>
                  <w:vAlign w:val="center"/>
                </w:tcPr>
                <w:p w14:paraId="47643008">
                  <w:pPr>
                    <w:keepNext w:val="0"/>
                    <w:keepLines w:val="0"/>
                    <w:suppressLineNumbers w:val="0"/>
                    <w:kinsoku/>
                    <w:overflowPunct w:val="0"/>
                    <w:spacing w:before="0" w:beforeAutospacing="0" w:after="0" w:afterAutospacing="0" w:line="260" w:lineRule="exact"/>
                    <w:ind w:left="21" w:leftChars="10" w:right="0"/>
                    <w:jc w:val="center"/>
                    <w:rPr>
                      <w:rFonts w:hint="default"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olor w:val="auto"/>
                      <w:sz w:val="21"/>
                      <w:u w:val="none"/>
                      <w:lang w:val="en-US" w:eastAsia="zh-CN"/>
                    </w:rPr>
                    <w:t>自动急速</w:t>
                  </w:r>
                  <w:r>
                    <w:rPr>
                      <w:rFonts w:hint="eastAsia" w:ascii="Times New Roman" w:hAnsi="Times New Roman" w:eastAsia="宋体"/>
                      <w:color w:val="auto"/>
                      <w:sz w:val="21"/>
                      <w:u w:val="none"/>
                    </w:rPr>
                    <w:t>冷冻定型机</w:t>
                  </w:r>
                </w:p>
              </w:tc>
              <w:tc>
                <w:tcPr>
                  <w:tcW w:w="555" w:type="dxa"/>
                  <w:shd w:val="clear" w:color="auto" w:fill="auto"/>
                  <w:noWrap w:val="0"/>
                  <w:vAlign w:val="center"/>
                </w:tcPr>
                <w:p w14:paraId="5BF94DD9">
                  <w:pPr>
                    <w:keepNext w:val="0"/>
                    <w:keepLines w:val="0"/>
                    <w:suppressLineNumbers w:val="0"/>
                    <w:kinsoku/>
                    <w:overflowPunct w:val="0"/>
                    <w:spacing w:before="0" w:beforeAutospacing="0" w:after="0" w:afterAutospacing="0" w:line="260" w:lineRule="exact"/>
                    <w:ind w:left="21" w:leftChars="10" w:right="0"/>
                    <w:jc w:val="center"/>
                    <w:rPr>
                      <w:rFonts w:hint="default"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olor w:val="auto"/>
                      <w:sz w:val="21"/>
                      <w:u w:val="none"/>
                      <w:lang w:val="en-US" w:eastAsia="zh-CN"/>
                    </w:rPr>
                    <w:t>2</w:t>
                  </w:r>
                </w:p>
              </w:tc>
              <w:tc>
                <w:tcPr>
                  <w:tcW w:w="1342" w:type="dxa"/>
                  <w:noWrap w:val="0"/>
                  <w:vAlign w:val="center"/>
                </w:tcPr>
                <w:p w14:paraId="406DC56D">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宋体"/>
                      <w:color w:val="auto"/>
                      <w:sz w:val="21"/>
                      <w:szCs w:val="21"/>
                      <w:lang w:val="en-US" w:eastAsia="zh-CN"/>
                    </w:rPr>
                  </w:pPr>
                  <w:r>
                    <w:rPr>
                      <w:rFonts w:hint="eastAsia" w:cs="宋体"/>
                      <w:color w:val="auto"/>
                      <w:sz w:val="21"/>
                      <w:szCs w:val="21"/>
                      <w:lang w:val="en-US" w:eastAsia="zh-CN"/>
                    </w:rPr>
                    <w:t>0.02</w:t>
                  </w:r>
                  <w:r>
                    <w:rPr>
                      <w:rFonts w:hint="eastAsia" w:ascii="Times New Roman" w:hAnsi="Times New Roman" w:eastAsia="宋体" w:cs="宋体"/>
                      <w:color w:val="auto"/>
                      <w:sz w:val="21"/>
                      <w:szCs w:val="21"/>
                      <w:lang w:val="en-US" w:eastAsia="zh-CN"/>
                    </w:rPr>
                    <w:t>双</w:t>
                  </w:r>
                  <w:r>
                    <w:rPr>
                      <w:rFonts w:hint="eastAsia" w:ascii="Times New Roman" w:hAnsi="Times New Roman" w:eastAsia="宋体" w:cs="宋体"/>
                      <w:b w:val="0"/>
                      <w:bCs w:val="0"/>
                      <w:color w:val="auto"/>
                      <w:sz w:val="21"/>
                      <w:szCs w:val="21"/>
                      <w:lang w:val="en-US" w:eastAsia="zh-CN"/>
                    </w:rPr>
                    <w:t>/h</w:t>
                  </w:r>
                </w:p>
              </w:tc>
              <w:tc>
                <w:tcPr>
                  <w:tcW w:w="1001" w:type="dxa"/>
                  <w:noWrap w:val="0"/>
                  <w:vAlign w:val="center"/>
                </w:tcPr>
                <w:p w14:paraId="4707310C">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4800</w:t>
                  </w:r>
                </w:p>
              </w:tc>
              <w:tc>
                <w:tcPr>
                  <w:tcW w:w="1605" w:type="dxa"/>
                  <w:noWrap w:val="0"/>
                  <w:vAlign w:val="center"/>
                </w:tcPr>
                <w:p w14:paraId="03A174B9">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宋体"/>
                      <w:color w:val="auto"/>
                      <w:sz w:val="21"/>
                      <w:szCs w:val="21"/>
                      <w:lang w:val="en-US" w:eastAsia="zh-CN"/>
                    </w:rPr>
                  </w:pPr>
                  <w:r>
                    <w:rPr>
                      <w:rFonts w:hint="eastAsia" w:cs="宋体"/>
                      <w:color w:val="auto"/>
                      <w:sz w:val="21"/>
                      <w:szCs w:val="21"/>
                      <w:lang w:val="en-US" w:eastAsia="zh-CN"/>
                    </w:rPr>
                    <w:t>96</w:t>
                  </w:r>
                  <w:r>
                    <w:rPr>
                      <w:rFonts w:hint="eastAsia" w:ascii="Times New Roman" w:hAnsi="Times New Roman" w:eastAsia="宋体" w:cs="宋体"/>
                      <w:color w:val="auto"/>
                      <w:sz w:val="21"/>
                      <w:szCs w:val="21"/>
                      <w:lang w:val="en-US" w:eastAsia="zh-CN"/>
                    </w:rPr>
                    <w:t>万双</w:t>
                  </w:r>
                  <w:r>
                    <w:rPr>
                      <w:rFonts w:hint="eastAsia" w:ascii="Times New Roman" w:hAnsi="Times New Roman" w:eastAsia="宋体" w:cs="宋体"/>
                      <w:b w:val="0"/>
                      <w:bCs w:val="0"/>
                      <w:color w:val="auto"/>
                      <w:sz w:val="21"/>
                      <w:szCs w:val="21"/>
                      <w:lang w:val="en-US" w:eastAsia="zh-CN"/>
                    </w:rPr>
                    <w:t>/a</w:t>
                  </w:r>
                </w:p>
              </w:tc>
              <w:tc>
                <w:tcPr>
                  <w:tcW w:w="1493" w:type="dxa"/>
                  <w:noWrap w:val="0"/>
                  <w:vAlign w:val="center"/>
                </w:tcPr>
                <w:p w14:paraId="0D08272C">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80万双</w:t>
                  </w:r>
                  <w:r>
                    <w:rPr>
                      <w:rFonts w:hint="eastAsia" w:ascii="Times New Roman" w:hAnsi="Times New Roman" w:eastAsia="宋体" w:cs="宋体"/>
                      <w:b w:val="0"/>
                      <w:bCs w:val="0"/>
                      <w:color w:val="auto"/>
                      <w:sz w:val="21"/>
                      <w:szCs w:val="21"/>
                      <w:lang w:val="en-US" w:eastAsia="zh-CN"/>
                    </w:rPr>
                    <w:t>/a</w:t>
                  </w:r>
                </w:p>
              </w:tc>
              <w:tc>
                <w:tcPr>
                  <w:tcW w:w="1084" w:type="dxa"/>
                  <w:noWrap w:val="0"/>
                  <w:vAlign w:val="center"/>
                </w:tcPr>
                <w:p w14:paraId="0996508F">
                  <w:pPr>
                    <w:keepNext w:val="0"/>
                    <w:keepLines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是</w:t>
                  </w:r>
                </w:p>
              </w:tc>
            </w:tr>
            <w:tr w14:paraId="0560A16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1317" w:type="dxa"/>
                  <w:shd w:val="clear" w:color="auto" w:fill="auto"/>
                  <w:noWrap w:val="0"/>
                  <w:vAlign w:val="top"/>
                </w:tcPr>
                <w:p w14:paraId="561E4918">
                  <w:pPr>
                    <w:keepNext w:val="0"/>
                    <w:keepLines w:val="0"/>
                    <w:suppressLineNumbers w:val="0"/>
                    <w:kinsoku/>
                    <w:overflowPunct w:val="0"/>
                    <w:spacing w:before="0" w:beforeAutospacing="0" w:after="0" w:afterAutospacing="0" w:line="260" w:lineRule="exact"/>
                    <w:ind w:left="21" w:leftChars="10" w:right="0"/>
                    <w:jc w:val="center"/>
                    <w:rPr>
                      <w:rFonts w:hint="default"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olor w:val="auto"/>
                      <w:sz w:val="21"/>
                      <w:u w:val="none"/>
                      <w:lang w:val="en-US" w:eastAsia="zh-CN"/>
                    </w:rPr>
                    <w:t>冷粘流水线</w:t>
                  </w:r>
                </w:p>
              </w:tc>
              <w:tc>
                <w:tcPr>
                  <w:tcW w:w="555" w:type="dxa"/>
                  <w:shd w:val="clear" w:color="auto" w:fill="auto"/>
                  <w:noWrap w:val="0"/>
                  <w:vAlign w:val="center"/>
                </w:tcPr>
                <w:p w14:paraId="2D4CEE16">
                  <w:pPr>
                    <w:keepNext w:val="0"/>
                    <w:keepLines w:val="0"/>
                    <w:suppressLineNumbers w:val="0"/>
                    <w:kinsoku/>
                    <w:overflowPunct w:val="0"/>
                    <w:spacing w:before="0" w:beforeAutospacing="0" w:after="0" w:afterAutospacing="0" w:line="260" w:lineRule="exact"/>
                    <w:ind w:left="21" w:leftChars="10" w:right="0"/>
                    <w:jc w:val="center"/>
                    <w:rPr>
                      <w:rFonts w:hint="default" w:ascii="Times New Roman" w:hAnsi="Times New Roman" w:eastAsia="宋体" w:cs="Times New Roman"/>
                      <w:color w:val="auto"/>
                      <w:kern w:val="2"/>
                      <w:sz w:val="21"/>
                      <w:szCs w:val="21"/>
                      <w:u w:val="none"/>
                      <w:lang w:val="en-US" w:eastAsia="zh-CN" w:bidi="ar-SA"/>
                    </w:rPr>
                  </w:pPr>
                  <w:r>
                    <w:rPr>
                      <w:rFonts w:hint="eastAsia"/>
                      <w:color w:val="auto"/>
                      <w:sz w:val="21"/>
                      <w:szCs w:val="21"/>
                      <w:u w:val="none"/>
                      <w:lang w:val="en-US" w:eastAsia="zh-CN"/>
                    </w:rPr>
                    <w:t>3</w:t>
                  </w:r>
                </w:p>
              </w:tc>
              <w:tc>
                <w:tcPr>
                  <w:tcW w:w="1342" w:type="dxa"/>
                  <w:noWrap w:val="0"/>
                  <w:vAlign w:val="center"/>
                </w:tcPr>
                <w:p w14:paraId="1D1FAF27">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宋体"/>
                      <w:color w:val="auto"/>
                      <w:sz w:val="21"/>
                      <w:szCs w:val="21"/>
                      <w:lang w:val="en-US" w:eastAsia="zh-CN"/>
                    </w:rPr>
                  </w:pPr>
                  <w:r>
                    <w:rPr>
                      <w:rFonts w:hint="eastAsia" w:cs="宋体"/>
                      <w:color w:val="auto"/>
                      <w:sz w:val="21"/>
                      <w:szCs w:val="21"/>
                      <w:lang w:val="en-US" w:eastAsia="zh-CN"/>
                    </w:rPr>
                    <w:t>0.06</w:t>
                  </w:r>
                  <w:r>
                    <w:rPr>
                      <w:rFonts w:hint="eastAsia" w:ascii="Times New Roman" w:hAnsi="Times New Roman" w:eastAsia="宋体" w:cs="宋体"/>
                      <w:color w:val="auto"/>
                      <w:sz w:val="21"/>
                      <w:szCs w:val="21"/>
                      <w:lang w:val="en-US" w:eastAsia="zh-CN"/>
                    </w:rPr>
                    <w:t>万双</w:t>
                  </w:r>
                  <w:r>
                    <w:rPr>
                      <w:rFonts w:hint="eastAsia" w:ascii="Times New Roman" w:hAnsi="Times New Roman" w:eastAsia="宋体" w:cs="宋体"/>
                      <w:b w:val="0"/>
                      <w:bCs w:val="0"/>
                      <w:color w:val="auto"/>
                      <w:sz w:val="21"/>
                      <w:szCs w:val="21"/>
                      <w:lang w:val="en-US" w:eastAsia="zh-CN"/>
                    </w:rPr>
                    <w:t>/h</w:t>
                  </w:r>
                </w:p>
              </w:tc>
              <w:tc>
                <w:tcPr>
                  <w:tcW w:w="1001" w:type="dxa"/>
                  <w:noWrap w:val="0"/>
                  <w:vAlign w:val="center"/>
                </w:tcPr>
                <w:p w14:paraId="6395715B">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4800</w:t>
                  </w:r>
                </w:p>
              </w:tc>
              <w:tc>
                <w:tcPr>
                  <w:tcW w:w="1605" w:type="dxa"/>
                  <w:noWrap w:val="0"/>
                  <w:vAlign w:val="center"/>
                </w:tcPr>
                <w:p w14:paraId="6D45D54C">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宋体"/>
                      <w:color w:val="auto"/>
                      <w:sz w:val="21"/>
                      <w:szCs w:val="21"/>
                      <w:lang w:val="en-US" w:eastAsia="zh-CN"/>
                    </w:rPr>
                  </w:pPr>
                  <w:r>
                    <w:rPr>
                      <w:rFonts w:hint="eastAsia" w:cs="宋体"/>
                      <w:color w:val="auto"/>
                      <w:sz w:val="21"/>
                      <w:szCs w:val="21"/>
                      <w:lang w:val="en-US" w:eastAsia="zh-CN"/>
                    </w:rPr>
                    <w:t>288</w:t>
                  </w:r>
                  <w:r>
                    <w:rPr>
                      <w:rFonts w:hint="eastAsia" w:ascii="Times New Roman" w:hAnsi="Times New Roman" w:eastAsia="宋体" w:cs="宋体"/>
                      <w:color w:val="auto"/>
                      <w:sz w:val="21"/>
                      <w:szCs w:val="21"/>
                      <w:lang w:val="en-US" w:eastAsia="zh-CN"/>
                    </w:rPr>
                    <w:t>万双</w:t>
                  </w:r>
                  <w:r>
                    <w:rPr>
                      <w:rFonts w:hint="eastAsia" w:ascii="Times New Roman" w:hAnsi="Times New Roman" w:eastAsia="宋体" w:cs="宋体"/>
                      <w:b w:val="0"/>
                      <w:bCs w:val="0"/>
                      <w:color w:val="auto"/>
                      <w:sz w:val="21"/>
                      <w:szCs w:val="21"/>
                      <w:lang w:val="en-US" w:eastAsia="zh-CN"/>
                    </w:rPr>
                    <w:t>/a</w:t>
                  </w:r>
                </w:p>
              </w:tc>
              <w:tc>
                <w:tcPr>
                  <w:tcW w:w="1493" w:type="dxa"/>
                  <w:noWrap w:val="0"/>
                  <w:vAlign w:val="center"/>
                </w:tcPr>
                <w:p w14:paraId="28EF769C">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280万双</w:t>
                  </w:r>
                  <w:r>
                    <w:rPr>
                      <w:rFonts w:hint="eastAsia" w:ascii="Times New Roman" w:hAnsi="Times New Roman" w:eastAsia="宋体" w:cs="宋体"/>
                      <w:b w:val="0"/>
                      <w:bCs w:val="0"/>
                      <w:color w:val="auto"/>
                      <w:sz w:val="21"/>
                      <w:szCs w:val="21"/>
                      <w:lang w:val="en-US" w:eastAsia="zh-CN"/>
                    </w:rPr>
                    <w:t>/a</w:t>
                  </w:r>
                </w:p>
              </w:tc>
              <w:tc>
                <w:tcPr>
                  <w:tcW w:w="1084" w:type="dxa"/>
                  <w:noWrap w:val="0"/>
                  <w:vAlign w:val="center"/>
                </w:tcPr>
                <w:p w14:paraId="7D9B77EB">
                  <w:pPr>
                    <w:keepNext w:val="0"/>
                    <w:keepLines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是</w:t>
                  </w:r>
                </w:p>
              </w:tc>
            </w:tr>
            <w:tr w14:paraId="49478AE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1317" w:type="dxa"/>
                  <w:shd w:val="clear" w:color="auto" w:fill="auto"/>
                  <w:noWrap w:val="0"/>
                  <w:vAlign w:val="center"/>
                </w:tcPr>
                <w:p w14:paraId="39AF37FC">
                  <w:pPr>
                    <w:keepNext w:val="0"/>
                    <w:keepLines w:val="0"/>
                    <w:suppressLineNumbers w:val="0"/>
                    <w:kinsoku/>
                    <w:overflowPunct w:val="0"/>
                    <w:spacing w:before="0" w:beforeAutospacing="0" w:after="0" w:afterAutospacing="0" w:line="260" w:lineRule="exact"/>
                    <w:ind w:left="21" w:leftChars="10" w:right="0"/>
                    <w:jc w:val="center"/>
                    <w:rPr>
                      <w:rFonts w:hint="default"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olor w:val="auto"/>
                      <w:sz w:val="21"/>
                      <w:u w:val="none"/>
                      <w:lang w:val="en-US" w:eastAsia="zh-CN"/>
                    </w:rPr>
                    <w:t>烘干机</w:t>
                  </w:r>
                </w:p>
              </w:tc>
              <w:tc>
                <w:tcPr>
                  <w:tcW w:w="555" w:type="dxa"/>
                  <w:shd w:val="clear" w:color="auto" w:fill="auto"/>
                  <w:noWrap w:val="0"/>
                  <w:vAlign w:val="center"/>
                </w:tcPr>
                <w:p w14:paraId="3E1DD28E">
                  <w:pPr>
                    <w:keepNext w:val="0"/>
                    <w:keepLines w:val="0"/>
                    <w:suppressLineNumbers w:val="0"/>
                    <w:kinsoku/>
                    <w:overflowPunct w:val="0"/>
                    <w:spacing w:before="0" w:beforeAutospacing="0" w:after="0" w:afterAutospacing="0" w:line="260" w:lineRule="exact"/>
                    <w:ind w:left="21" w:leftChars="10" w:right="0"/>
                    <w:jc w:val="center"/>
                    <w:rPr>
                      <w:rFonts w:hint="default" w:ascii="Times New Roman" w:hAnsi="Times New Roman" w:eastAsia="宋体" w:cs="Times New Roman"/>
                      <w:color w:val="auto"/>
                      <w:kern w:val="2"/>
                      <w:sz w:val="21"/>
                      <w:szCs w:val="21"/>
                      <w:u w:val="none"/>
                      <w:lang w:val="en-US" w:eastAsia="zh-CN" w:bidi="ar-SA"/>
                    </w:rPr>
                  </w:pPr>
                  <w:r>
                    <w:rPr>
                      <w:rFonts w:hint="eastAsia"/>
                      <w:color w:val="auto"/>
                      <w:sz w:val="21"/>
                      <w:szCs w:val="21"/>
                      <w:u w:val="none"/>
                      <w:lang w:val="en-US" w:eastAsia="zh-CN"/>
                    </w:rPr>
                    <w:t>6</w:t>
                  </w:r>
                </w:p>
              </w:tc>
              <w:tc>
                <w:tcPr>
                  <w:tcW w:w="1342" w:type="dxa"/>
                  <w:noWrap w:val="0"/>
                  <w:vAlign w:val="center"/>
                </w:tcPr>
                <w:p w14:paraId="2D330A2C">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宋体"/>
                      <w:color w:val="auto"/>
                      <w:sz w:val="21"/>
                      <w:szCs w:val="21"/>
                      <w:lang w:val="en-US" w:eastAsia="zh-CN"/>
                    </w:rPr>
                  </w:pPr>
                  <w:r>
                    <w:rPr>
                      <w:rFonts w:hint="eastAsia" w:cs="宋体"/>
                      <w:color w:val="auto"/>
                      <w:sz w:val="21"/>
                      <w:szCs w:val="21"/>
                      <w:lang w:val="en-US" w:eastAsia="zh-CN"/>
                    </w:rPr>
                    <w:t>0.06</w:t>
                  </w:r>
                  <w:r>
                    <w:rPr>
                      <w:rFonts w:hint="eastAsia" w:ascii="Times New Roman" w:hAnsi="Times New Roman" w:eastAsia="宋体" w:cs="宋体"/>
                      <w:color w:val="auto"/>
                      <w:sz w:val="21"/>
                      <w:szCs w:val="21"/>
                      <w:lang w:val="en-US" w:eastAsia="zh-CN"/>
                    </w:rPr>
                    <w:t>万双</w:t>
                  </w:r>
                  <w:r>
                    <w:rPr>
                      <w:rFonts w:hint="eastAsia" w:ascii="Times New Roman" w:hAnsi="Times New Roman" w:eastAsia="宋体" w:cs="宋体"/>
                      <w:b w:val="0"/>
                      <w:bCs w:val="0"/>
                      <w:color w:val="auto"/>
                      <w:sz w:val="21"/>
                      <w:szCs w:val="21"/>
                      <w:lang w:val="en-US" w:eastAsia="zh-CN"/>
                    </w:rPr>
                    <w:t>/h</w:t>
                  </w:r>
                </w:p>
              </w:tc>
              <w:tc>
                <w:tcPr>
                  <w:tcW w:w="1001" w:type="dxa"/>
                  <w:noWrap w:val="0"/>
                  <w:vAlign w:val="center"/>
                </w:tcPr>
                <w:p w14:paraId="636C7870">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4800</w:t>
                  </w:r>
                </w:p>
              </w:tc>
              <w:tc>
                <w:tcPr>
                  <w:tcW w:w="1605" w:type="dxa"/>
                  <w:noWrap w:val="0"/>
                  <w:vAlign w:val="center"/>
                </w:tcPr>
                <w:p w14:paraId="390E7CB0">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宋体"/>
                      <w:color w:val="auto"/>
                      <w:sz w:val="21"/>
                      <w:szCs w:val="21"/>
                      <w:lang w:val="en-US" w:eastAsia="zh-CN"/>
                    </w:rPr>
                  </w:pPr>
                  <w:r>
                    <w:rPr>
                      <w:rFonts w:hint="eastAsia" w:cs="宋体"/>
                      <w:color w:val="auto"/>
                      <w:sz w:val="21"/>
                      <w:szCs w:val="21"/>
                      <w:lang w:val="en-US" w:eastAsia="zh-CN"/>
                    </w:rPr>
                    <w:t>288</w:t>
                  </w:r>
                  <w:r>
                    <w:rPr>
                      <w:rFonts w:hint="eastAsia" w:ascii="Times New Roman" w:hAnsi="Times New Roman" w:eastAsia="宋体" w:cs="宋体"/>
                      <w:color w:val="auto"/>
                      <w:sz w:val="21"/>
                      <w:szCs w:val="21"/>
                      <w:lang w:val="en-US" w:eastAsia="zh-CN"/>
                    </w:rPr>
                    <w:t>万双</w:t>
                  </w:r>
                  <w:r>
                    <w:rPr>
                      <w:rFonts w:hint="eastAsia" w:ascii="Times New Roman" w:hAnsi="Times New Roman" w:eastAsia="宋体" w:cs="宋体"/>
                      <w:b w:val="0"/>
                      <w:bCs w:val="0"/>
                      <w:color w:val="auto"/>
                      <w:sz w:val="21"/>
                      <w:szCs w:val="21"/>
                      <w:lang w:val="en-US" w:eastAsia="zh-CN"/>
                    </w:rPr>
                    <w:t>/a</w:t>
                  </w:r>
                </w:p>
              </w:tc>
              <w:tc>
                <w:tcPr>
                  <w:tcW w:w="1493" w:type="dxa"/>
                  <w:noWrap w:val="0"/>
                  <w:vAlign w:val="center"/>
                </w:tcPr>
                <w:p w14:paraId="10185065">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280万双</w:t>
                  </w:r>
                  <w:r>
                    <w:rPr>
                      <w:rFonts w:hint="eastAsia" w:ascii="Times New Roman" w:hAnsi="Times New Roman" w:eastAsia="宋体" w:cs="宋体"/>
                      <w:b w:val="0"/>
                      <w:bCs w:val="0"/>
                      <w:color w:val="auto"/>
                      <w:sz w:val="21"/>
                      <w:szCs w:val="21"/>
                      <w:lang w:val="en-US" w:eastAsia="zh-CN"/>
                    </w:rPr>
                    <w:t>/a</w:t>
                  </w:r>
                </w:p>
              </w:tc>
              <w:tc>
                <w:tcPr>
                  <w:tcW w:w="1084" w:type="dxa"/>
                  <w:noWrap w:val="0"/>
                  <w:vAlign w:val="center"/>
                </w:tcPr>
                <w:p w14:paraId="69CBF458">
                  <w:pPr>
                    <w:keepNext w:val="0"/>
                    <w:keepLines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是</w:t>
                  </w:r>
                </w:p>
              </w:tc>
            </w:tr>
            <w:tr w14:paraId="03C3785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1317" w:type="dxa"/>
                  <w:shd w:val="clear" w:color="auto" w:fill="auto"/>
                  <w:noWrap w:val="0"/>
                  <w:vAlign w:val="center"/>
                </w:tcPr>
                <w:p w14:paraId="714056B2">
                  <w:pPr>
                    <w:keepNext w:val="0"/>
                    <w:keepLines w:val="0"/>
                    <w:suppressLineNumbers w:val="0"/>
                    <w:kinsoku/>
                    <w:overflowPunct w:val="0"/>
                    <w:spacing w:before="0" w:beforeAutospacing="0" w:after="0" w:afterAutospacing="0" w:line="260" w:lineRule="exact"/>
                    <w:ind w:left="21" w:leftChars="10" w:right="0"/>
                    <w:jc w:val="center"/>
                    <w:rPr>
                      <w:rFonts w:hint="default" w:ascii="Times New Roman" w:hAnsi="Times New Roman" w:eastAsia="宋体" w:cs="Times New Roman"/>
                      <w:color w:val="auto"/>
                      <w:kern w:val="2"/>
                      <w:sz w:val="21"/>
                      <w:szCs w:val="24"/>
                      <w:u w:val="none"/>
                      <w:lang w:val="en-US" w:eastAsia="zh-CN" w:bidi="ar-SA"/>
                    </w:rPr>
                  </w:pPr>
                  <w:r>
                    <w:rPr>
                      <w:rFonts w:hint="eastAsia" w:ascii="Times New Roman" w:hAnsi="Times New Roman" w:eastAsia="宋体"/>
                      <w:color w:val="auto"/>
                      <w:sz w:val="21"/>
                      <w:u w:val="none"/>
                    </w:rPr>
                    <w:t>过胶机</w:t>
                  </w:r>
                </w:p>
              </w:tc>
              <w:tc>
                <w:tcPr>
                  <w:tcW w:w="555" w:type="dxa"/>
                  <w:shd w:val="clear" w:color="auto" w:fill="auto"/>
                  <w:noWrap w:val="0"/>
                  <w:vAlign w:val="center"/>
                </w:tcPr>
                <w:p w14:paraId="72DF4D04">
                  <w:pPr>
                    <w:keepNext w:val="0"/>
                    <w:keepLines w:val="0"/>
                    <w:suppressLineNumbers w:val="0"/>
                    <w:kinsoku/>
                    <w:overflowPunct w:val="0"/>
                    <w:spacing w:before="0" w:beforeAutospacing="0" w:after="0" w:afterAutospacing="0" w:line="260" w:lineRule="exact"/>
                    <w:ind w:left="21" w:leftChars="10" w:right="0"/>
                    <w:jc w:val="center"/>
                    <w:rPr>
                      <w:rFonts w:hint="default" w:ascii="Times New Roman" w:hAnsi="Times New Roman" w:eastAsia="宋体" w:cs="Times New Roman"/>
                      <w:color w:val="auto"/>
                      <w:kern w:val="2"/>
                      <w:sz w:val="21"/>
                      <w:szCs w:val="24"/>
                      <w:u w:val="none"/>
                      <w:lang w:val="en-US" w:eastAsia="zh-CN" w:bidi="ar-SA"/>
                    </w:rPr>
                  </w:pPr>
                  <w:r>
                    <w:rPr>
                      <w:rFonts w:hint="eastAsia" w:ascii="Times New Roman" w:hAnsi="Times New Roman" w:eastAsia="宋体"/>
                      <w:color w:val="auto"/>
                      <w:sz w:val="21"/>
                      <w:u w:val="none"/>
                      <w:lang w:val="en-US" w:eastAsia="zh-CN"/>
                    </w:rPr>
                    <w:t>2</w:t>
                  </w:r>
                </w:p>
              </w:tc>
              <w:tc>
                <w:tcPr>
                  <w:tcW w:w="1342" w:type="dxa"/>
                  <w:noWrap w:val="0"/>
                  <w:vAlign w:val="center"/>
                </w:tcPr>
                <w:p w14:paraId="5359EE9C">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宋体"/>
                      <w:color w:val="auto"/>
                      <w:sz w:val="21"/>
                      <w:szCs w:val="21"/>
                      <w:lang w:val="en-US" w:eastAsia="zh-CN"/>
                    </w:rPr>
                  </w:pPr>
                  <w:r>
                    <w:rPr>
                      <w:rFonts w:hint="eastAsia" w:cs="宋体"/>
                      <w:color w:val="auto"/>
                      <w:sz w:val="21"/>
                      <w:szCs w:val="21"/>
                      <w:lang w:val="en-US" w:eastAsia="zh-CN"/>
                    </w:rPr>
                    <w:t>0.07</w:t>
                  </w:r>
                  <w:r>
                    <w:rPr>
                      <w:rFonts w:hint="eastAsia" w:ascii="Times New Roman" w:hAnsi="Times New Roman" w:eastAsia="宋体" w:cs="宋体"/>
                      <w:color w:val="auto"/>
                      <w:sz w:val="21"/>
                      <w:szCs w:val="21"/>
                      <w:lang w:val="en-US" w:eastAsia="zh-CN"/>
                    </w:rPr>
                    <w:t>万双</w:t>
                  </w:r>
                  <w:r>
                    <w:rPr>
                      <w:rFonts w:hint="eastAsia" w:ascii="Times New Roman" w:hAnsi="Times New Roman" w:eastAsia="宋体" w:cs="宋体"/>
                      <w:b w:val="0"/>
                      <w:bCs w:val="0"/>
                      <w:color w:val="auto"/>
                      <w:sz w:val="21"/>
                      <w:szCs w:val="21"/>
                      <w:lang w:val="en-US" w:eastAsia="zh-CN"/>
                    </w:rPr>
                    <w:t>/h</w:t>
                  </w:r>
                </w:p>
              </w:tc>
              <w:tc>
                <w:tcPr>
                  <w:tcW w:w="1001" w:type="dxa"/>
                  <w:noWrap w:val="0"/>
                  <w:vAlign w:val="center"/>
                </w:tcPr>
                <w:p w14:paraId="57FC8C2A">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4800</w:t>
                  </w:r>
                </w:p>
              </w:tc>
              <w:tc>
                <w:tcPr>
                  <w:tcW w:w="1605" w:type="dxa"/>
                  <w:noWrap w:val="0"/>
                  <w:vAlign w:val="center"/>
                </w:tcPr>
                <w:p w14:paraId="35A8415B">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宋体"/>
                      <w:color w:val="auto"/>
                      <w:sz w:val="21"/>
                      <w:szCs w:val="21"/>
                      <w:lang w:val="en-US" w:eastAsia="zh-CN"/>
                    </w:rPr>
                  </w:pPr>
                  <w:r>
                    <w:rPr>
                      <w:rFonts w:hint="eastAsia" w:cs="宋体"/>
                      <w:color w:val="auto"/>
                      <w:sz w:val="21"/>
                      <w:szCs w:val="21"/>
                      <w:lang w:val="en-US" w:eastAsia="zh-CN"/>
                    </w:rPr>
                    <w:t>336</w:t>
                  </w:r>
                  <w:r>
                    <w:rPr>
                      <w:rFonts w:hint="eastAsia" w:ascii="Times New Roman" w:hAnsi="Times New Roman" w:eastAsia="宋体" w:cs="宋体"/>
                      <w:color w:val="auto"/>
                      <w:sz w:val="21"/>
                      <w:szCs w:val="21"/>
                      <w:lang w:val="en-US" w:eastAsia="zh-CN"/>
                    </w:rPr>
                    <w:t>万双</w:t>
                  </w:r>
                  <w:r>
                    <w:rPr>
                      <w:rFonts w:hint="eastAsia" w:ascii="Times New Roman" w:hAnsi="Times New Roman" w:eastAsia="宋体" w:cs="宋体"/>
                      <w:b w:val="0"/>
                      <w:bCs w:val="0"/>
                      <w:color w:val="auto"/>
                      <w:sz w:val="21"/>
                      <w:szCs w:val="21"/>
                      <w:lang w:val="en-US" w:eastAsia="zh-CN"/>
                    </w:rPr>
                    <w:t>/a</w:t>
                  </w:r>
                </w:p>
              </w:tc>
              <w:tc>
                <w:tcPr>
                  <w:tcW w:w="1493" w:type="dxa"/>
                  <w:noWrap w:val="0"/>
                  <w:vAlign w:val="center"/>
                </w:tcPr>
                <w:p w14:paraId="16277FB4">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280万双</w:t>
                  </w:r>
                  <w:r>
                    <w:rPr>
                      <w:rFonts w:hint="eastAsia" w:ascii="Times New Roman" w:hAnsi="Times New Roman" w:eastAsia="宋体" w:cs="宋体"/>
                      <w:b w:val="0"/>
                      <w:bCs w:val="0"/>
                      <w:color w:val="auto"/>
                      <w:sz w:val="21"/>
                      <w:szCs w:val="21"/>
                      <w:lang w:val="en-US" w:eastAsia="zh-CN"/>
                    </w:rPr>
                    <w:t>/a</w:t>
                  </w:r>
                </w:p>
              </w:tc>
              <w:tc>
                <w:tcPr>
                  <w:tcW w:w="1084" w:type="dxa"/>
                  <w:noWrap w:val="0"/>
                  <w:vAlign w:val="center"/>
                </w:tcPr>
                <w:p w14:paraId="6F38DF43">
                  <w:pPr>
                    <w:keepNext w:val="0"/>
                    <w:keepLines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是</w:t>
                  </w:r>
                </w:p>
              </w:tc>
            </w:tr>
            <w:tr w14:paraId="2FDED35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72" w:hRule="atLeast"/>
                <w:jc w:val="center"/>
              </w:trPr>
              <w:tc>
                <w:tcPr>
                  <w:tcW w:w="1317" w:type="dxa"/>
                  <w:shd w:val="clear" w:color="auto" w:fill="auto"/>
                  <w:noWrap w:val="0"/>
                  <w:vAlign w:val="center"/>
                </w:tcPr>
                <w:p w14:paraId="745C788B">
                  <w:pPr>
                    <w:keepNext w:val="0"/>
                    <w:keepLines w:val="0"/>
                    <w:suppressLineNumbers w:val="0"/>
                    <w:kinsoku/>
                    <w:overflowPunct w:val="0"/>
                    <w:spacing w:before="0" w:beforeAutospacing="0" w:after="0" w:afterAutospacing="0" w:line="260" w:lineRule="exact"/>
                    <w:ind w:left="21" w:leftChars="10" w:right="0"/>
                    <w:jc w:val="center"/>
                    <w:rPr>
                      <w:rFonts w:hint="default"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olor w:val="auto"/>
                      <w:sz w:val="21"/>
                      <w:u w:val="none"/>
                    </w:rPr>
                    <w:t>打扣机</w:t>
                  </w:r>
                </w:p>
              </w:tc>
              <w:tc>
                <w:tcPr>
                  <w:tcW w:w="555" w:type="dxa"/>
                  <w:shd w:val="clear" w:color="auto" w:fill="auto"/>
                  <w:noWrap w:val="0"/>
                  <w:vAlign w:val="center"/>
                </w:tcPr>
                <w:p w14:paraId="19C55866">
                  <w:pPr>
                    <w:keepNext w:val="0"/>
                    <w:keepLines w:val="0"/>
                    <w:suppressLineNumbers w:val="0"/>
                    <w:kinsoku/>
                    <w:overflowPunct w:val="0"/>
                    <w:spacing w:before="0" w:beforeAutospacing="0" w:after="0" w:afterAutospacing="0" w:line="260" w:lineRule="exact"/>
                    <w:ind w:left="21" w:leftChars="10" w:right="0"/>
                    <w:jc w:val="center"/>
                    <w:rPr>
                      <w:rFonts w:hint="default"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olor w:val="auto"/>
                      <w:sz w:val="21"/>
                      <w:u w:val="none"/>
                      <w:lang w:eastAsia="zh-CN"/>
                    </w:rPr>
                    <w:t>1</w:t>
                  </w:r>
                  <w:r>
                    <w:rPr>
                      <w:rFonts w:hint="eastAsia" w:ascii="Times New Roman" w:hAnsi="Times New Roman" w:eastAsia="宋体"/>
                      <w:color w:val="auto"/>
                      <w:sz w:val="21"/>
                      <w:u w:val="none"/>
                      <w:lang w:val="en-US" w:eastAsia="zh-CN"/>
                    </w:rPr>
                    <w:t>0</w:t>
                  </w:r>
                </w:p>
              </w:tc>
              <w:tc>
                <w:tcPr>
                  <w:tcW w:w="1342" w:type="dxa"/>
                  <w:noWrap w:val="0"/>
                  <w:vAlign w:val="center"/>
                </w:tcPr>
                <w:p w14:paraId="1E9AF828">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宋体"/>
                      <w:color w:val="auto"/>
                      <w:sz w:val="21"/>
                      <w:szCs w:val="21"/>
                      <w:lang w:val="en-US" w:eastAsia="zh-CN"/>
                    </w:rPr>
                  </w:pPr>
                  <w:r>
                    <w:rPr>
                      <w:rFonts w:hint="eastAsia" w:cs="宋体"/>
                      <w:color w:val="auto"/>
                      <w:sz w:val="21"/>
                      <w:szCs w:val="21"/>
                      <w:lang w:val="en-US" w:eastAsia="zh-CN"/>
                    </w:rPr>
                    <w:t>0.07</w:t>
                  </w:r>
                  <w:r>
                    <w:rPr>
                      <w:rFonts w:hint="eastAsia" w:ascii="Times New Roman" w:hAnsi="Times New Roman" w:eastAsia="宋体" w:cs="宋体"/>
                      <w:color w:val="auto"/>
                      <w:sz w:val="21"/>
                      <w:szCs w:val="21"/>
                      <w:lang w:val="en-US" w:eastAsia="zh-CN"/>
                    </w:rPr>
                    <w:t>万双</w:t>
                  </w:r>
                  <w:r>
                    <w:rPr>
                      <w:rFonts w:hint="eastAsia" w:ascii="Times New Roman" w:hAnsi="Times New Roman" w:eastAsia="宋体" w:cs="宋体"/>
                      <w:b w:val="0"/>
                      <w:bCs w:val="0"/>
                      <w:color w:val="auto"/>
                      <w:sz w:val="21"/>
                      <w:szCs w:val="21"/>
                      <w:lang w:val="en-US" w:eastAsia="zh-CN"/>
                    </w:rPr>
                    <w:t>/h</w:t>
                  </w:r>
                </w:p>
              </w:tc>
              <w:tc>
                <w:tcPr>
                  <w:tcW w:w="1001" w:type="dxa"/>
                  <w:noWrap w:val="0"/>
                  <w:vAlign w:val="center"/>
                </w:tcPr>
                <w:p w14:paraId="44E48B00">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4800</w:t>
                  </w:r>
                </w:p>
              </w:tc>
              <w:tc>
                <w:tcPr>
                  <w:tcW w:w="1605" w:type="dxa"/>
                  <w:noWrap w:val="0"/>
                  <w:vAlign w:val="center"/>
                </w:tcPr>
                <w:p w14:paraId="336A37BD">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宋体"/>
                      <w:color w:val="auto"/>
                      <w:sz w:val="21"/>
                      <w:szCs w:val="21"/>
                      <w:lang w:val="en-US" w:eastAsia="zh-CN"/>
                    </w:rPr>
                  </w:pPr>
                  <w:r>
                    <w:rPr>
                      <w:rFonts w:hint="eastAsia" w:cs="宋体"/>
                      <w:color w:val="auto"/>
                      <w:sz w:val="21"/>
                      <w:szCs w:val="21"/>
                      <w:lang w:val="en-US" w:eastAsia="zh-CN"/>
                    </w:rPr>
                    <w:t>336</w:t>
                  </w:r>
                  <w:r>
                    <w:rPr>
                      <w:rFonts w:hint="eastAsia" w:ascii="Times New Roman" w:hAnsi="Times New Roman" w:eastAsia="宋体" w:cs="宋体"/>
                      <w:color w:val="auto"/>
                      <w:sz w:val="21"/>
                      <w:szCs w:val="21"/>
                      <w:lang w:val="en-US" w:eastAsia="zh-CN"/>
                    </w:rPr>
                    <w:t>万双</w:t>
                  </w:r>
                  <w:r>
                    <w:rPr>
                      <w:rFonts w:hint="eastAsia" w:ascii="Times New Roman" w:hAnsi="Times New Roman" w:eastAsia="宋体" w:cs="宋体"/>
                      <w:b w:val="0"/>
                      <w:bCs w:val="0"/>
                      <w:color w:val="auto"/>
                      <w:sz w:val="21"/>
                      <w:szCs w:val="21"/>
                      <w:lang w:val="en-US" w:eastAsia="zh-CN"/>
                    </w:rPr>
                    <w:t>/a</w:t>
                  </w:r>
                </w:p>
              </w:tc>
              <w:tc>
                <w:tcPr>
                  <w:tcW w:w="1493" w:type="dxa"/>
                  <w:noWrap w:val="0"/>
                  <w:vAlign w:val="center"/>
                </w:tcPr>
                <w:p w14:paraId="57EFA70D">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280万双</w:t>
                  </w:r>
                  <w:r>
                    <w:rPr>
                      <w:rFonts w:hint="eastAsia" w:ascii="Times New Roman" w:hAnsi="Times New Roman" w:eastAsia="宋体" w:cs="宋体"/>
                      <w:b w:val="0"/>
                      <w:bCs w:val="0"/>
                      <w:color w:val="auto"/>
                      <w:sz w:val="21"/>
                      <w:szCs w:val="21"/>
                      <w:lang w:val="en-US" w:eastAsia="zh-CN"/>
                    </w:rPr>
                    <w:t>/a</w:t>
                  </w:r>
                </w:p>
              </w:tc>
              <w:tc>
                <w:tcPr>
                  <w:tcW w:w="1084" w:type="dxa"/>
                  <w:noWrap w:val="0"/>
                  <w:vAlign w:val="center"/>
                </w:tcPr>
                <w:p w14:paraId="29D30284">
                  <w:pPr>
                    <w:keepNext w:val="0"/>
                    <w:keepLines w:val="0"/>
                    <w:suppressLineNumbers w:val="0"/>
                    <w:spacing w:before="0" w:beforeAutospacing="0" w:after="0" w:afterAutospacing="0" w:line="240" w:lineRule="auto"/>
                    <w:ind w:left="0" w:leftChars="0" w:right="0" w:firstLine="0" w:firstLineChars="0"/>
                    <w:jc w:val="center"/>
                    <w:rPr>
                      <w:rFonts w:hint="eastAsia"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是</w:t>
                  </w:r>
                </w:p>
              </w:tc>
            </w:tr>
            <w:tr w14:paraId="6788042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72" w:hRule="atLeast"/>
                <w:jc w:val="center"/>
              </w:trPr>
              <w:tc>
                <w:tcPr>
                  <w:tcW w:w="0" w:type="auto"/>
                  <w:shd w:val="clear" w:color="auto" w:fill="auto"/>
                  <w:vAlign w:val="center"/>
                </w:tcPr>
                <w:p w14:paraId="4103450D">
                  <w:pPr>
                    <w:keepNext w:val="0"/>
                    <w:keepLines w:val="0"/>
                    <w:suppressLineNumbers w:val="0"/>
                    <w:kinsoku/>
                    <w:overflowPunct w:val="0"/>
                    <w:spacing w:before="0" w:beforeAutospacing="0" w:after="0" w:afterAutospacing="0" w:line="260" w:lineRule="exact"/>
                    <w:ind w:left="21" w:leftChars="10" w:right="0"/>
                    <w:jc w:val="center"/>
                    <w:rPr>
                      <w:rFonts w:hint="default" w:ascii="Times New Roman" w:hAnsi="Times New Roman" w:eastAsia="宋体" w:cs="Times New Roman"/>
                      <w:color w:val="auto"/>
                      <w:kern w:val="2"/>
                      <w:sz w:val="21"/>
                      <w:szCs w:val="24"/>
                      <w:u w:val="none"/>
                      <w:lang w:val="en-US" w:eastAsia="zh-CN" w:bidi="ar-SA"/>
                    </w:rPr>
                  </w:pPr>
                  <w:r>
                    <w:rPr>
                      <w:rFonts w:hint="eastAsia"/>
                      <w:color w:val="auto"/>
                      <w:sz w:val="21"/>
                      <w:u w:val="none"/>
                      <w:lang w:val="en-US" w:eastAsia="zh-CN"/>
                    </w:rPr>
                    <w:t>冲孔机</w:t>
                  </w:r>
                </w:p>
              </w:tc>
              <w:tc>
                <w:tcPr>
                  <w:tcW w:w="0" w:type="auto"/>
                  <w:shd w:val="clear" w:color="auto" w:fill="auto"/>
                  <w:vAlign w:val="center"/>
                </w:tcPr>
                <w:p w14:paraId="27AE9677">
                  <w:pPr>
                    <w:keepNext w:val="0"/>
                    <w:keepLines w:val="0"/>
                    <w:suppressLineNumbers w:val="0"/>
                    <w:kinsoku/>
                    <w:overflowPunct w:val="0"/>
                    <w:spacing w:before="0" w:beforeAutospacing="0" w:after="0" w:afterAutospacing="0" w:line="260" w:lineRule="exact"/>
                    <w:ind w:left="21" w:leftChars="10" w:right="0"/>
                    <w:jc w:val="center"/>
                    <w:rPr>
                      <w:rFonts w:hint="default" w:ascii="Times New Roman" w:hAnsi="Times New Roman" w:eastAsia="宋体" w:cs="Times New Roman"/>
                      <w:color w:val="auto"/>
                      <w:kern w:val="2"/>
                      <w:sz w:val="21"/>
                      <w:szCs w:val="24"/>
                      <w:u w:val="none"/>
                      <w:lang w:val="en-US" w:eastAsia="zh-CN" w:bidi="ar-SA"/>
                    </w:rPr>
                  </w:pPr>
                  <w:r>
                    <w:rPr>
                      <w:rFonts w:hint="eastAsia"/>
                      <w:color w:val="auto"/>
                      <w:sz w:val="21"/>
                      <w:u w:val="none"/>
                      <w:lang w:val="en-US" w:eastAsia="zh-CN"/>
                    </w:rPr>
                    <w:t>10</w:t>
                  </w:r>
                </w:p>
              </w:tc>
              <w:tc>
                <w:tcPr>
                  <w:tcW w:w="1342" w:type="dxa"/>
                  <w:vAlign w:val="center"/>
                </w:tcPr>
                <w:p w14:paraId="7BC57EFD">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宋体"/>
                      <w:color w:val="auto"/>
                      <w:sz w:val="21"/>
                      <w:szCs w:val="21"/>
                      <w:lang w:val="en-US" w:eastAsia="zh-CN"/>
                    </w:rPr>
                  </w:pPr>
                  <w:r>
                    <w:rPr>
                      <w:rFonts w:hint="eastAsia" w:cs="宋体"/>
                      <w:color w:val="auto"/>
                      <w:sz w:val="21"/>
                      <w:szCs w:val="21"/>
                      <w:lang w:val="en-US" w:eastAsia="zh-CN"/>
                    </w:rPr>
                    <w:t>0.07</w:t>
                  </w:r>
                  <w:r>
                    <w:rPr>
                      <w:rFonts w:hint="eastAsia" w:ascii="Times New Roman" w:hAnsi="Times New Roman" w:eastAsia="宋体" w:cs="宋体"/>
                      <w:color w:val="auto"/>
                      <w:sz w:val="21"/>
                      <w:szCs w:val="21"/>
                      <w:lang w:val="en-US" w:eastAsia="zh-CN"/>
                    </w:rPr>
                    <w:t>万双</w:t>
                  </w:r>
                  <w:r>
                    <w:rPr>
                      <w:rFonts w:hint="eastAsia" w:ascii="Times New Roman" w:hAnsi="Times New Roman" w:eastAsia="宋体" w:cs="宋体"/>
                      <w:b w:val="0"/>
                      <w:bCs w:val="0"/>
                      <w:color w:val="auto"/>
                      <w:sz w:val="21"/>
                      <w:szCs w:val="21"/>
                      <w:lang w:val="en-US" w:eastAsia="zh-CN"/>
                    </w:rPr>
                    <w:t>/h</w:t>
                  </w:r>
                </w:p>
              </w:tc>
              <w:tc>
                <w:tcPr>
                  <w:tcW w:w="1001" w:type="dxa"/>
                  <w:vAlign w:val="center"/>
                </w:tcPr>
                <w:p w14:paraId="4C3EA324">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4800</w:t>
                  </w:r>
                </w:p>
              </w:tc>
              <w:tc>
                <w:tcPr>
                  <w:tcW w:w="1605" w:type="dxa"/>
                  <w:vAlign w:val="center"/>
                </w:tcPr>
                <w:p w14:paraId="402AAC97">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宋体"/>
                      <w:color w:val="auto"/>
                      <w:sz w:val="21"/>
                      <w:szCs w:val="21"/>
                      <w:lang w:val="en-US" w:eastAsia="zh-CN"/>
                    </w:rPr>
                  </w:pPr>
                  <w:r>
                    <w:rPr>
                      <w:rFonts w:hint="eastAsia" w:cs="宋体"/>
                      <w:color w:val="auto"/>
                      <w:sz w:val="21"/>
                      <w:szCs w:val="21"/>
                      <w:lang w:val="en-US" w:eastAsia="zh-CN"/>
                    </w:rPr>
                    <w:t>336</w:t>
                  </w:r>
                  <w:r>
                    <w:rPr>
                      <w:rFonts w:hint="eastAsia" w:ascii="Times New Roman" w:hAnsi="Times New Roman" w:eastAsia="宋体" w:cs="宋体"/>
                      <w:color w:val="auto"/>
                      <w:sz w:val="21"/>
                      <w:szCs w:val="21"/>
                      <w:lang w:val="en-US" w:eastAsia="zh-CN"/>
                    </w:rPr>
                    <w:t>万双</w:t>
                  </w:r>
                  <w:r>
                    <w:rPr>
                      <w:rFonts w:hint="eastAsia" w:ascii="Times New Roman" w:hAnsi="Times New Roman" w:eastAsia="宋体" w:cs="宋体"/>
                      <w:b w:val="0"/>
                      <w:bCs w:val="0"/>
                      <w:color w:val="auto"/>
                      <w:sz w:val="21"/>
                      <w:szCs w:val="21"/>
                      <w:lang w:val="en-US" w:eastAsia="zh-CN"/>
                    </w:rPr>
                    <w:t>/a</w:t>
                  </w:r>
                </w:p>
              </w:tc>
              <w:tc>
                <w:tcPr>
                  <w:tcW w:w="1493" w:type="dxa"/>
                  <w:vAlign w:val="center"/>
                </w:tcPr>
                <w:p w14:paraId="28024BAD">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280万双</w:t>
                  </w:r>
                  <w:r>
                    <w:rPr>
                      <w:rFonts w:hint="eastAsia" w:ascii="Times New Roman" w:hAnsi="Times New Roman" w:eastAsia="宋体" w:cs="宋体"/>
                      <w:b w:val="0"/>
                      <w:bCs w:val="0"/>
                      <w:color w:val="auto"/>
                      <w:sz w:val="21"/>
                      <w:szCs w:val="21"/>
                      <w:lang w:val="en-US" w:eastAsia="zh-CN"/>
                    </w:rPr>
                    <w:t>/a</w:t>
                  </w:r>
                </w:p>
              </w:tc>
              <w:tc>
                <w:tcPr>
                  <w:tcW w:w="1084" w:type="dxa"/>
                </w:tcPr>
                <w:p w14:paraId="2DDF872A">
                  <w:pPr>
                    <w:keepNext w:val="0"/>
                    <w:keepLines w:val="0"/>
                    <w:suppressLineNumbers w:val="0"/>
                    <w:spacing w:before="0" w:beforeAutospacing="0" w:after="0" w:afterAutospacing="0" w:line="240" w:lineRule="auto"/>
                    <w:ind w:left="0" w:leftChars="0" w:right="0" w:firstLine="0" w:firstLineChars="0"/>
                    <w:jc w:val="center"/>
                    <w:rPr>
                      <w:rFonts w:hint="eastAsia"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是</w:t>
                  </w:r>
                </w:p>
              </w:tc>
            </w:tr>
            <w:tr w14:paraId="2D5746C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72" w:hRule="atLeast"/>
                <w:jc w:val="center"/>
              </w:trPr>
              <w:tc>
                <w:tcPr>
                  <w:tcW w:w="0" w:type="auto"/>
                  <w:shd w:val="clear" w:color="auto" w:fill="auto"/>
                  <w:vAlign w:val="center"/>
                </w:tcPr>
                <w:p w14:paraId="5C0F36A5">
                  <w:pPr>
                    <w:keepNext w:val="0"/>
                    <w:keepLines w:val="0"/>
                    <w:suppressLineNumbers w:val="0"/>
                    <w:kinsoku/>
                    <w:overflowPunct w:val="0"/>
                    <w:spacing w:before="0" w:beforeAutospacing="0" w:after="0" w:afterAutospacing="0" w:line="260" w:lineRule="exact"/>
                    <w:ind w:left="21" w:leftChars="10" w:right="0"/>
                    <w:jc w:val="center"/>
                    <w:rPr>
                      <w:rFonts w:hint="default"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olor w:val="auto"/>
                      <w:sz w:val="21"/>
                      <w:u w:val="none"/>
                    </w:rPr>
                    <w:t>贴合机</w:t>
                  </w:r>
                </w:p>
              </w:tc>
              <w:tc>
                <w:tcPr>
                  <w:tcW w:w="0" w:type="auto"/>
                  <w:shd w:val="clear" w:color="auto" w:fill="auto"/>
                  <w:vAlign w:val="center"/>
                </w:tcPr>
                <w:p w14:paraId="37239104">
                  <w:pPr>
                    <w:keepNext w:val="0"/>
                    <w:keepLines w:val="0"/>
                    <w:suppressLineNumbers w:val="0"/>
                    <w:kinsoku/>
                    <w:overflowPunct w:val="0"/>
                    <w:spacing w:before="0" w:beforeAutospacing="0" w:after="0" w:afterAutospacing="0" w:line="260" w:lineRule="exact"/>
                    <w:ind w:left="21" w:leftChars="10" w:right="0"/>
                    <w:jc w:val="center"/>
                    <w:rPr>
                      <w:rFonts w:hint="default"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olor w:val="auto"/>
                      <w:sz w:val="21"/>
                      <w:szCs w:val="21"/>
                      <w:u w:val="none"/>
                      <w:lang w:val="en-US" w:eastAsia="zh-CN"/>
                    </w:rPr>
                    <w:t>10</w:t>
                  </w:r>
                </w:p>
              </w:tc>
              <w:tc>
                <w:tcPr>
                  <w:tcW w:w="1342" w:type="dxa"/>
                  <w:vAlign w:val="center"/>
                </w:tcPr>
                <w:p w14:paraId="75C03CDE">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宋体"/>
                      <w:color w:val="auto"/>
                      <w:sz w:val="21"/>
                      <w:szCs w:val="21"/>
                      <w:lang w:val="en-US" w:eastAsia="zh-CN"/>
                    </w:rPr>
                  </w:pPr>
                  <w:r>
                    <w:rPr>
                      <w:rFonts w:hint="eastAsia" w:cs="宋体"/>
                      <w:color w:val="auto"/>
                      <w:sz w:val="21"/>
                      <w:szCs w:val="21"/>
                      <w:lang w:val="en-US" w:eastAsia="zh-CN"/>
                    </w:rPr>
                    <w:t>0.07</w:t>
                  </w:r>
                  <w:r>
                    <w:rPr>
                      <w:rFonts w:hint="eastAsia" w:ascii="Times New Roman" w:hAnsi="Times New Roman" w:eastAsia="宋体" w:cs="宋体"/>
                      <w:color w:val="auto"/>
                      <w:sz w:val="21"/>
                      <w:szCs w:val="21"/>
                      <w:lang w:val="en-US" w:eastAsia="zh-CN"/>
                    </w:rPr>
                    <w:t>万双</w:t>
                  </w:r>
                  <w:r>
                    <w:rPr>
                      <w:rFonts w:hint="eastAsia" w:ascii="Times New Roman" w:hAnsi="Times New Roman" w:eastAsia="宋体" w:cs="宋体"/>
                      <w:b w:val="0"/>
                      <w:bCs w:val="0"/>
                      <w:color w:val="auto"/>
                      <w:sz w:val="21"/>
                      <w:szCs w:val="21"/>
                      <w:lang w:val="en-US" w:eastAsia="zh-CN"/>
                    </w:rPr>
                    <w:t>/h</w:t>
                  </w:r>
                </w:p>
              </w:tc>
              <w:tc>
                <w:tcPr>
                  <w:tcW w:w="1001" w:type="dxa"/>
                  <w:vAlign w:val="center"/>
                </w:tcPr>
                <w:p w14:paraId="74F33F11">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4800</w:t>
                  </w:r>
                </w:p>
              </w:tc>
              <w:tc>
                <w:tcPr>
                  <w:tcW w:w="1605" w:type="dxa"/>
                  <w:vAlign w:val="center"/>
                </w:tcPr>
                <w:p w14:paraId="79CCBEE4">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宋体"/>
                      <w:color w:val="auto"/>
                      <w:sz w:val="21"/>
                      <w:szCs w:val="21"/>
                      <w:lang w:val="en-US" w:eastAsia="zh-CN"/>
                    </w:rPr>
                  </w:pPr>
                  <w:r>
                    <w:rPr>
                      <w:rFonts w:hint="eastAsia" w:cs="宋体"/>
                      <w:color w:val="auto"/>
                      <w:sz w:val="21"/>
                      <w:szCs w:val="21"/>
                      <w:lang w:val="en-US" w:eastAsia="zh-CN"/>
                    </w:rPr>
                    <w:t>336</w:t>
                  </w:r>
                  <w:r>
                    <w:rPr>
                      <w:rFonts w:hint="eastAsia" w:ascii="Times New Roman" w:hAnsi="Times New Roman" w:eastAsia="宋体" w:cs="宋体"/>
                      <w:color w:val="auto"/>
                      <w:sz w:val="21"/>
                      <w:szCs w:val="21"/>
                      <w:lang w:val="en-US" w:eastAsia="zh-CN"/>
                    </w:rPr>
                    <w:t>万双</w:t>
                  </w:r>
                  <w:r>
                    <w:rPr>
                      <w:rFonts w:hint="eastAsia" w:ascii="Times New Roman" w:hAnsi="Times New Roman" w:eastAsia="宋体" w:cs="宋体"/>
                      <w:b w:val="0"/>
                      <w:bCs w:val="0"/>
                      <w:color w:val="auto"/>
                      <w:sz w:val="21"/>
                      <w:szCs w:val="21"/>
                      <w:lang w:val="en-US" w:eastAsia="zh-CN"/>
                    </w:rPr>
                    <w:t>/a</w:t>
                  </w:r>
                </w:p>
              </w:tc>
              <w:tc>
                <w:tcPr>
                  <w:tcW w:w="1493" w:type="dxa"/>
                  <w:vAlign w:val="center"/>
                </w:tcPr>
                <w:p w14:paraId="42EFDD80">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280万双</w:t>
                  </w:r>
                  <w:r>
                    <w:rPr>
                      <w:rFonts w:hint="eastAsia" w:ascii="Times New Roman" w:hAnsi="Times New Roman" w:eastAsia="宋体" w:cs="宋体"/>
                      <w:b w:val="0"/>
                      <w:bCs w:val="0"/>
                      <w:color w:val="auto"/>
                      <w:sz w:val="21"/>
                      <w:szCs w:val="21"/>
                      <w:lang w:val="en-US" w:eastAsia="zh-CN"/>
                    </w:rPr>
                    <w:t>/a</w:t>
                  </w:r>
                </w:p>
              </w:tc>
              <w:tc>
                <w:tcPr>
                  <w:tcW w:w="1084" w:type="dxa"/>
                </w:tcPr>
                <w:p w14:paraId="06D3069C">
                  <w:pPr>
                    <w:keepNext w:val="0"/>
                    <w:keepLines w:val="0"/>
                    <w:suppressLineNumbers w:val="0"/>
                    <w:spacing w:before="0" w:beforeAutospacing="0" w:after="0" w:afterAutospacing="0" w:line="240" w:lineRule="auto"/>
                    <w:ind w:left="0" w:leftChars="0" w:right="0" w:firstLine="0" w:firstLineChars="0"/>
                    <w:jc w:val="center"/>
                    <w:rPr>
                      <w:rFonts w:hint="eastAsia"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是</w:t>
                  </w:r>
                </w:p>
              </w:tc>
            </w:tr>
            <w:tr w14:paraId="71547B0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72" w:hRule="atLeast"/>
                <w:jc w:val="center"/>
              </w:trPr>
              <w:tc>
                <w:tcPr>
                  <w:tcW w:w="0" w:type="auto"/>
                  <w:shd w:val="clear" w:color="auto" w:fill="auto"/>
                  <w:vAlign w:val="center"/>
                </w:tcPr>
                <w:p w14:paraId="25AE1C6E">
                  <w:pPr>
                    <w:keepNext w:val="0"/>
                    <w:keepLines w:val="0"/>
                    <w:suppressLineNumbers w:val="0"/>
                    <w:kinsoku/>
                    <w:overflowPunct w:val="0"/>
                    <w:spacing w:before="0" w:beforeAutospacing="0" w:after="0" w:afterAutospacing="0" w:line="260" w:lineRule="exact"/>
                    <w:ind w:left="21" w:leftChars="10" w:right="0"/>
                    <w:jc w:val="center"/>
                    <w:rPr>
                      <w:rFonts w:hint="default"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olor w:val="auto"/>
                      <w:sz w:val="21"/>
                      <w:u w:val="none"/>
                    </w:rPr>
                    <w:t>拔楦机</w:t>
                  </w:r>
                </w:p>
              </w:tc>
              <w:tc>
                <w:tcPr>
                  <w:tcW w:w="0" w:type="auto"/>
                  <w:shd w:val="clear" w:color="auto" w:fill="auto"/>
                  <w:vAlign w:val="center"/>
                </w:tcPr>
                <w:p w14:paraId="515255A8">
                  <w:pPr>
                    <w:keepNext w:val="0"/>
                    <w:keepLines w:val="0"/>
                    <w:suppressLineNumbers w:val="0"/>
                    <w:kinsoku/>
                    <w:overflowPunct w:val="0"/>
                    <w:spacing w:before="0" w:beforeAutospacing="0" w:after="0" w:afterAutospacing="0" w:line="260" w:lineRule="exact"/>
                    <w:ind w:left="21" w:leftChars="10" w:right="0"/>
                    <w:jc w:val="center"/>
                    <w:rPr>
                      <w:rFonts w:hint="default"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olor w:val="auto"/>
                      <w:sz w:val="21"/>
                      <w:u w:val="none"/>
                      <w:lang w:val="en-US" w:eastAsia="zh-CN"/>
                    </w:rPr>
                    <w:t>10</w:t>
                  </w:r>
                </w:p>
              </w:tc>
              <w:tc>
                <w:tcPr>
                  <w:tcW w:w="1342" w:type="dxa"/>
                  <w:vAlign w:val="center"/>
                </w:tcPr>
                <w:p w14:paraId="22BC3DEB">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宋体"/>
                      <w:color w:val="auto"/>
                      <w:sz w:val="21"/>
                      <w:szCs w:val="21"/>
                      <w:lang w:val="en-US" w:eastAsia="zh-CN"/>
                    </w:rPr>
                  </w:pPr>
                  <w:r>
                    <w:rPr>
                      <w:rFonts w:hint="eastAsia" w:cs="宋体"/>
                      <w:color w:val="auto"/>
                      <w:sz w:val="21"/>
                      <w:szCs w:val="21"/>
                      <w:lang w:val="en-US" w:eastAsia="zh-CN"/>
                    </w:rPr>
                    <w:t>0.07</w:t>
                  </w:r>
                  <w:r>
                    <w:rPr>
                      <w:rFonts w:hint="eastAsia" w:ascii="Times New Roman" w:hAnsi="Times New Roman" w:eastAsia="宋体" w:cs="宋体"/>
                      <w:color w:val="auto"/>
                      <w:sz w:val="21"/>
                      <w:szCs w:val="21"/>
                      <w:lang w:val="en-US" w:eastAsia="zh-CN"/>
                    </w:rPr>
                    <w:t>万双</w:t>
                  </w:r>
                  <w:r>
                    <w:rPr>
                      <w:rFonts w:hint="eastAsia" w:ascii="Times New Roman" w:hAnsi="Times New Roman" w:eastAsia="宋体" w:cs="宋体"/>
                      <w:b w:val="0"/>
                      <w:bCs w:val="0"/>
                      <w:color w:val="auto"/>
                      <w:sz w:val="21"/>
                      <w:szCs w:val="21"/>
                      <w:lang w:val="en-US" w:eastAsia="zh-CN"/>
                    </w:rPr>
                    <w:t>/h</w:t>
                  </w:r>
                </w:p>
              </w:tc>
              <w:tc>
                <w:tcPr>
                  <w:tcW w:w="1001" w:type="dxa"/>
                  <w:vAlign w:val="center"/>
                </w:tcPr>
                <w:p w14:paraId="47DA0312">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4800</w:t>
                  </w:r>
                </w:p>
              </w:tc>
              <w:tc>
                <w:tcPr>
                  <w:tcW w:w="1605" w:type="dxa"/>
                  <w:vAlign w:val="center"/>
                </w:tcPr>
                <w:p w14:paraId="0803F542">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宋体"/>
                      <w:color w:val="auto"/>
                      <w:sz w:val="21"/>
                      <w:szCs w:val="21"/>
                      <w:lang w:val="en-US" w:eastAsia="zh-CN"/>
                    </w:rPr>
                  </w:pPr>
                  <w:r>
                    <w:rPr>
                      <w:rFonts w:hint="eastAsia" w:cs="宋体"/>
                      <w:color w:val="auto"/>
                      <w:sz w:val="21"/>
                      <w:szCs w:val="21"/>
                      <w:lang w:val="en-US" w:eastAsia="zh-CN"/>
                    </w:rPr>
                    <w:t>336</w:t>
                  </w:r>
                  <w:r>
                    <w:rPr>
                      <w:rFonts w:hint="eastAsia" w:ascii="Times New Roman" w:hAnsi="Times New Roman" w:eastAsia="宋体" w:cs="宋体"/>
                      <w:color w:val="auto"/>
                      <w:sz w:val="21"/>
                      <w:szCs w:val="21"/>
                      <w:lang w:val="en-US" w:eastAsia="zh-CN"/>
                    </w:rPr>
                    <w:t>万双</w:t>
                  </w:r>
                  <w:r>
                    <w:rPr>
                      <w:rFonts w:hint="eastAsia" w:ascii="Times New Roman" w:hAnsi="Times New Roman" w:eastAsia="宋体" w:cs="宋体"/>
                      <w:b w:val="0"/>
                      <w:bCs w:val="0"/>
                      <w:color w:val="auto"/>
                      <w:sz w:val="21"/>
                      <w:szCs w:val="21"/>
                      <w:lang w:val="en-US" w:eastAsia="zh-CN"/>
                    </w:rPr>
                    <w:t>/a</w:t>
                  </w:r>
                </w:p>
              </w:tc>
              <w:tc>
                <w:tcPr>
                  <w:tcW w:w="1493" w:type="dxa"/>
                  <w:vAlign w:val="center"/>
                </w:tcPr>
                <w:p w14:paraId="3DEE2FC1">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280万双</w:t>
                  </w:r>
                  <w:r>
                    <w:rPr>
                      <w:rFonts w:hint="eastAsia" w:ascii="Times New Roman" w:hAnsi="Times New Roman" w:eastAsia="宋体" w:cs="宋体"/>
                      <w:b w:val="0"/>
                      <w:bCs w:val="0"/>
                      <w:color w:val="auto"/>
                      <w:sz w:val="21"/>
                      <w:szCs w:val="21"/>
                      <w:lang w:val="en-US" w:eastAsia="zh-CN"/>
                    </w:rPr>
                    <w:t>/a</w:t>
                  </w:r>
                </w:p>
              </w:tc>
              <w:tc>
                <w:tcPr>
                  <w:tcW w:w="1084" w:type="dxa"/>
                </w:tcPr>
                <w:p w14:paraId="3E2F1A37">
                  <w:pPr>
                    <w:keepNext w:val="0"/>
                    <w:keepLines w:val="0"/>
                    <w:suppressLineNumbers w:val="0"/>
                    <w:spacing w:before="0" w:beforeAutospacing="0" w:after="0" w:afterAutospacing="0" w:line="240" w:lineRule="auto"/>
                    <w:ind w:left="0" w:leftChars="0" w:right="0" w:firstLine="0" w:firstLineChars="0"/>
                    <w:jc w:val="center"/>
                    <w:rPr>
                      <w:rFonts w:hint="eastAsia"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是</w:t>
                  </w:r>
                </w:p>
              </w:tc>
            </w:tr>
            <w:tr w14:paraId="0D897E6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72" w:hRule="atLeast"/>
                <w:jc w:val="center"/>
              </w:trPr>
              <w:tc>
                <w:tcPr>
                  <w:tcW w:w="0" w:type="auto"/>
                  <w:shd w:val="clear" w:color="auto" w:fill="auto"/>
                  <w:vAlign w:val="center"/>
                </w:tcPr>
                <w:p w14:paraId="52FF220E">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olor w:val="auto"/>
                      <w:sz w:val="21"/>
                      <w:szCs w:val="21"/>
                    </w:rPr>
                    <w:t>修边机</w:t>
                  </w:r>
                </w:p>
              </w:tc>
              <w:tc>
                <w:tcPr>
                  <w:tcW w:w="0" w:type="auto"/>
                  <w:shd w:val="clear" w:color="auto" w:fill="auto"/>
                  <w:vAlign w:val="center"/>
                </w:tcPr>
                <w:p w14:paraId="4F0A150C">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olor w:val="auto"/>
                      <w:sz w:val="21"/>
                      <w:szCs w:val="21"/>
                      <w:lang w:val="en-US" w:eastAsia="zh-CN"/>
                    </w:rPr>
                    <w:t>3</w:t>
                  </w:r>
                </w:p>
              </w:tc>
              <w:tc>
                <w:tcPr>
                  <w:tcW w:w="1342" w:type="dxa"/>
                  <w:vAlign w:val="center"/>
                </w:tcPr>
                <w:p w14:paraId="1A0C57CB">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宋体"/>
                      <w:color w:val="auto"/>
                      <w:sz w:val="21"/>
                      <w:szCs w:val="21"/>
                      <w:lang w:val="en-US" w:eastAsia="zh-CN"/>
                    </w:rPr>
                  </w:pPr>
                  <w:r>
                    <w:rPr>
                      <w:rFonts w:hint="eastAsia" w:cs="宋体"/>
                      <w:color w:val="auto"/>
                      <w:sz w:val="21"/>
                      <w:szCs w:val="21"/>
                      <w:lang w:val="en-US" w:eastAsia="zh-CN"/>
                    </w:rPr>
                    <w:t>0.06</w:t>
                  </w:r>
                  <w:r>
                    <w:rPr>
                      <w:rFonts w:hint="eastAsia" w:ascii="Times New Roman" w:hAnsi="Times New Roman" w:eastAsia="宋体" w:cs="宋体"/>
                      <w:color w:val="auto"/>
                      <w:sz w:val="21"/>
                      <w:szCs w:val="21"/>
                      <w:lang w:val="en-US" w:eastAsia="zh-CN"/>
                    </w:rPr>
                    <w:t>万双</w:t>
                  </w:r>
                  <w:r>
                    <w:rPr>
                      <w:rFonts w:hint="eastAsia" w:ascii="Times New Roman" w:hAnsi="Times New Roman" w:eastAsia="宋体" w:cs="宋体"/>
                      <w:b w:val="0"/>
                      <w:bCs w:val="0"/>
                      <w:color w:val="auto"/>
                      <w:sz w:val="21"/>
                      <w:szCs w:val="21"/>
                      <w:lang w:val="en-US" w:eastAsia="zh-CN"/>
                    </w:rPr>
                    <w:t>/h</w:t>
                  </w:r>
                </w:p>
              </w:tc>
              <w:tc>
                <w:tcPr>
                  <w:tcW w:w="1001" w:type="dxa"/>
                  <w:vAlign w:val="center"/>
                </w:tcPr>
                <w:p w14:paraId="17462CDD">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4800</w:t>
                  </w:r>
                </w:p>
              </w:tc>
              <w:tc>
                <w:tcPr>
                  <w:tcW w:w="1605" w:type="dxa"/>
                  <w:vAlign w:val="center"/>
                </w:tcPr>
                <w:p w14:paraId="6447597E">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宋体"/>
                      <w:color w:val="auto"/>
                      <w:sz w:val="21"/>
                      <w:szCs w:val="21"/>
                      <w:lang w:val="en-US" w:eastAsia="zh-CN"/>
                    </w:rPr>
                  </w:pPr>
                  <w:r>
                    <w:rPr>
                      <w:rFonts w:hint="eastAsia" w:cs="宋体"/>
                      <w:color w:val="auto"/>
                      <w:sz w:val="21"/>
                      <w:szCs w:val="21"/>
                      <w:lang w:val="en-US" w:eastAsia="zh-CN"/>
                    </w:rPr>
                    <w:t>288</w:t>
                  </w:r>
                  <w:r>
                    <w:rPr>
                      <w:rFonts w:hint="eastAsia" w:ascii="Times New Roman" w:hAnsi="Times New Roman" w:eastAsia="宋体" w:cs="宋体"/>
                      <w:color w:val="auto"/>
                      <w:sz w:val="21"/>
                      <w:szCs w:val="21"/>
                      <w:lang w:val="en-US" w:eastAsia="zh-CN"/>
                    </w:rPr>
                    <w:t>万双</w:t>
                  </w:r>
                  <w:r>
                    <w:rPr>
                      <w:rFonts w:hint="eastAsia" w:ascii="Times New Roman" w:hAnsi="Times New Roman" w:eastAsia="宋体" w:cs="宋体"/>
                      <w:b w:val="0"/>
                      <w:bCs w:val="0"/>
                      <w:color w:val="auto"/>
                      <w:sz w:val="21"/>
                      <w:szCs w:val="21"/>
                      <w:lang w:val="en-US" w:eastAsia="zh-CN"/>
                    </w:rPr>
                    <w:t>/a</w:t>
                  </w:r>
                </w:p>
              </w:tc>
              <w:tc>
                <w:tcPr>
                  <w:tcW w:w="1493" w:type="dxa"/>
                  <w:vAlign w:val="center"/>
                </w:tcPr>
                <w:p w14:paraId="6BD6353B">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280万双</w:t>
                  </w:r>
                  <w:r>
                    <w:rPr>
                      <w:rFonts w:hint="eastAsia" w:ascii="Times New Roman" w:hAnsi="Times New Roman" w:eastAsia="宋体" w:cs="宋体"/>
                      <w:b w:val="0"/>
                      <w:bCs w:val="0"/>
                      <w:color w:val="auto"/>
                      <w:sz w:val="21"/>
                      <w:szCs w:val="21"/>
                      <w:lang w:val="en-US" w:eastAsia="zh-CN"/>
                    </w:rPr>
                    <w:t>/a</w:t>
                  </w:r>
                </w:p>
              </w:tc>
              <w:tc>
                <w:tcPr>
                  <w:tcW w:w="1084" w:type="dxa"/>
                </w:tcPr>
                <w:p w14:paraId="77D0BDE0">
                  <w:pPr>
                    <w:keepNext w:val="0"/>
                    <w:keepLines w:val="0"/>
                    <w:suppressLineNumbers w:val="0"/>
                    <w:spacing w:before="0" w:beforeAutospacing="0" w:after="0" w:afterAutospacing="0" w:line="240" w:lineRule="auto"/>
                    <w:ind w:left="0" w:leftChars="0" w:right="0" w:firstLine="0" w:firstLineChars="0"/>
                    <w:jc w:val="center"/>
                    <w:rPr>
                      <w:rFonts w:hint="eastAsia" w:ascii="Times New Roman" w:hAnsi="Times New Roman" w:eastAsia="宋体" w:cs="宋体"/>
                      <w:color w:val="auto"/>
                      <w:sz w:val="21"/>
                      <w:szCs w:val="21"/>
                      <w:lang w:val="en-US" w:eastAsia="zh-CN"/>
                    </w:rPr>
                  </w:pPr>
                  <w:r>
                    <w:rPr>
                      <w:rFonts w:hint="eastAsia" w:ascii="Times New Roman" w:hAnsi="Times New Roman" w:eastAsia="宋体" w:cs="宋体"/>
                      <w:color w:val="auto"/>
                      <w:sz w:val="21"/>
                      <w:szCs w:val="21"/>
                      <w:lang w:val="en-US" w:eastAsia="zh-CN"/>
                    </w:rPr>
                    <w:t>是</w:t>
                  </w:r>
                </w:p>
              </w:tc>
            </w:tr>
          </w:tbl>
          <w:p w14:paraId="4D1621A5">
            <w:pPr>
              <w:pStyle w:val="9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2" w:firstLineChars="200"/>
              <w:textAlignment w:val="auto"/>
              <w:rPr>
                <w:rFonts w:hint="default" w:ascii="Times New Roman" w:hAnsi="Times New Roman" w:eastAsia="宋体" w:cs="Times New Roman"/>
                <w:b/>
                <w:bCs/>
                <w:color w:val="auto"/>
                <w:spacing w:val="0"/>
                <w:highlight w:val="none"/>
              </w:rPr>
            </w:pPr>
            <w:r>
              <w:rPr>
                <w:rFonts w:hint="default" w:ascii="Times New Roman" w:hAnsi="Times New Roman" w:eastAsia="宋体" w:cs="Times New Roman"/>
                <w:b/>
                <w:bCs/>
                <w:color w:val="auto"/>
                <w:spacing w:val="0"/>
                <w:highlight w:val="none"/>
              </w:rPr>
              <w:t>5、原辅材料及能耗</w:t>
            </w:r>
          </w:p>
          <w:p w14:paraId="2EB14BB5">
            <w:pPr>
              <w:pStyle w:val="9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textAlignment w:val="auto"/>
              <w:rPr>
                <w:rFonts w:hint="default" w:ascii="Times New Roman" w:hAnsi="Times New Roman" w:eastAsia="宋体" w:cs="Times New Roman"/>
                <w:color w:val="auto"/>
                <w:spacing w:val="0"/>
                <w:highlight w:val="none"/>
              </w:rPr>
            </w:pPr>
            <w:r>
              <w:rPr>
                <w:rFonts w:hint="default" w:ascii="Times New Roman" w:hAnsi="Times New Roman" w:eastAsia="宋体" w:cs="Times New Roman"/>
                <w:color w:val="auto"/>
                <w:spacing w:val="0"/>
                <w:highlight w:val="none"/>
              </w:rPr>
              <w:t>本项目原辅材料及能源消耗见表2-</w:t>
            </w:r>
            <w:r>
              <w:rPr>
                <w:rFonts w:hint="eastAsia" w:ascii="Times New Roman" w:hAnsi="Times New Roman" w:cs="Times New Roman"/>
                <w:color w:val="auto"/>
                <w:spacing w:val="0"/>
                <w:highlight w:val="none"/>
                <w:lang w:val="en-US" w:eastAsia="zh-CN"/>
              </w:rPr>
              <w:t>5</w:t>
            </w:r>
            <w:r>
              <w:rPr>
                <w:rFonts w:hint="default" w:ascii="Times New Roman" w:hAnsi="Times New Roman" w:eastAsia="宋体" w:cs="Times New Roman"/>
                <w:color w:val="auto"/>
                <w:spacing w:val="0"/>
                <w:highlight w:val="none"/>
              </w:rPr>
              <w:t>。</w:t>
            </w:r>
          </w:p>
          <w:p w14:paraId="4C5F39B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422" w:firstLineChars="200"/>
              <w:jc w:val="center"/>
              <w:textAlignment w:val="auto"/>
              <w:rPr>
                <w:rFonts w:hint="default" w:ascii="Times New Roman" w:hAnsi="Times New Roman" w:eastAsia="宋体" w:cs="Times New Roman"/>
                <w:b/>
                <w:bCs/>
                <w:color w:val="auto"/>
                <w:spacing w:val="0"/>
                <w:sz w:val="21"/>
                <w:szCs w:val="21"/>
                <w:highlight w:val="none"/>
              </w:rPr>
            </w:pPr>
            <w:r>
              <w:rPr>
                <w:rFonts w:hint="default" w:ascii="Times New Roman" w:hAnsi="Times New Roman" w:eastAsia="宋体" w:cs="Times New Roman"/>
                <w:b/>
                <w:bCs/>
                <w:color w:val="auto"/>
                <w:spacing w:val="0"/>
                <w:sz w:val="21"/>
                <w:szCs w:val="21"/>
                <w:highlight w:val="none"/>
              </w:rPr>
              <w:t>表2-</w:t>
            </w:r>
            <w:r>
              <w:rPr>
                <w:rFonts w:hint="eastAsia" w:cs="Times New Roman"/>
                <w:b/>
                <w:bCs/>
                <w:color w:val="auto"/>
                <w:spacing w:val="0"/>
                <w:sz w:val="21"/>
                <w:szCs w:val="21"/>
                <w:highlight w:val="none"/>
                <w:lang w:val="en-US" w:eastAsia="zh-CN"/>
              </w:rPr>
              <w:t>5</w:t>
            </w:r>
            <w:r>
              <w:rPr>
                <w:rFonts w:hint="default" w:ascii="Times New Roman" w:hAnsi="Times New Roman" w:eastAsia="宋体" w:cs="Times New Roman"/>
                <w:b/>
                <w:bCs/>
                <w:color w:val="auto"/>
                <w:spacing w:val="0"/>
                <w:sz w:val="21"/>
                <w:szCs w:val="21"/>
                <w:highlight w:val="none"/>
              </w:rPr>
              <w:t xml:space="preserve">  项目主要原辅料及能源消耗情况一览表</w:t>
            </w:r>
          </w:p>
          <w:tbl>
            <w:tblPr>
              <w:tblStyle w:val="26"/>
              <w:tblW w:w="4885" w:type="pct"/>
              <w:jc w:val="center"/>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Layout w:type="fixed"/>
              <w:tblCellMar>
                <w:top w:w="0" w:type="dxa"/>
                <w:left w:w="108" w:type="dxa"/>
                <w:bottom w:w="0" w:type="dxa"/>
                <w:right w:w="108" w:type="dxa"/>
              </w:tblCellMar>
            </w:tblPr>
            <w:tblGrid>
              <w:gridCol w:w="556"/>
              <w:gridCol w:w="1314"/>
              <w:gridCol w:w="890"/>
              <w:gridCol w:w="753"/>
              <w:gridCol w:w="1058"/>
              <w:gridCol w:w="1040"/>
              <w:gridCol w:w="1357"/>
              <w:gridCol w:w="1229"/>
            </w:tblGrid>
            <w:tr w14:paraId="45DD2E74">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339" w:type="pct"/>
                  <w:tcBorders>
                    <w:top w:val="single" w:color="auto" w:sz="12" w:space="0"/>
                    <w:left w:val="single" w:color="auto" w:sz="4" w:space="0"/>
                    <w:bottom w:val="single" w:color="auto" w:sz="12" w:space="0"/>
                  </w:tcBorders>
                  <w:noWrap w:val="0"/>
                  <w:vAlign w:val="center"/>
                </w:tcPr>
                <w:p w14:paraId="28E36D2C">
                  <w:pPr>
                    <w:keepNext w:val="0"/>
                    <w:keepLines w:val="0"/>
                    <w:widowControl/>
                    <w:suppressLineNumbers w:val="0"/>
                    <w:spacing w:before="0" w:beforeAutospacing="0" w:after="0" w:afterAutospacing="0" w:line="240" w:lineRule="auto"/>
                    <w:ind w:left="0" w:right="0" w:firstLine="0" w:firstLineChars="0"/>
                    <w:jc w:val="center"/>
                    <w:rPr>
                      <w:rFonts w:hint="eastAsia"/>
                      <w:b/>
                      <w:bCs/>
                      <w:color w:val="auto"/>
                      <w:kern w:val="0"/>
                      <w:sz w:val="21"/>
                      <w:szCs w:val="21"/>
                      <w:u w:val="none"/>
                    </w:rPr>
                  </w:pPr>
                  <w:r>
                    <w:rPr>
                      <w:rFonts w:hint="eastAsia"/>
                      <w:b/>
                      <w:bCs/>
                      <w:color w:val="auto"/>
                      <w:kern w:val="0"/>
                      <w:sz w:val="21"/>
                      <w:szCs w:val="21"/>
                      <w:u w:val="none"/>
                    </w:rPr>
                    <w:t>序号</w:t>
                  </w:r>
                </w:p>
              </w:tc>
              <w:tc>
                <w:tcPr>
                  <w:tcW w:w="801" w:type="pct"/>
                  <w:tcBorders>
                    <w:top w:val="single" w:color="auto" w:sz="12" w:space="0"/>
                    <w:bottom w:val="single" w:color="auto" w:sz="12" w:space="0"/>
                  </w:tcBorders>
                  <w:noWrap w:val="0"/>
                  <w:vAlign w:val="center"/>
                </w:tcPr>
                <w:p w14:paraId="1E27F5C7">
                  <w:pPr>
                    <w:keepNext w:val="0"/>
                    <w:keepLines w:val="0"/>
                    <w:widowControl/>
                    <w:suppressLineNumbers w:val="0"/>
                    <w:spacing w:before="0" w:beforeAutospacing="0" w:after="0" w:afterAutospacing="0" w:line="240" w:lineRule="auto"/>
                    <w:ind w:left="0" w:right="0" w:firstLine="0" w:firstLineChars="0"/>
                    <w:jc w:val="center"/>
                    <w:rPr>
                      <w:rFonts w:hint="eastAsia"/>
                      <w:b/>
                      <w:bCs/>
                      <w:color w:val="auto"/>
                      <w:kern w:val="0"/>
                      <w:sz w:val="21"/>
                      <w:szCs w:val="21"/>
                      <w:u w:val="none"/>
                    </w:rPr>
                  </w:pPr>
                  <w:r>
                    <w:rPr>
                      <w:rFonts w:hint="eastAsia"/>
                      <w:b/>
                      <w:bCs/>
                      <w:color w:val="auto"/>
                      <w:kern w:val="0"/>
                      <w:sz w:val="21"/>
                      <w:szCs w:val="21"/>
                      <w:u w:val="none"/>
                    </w:rPr>
                    <w:t>原辅料名称</w:t>
                  </w:r>
                </w:p>
              </w:tc>
              <w:tc>
                <w:tcPr>
                  <w:tcW w:w="543" w:type="pct"/>
                  <w:tcBorders>
                    <w:top w:val="single" w:color="auto" w:sz="12" w:space="0"/>
                    <w:bottom w:val="single" w:color="auto" w:sz="12" w:space="0"/>
                  </w:tcBorders>
                  <w:noWrap w:val="0"/>
                  <w:vAlign w:val="center"/>
                </w:tcPr>
                <w:p w14:paraId="09B4ADB5">
                  <w:pPr>
                    <w:keepNext w:val="0"/>
                    <w:keepLines w:val="0"/>
                    <w:widowControl/>
                    <w:suppressLineNumbers w:val="0"/>
                    <w:spacing w:before="0" w:beforeAutospacing="0" w:after="0" w:afterAutospacing="0" w:line="240" w:lineRule="auto"/>
                    <w:ind w:left="0" w:right="0" w:firstLine="0" w:firstLineChars="0"/>
                    <w:jc w:val="center"/>
                    <w:rPr>
                      <w:rFonts w:hint="eastAsia"/>
                      <w:b/>
                      <w:bCs/>
                      <w:color w:val="auto"/>
                      <w:kern w:val="0"/>
                      <w:sz w:val="21"/>
                      <w:szCs w:val="21"/>
                      <w:u w:val="none"/>
                    </w:rPr>
                  </w:pPr>
                  <w:r>
                    <w:rPr>
                      <w:rFonts w:hint="eastAsia"/>
                      <w:b/>
                      <w:bCs/>
                      <w:color w:val="auto"/>
                      <w:kern w:val="0"/>
                      <w:sz w:val="21"/>
                      <w:szCs w:val="21"/>
                      <w:u w:val="none"/>
                    </w:rPr>
                    <w:t>单位</w:t>
                  </w:r>
                </w:p>
              </w:tc>
              <w:tc>
                <w:tcPr>
                  <w:tcW w:w="459" w:type="pct"/>
                  <w:tcBorders>
                    <w:top w:val="single" w:color="auto" w:sz="12" w:space="0"/>
                    <w:bottom w:val="single" w:color="auto" w:sz="12" w:space="0"/>
                  </w:tcBorders>
                  <w:noWrap w:val="0"/>
                  <w:vAlign w:val="center"/>
                </w:tcPr>
                <w:p w14:paraId="210217FE">
                  <w:pPr>
                    <w:keepNext w:val="0"/>
                    <w:keepLines w:val="0"/>
                    <w:widowControl/>
                    <w:suppressLineNumbers w:val="0"/>
                    <w:spacing w:before="0" w:beforeAutospacing="0" w:after="0" w:afterAutospacing="0" w:line="240" w:lineRule="auto"/>
                    <w:ind w:left="0" w:right="0" w:firstLine="0" w:firstLineChars="0"/>
                    <w:jc w:val="center"/>
                    <w:rPr>
                      <w:rFonts w:hint="eastAsia"/>
                      <w:b/>
                      <w:bCs/>
                      <w:color w:val="auto"/>
                      <w:kern w:val="0"/>
                      <w:sz w:val="21"/>
                      <w:szCs w:val="21"/>
                      <w:u w:val="none"/>
                    </w:rPr>
                  </w:pPr>
                  <w:r>
                    <w:rPr>
                      <w:rFonts w:hint="eastAsia"/>
                      <w:b/>
                      <w:bCs/>
                      <w:color w:val="auto"/>
                      <w:kern w:val="0"/>
                      <w:sz w:val="21"/>
                      <w:szCs w:val="21"/>
                      <w:u w:val="none"/>
                    </w:rPr>
                    <w:t>用量</w:t>
                  </w:r>
                </w:p>
              </w:tc>
              <w:tc>
                <w:tcPr>
                  <w:tcW w:w="645" w:type="pct"/>
                  <w:tcBorders>
                    <w:top w:val="single" w:color="auto" w:sz="12" w:space="0"/>
                    <w:bottom w:val="single" w:color="auto" w:sz="12" w:space="0"/>
                  </w:tcBorders>
                  <w:noWrap w:val="0"/>
                  <w:vAlign w:val="center"/>
                </w:tcPr>
                <w:p w14:paraId="3E1122A4">
                  <w:pPr>
                    <w:keepNext w:val="0"/>
                    <w:keepLines w:val="0"/>
                    <w:widowControl/>
                    <w:suppressLineNumbers w:val="0"/>
                    <w:spacing w:before="0" w:beforeAutospacing="0" w:after="0" w:afterAutospacing="0" w:line="240" w:lineRule="auto"/>
                    <w:ind w:left="0" w:right="0" w:firstLine="0" w:firstLineChars="0"/>
                    <w:jc w:val="center"/>
                    <w:rPr>
                      <w:rFonts w:hint="eastAsia"/>
                      <w:b/>
                      <w:bCs/>
                      <w:color w:val="auto"/>
                      <w:kern w:val="0"/>
                      <w:sz w:val="21"/>
                      <w:szCs w:val="21"/>
                      <w:u w:val="none"/>
                    </w:rPr>
                  </w:pPr>
                  <w:r>
                    <w:rPr>
                      <w:rFonts w:hint="eastAsia"/>
                      <w:b/>
                      <w:bCs/>
                      <w:color w:val="auto"/>
                      <w:kern w:val="0"/>
                      <w:sz w:val="21"/>
                      <w:szCs w:val="21"/>
                      <w:u w:val="none"/>
                    </w:rPr>
                    <w:t>最大存量</w:t>
                  </w:r>
                </w:p>
              </w:tc>
              <w:tc>
                <w:tcPr>
                  <w:tcW w:w="634" w:type="pct"/>
                  <w:tcBorders>
                    <w:top w:val="single" w:color="auto" w:sz="12" w:space="0"/>
                    <w:bottom w:val="single" w:color="auto" w:sz="12" w:space="0"/>
                  </w:tcBorders>
                  <w:noWrap w:val="0"/>
                  <w:vAlign w:val="center"/>
                </w:tcPr>
                <w:p w14:paraId="21739976">
                  <w:pPr>
                    <w:keepNext w:val="0"/>
                    <w:keepLines w:val="0"/>
                    <w:widowControl/>
                    <w:suppressLineNumbers w:val="0"/>
                    <w:spacing w:before="0" w:beforeAutospacing="0" w:after="0" w:afterAutospacing="0" w:line="240" w:lineRule="auto"/>
                    <w:ind w:left="0" w:right="0" w:firstLine="0" w:firstLineChars="0"/>
                    <w:jc w:val="center"/>
                    <w:rPr>
                      <w:rFonts w:hint="eastAsia"/>
                      <w:b/>
                      <w:bCs/>
                      <w:color w:val="auto"/>
                      <w:kern w:val="0"/>
                      <w:sz w:val="21"/>
                      <w:szCs w:val="21"/>
                      <w:u w:val="none"/>
                    </w:rPr>
                  </w:pPr>
                  <w:r>
                    <w:rPr>
                      <w:rFonts w:hint="eastAsia"/>
                      <w:b/>
                      <w:bCs/>
                      <w:color w:val="auto"/>
                      <w:kern w:val="0"/>
                      <w:sz w:val="21"/>
                      <w:szCs w:val="21"/>
                      <w:u w:val="none"/>
                    </w:rPr>
                    <w:t>储存方式</w:t>
                  </w:r>
                </w:p>
              </w:tc>
              <w:tc>
                <w:tcPr>
                  <w:tcW w:w="827" w:type="pct"/>
                  <w:tcBorders>
                    <w:top w:val="single" w:color="auto" w:sz="12" w:space="0"/>
                    <w:bottom w:val="single" w:color="auto" w:sz="12" w:space="0"/>
                  </w:tcBorders>
                  <w:noWrap w:val="0"/>
                  <w:vAlign w:val="center"/>
                </w:tcPr>
                <w:p w14:paraId="12755C6F">
                  <w:pPr>
                    <w:keepNext w:val="0"/>
                    <w:keepLines w:val="0"/>
                    <w:widowControl/>
                    <w:suppressLineNumbers w:val="0"/>
                    <w:spacing w:before="0" w:beforeAutospacing="0" w:after="0" w:afterAutospacing="0" w:line="240" w:lineRule="auto"/>
                    <w:ind w:left="0" w:right="0" w:firstLine="0" w:firstLineChars="0"/>
                    <w:jc w:val="center"/>
                    <w:rPr>
                      <w:rFonts w:hint="eastAsia"/>
                      <w:b/>
                      <w:bCs/>
                      <w:color w:val="auto"/>
                      <w:kern w:val="0"/>
                      <w:sz w:val="21"/>
                      <w:szCs w:val="21"/>
                      <w:u w:val="none"/>
                    </w:rPr>
                  </w:pPr>
                  <w:r>
                    <w:rPr>
                      <w:rFonts w:hint="eastAsia"/>
                      <w:b/>
                      <w:bCs/>
                      <w:color w:val="auto"/>
                      <w:kern w:val="0"/>
                      <w:sz w:val="21"/>
                      <w:szCs w:val="21"/>
                      <w:u w:val="none"/>
                    </w:rPr>
                    <w:t>规格</w:t>
                  </w:r>
                </w:p>
              </w:tc>
              <w:tc>
                <w:tcPr>
                  <w:tcW w:w="749" w:type="pct"/>
                  <w:tcBorders>
                    <w:top w:val="single" w:color="auto" w:sz="12" w:space="0"/>
                    <w:bottom w:val="single" w:color="auto" w:sz="12" w:space="0"/>
                    <w:right w:val="nil"/>
                  </w:tcBorders>
                  <w:noWrap w:val="0"/>
                  <w:vAlign w:val="center"/>
                </w:tcPr>
                <w:p w14:paraId="28307D2F">
                  <w:pPr>
                    <w:keepNext w:val="0"/>
                    <w:keepLines w:val="0"/>
                    <w:widowControl/>
                    <w:suppressLineNumbers w:val="0"/>
                    <w:spacing w:before="0" w:beforeAutospacing="0" w:after="0" w:afterAutospacing="0" w:line="240" w:lineRule="auto"/>
                    <w:ind w:left="0" w:right="0" w:firstLine="0" w:firstLineChars="0"/>
                    <w:jc w:val="center"/>
                    <w:rPr>
                      <w:rFonts w:hint="eastAsia"/>
                      <w:b/>
                      <w:bCs/>
                      <w:color w:val="auto"/>
                      <w:kern w:val="0"/>
                      <w:sz w:val="21"/>
                      <w:szCs w:val="21"/>
                      <w:u w:val="none"/>
                    </w:rPr>
                  </w:pPr>
                  <w:r>
                    <w:rPr>
                      <w:rFonts w:hint="eastAsia"/>
                      <w:b/>
                      <w:bCs/>
                      <w:color w:val="auto"/>
                      <w:kern w:val="0"/>
                      <w:sz w:val="21"/>
                      <w:szCs w:val="21"/>
                      <w:u w:val="none"/>
                    </w:rPr>
                    <w:t>备注</w:t>
                  </w:r>
                </w:p>
              </w:tc>
            </w:tr>
            <w:tr w14:paraId="12176388">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5000" w:type="pct"/>
                  <w:gridSpan w:val="8"/>
                  <w:tcBorders>
                    <w:top w:val="single" w:color="auto" w:sz="12" w:space="0"/>
                    <w:left w:val="nil"/>
                    <w:right w:val="nil"/>
                  </w:tcBorders>
                  <w:noWrap w:val="0"/>
                  <w:vAlign w:val="center"/>
                </w:tcPr>
                <w:p w14:paraId="6AEC2C98">
                  <w:pPr>
                    <w:keepNext w:val="0"/>
                    <w:keepLines w:val="0"/>
                    <w:widowControl/>
                    <w:suppressLineNumbers w:val="0"/>
                    <w:spacing w:before="0" w:beforeAutospacing="0" w:after="0" w:afterAutospacing="0" w:line="240" w:lineRule="auto"/>
                    <w:ind w:left="0" w:right="0" w:firstLine="0" w:firstLineChars="0"/>
                    <w:jc w:val="center"/>
                    <w:rPr>
                      <w:rFonts w:hint="eastAsia"/>
                      <w:color w:val="auto"/>
                      <w:kern w:val="0"/>
                      <w:sz w:val="21"/>
                      <w:szCs w:val="21"/>
                      <w:u w:val="none"/>
                    </w:rPr>
                  </w:pPr>
                  <w:r>
                    <w:rPr>
                      <w:rFonts w:hint="eastAsia"/>
                      <w:color w:val="auto"/>
                      <w:sz w:val="21"/>
                      <w:szCs w:val="21"/>
                      <w:lang w:val="en-US" w:eastAsia="zh-CN"/>
                    </w:rPr>
                    <w:t>注塑鞋底制造</w:t>
                  </w:r>
                </w:p>
              </w:tc>
            </w:tr>
            <w:tr w14:paraId="7615DEB8">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339" w:type="pct"/>
                  <w:tcBorders>
                    <w:left w:val="nil"/>
                  </w:tcBorders>
                  <w:shd w:val="clear" w:color="auto" w:fill="auto"/>
                  <w:noWrap w:val="0"/>
                  <w:vAlign w:val="center"/>
                </w:tcPr>
                <w:p w14:paraId="22328709">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1</w:t>
                  </w:r>
                </w:p>
              </w:tc>
              <w:tc>
                <w:tcPr>
                  <w:tcW w:w="801" w:type="pct"/>
                  <w:shd w:val="clear" w:color="auto" w:fill="auto"/>
                  <w:noWrap w:val="0"/>
                  <w:vAlign w:val="center"/>
                </w:tcPr>
                <w:p w14:paraId="7EE31993">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PVC粉</w:t>
                  </w:r>
                </w:p>
              </w:tc>
              <w:tc>
                <w:tcPr>
                  <w:tcW w:w="543" w:type="pct"/>
                  <w:shd w:val="clear" w:color="auto" w:fill="auto"/>
                  <w:noWrap w:val="0"/>
                  <w:vAlign w:val="center"/>
                </w:tcPr>
                <w:p w14:paraId="62BF669E">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t/a</w:t>
                  </w:r>
                </w:p>
              </w:tc>
              <w:tc>
                <w:tcPr>
                  <w:tcW w:w="459" w:type="pct"/>
                  <w:shd w:val="clear" w:color="auto" w:fill="auto"/>
                  <w:noWrap w:val="0"/>
                  <w:vAlign w:val="center"/>
                </w:tcPr>
                <w:p w14:paraId="7CBA1974">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192</w:t>
                  </w:r>
                </w:p>
              </w:tc>
              <w:tc>
                <w:tcPr>
                  <w:tcW w:w="645" w:type="pct"/>
                  <w:shd w:val="clear" w:color="auto" w:fill="auto"/>
                  <w:noWrap w:val="0"/>
                  <w:vAlign w:val="center"/>
                </w:tcPr>
                <w:p w14:paraId="1591357F">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5</w:t>
                  </w:r>
                </w:p>
              </w:tc>
              <w:tc>
                <w:tcPr>
                  <w:tcW w:w="634" w:type="pct"/>
                  <w:shd w:val="clear" w:color="auto" w:fill="auto"/>
                  <w:noWrap w:val="0"/>
                  <w:vAlign w:val="center"/>
                </w:tcPr>
                <w:p w14:paraId="5552DE7D">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袋装</w:t>
                  </w:r>
                </w:p>
              </w:tc>
              <w:tc>
                <w:tcPr>
                  <w:tcW w:w="827" w:type="pct"/>
                  <w:shd w:val="clear" w:color="auto" w:fill="auto"/>
                  <w:noWrap w:val="0"/>
                  <w:vAlign w:val="center"/>
                </w:tcPr>
                <w:p w14:paraId="04017D35">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25</w:t>
                  </w:r>
                  <w:r>
                    <w:rPr>
                      <w:rFonts w:hint="eastAsia"/>
                      <w:color w:val="auto"/>
                      <w:kern w:val="0"/>
                      <w:sz w:val="21"/>
                      <w:szCs w:val="21"/>
                      <w:u w:val="none"/>
                    </w:rPr>
                    <w:t>kg/袋</w:t>
                  </w:r>
                </w:p>
              </w:tc>
              <w:tc>
                <w:tcPr>
                  <w:tcW w:w="749" w:type="pct"/>
                  <w:vMerge w:val="restart"/>
                  <w:tcBorders>
                    <w:right w:val="nil"/>
                  </w:tcBorders>
                  <w:shd w:val="clear" w:color="auto" w:fill="auto"/>
                  <w:noWrap w:val="0"/>
                  <w:vAlign w:val="center"/>
                </w:tcPr>
                <w:p w14:paraId="6632523B">
                  <w:pPr>
                    <w:keepNext w:val="0"/>
                    <w:keepLines w:val="0"/>
                    <w:widowControl/>
                    <w:suppressLineNumbers w:val="0"/>
                    <w:spacing w:before="0" w:beforeAutospacing="0" w:after="0" w:afterAutospacing="0" w:line="240" w:lineRule="auto"/>
                    <w:ind w:left="0" w:right="0" w:firstLine="0" w:firstLineChars="0"/>
                    <w:jc w:val="center"/>
                    <w:rPr>
                      <w:rFonts w:hint="eastAsia"/>
                      <w:color w:val="auto"/>
                      <w:kern w:val="0"/>
                      <w:sz w:val="21"/>
                      <w:szCs w:val="21"/>
                      <w:u w:val="none"/>
                    </w:rPr>
                  </w:pPr>
                  <w:r>
                    <w:rPr>
                      <w:rFonts w:hint="eastAsia"/>
                      <w:color w:val="auto"/>
                      <w:kern w:val="0"/>
                      <w:sz w:val="21"/>
                      <w:szCs w:val="21"/>
                      <w:u w:val="none"/>
                    </w:rPr>
                    <w:t>外购</w:t>
                  </w:r>
                </w:p>
              </w:tc>
            </w:tr>
            <w:tr w14:paraId="17287C8A">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339" w:type="pct"/>
                  <w:tcBorders>
                    <w:left w:val="nil"/>
                  </w:tcBorders>
                  <w:shd w:val="clear" w:color="auto" w:fill="auto"/>
                  <w:noWrap w:val="0"/>
                  <w:vAlign w:val="center"/>
                </w:tcPr>
                <w:p w14:paraId="7607904A">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2</w:t>
                  </w:r>
                </w:p>
              </w:tc>
              <w:tc>
                <w:tcPr>
                  <w:tcW w:w="801" w:type="pct"/>
                  <w:shd w:val="clear" w:color="auto" w:fill="auto"/>
                  <w:noWrap w:val="0"/>
                  <w:vAlign w:val="center"/>
                </w:tcPr>
                <w:p w14:paraId="0EA2A90D">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eastAsia="宋体"/>
                      <w:color w:val="auto"/>
                      <w:kern w:val="0"/>
                      <w:sz w:val="21"/>
                      <w:szCs w:val="21"/>
                      <w:u w:val="none"/>
                      <w:lang w:val="en-US" w:eastAsia="zh-CN"/>
                    </w:rPr>
                    <w:t>邻苯二甲酸二丁酯</w:t>
                  </w:r>
                  <w:r>
                    <w:rPr>
                      <w:rFonts w:hint="eastAsia"/>
                      <w:color w:val="auto"/>
                      <w:kern w:val="0"/>
                      <w:sz w:val="21"/>
                      <w:szCs w:val="21"/>
                      <w:u w:val="none"/>
                      <w:lang w:val="en-US" w:eastAsia="zh-CN"/>
                    </w:rPr>
                    <w:t>（增塑剂）</w:t>
                  </w:r>
                </w:p>
              </w:tc>
              <w:tc>
                <w:tcPr>
                  <w:tcW w:w="543" w:type="pct"/>
                  <w:shd w:val="clear" w:color="auto" w:fill="auto"/>
                  <w:noWrap w:val="0"/>
                  <w:vAlign w:val="center"/>
                </w:tcPr>
                <w:p w14:paraId="4564DCEE">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t/a</w:t>
                  </w:r>
                </w:p>
              </w:tc>
              <w:tc>
                <w:tcPr>
                  <w:tcW w:w="459" w:type="pct"/>
                  <w:shd w:val="clear" w:color="auto" w:fill="auto"/>
                  <w:noWrap w:val="0"/>
                  <w:vAlign w:val="center"/>
                </w:tcPr>
                <w:p w14:paraId="7F119DC9">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146</w:t>
                  </w:r>
                </w:p>
              </w:tc>
              <w:tc>
                <w:tcPr>
                  <w:tcW w:w="645" w:type="pct"/>
                  <w:shd w:val="clear" w:color="auto" w:fill="auto"/>
                  <w:noWrap w:val="0"/>
                  <w:vAlign w:val="center"/>
                </w:tcPr>
                <w:p w14:paraId="636D71C3">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4</w:t>
                  </w:r>
                </w:p>
              </w:tc>
              <w:tc>
                <w:tcPr>
                  <w:tcW w:w="634" w:type="pct"/>
                  <w:shd w:val="clear" w:color="auto" w:fill="auto"/>
                  <w:noWrap w:val="0"/>
                  <w:vAlign w:val="center"/>
                </w:tcPr>
                <w:p w14:paraId="694558F5">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储罐</w:t>
                  </w:r>
                </w:p>
              </w:tc>
              <w:tc>
                <w:tcPr>
                  <w:tcW w:w="827" w:type="pct"/>
                  <w:shd w:val="clear" w:color="auto" w:fill="auto"/>
                  <w:noWrap w:val="0"/>
                  <w:vAlign w:val="center"/>
                </w:tcPr>
                <w:p w14:paraId="49DA7DCD">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5t/罐</w:t>
                  </w:r>
                </w:p>
              </w:tc>
              <w:tc>
                <w:tcPr>
                  <w:tcW w:w="749" w:type="pct"/>
                  <w:vMerge w:val="continue"/>
                  <w:tcBorders>
                    <w:right w:val="nil"/>
                  </w:tcBorders>
                  <w:shd w:val="clear" w:color="auto" w:fill="auto"/>
                  <w:noWrap w:val="0"/>
                  <w:vAlign w:val="center"/>
                </w:tcPr>
                <w:p w14:paraId="4BC60D8B">
                  <w:pPr>
                    <w:keepNext w:val="0"/>
                    <w:keepLines w:val="0"/>
                    <w:widowControl/>
                    <w:suppressLineNumbers w:val="0"/>
                    <w:spacing w:before="0" w:beforeAutospacing="0" w:after="0" w:afterAutospacing="0" w:line="240" w:lineRule="auto"/>
                    <w:ind w:left="0" w:right="0" w:firstLine="0" w:firstLineChars="0"/>
                    <w:jc w:val="center"/>
                    <w:rPr>
                      <w:rFonts w:hint="eastAsia"/>
                      <w:color w:val="auto"/>
                      <w:kern w:val="0"/>
                      <w:sz w:val="21"/>
                      <w:szCs w:val="21"/>
                      <w:u w:val="none"/>
                    </w:rPr>
                  </w:pPr>
                </w:p>
              </w:tc>
            </w:tr>
            <w:tr w14:paraId="307A92D9">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339" w:type="pct"/>
                  <w:tcBorders>
                    <w:left w:val="nil"/>
                  </w:tcBorders>
                  <w:shd w:val="clear" w:color="auto" w:fill="auto"/>
                  <w:noWrap w:val="0"/>
                  <w:vAlign w:val="center"/>
                </w:tcPr>
                <w:p w14:paraId="7E6CDCC1">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3</w:t>
                  </w:r>
                </w:p>
              </w:tc>
              <w:tc>
                <w:tcPr>
                  <w:tcW w:w="801" w:type="pct"/>
                  <w:shd w:val="clear" w:color="auto" w:fill="auto"/>
                  <w:noWrap w:val="0"/>
                  <w:vAlign w:val="center"/>
                </w:tcPr>
                <w:p w14:paraId="1CC9BE98">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ascii="Times New Roman" w:hAnsi="Times New Roman" w:eastAsia="宋体" w:cs="Times New Roman"/>
                      <w:color w:val="auto"/>
                      <w:kern w:val="0"/>
                      <w:sz w:val="21"/>
                      <w:szCs w:val="21"/>
                      <w:u w:val="none"/>
                      <w:lang w:val="en-US" w:eastAsia="zh-CN"/>
                    </w:rPr>
                    <w:t>碳酸钙</w:t>
                  </w:r>
                </w:p>
              </w:tc>
              <w:tc>
                <w:tcPr>
                  <w:tcW w:w="543" w:type="pct"/>
                  <w:shd w:val="clear" w:color="auto" w:fill="auto"/>
                  <w:noWrap w:val="0"/>
                  <w:vAlign w:val="center"/>
                </w:tcPr>
                <w:p w14:paraId="6E82950D">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t/a</w:t>
                  </w:r>
                </w:p>
              </w:tc>
              <w:tc>
                <w:tcPr>
                  <w:tcW w:w="459" w:type="pct"/>
                  <w:shd w:val="clear" w:color="auto" w:fill="auto"/>
                  <w:noWrap w:val="0"/>
                  <w:vAlign w:val="center"/>
                </w:tcPr>
                <w:p w14:paraId="2C65432B">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128</w:t>
                  </w:r>
                </w:p>
              </w:tc>
              <w:tc>
                <w:tcPr>
                  <w:tcW w:w="645" w:type="pct"/>
                  <w:shd w:val="clear" w:color="auto" w:fill="auto"/>
                  <w:noWrap w:val="0"/>
                  <w:vAlign w:val="center"/>
                </w:tcPr>
                <w:p w14:paraId="4E12FB9A">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4</w:t>
                  </w:r>
                </w:p>
              </w:tc>
              <w:tc>
                <w:tcPr>
                  <w:tcW w:w="634" w:type="pct"/>
                  <w:shd w:val="clear" w:color="auto" w:fill="auto"/>
                  <w:noWrap w:val="0"/>
                  <w:vAlign w:val="center"/>
                </w:tcPr>
                <w:p w14:paraId="58E8385D">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袋装</w:t>
                  </w:r>
                </w:p>
              </w:tc>
              <w:tc>
                <w:tcPr>
                  <w:tcW w:w="827" w:type="pct"/>
                  <w:shd w:val="clear" w:color="auto" w:fill="auto"/>
                  <w:noWrap w:val="0"/>
                  <w:vAlign w:val="center"/>
                </w:tcPr>
                <w:p w14:paraId="1B840D9C">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25</w:t>
                  </w:r>
                  <w:r>
                    <w:rPr>
                      <w:rFonts w:hint="eastAsia"/>
                      <w:color w:val="auto"/>
                      <w:kern w:val="0"/>
                      <w:sz w:val="21"/>
                      <w:szCs w:val="21"/>
                      <w:u w:val="none"/>
                    </w:rPr>
                    <w:t>kg/袋</w:t>
                  </w:r>
                </w:p>
              </w:tc>
              <w:tc>
                <w:tcPr>
                  <w:tcW w:w="749" w:type="pct"/>
                  <w:vMerge w:val="continue"/>
                  <w:tcBorders>
                    <w:right w:val="nil"/>
                  </w:tcBorders>
                  <w:shd w:val="clear" w:color="auto" w:fill="auto"/>
                  <w:noWrap w:val="0"/>
                  <w:vAlign w:val="center"/>
                </w:tcPr>
                <w:p w14:paraId="4FAE44B5">
                  <w:pPr>
                    <w:keepNext w:val="0"/>
                    <w:keepLines w:val="0"/>
                    <w:widowControl/>
                    <w:suppressLineNumbers w:val="0"/>
                    <w:spacing w:before="0" w:beforeAutospacing="0" w:after="0" w:afterAutospacing="0" w:line="240" w:lineRule="auto"/>
                    <w:ind w:left="0" w:right="0" w:firstLine="0" w:firstLineChars="0"/>
                    <w:jc w:val="center"/>
                    <w:rPr>
                      <w:rFonts w:hint="eastAsia"/>
                      <w:color w:val="auto"/>
                      <w:kern w:val="0"/>
                      <w:sz w:val="21"/>
                      <w:szCs w:val="21"/>
                      <w:u w:val="none"/>
                    </w:rPr>
                  </w:pPr>
                </w:p>
              </w:tc>
            </w:tr>
            <w:tr w14:paraId="36BCCCD4">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PrEx>
              <w:trPr>
                <w:trHeight w:val="340" w:hRule="atLeast"/>
                <w:jc w:val="center"/>
              </w:trPr>
              <w:tc>
                <w:tcPr>
                  <w:tcW w:w="339" w:type="pct"/>
                  <w:tcBorders>
                    <w:left w:val="nil"/>
                  </w:tcBorders>
                  <w:shd w:val="clear" w:color="auto" w:fill="auto"/>
                  <w:noWrap w:val="0"/>
                  <w:vAlign w:val="center"/>
                </w:tcPr>
                <w:p w14:paraId="15CEAFBF">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4</w:t>
                  </w:r>
                </w:p>
              </w:tc>
              <w:tc>
                <w:tcPr>
                  <w:tcW w:w="801" w:type="pct"/>
                  <w:shd w:val="clear" w:color="auto" w:fill="auto"/>
                  <w:noWrap w:val="0"/>
                  <w:vAlign w:val="center"/>
                </w:tcPr>
                <w:p w14:paraId="6FB058FA">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ascii="Times New Roman" w:hAnsi="Times New Roman" w:eastAsia="宋体" w:cs="Times New Roman"/>
                      <w:color w:val="auto"/>
                      <w:kern w:val="0"/>
                      <w:sz w:val="21"/>
                      <w:szCs w:val="21"/>
                      <w:u w:val="none"/>
                      <w:lang w:val="en-US" w:eastAsia="zh-CN"/>
                    </w:rPr>
                    <w:t>钛白粉</w:t>
                  </w:r>
                </w:p>
              </w:tc>
              <w:tc>
                <w:tcPr>
                  <w:tcW w:w="543" w:type="pct"/>
                  <w:shd w:val="clear" w:color="auto" w:fill="auto"/>
                  <w:noWrap w:val="0"/>
                  <w:vAlign w:val="center"/>
                </w:tcPr>
                <w:p w14:paraId="231B1E28">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t/a</w:t>
                  </w:r>
                </w:p>
              </w:tc>
              <w:tc>
                <w:tcPr>
                  <w:tcW w:w="459" w:type="pct"/>
                  <w:shd w:val="clear" w:color="auto" w:fill="auto"/>
                  <w:noWrap w:val="0"/>
                  <w:vAlign w:val="center"/>
                </w:tcPr>
                <w:p w14:paraId="699B4C7C">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12</w:t>
                  </w:r>
                </w:p>
              </w:tc>
              <w:tc>
                <w:tcPr>
                  <w:tcW w:w="645" w:type="pct"/>
                  <w:shd w:val="clear" w:color="auto" w:fill="auto"/>
                  <w:noWrap w:val="0"/>
                  <w:vAlign w:val="center"/>
                </w:tcPr>
                <w:p w14:paraId="4AE5A115">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1</w:t>
                  </w:r>
                </w:p>
              </w:tc>
              <w:tc>
                <w:tcPr>
                  <w:tcW w:w="634" w:type="pct"/>
                  <w:shd w:val="clear" w:color="auto" w:fill="auto"/>
                  <w:noWrap w:val="0"/>
                  <w:vAlign w:val="center"/>
                </w:tcPr>
                <w:p w14:paraId="250B3529">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袋装</w:t>
                  </w:r>
                </w:p>
              </w:tc>
              <w:tc>
                <w:tcPr>
                  <w:tcW w:w="827" w:type="pct"/>
                  <w:shd w:val="clear" w:color="auto" w:fill="auto"/>
                  <w:noWrap w:val="0"/>
                  <w:vAlign w:val="center"/>
                </w:tcPr>
                <w:p w14:paraId="6A7243C0">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25</w:t>
                  </w:r>
                  <w:r>
                    <w:rPr>
                      <w:rFonts w:hint="eastAsia"/>
                      <w:color w:val="auto"/>
                      <w:kern w:val="0"/>
                      <w:sz w:val="21"/>
                      <w:szCs w:val="21"/>
                      <w:u w:val="none"/>
                    </w:rPr>
                    <w:t>kg/袋</w:t>
                  </w:r>
                </w:p>
              </w:tc>
              <w:tc>
                <w:tcPr>
                  <w:tcW w:w="749" w:type="pct"/>
                  <w:vMerge w:val="continue"/>
                  <w:tcBorders>
                    <w:right w:val="nil"/>
                  </w:tcBorders>
                  <w:shd w:val="clear" w:color="auto" w:fill="auto"/>
                  <w:noWrap w:val="0"/>
                  <w:vAlign w:val="center"/>
                </w:tcPr>
                <w:p w14:paraId="21020BB0">
                  <w:pPr>
                    <w:keepNext w:val="0"/>
                    <w:keepLines w:val="0"/>
                    <w:widowControl/>
                    <w:suppressLineNumbers w:val="0"/>
                    <w:spacing w:before="0" w:beforeAutospacing="0" w:after="0" w:afterAutospacing="0" w:line="240" w:lineRule="auto"/>
                    <w:ind w:left="0" w:right="0" w:firstLine="0" w:firstLineChars="0"/>
                    <w:jc w:val="center"/>
                    <w:rPr>
                      <w:rFonts w:hint="eastAsia"/>
                      <w:color w:val="auto"/>
                      <w:kern w:val="0"/>
                      <w:sz w:val="21"/>
                      <w:szCs w:val="21"/>
                      <w:u w:val="none"/>
                    </w:rPr>
                  </w:pPr>
                </w:p>
              </w:tc>
            </w:tr>
            <w:tr w14:paraId="2130BEEB">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339" w:type="pct"/>
                  <w:tcBorders>
                    <w:left w:val="nil"/>
                  </w:tcBorders>
                  <w:shd w:val="clear" w:color="auto" w:fill="auto"/>
                  <w:noWrap w:val="0"/>
                  <w:vAlign w:val="center"/>
                </w:tcPr>
                <w:p w14:paraId="5C186A17">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5</w:t>
                  </w:r>
                </w:p>
              </w:tc>
              <w:tc>
                <w:tcPr>
                  <w:tcW w:w="801" w:type="pct"/>
                  <w:shd w:val="clear" w:color="auto" w:fill="auto"/>
                  <w:noWrap w:val="0"/>
                  <w:vAlign w:val="center"/>
                </w:tcPr>
                <w:p w14:paraId="6A4D0FFE">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ascii="Times New Roman" w:hAnsi="Times New Roman" w:eastAsia="宋体" w:cs="Times New Roman"/>
                      <w:color w:val="auto"/>
                      <w:kern w:val="0"/>
                      <w:sz w:val="21"/>
                      <w:szCs w:val="21"/>
                      <w:u w:val="none"/>
                      <w:lang w:val="en-US" w:eastAsia="zh-CN"/>
                    </w:rPr>
                    <w:t>发泡剂</w:t>
                  </w:r>
                </w:p>
              </w:tc>
              <w:tc>
                <w:tcPr>
                  <w:tcW w:w="543" w:type="pct"/>
                  <w:shd w:val="clear" w:color="auto" w:fill="auto"/>
                  <w:noWrap w:val="0"/>
                  <w:vAlign w:val="center"/>
                </w:tcPr>
                <w:p w14:paraId="0B69EAB6">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t/a</w:t>
                  </w:r>
                </w:p>
              </w:tc>
              <w:tc>
                <w:tcPr>
                  <w:tcW w:w="459" w:type="pct"/>
                  <w:shd w:val="clear" w:color="auto" w:fill="auto"/>
                  <w:noWrap w:val="0"/>
                  <w:vAlign w:val="center"/>
                </w:tcPr>
                <w:p w14:paraId="10C8162A">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6</w:t>
                  </w:r>
                </w:p>
              </w:tc>
              <w:tc>
                <w:tcPr>
                  <w:tcW w:w="645" w:type="pct"/>
                  <w:shd w:val="clear" w:color="auto" w:fill="auto"/>
                  <w:noWrap w:val="0"/>
                  <w:vAlign w:val="center"/>
                </w:tcPr>
                <w:p w14:paraId="16CC3B77">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0.5</w:t>
                  </w:r>
                </w:p>
              </w:tc>
              <w:tc>
                <w:tcPr>
                  <w:tcW w:w="634" w:type="pct"/>
                  <w:shd w:val="clear" w:color="auto" w:fill="auto"/>
                  <w:noWrap w:val="0"/>
                  <w:vAlign w:val="center"/>
                </w:tcPr>
                <w:p w14:paraId="249DDD12">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袋装</w:t>
                  </w:r>
                </w:p>
              </w:tc>
              <w:tc>
                <w:tcPr>
                  <w:tcW w:w="827" w:type="pct"/>
                  <w:shd w:val="clear" w:color="auto" w:fill="auto"/>
                  <w:noWrap w:val="0"/>
                  <w:vAlign w:val="center"/>
                </w:tcPr>
                <w:p w14:paraId="3DF69C89">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25</w:t>
                  </w:r>
                  <w:r>
                    <w:rPr>
                      <w:rFonts w:hint="eastAsia"/>
                      <w:color w:val="auto"/>
                      <w:kern w:val="0"/>
                      <w:sz w:val="21"/>
                      <w:szCs w:val="21"/>
                      <w:u w:val="none"/>
                    </w:rPr>
                    <w:t>kg/袋</w:t>
                  </w:r>
                </w:p>
              </w:tc>
              <w:tc>
                <w:tcPr>
                  <w:tcW w:w="749" w:type="pct"/>
                  <w:vMerge w:val="continue"/>
                  <w:tcBorders>
                    <w:right w:val="nil"/>
                  </w:tcBorders>
                  <w:shd w:val="clear" w:color="auto" w:fill="auto"/>
                  <w:noWrap w:val="0"/>
                  <w:vAlign w:val="center"/>
                </w:tcPr>
                <w:p w14:paraId="083D3E43">
                  <w:pPr>
                    <w:keepNext w:val="0"/>
                    <w:keepLines w:val="0"/>
                    <w:widowControl/>
                    <w:suppressLineNumbers w:val="0"/>
                    <w:spacing w:before="0" w:beforeAutospacing="0" w:after="0" w:afterAutospacing="0" w:line="240" w:lineRule="auto"/>
                    <w:ind w:left="0" w:right="0" w:firstLine="0" w:firstLineChars="0"/>
                    <w:jc w:val="center"/>
                    <w:rPr>
                      <w:rFonts w:hint="eastAsia"/>
                      <w:color w:val="auto"/>
                      <w:kern w:val="0"/>
                      <w:sz w:val="21"/>
                      <w:szCs w:val="21"/>
                      <w:u w:val="none"/>
                    </w:rPr>
                  </w:pPr>
                </w:p>
              </w:tc>
            </w:tr>
            <w:tr w14:paraId="3ACAB81E">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PrEx>
              <w:trPr>
                <w:trHeight w:val="340" w:hRule="atLeast"/>
                <w:jc w:val="center"/>
              </w:trPr>
              <w:tc>
                <w:tcPr>
                  <w:tcW w:w="339" w:type="pct"/>
                  <w:tcBorders>
                    <w:left w:val="nil"/>
                  </w:tcBorders>
                  <w:shd w:val="clear" w:color="auto" w:fill="auto"/>
                  <w:noWrap w:val="0"/>
                  <w:vAlign w:val="center"/>
                </w:tcPr>
                <w:p w14:paraId="04FB338E">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6</w:t>
                  </w:r>
                </w:p>
              </w:tc>
              <w:tc>
                <w:tcPr>
                  <w:tcW w:w="801" w:type="pct"/>
                  <w:shd w:val="clear" w:color="auto" w:fill="auto"/>
                  <w:noWrap w:val="0"/>
                  <w:vAlign w:val="center"/>
                </w:tcPr>
                <w:p w14:paraId="15423DCD">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ascii="Times New Roman" w:hAnsi="Times New Roman" w:eastAsia="宋体" w:cs="Times New Roman"/>
                      <w:color w:val="auto"/>
                      <w:kern w:val="0"/>
                      <w:sz w:val="21"/>
                      <w:szCs w:val="21"/>
                      <w:u w:val="none"/>
                      <w:lang w:val="en-US" w:eastAsia="zh-CN"/>
                    </w:rPr>
                    <w:t>稳定剂</w:t>
                  </w:r>
                </w:p>
              </w:tc>
              <w:tc>
                <w:tcPr>
                  <w:tcW w:w="543" w:type="pct"/>
                  <w:shd w:val="clear" w:color="auto" w:fill="auto"/>
                  <w:noWrap w:val="0"/>
                  <w:vAlign w:val="center"/>
                </w:tcPr>
                <w:p w14:paraId="0DCD4E87">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t/a</w:t>
                  </w:r>
                </w:p>
              </w:tc>
              <w:tc>
                <w:tcPr>
                  <w:tcW w:w="459" w:type="pct"/>
                  <w:shd w:val="clear" w:color="auto" w:fill="auto"/>
                  <w:noWrap w:val="0"/>
                  <w:vAlign w:val="center"/>
                </w:tcPr>
                <w:p w14:paraId="2041954C">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4</w:t>
                  </w:r>
                </w:p>
              </w:tc>
              <w:tc>
                <w:tcPr>
                  <w:tcW w:w="645" w:type="pct"/>
                  <w:shd w:val="clear" w:color="auto" w:fill="auto"/>
                  <w:noWrap w:val="0"/>
                  <w:vAlign w:val="center"/>
                </w:tcPr>
                <w:p w14:paraId="4B78CAB4">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0.5</w:t>
                  </w:r>
                </w:p>
              </w:tc>
              <w:tc>
                <w:tcPr>
                  <w:tcW w:w="634" w:type="pct"/>
                  <w:shd w:val="clear" w:color="auto" w:fill="auto"/>
                  <w:noWrap w:val="0"/>
                  <w:vAlign w:val="center"/>
                </w:tcPr>
                <w:p w14:paraId="1E858003">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袋装</w:t>
                  </w:r>
                </w:p>
              </w:tc>
              <w:tc>
                <w:tcPr>
                  <w:tcW w:w="827" w:type="pct"/>
                  <w:shd w:val="clear" w:color="auto" w:fill="auto"/>
                  <w:noWrap w:val="0"/>
                  <w:vAlign w:val="center"/>
                </w:tcPr>
                <w:p w14:paraId="6F4DE9B6">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25</w:t>
                  </w:r>
                  <w:r>
                    <w:rPr>
                      <w:rFonts w:hint="eastAsia"/>
                      <w:color w:val="auto"/>
                      <w:kern w:val="0"/>
                      <w:sz w:val="21"/>
                      <w:szCs w:val="21"/>
                      <w:u w:val="none"/>
                    </w:rPr>
                    <w:t>kg/袋</w:t>
                  </w:r>
                </w:p>
              </w:tc>
              <w:tc>
                <w:tcPr>
                  <w:tcW w:w="749" w:type="pct"/>
                  <w:vMerge w:val="continue"/>
                  <w:tcBorders>
                    <w:right w:val="nil"/>
                  </w:tcBorders>
                  <w:shd w:val="clear" w:color="auto" w:fill="auto"/>
                  <w:noWrap w:val="0"/>
                  <w:vAlign w:val="center"/>
                </w:tcPr>
                <w:p w14:paraId="65049117">
                  <w:pPr>
                    <w:keepNext w:val="0"/>
                    <w:keepLines w:val="0"/>
                    <w:widowControl/>
                    <w:suppressLineNumbers w:val="0"/>
                    <w:spacing w:before="0" w:beforeAutospacing="0" w:after="0" w:afterAutospacing="0" w:line="240" w:lineRule="auto"/>
                    <w:ind w:left="0" w:right="0" w:firstLine="0" w:firstLineChars="0"/>
                    <w:jc w:val="center"/>
                    <w:rPr>
                      <w:rFonts w:hint="eastAsia"/>
                      <w:color w:val="auto"/>
                      <w:kern w:val="0"/>
                      <w:sz w:val="21"/>
                      <w:szCs w:val="21"/>
                      <w:u w:val="none"/>
                    </w:rPr>
                  </w:pPr>
                </w:p>
              </w:tc>
            </w:tr>
            <w:tr w14:paraId="35430522">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339" w:type="pct"/>
                  <w:tcBorders>
                    <w:left w:val="nil"/>
                  </w:tcBorders>
                  <w:shd w:val="clear" w:color="auto" w:fill="auto"/>
                  <w:noWrap w:val="0"/>
                  <w:vAlign w:val="center"/>
                </w:tcPr>
                <w:p w14:paraId="07048929">
                  <w:pPr>
                    <w:keepNext w:val="0"/>
                    <w:keepLines w:val="0"/>
                    <w:widowControl/>
                    <w:suppressLineNumbers w:val="0"/>
                    <w:spacing w:before="0" w:beforeAutospacing="0" w:after="0" w:afterAutospacing="0" w:line="240" w:lineRule="auto"/>
                    <w:ind w:left="0" w:right="0" w:firstLine="0" w:firstLineChars="0"/>
                    <w:jc w:val="center"/>
                    <w:rPr>
                      <w:rFonts w:hint="eastAsia" w:eastAsia="宋体"/>
                      <w:color w:val="auto"/>
                      <w:kern w:val="0"/>
                      <w:sz w:val="21"/>
                      <w:szCs w:val="21"/>
                      <w:u w:val="none"/>
                      <w:lang w:val="en-US" w:eastAsia="zh-CN"/>
                    </w:rPr>
                  </w:pPr>
                  <w:r>
                    <w:rPr>
                      <w:rFonts w:hint="eastAsia"/>
                      <w:color w:val="auto"/>
                      <w:kern w:val="0"/>
                      <w:sz w:val="21"/>
                      <w:szCs w:val="21"/>
                      <w:u w:val="none"/>
                      <w:lang w:val="en-US" w:eastAsia="zh-CN"/>
                    </w:rPr>
                    <w:t>7</w:t>
                  </w:r>
                </w:p>
              </w:tc>
              <w:tc>
                <w:tcPr>
                  <w:tcW w:w="801" w:type="pct"/>
                  <w:shd w:val="clear" w:color="auto" w:fill="auto"/>
                  <w:noWrap w:val="0"/>
                  <w:vAlign w:val="center"/>
                </w:tcPr>
                <w:p w14:paraId="702FF43D">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ascii="Times New Roman" w:hAnsi="Times New Roman" w:eastAsia="宋体" w:cs="Times New Roman"/>
                      <w:color w:val="auto"/>
                      <w:kern w:val="0"/>
                      <w:sz w:val="21"/>
                      <w:szCs w:val="21"/>
                      <w:u w:val="none"/>
                      <w:lang w:val="en-US" w:eastAsia="zh-CN"/>
                    </w:rPr>
                    <w:t>硬脂酸</w:t>
                  </w:r>
                </w:p>
              </w:tc>
              <w:tc>
                <w:tcPr>
                  <w:tcW w:w="543" w:type="pct"/>
                  <w:shd w:val="clear" w:color="auto" w:fill="auto"/>
                  <w:noWrap w:val="0"/>
                  <w:vAlign w:val="center"/>
                </w:tcPr>
                <w:p w14:paraId="5E281D7D">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t/a</w:t>
                  </w:r>
                </w:p>
              </w:tc>
              <w:tc>
                <w:tcPr>
                  <w:tcW w:w="459" w:type="pct"/>
                  <w:shd w:val="clear" w:color="auto" w:fill="auto"/>
                  <w:noWrap w:val="0"/>
                  <w:vAlign w:val="center"/>
                </w:tcPr>
                <w:p w14:paraId="6A4896D1">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8</w:t>
                  </w:r>
                </w:p>
              </w:tc>
              <w:tc>
                <w:tcPr>
                  <w:tcW w:w="645" w:type="pct"/>
                  <w:shd w:val="clear" w:color="auto" w:fill="auto"/>
                  <w:noWrap w:val="0"/>
                  <w:vAlign w:val="center"/>
                </w:tcPr>
                <w:p w14:paraId="6EFD1871">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0.5</w:t>
                  </w:r>
                </w:p>
              </w:tc>
              <w:tc>
                <w:tcPr>
                  <w:tcW w:w="634" w:type="pct"/>
                  <w:shd w:val="clear" w:color="auto" w:fill="auto"/>
                  <w:noWrap w:val="0"/>
                  <w:vAlign w:val="center"/>
                </w:tcPr>
                <w:p w14:paraId="605BF8F8">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袋装</w:t>
                  </w:r>
                </w:p>
              </w:tc>
              <w:tc>
                <w:tcPr>
                  <w:tcW w:w="827" w:type="pct"/>
                  <w:shd w:val="clear" w:color="auto" w:fill="auto"/>
                  <w:noWrap w:val="0"/>
                  <w:vAlign w:val="center"/>
                </w:tcPr>
                <w:p w14:paraId="4C009330">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25</w:t>
                  </w:r>
                  <w:r>
                    <w:rPr>
                      <w:rFonts w:hint="eastAsia"/>
                      <w:color w:val="auto"/>
                      <w:kern w:val="0"/>
                      <w:sz w:val="21"/>
                      <w:szCs w:val="21"/>
                      <w:u w:val="none"/>
                    </w:rPr>
                    <w:t>kg/袋</w:t>
                  </w:r>
                </w:p>
              </w:tc>
              <w:tc>
                <w:tcPr>
                  <w:tcW w:w="749" w:type="pct"/>
                  <w:vMerge w:val="continue"/>
                  <w:tcBorders>
                    <w:right w:val="nil"/>
                  </w:tcBorders>
                  <w:shd w:val="clear" w:color="auto" w:fill="auto"/>
                  <w:noWrap w:val="0"/>
                  <w:vAlign w:val="center"/>
                </w:tcPr>
                <w:p w14:paraId="110A2D40">
                  <w:pPr>
                    <w:keepNext w:val="0"/>
                    <w:keepLines w:val="0"/>
                    <w:widowControl/>
                    <w:suppressLineNumbers w:val="0"/>
                    <w:spacing w:before="0" w:beforeAutospacing="0" w:after="0" w:afterAutospacing="0" w:line="240" w:lineRule="auto"/>
                    <w:ind w:left="0" w:right="0" w:firstLine="0" w:firstLineChars="0"/>
                    <w:jc w:val="center"/>
                    <w:rPr>
                      <w:rFonts w:hint="eastAsia"/>
                      <w:color w:val="auto"/>
                      <w:kern w:val="0"/>
                      <w:sz w:val="21"/>
                      <w:szCs w:val="21"/>
                      <w:u w:val="none"/>
                    </w:rPr>
                  </w:pPr>
                </w:p>
              </w:tc>
            </w:tr>
            <w:tr w14:paraId="2174286F">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90" w:hRule="atLeast"/>
                <w:jc w:val="center"/>
              </w:trPr>
              <w:tc>
                <w:tcPr>
                  <w:tcW w:w="5000" w:type="pct"/>
                  <w:gridSpan w:val="8"/>
                  <w:tcBorders>
                    <w:left w:val="nil"/>
                    <w:right w:val="nil"/>
                  </w:tcBorders>
                  <w:shd w:val="clear" w:color="auto" w:fill="auto"/>
                  <w:noWrap w:val="0"/>
                  <w:vAlign w:val="center"/>
                </w:tcPr>
                <w:p w14:paraId="21D66A7E">
                  <w:pPr>
                    <w:keepNext w:val="0"/>
                    <w:keepLines w:val="0"/>
                    <w:widowControl/>
                    <w:suppressLineNumbers w:val="0"/>
                    <w:spacing w:before="0" w:beforeAutospacing="0" w:after="0" w:afterAutospacing="0" w:line="240" w:lineRule="auto"/>
                    <w:ind w:left="0" w:right="0" w:firstLine="0" w:firstLineChars="0"/>
                    <w:jc w:val="center"/>
                    <w:rPr>
                      <w:rFonts w:hint="eastAsia"/>
                      <w:color w:val="auto"/>
                      <w:kern w:val="0"/>
                      <w:sz w:val="21"/>
                      <w:szCs w:val="21"/>
                      <w:u w:val="none"/>
                    </w:rPr>
                  </w:pPr>
                  <w:r>
                    <w:rPr>
                      <w:rFonts w:hint="eastAsia"/>
                      <w:color w:val="auto"/>
                      <w:sz w:val="21"/>
                      <w:szCs w:val="21"/>
                      <w:lang w:val="en-US" w:eastAsia="zh-CN"/>
                    </w:rPr>
                    <w:t>鞋垫制造</w:t>
                  </w:r>
                </w:p>
              </w:tc>
            </w:tr>
            <w:tr w14:paraId="35111AC6">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339" w:type="pct"/>
                  <w:tcBorders>
                    <w:left w:val="nil"/>
                  </w:tcBorders>
                  <w:shd w:val="clear" w:color="auto" w:fill="auto"/>
                  <w:noWrap w:val="0"/>
                  <w:vAlign w:val="center"/>
                </w:tcPr>
                <w:p w14:paraId="3B271C7C">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8</w:t>
                  </w:r>
                </w:p>
              </w:tc>
              <w:tc>
                <w:tcPr>
                  <w:tcW w:w="801" w:type="pct"/>
                  <w:shd w:val="clear" w:color="auto" w:fill="auto"/>
                  <w:noWrap w:val="0"/>
                  <w:vAlign w:val="center"/>
                </w:tcPr>
                <w:p w14:paraId="646EDF3E">
                  <w:pPr>
                    <w:keepNext w:val="0"/>
                    <w:keepLines w:val="0"/>
                    <w:widowControl/>
                    <w:suppressLineNumbers w:val="0"/>
                    <w:spacing w:before="0" w:beforeAutospacing="0" w:after="0" w:afterAutospacing="0"/>
                    <w:ind w:left="0" w:right="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聚醚多元醇组合料</w:t>
                  </w:r>
                </w:p>
              </w:tc>
              <w:tc>
                <w:tcPr>
                  <w:tcW w:w="543" w:type="pct"/>
                  <w:shd w:val="clear" w:color="auto" w:fill="auto"/>
                  <w:noWrap w:val="0"/>
                  <w:vAlign w:val="center"/>
                </w:tcPr>
                <w:p w14:paraId="57F11101">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t/a</w:t>
                  </w:r>
                </w:p>
              </w:tc>
              <w:tc>
                <w:tcPr>
                  <w:tcW w:w="459" w:type="pct"/>
                  <w:shd w:val="clear" w:color="auto" w:fill="auto"/>
                  <w:noWrap w:val="0"/>
                  <w:vAlign w:val="center"/>
                </w:tcPr>
                <w:p w14:paraId="51DF6D81">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52</w:t>
                  </w:r>
                </w:p>
              </w:tc>
              <w:tc>
                <w:tcPr>
                  <w:tcW w:w="645" w:type="pct"/>
                  <w:shd w:val="clear" w:color="auto" w:fill="auto"/>
                  <w:noWrap w:val="0"/>
                  <w:vAlign w:val="center"/>
                </w:tcPr>
                <w:p w14:paraId="1E1F50FE">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0.3</w:t>
                  </w:r>
                </w:p>
              </w:tc>
              <w:tc>
                <w:tcPr>
                  <w:tcW w:w="634" w:type="pct"/>
                  <w:shd w:val="clear" w:color="auto" w:fill="auto"/>
                  <w:noWrap w:val="0"/>
                  <w:vAlign w:val="center"/>
                </w:tcPr>
                <w:p w14:paraId="48FA831E">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桶装</w:t>
                  </w:r>
                </w:p>
              </w:tc>
              <w:tc>
                <w:tcPr>
                  <w:tcW w:w="827" w:type="pct"/>
                  <w:shd w:val="clear" w:color="auto" w:fill="auto"/>
                  <w:noWrap w:val="0"/>
                  <w:vAlign w:val="center"/>
                </w:tcPr>
                <w:p w14:paraId="76C6B6A1">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50kg</w:t>
                  </w:r>
                  <w:r>
                    <w:rPr>
                      <w:rFonts w:hint="eastAsia"/>
                      <w:color w:val="auto"/>
                      <w:kern w:val="0"/>
                      <w:sz w:val="21"/>
                      <w:szCs w:val="21"/>
                      <w:u w:val="none"/>
                      <w:lang w:val="en-US" w:eastAsia="zh-CN"/>
                    </w:rPr>
                    <w:t>/</w:t>
                  </w:r>
                  <w:r>
                    <w:rPr>
                      <w:rFonts w:hint="eastAsia"/>
                      <w:color w:val="auto"/>
                      <w:kern w:val="0"/>
                      <w:sz w:val="21"/>
                      <w:szCs w:val="21"/>
                      <w:u w:val="none"/>
                    </w:rPr>
                    <w:t>桶装</w:t>
                  </w:r>
                </w:p>
              </w:tc>
              <w:tc>
                <w:tcPr>
                  <w:tcW w:w="749" w:type="pct"/>
                  <w:vMerge w:val="restart"/>
                  <w:tcBorders>
                    <w:right w:val="nil"/>
                  </w:tcBorders>
                  <w:shd w:val="clear" w:color="auto" w:fill="auto"/>
                  <w:noWrap w:val="0"/>
                  <w:vAlign w:val="center"/>
                </w:tcPr>
                <w:p w14:paraId="15E55022">
                  <w:pPr>
                    <w:keepNext w:val="0"/>
                    <w:keepLines w:val="0"/>
                    <w:widowControl/>
                    <w:suppressLineNumbers w:val="0"/>
                    <w:spacing w:before="0" w:beforeAutospacing="0" w:after="0" w:afterAutospacing="0" w:line="240" w:lineRule="auto"/>
                    <w:ind w:left="0" w:right="0" w:firstLine="0" w:firstLineChars="0"/>
                    <w:jc w:val="center"/>
                    <w:rPr>
                      <w:rFonts w:hint="eastAsia"/>
                      <w:color w:val="auto"/>
                      <w:kern w:val="0"/>
                      <w:sz w:val="21"/>
                      <w:szCs w:val="21"/>
                      <w:u w:val="none"/>
                    </w:rPr>
                  </w:pPr>
                  <w:r>
                    <w:rPr>
                      <w:rFonts w:hint="eastAsia"/>
                      <w:color w:val="auto"/>
                      <w:kern w:val="0"/>
                      <w:sz w:val="21"/>
                      <w:szCs w:val="21"/>
                      <w:u w:val="none"/>
                    </w:rPr>
                    <w:t>外购，即买即用</w:t>
                  </w:r>
                </w:p>
              </w:tc>
            </w:tr>
            <w:tr w14:paraId="08BFD4FE">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339" w:type="pct"/>
                  <w:tcBorders>
                    <w:left w:val="nil"/>
                  </w:tcBorders>
                  <w:shd w:val="clear" w:color="auto" w:fill="auto"/>
                  <w:noWrap w:val="0"/>
                  <w:vAlign w:val="center"/>
                </w:tcPr>
                <w:p w14:paraId="54C30919">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9</w:t>
                  </w:r>
                </w:p>
              </w:tc>
              <w:tc>
                <w:tcPr>
                  <w:tcW w:w="801" w:type="pct"/>
                  <w:shd w:val="clear" w:color="auto" w:fill="auto"/>
                  <w:noWrap w:val="0"/>
                  <w:vAlign w:val="center"/>
                </w:tcPr>
                <w:p w14:paraId="6A1D8B80">
                  <w:pPr>
                    <w:keepNext w:val="0"/>
                    <w:keepLines w:val="0"/>
                    <w:widowControl/>
                    <w:suppressLineNumbers w:val="0"/>
                    <w:spacing w:before="0" w:beforeAutospacing="0" w:after="0" w:afterAutospacing="0"/>
                    <w:ind w:left="0" w:right="0"/>
                    <w:jc w:val="center"/>
                    <w:rPr>
                      <w:rFonts w:hint="eastAsia" w:ascii="Times New Roman" w:hAnsi="Times New Roman" w:eastAsia="宋体" w:cs="Times New Roman"/>
                      <w:color w:val="auto"/>
                      <w:kern w:val="0"/>
                      <w:sz w:val="21"/>
                      <w:szCs w:val="21"/>
                      <w:u w:val="none"/>
                      <w:lang w:val="en-US" w:eastAsia="zh-CN" w:bidi="ar-SA"/>
                    </w:rPr>
                  </w:pPr>
                  <w:r>
                    <w:rPr>
                      <w:rFonts w:hint="eastAsia" w:ascii="宋体" w:hAnsi="宋体" w:eastAsia="宋体" w:cs="宋体"/>
                      <w:color w:val="auto"/>
                      <w:kern w:val="0"/>
                      <w:sz w:val="21"/>
                      <w:szCs w:val="21"/>
                      <w:lang w:val="en-US" w:eastAsia="zh-CN" w:bidi="ar"/>
                    </w:rPr>
                    <w:t>改性</w:t>
                  </w:r>
                  <w:r>
                    <w:rPr>
                      <w:rFonts w:hint="default" w:ascii="Times New Roman" w:hAnsi="Times New Roman" w:eastAsia="宋体" w:cs="Times New Roman"/>
                      <w:color w:val="auto"/>
                      <w:kern w:val="0"/>
                      <w:sz w:val="21"/>
                      <w:szCs w:val="21"/>
                      <w:lang w:val="en-US" w:eastAsia="zh-CN" w:bidi="ar"/>
                    </w:rPr>
                    <w:t>MDI</w:t>
                  </w:r>
                </w:p>
              </w:tc>
              <w:tc>
                <w:tcPr>
                  <w:tcW w:w="543" w:type="pct"/>
                  <w:shd w:val="clear" w:color="auto" w:fill="auto"/>
                  <w:noWrap w:val="0"/>
                  <w:vAlign w:val="center"/>
                </w:tcPr>
                <w:p w14:paraId="3B526960">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t/a</w:t>
                  </w:r>
                </w:p>
              </w:tc>
              <w:tc>
                <w:tcPr>
                  <w:tcW w:w="459" w:type="pct"/>
                  <w:shd w:val="clear" w:color="auto" w:fill="auto"/>
                  <w:noWrap w:val="0"/>
                  <w:vAlign w:val="center"/>
                </w:tcPr>
                <w:p w14:paraId="7958E29A">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23</w:t>
                  </w:r>
                </w:p>
              </w:tc>
              <w:tc>
                <w:tcPr>
                  <w:tcW w:w="645" w:type="pct"/>
                  <w:shd w:val="clear" w:color="auto" w:fill="auto"/>
                  <w:noWrap w:val="0"/>
                  <w:vAlign w:val="center"/>
                </w:tcPr>
                <w:p w14:paraId="6D93E561">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0.3</w:t>
                  </w:r>
                </w:p>
              </w:tc>
              <w:tc>
                <w:tcPr>
                  <w:tcW w:w="634" w:type="pct"/>
                  <w:shd w:val="clear" w:color="auto" w:fill="auto"/>
                  <w:noWrap w:val="0"/>
                  <w:vAlign w:val="center"/>
                </w:tcPr>
                <w:p w14:paraId="296DF108">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桶装</w:t>
                  </w:r>
                </w:p>
              </w:tc>
              <w:tc>
                <w:tcPr>
                  <w:tcW w:w="827" w:type="pct"/>
                  <w:shd w:val="clear" w:color="auto" w:fill="auto"/>
                  <w:noWrap w:val="0"/>
                  <w:vAlign w:val="center"/>
                </w:tcPr>
                <w:p w14:paraId="29A426E7">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50kg</w:t>
                  </w:r>
                  <w:r>
                    <w:rPr>
                      <w:rFonts w:hint="eastAsia"/>
                      <w:color w:val="auto"/>
                      <w:kern w:val="0"/>
                      <w:sz w:val="21"/>
                      <w:szCs w:val="21"/>
                      <w:u w:val="none"/>
                      <w:lang w:val="en-US" w:eastAsia="zh-CN"/>
                    </w:rPr>
                    <w:t>/</w:t>
                  </w:r>
                  <w:r>
                    <w:rPr>
                      <w:rFonts w:hint="eastAsia"/>
                      <w:color w:val="auto"/>
                      <w:kern w:val="0"/>
                      <w:sz w:val="21"/>
                      <w:szCs w:val="21"/>
                      <w:u w:val="none"/>
                    </w:rPr>
                    <w:t>桶装</w:t>
                  </w:r>
                </w:p>
              </w:tc>
              <w:tc>
                <w:tcPr>
                  <w:tcW w:w="749" w:type="pct"/>
                  <w:vMerge w:val="continue"/>
                  <w:tcBorders>
                    <w:right w:val="nil"/>
                  </w:tcBorders>
                  <w:shd w:val="clear" w:color="auto" w:fill="auto"/>
                  <w:noWrap w:val="0"/>
                  <w:vAlign w:val="center"/>
                </w:tcPr>
                <w:p w14:paraId="6C93EAC4">
                  <w:pPr>
                    <w:keepNext w:val="0"/>
                    <w:keepLines w:val="0"/>
                    <w:widowControl/>
                    <w:suppressLineNumbers w:val="0"/>
                    <w:spacing w:before="0" w:beforeAutospacing="0" w:after="0" w:afterAutospacing="0" w:line="240" w:lineRule="auto"/>
                    <w:ind w:left="0" w:right="0" w:firstLine="0" w:firstLineChars="0"/>
                    <w:jc w:val="center"/>
                    <w:rPr>
                      <w:rFonts w:hint="eastAsia"/>
                      <w:color w:val="auto"/>
                      <w:kern w:val="0"/>
                      <w:sz w:val="21"/>
                      <w:szCs w:val="21"/>
                      <w:u w:val="none"/>
                    </w:rPr>
                  </w:pPr>
                </w:p>
              </w:tc>
            </w:tr>
            <w:tr w14:paraId="636FE571">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339" w:type="pct"/>
                  <w:tcBorders>
                    <w:left w:val="nil"/>
                  </w:tcBorders>
                  <w:shd w:val="clear" w:color="auto" w:fill="auto"/>
                  <w:noWrap w:val="0"/>
                  <w:vAlign w:val="center"/>
                </w:tcPr>
                <w:p w14:paraId="3E7F6252">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10</w:t>
                  </w:r>
                </w:p>
              </w:tc>
              <w:tc>
                <w:tcPr>
                  <w:tcW w:w="801" w:type="pct"/>
                  <w:shd w:val="clear" w:color="auto" w:fill="auto"/>
                  <w:noWrap w:val="0"/>
                  <w:vAlign w:val="center"/>
                </w:tcPr>
                <w:p w14:paraId="5B36D0E7">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色浆</w:t>
                  </w:r>
                </w:p>
              </w:tc>
              <w:tc>
                <w:tcPr>
                  <w:tcW w:w="543" w:type="pct"/>
                  <w:shd w:val="clear" w:color="auto" w:fill="auto"/>
                  <w:noWrap w:val="0"/>
                  <w:vAlign w:val="center"/>
                </w:tcPr>
                <w:p w14:paraId="69373F39">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t/a</w:t>
                  </w:r>
                </w:p>
              </w:tc>
              <w:tc>
                <w:tcPr>
                  <w:tcW w:w="459" w:type="pct"/>
                  <w:shd w:val="clear" w:color="auto" w:fill="auto"/>
                  <w:noWrap w:val="0"/>
                  <w:vAlign w:val="center"/>
                </w:tcPr>
                <w:p w14:paraId="56BA32B4">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0.8</w:t>
                  </w:r>
                </w:p>
              </w:tc>
              <w:tc>
                <w:tcPr>
                  <w:tcW w:w="645" w:type="pct"/>
                  <w:shd w:val="clear" w:color="auto" w:fill="auto"/>
                  <w:noWrap w:val="0"/>
                  <w:vAlign w:val="center"/>
                </w:tcPr>
                <w:p w14:paraId="2FD22149">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0.1</w:t>
                  </w:r>
                </w:p>
              </w:tc>
              <w:tc>
                <w:tcPr>
                  <w:tcW w:w="634" w:type="pct"/>
                  <w:shd w:val="clear" w:color="auto" w:fill="auto"/>
                  <w:noWrap w:val="0"/>
                  <w:vAlign w:val="center"/>
                </w:tcPr>
                <w:p w14:paraId="5CA6E4A7">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桶装</w:t>
                  </w:r>
                </w:p>
              </w:tc>
              <w:tc>
                <w:tcPr>
                  <w:tcW w:w="827" w:type="pct"/>
                  <w:shd w:val="clear" w:color="auto" w:fill="auto"/>
                  <w:noWrap w:val="0"/>
                  <w:vAlign w:val="center"/>
                </w:tcPr>
                <w:p w14:paraId="076C3F72">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10</w:t>
                  </w:r>
                  <w:r>
                    <w:rPr>
                      <w:rFonts w:hint="eastAsia"/>
                      <w:color w:val="auto"/>
                      <w:kern w:val="0"/>
                      <w:sz w:val="21"/>
                      <w:szCs w:val="21"/>
                      <w:u w:val="none"/>
                    </w:rPr>
                    <w:t>0kg</w:t>
                  </w:r>
                  <w:r>
                    <w:rPr>
                      <w:rFonts w:hint="eastAsia"/>
                      <w:color w:val="auto"/>
                      <w:kern w:val="0"/>
                      <w:sz w:val="21"/>
                      <w:szCs w:val="21"/>
                      <w:u w:val="none"/>
                      <w:lang w:val="en-US" w:eastAsia="zh-CN"/>
                    </w:rPr>
                    <w:t>/</w:t>
                  </w:r>
                  <w:r>
                    <w:rPr>
                      <w:rFonts w:hint="eastAsia"/>
                      <w:color w:val="auto"/>
                      <w:kern w:val="0"/>
                      <w:sz w:val="21"/>
                      <w:szCs w:val="21"/>
                      <w:u w:val="none"/>
                    </w:rPr>
                    <w:t>桶装</w:t>
                  </w:r>
                </w:p>
              </w:tc>
              <w:tc>
                <w:tcPr>
                  <w:tcW w:w="749" w:type="pct"/>
                  <w:vMerge w:val="continue"/>
                  <w:tcBorders>
                    <w:right w:val="nil"/>
                  </w:tcBorders>
                  <w:shd w:val="clear" w:color="auto" w:fill="auto"/>
                  <w:noWrap w:val="0"/>
                  <w:vAlign w:val="center"/>
                </w:tcPr>
                <w:p w14:paraId="5D781EAF">
                  <w:pPr>
                    <w:keepNext w:val="0"/>
                    <w:keepLines w:val="0"/>
                    <w:widowControl/>
                    <w:suppressLineNumbers w:val="0"/>
                    <w:spacing w:before="0" w:beforeAutospacing="0" w:after="0" w:afterAutospacing="0" w:line="240" w:lineRule="auto"/>
                    <w:ind w:left="0" w:right="0" w:firstLine="0" w:firstLineChars="0"/>
                    <w:jc w:val="center"/>
                    <w:rPr>
                      <w:rFonts w:hint="eastAsia"/>
                      <w:color w:val="auto"/>
                      <w:kern w:val="0"/>
                      <w:sz w:val="21"/>
                      <w:szCs w:val="21"/>
                      <w:u w:val="none"/>
                    </w:rPr>
                  </w:pPr>
                </w:p>
              </w:tc>
            </w:tr>
            <w:tr w14:paraId="0844EA27">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339" w:type="pct"/>
                  <w:tcBorders>
                    <w:left w:val="nil"/>
                  </w:tcBorders>
                  <w:shd w:val="clear" w:color="auto" w:fill="auto"/>
                  <w:noWrap w:val="0"/>
                  <w:vAlign w:val="center"/>
                </w:tcPr>
                <w:p w14:paraId="316FF063">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11</w:t>
                  </w:r>
                </w:p>
              </w:tc>
              <w:tc>
                <w:tcPr>
                  <w:tcW w:w="801" w:type="pct"/>
                  <w:shd w:val="clear" w:color="auto" w:fill="auto"/>
                  <w:noWrap w:val="0"/>
                  <w:vAlign w:val="center"/>
                </w:tcPr>
                <w:p w14:paraId="22741844">
                  <w:pPr>
                    <w:keepNext w:val="0"/>
                    <w:keepLines w:val="0"/>
                    <w:widowControl/>
                    <w:suppressLineNumbers w:val="0"/>
                    <w:spacing w:before="0" w:beforeAutospacing="0" w:after="0" w:afterAutospacing="0"/>
                    <w:ind w:left="0" w:right="0"/>
                    <w:jc w:val="center"/>
                    <w:rPr>
                      <w:rFonts w:hint="eastAsia" w:ascii="Times New Roman" w:hAnsi="Times New Roman" w:eastAsia="宋体" w:cs="Times New Roman"/>
                      <w:color w:val="auto"/>
                      <w:kern w:val="0"/>
                      <w:sz w:val="21"/>
                      <w:szCs w:val="21"/>
                      <w:u w:val="none"/>
                      <w:lang w:val="en-US" w:eastAsia="zh-CN" w:bidi="ar-SA"/>
                    </w:rPr>
                  </w:pPr>
                  <w:r>
                    <w:rPr>
                      <w:rFonts w:hint="eastAsia" w:ascii="宋体" w:hAnsi="宋体" w:eastAsia="宋体" w:cs="宋体"/>
                      <w:color w:val="auto"/>
                      <w:kern w:val="0"/>
                      <w:sz w:val="21"/>
                      <w:szCs w:val="21"/>
                      <w:lang w:val="en-US" w:eastAsia="zh-CN" w:bidi="ar"/>
                    </w:rPr>
                    <w:t>脱模剂</w:t>
                  </w:r>
                </w:p>
              </w:tc>
              <w:tc>
                <w:tcPr>
                  <w:tcW w:w="543" w:type="pct"/>
                  <w:shd w:val="clear" w:color="auto" w:fill="auto"/>
                  <w:noWrap w:val="0"/>
                  <w:vAlign w:val="center"/>
                </w:tcPr>
                <w:p w14:paraId="4C91BBFC">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t/a</w:t>
                  </w:r>
                </w:p>
              </w:tc>
              <w:tc>
                <w:tcPr>
                  <w:tcW w:w="459" w:type="pct"/>
                  <w:shd w:val="clear" w:color="auto" w:fill="auto"/>
                  <w:noWrap w:val="0"/>
                  <w:vAlign w:val="center"/>
                </w:tcPr>
                <w:p w14:paraId="42587DE9">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1.2</w:t>
                  </w:r>
                </w:p>
              </w:tc>
              <w:tc>
                <w:tcPr>
                  <w:tcW w:w="645" w:type="pct"/>
                  <w:shd w:val="clear" w:color="auto" w:fill="auto"/>
                  <w:noWrap w:val="0"/>
                  <w:vAlign w:val="center"/>
                </w:tcPr>
                <w:p w14:paraId="34234A08">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0.1</w:t>
                  </w:r>
                </w:p>
              </w:tc>
              <w:tc>
                <w:tcPr>
                  <w:tcW w:w="634" w:type="pct"/>
                  <w:shd w:val="clear" w:color="auto" w:fill="auto"/>
                  <w:noWrap w:val="0"/>
                  <w:vAlign w:val="center"/>
                </w:tcPr>
                <w:p w14:paraId="74CF06F3">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桶装</w:t>
                  </w:r>
                </w:p>
              </w:tc>
              <w:tc>
                <w:tcPr>
                  <w:tcW w:w="827" w:type="pct"/>
                  <w:shd w:val="clear" w:color="auto" w:fill="auto"/>
                  <w:noWrap w:val="0"/>
                  <w:vAlign w:val="center"/>
                </w:tcPr>
                <w:p w14:paraId="5F2445DC">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10k/桶</w:t>
                  </w:r>
                </w:p>
              </w:tc>
              <w:tc>
                <w:tcPr>
                  <w:tcW w:w="749" w:type="pct"/>
                  <w:tcBorders>
                    <w:right w:val="nil"/>
                  </w:tcBorders>
                  <w:shd w:val="clear" w:color="auto" w:fill="auto"/>
                  <w:noWrap w:val="0"/>
                  <w:vAlign w:val="center"/>
                </w:tcPr>
                <w:p w14:paraId="0DBEFF38">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外购</w:t>
                  </w:r>
                </w:p>
              </w:tc>
            </w:tr>
            <w:tr w14:paraId="580DC934">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5000" w:type="pct"/>
                  <w:gridSpan w:val="8"/>
                  <w:tcBorders>
                    <w:left w:val="nil"/>
                    <w:right w:val="nil"/>
                  </w:tcBorders>
                  <w:shd w:val="clear" w:color="auto" w:fill="auto"/>
                  <w:noWrap w:val="0"/>
                  <w:vAlign w:val="center"/>
                </w:tcPr>
                <w:p w14:paraId="301B6A1D">
                  <w:pPr>
                    <w:keepNext w:val="0"/>
                    <w:keepLines w:val="0"/>
                    <w:widowControl/>
                    <w:suppressLineNumbers w:val="0"/>
                    <w:spacing w:before="0" w:beforeAutospacing="0" w:after="0" w:afterAutospacing="0" w:line="240" w:lineRule="auto"/>
                    <w:ind w:left="0" w:right="0" w:firstLine="0" w:firstLineChars="0"/>
                    <w:jc w:val="center"/>
                    <w:rPr>
                      <w:rFonts w:hint="eastAsia"/>
                      <w:color w:val="auto"/>
                      <w:kern w:val="0"/>
                      <w:sz w:val="21"/>
                      <w:szCs w:val="21"/>
                      <w:u w:val="none"/>
                    </w:rPr>
                  </w:pPr>
                  <w:r>
                    <w:rPr>
                      <w:rFonts w:hint="eastAsia" w:ascii="Times New Roman" w:hAnsi="Times New Roman" w:eastAsia="宋体"/>
                      <w:color w:val="auto"/>
                      <w:sz w:val="21"/>
                      <w:szCs w:val="21"/>
                      <w:lang w:val="en-US" w:eastAsia="zh-CN"/>
                    </w:rPr>
                    <w:t>裁切区</w:t>
                  </w:r>
                </w:p>
              </w:tc>
            </w:tr>
            <w:tr w14:paraId="5C8C5B0E">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339" w:type="pct"/>
                  <w:tcBorders>
                    <w:left w:val="nil"/>
                  </w:tcBorders>
                  <w:shd w:val="clear" w:color="auto" w:fill="auto"/>
                  <w:noWrap w:val="0"/>
                  <w:vAlign w:val="center"/>
                </w:tcPr>
                <w:p w14:paraId="3476E67C">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12</w:t>
                  </w:r>
                </w:p>
              </w:tc>
              <w:tc>
                <w:tcPr>
                  <w:tcW w:w="801" w:type="pct"/>
                  <w:shd w:val="clear" w:color="auto" w:fill="auto"/>
                  <w:noWrap w:val="0"/>
                  <w:vAlign w:val="center"/>
                </w:tcPr>
                <w:p w14:paraId="01229975">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人造革</w:t>
                  </w:r>
                  <w:r>
                    <w:rPr>
                      <w:rFonts w:hint="eastAsia"/>
                      <w:color w:val="auto"/>
                      <w:kern w:val="0"/>
                      <w:sz w:val="21"/>
                      <w:szCs w:val="21"/>
                      <w:u w:val="none"/>
                      <w:lang w:val="en-US" w:eastAsia="zh-CN"/>
                    </w:rPr>
                    <w:t>料</w:t>
                  </w:r>
                  <w:r>
                    <w:rPr>
                      <w:rFonts w:hint="eastAsia"/>
                      <w:color w:val="auto"/>
                      <w:kern w:val="0"/>
                      <w:sz w:val="21"/>
                      <w:szCs w:val="21"/>
                      <w:u w:val="none"/>
                      <w:lang w:eastAsia="zh-CN"/>
                    </w:rPr>
                    <w:t>（</w:t>
                  </w:r>
                  <w:r>
                    <w:rPr>
                      <w:rFonts w:hint="eastAsia"/>
                      <w:color w:val="auto"/>
                      <w:kern w:val="0"/>
                      <w:sz w:val="21"/>
                      <w:szCs w:val="21"/>
                      <w:u w:val="none"/>
                      <w:lang w:val="en-US" w:eastAsia="zh-CN"/>
                    </w:rPr>
                    <w:t>面料</w:t>
                  </w:r>
                  <w:r>
                    <w:rPr>
                      <w:rFonts w:hint="eastAsia"/>
                      <w:color w:val="auto"/>
                      <w:kern w:val="0"/>
                      <w:sz w:val="21"/>
                      <w:szCs w:val="21"/>
                      <w:u w:val="none"/>
                      <w:lang w:eastAsia="zh-CN"/>
                    </w:rPr>
                    <w:t>）</w:t>
                  </w:r>
                </w:p>
              </w:tc>
              <w:tc>
                <w:tcPr>
                  <w:tcW w:w="543" w:type="pct"/>
                  <w:shd w:val="clear" w:color="auto" w:fill="auto"/>
                  <w:noWrap w:val="0"/>
                  <w:vAlign w:val="center"/>
                </w:tcPr>
                <w:p w14:paraId="1633A381">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万码</w:t>
                  </w:r>
                </w:p>
              </w:tc>
              <w:tc>
                <w:tcPr>
                  <w:tcW w:w="459" w:type="pct"/>
                  <w:shd w:val="clear" w:color="auto" w:fill="auto"/>
                  <w:noWrap w:val="0"/>
                  <w:vAlign w:val="center"/>
                </w:tcPr>
                <w:p w14:paraId="3FE46720">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1.8</w:t>
                  </w:r>
                </w:p>
              </w:tc>
              <w:tc>
                <w:tcPr>
                  <w:tcW w:w="645" w:type="pct"/>
                  <w:shd w:val="clear" w:color="auto" w:fill="auto"/>
                  <w:noWrap w:val="0"/>
                  <w:vAlign w:val="center"/>
                </w:tcPr>
                <w:p w14:paraId="53877EF7">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0.3</w:t>
                  </w:r>
                </w:p>
              </w:tc>
              <w:tc>
                <w:tcPr>
                  <w:tcW w:w="634" w:type="pct"/>
                  <w:shd w:val="clear" w:color="auto" w:fill="auto"/>
                  <w:noWrap w:val="0"/>
                  <w:vAlign w:val="center"/>
                </w:tcPr>
                <w:p w14:paraId="05DA0B39">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卷轴式</w:t>
                  </w:r>
                </w:p>
              </w:tc>
              <w:tc>
                <w:tcPr>
                  <w:tcW w:w="827" w:type="pct"/>
                  <w:shd w:val="clear" w:color="auto" w:fill="auto"/>
                  <w:noWrap w:val="0"/>
                  <w:vAlign w:val="center"/>
                </w:tcPr>
                <w:p w14:paraId="44426BDE">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50码/卷</w:t>
                  </w:r>
                </w:p>
              </w:tc>
              <w:tc>
                <w:tcPr>
                  <w:tcW w:w="749" w:type="pct"/>
                  <w:tcBorders>
                    <w:right w:val="nil"/>
                  </w:tcBorders>
                  <w:shd w:val="clear" w:color="auto" w:fill="auto"/>
                  <w:noWrap w:val="0"/>
                  <w:vAlign w:val="center"/>
                </w:tcPr>
                <w:p w14:paraId="01FBD34B">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外购</w:t>
                  </w:r>
                </w:p>
              </w:tc>
            </w:tr>
            <w:tr w14:paraId="741D5B2C">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339" w:type="pct"/>
                  <w:tcBorders>
                    <w:left w:val="nil"/>
                  </w:tcBorders>
                  <w:shd w:val="clear" w:color="auto" w:fill="auto"/>
                  <w:noWrap w:val="0"/>
                  <w:vAlign w:val="center"/>
                </w:tcPr>
                <w:p w14:paraId="617F724E">
                  <w:pPr>
                    <w:keepNext w:val="0"/>
                    <w:keepLines w:val="0"/>
                    <w:widowControl/>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13</w:t>
                  </w:r>
                </w:p>
              </w:tc>
              <w:tc>
                <w:tcPr>
                  <w:tcW w:w="801" w:type="pct"/>
                  <w:shd w:val="clear" w:color="auto" w:fill="auto"/>
                  <w:noWrap w:val="0"/>
                  <w:vAlign w:val="center"/>
                </w:tcPr>
                <w:p w14:paraId="053AF6A0">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帆布料</w:t>
                  </w:r>
                </w:p>
              </w:tc>
              <w:tc>
                <w:tcPr>
                  <w:tcW w:w="543" w:type="pct"/>
                  <w:shd w:val="clear" w:color="auto" w:fill="auto"/>
                  <w:noWrap w:val="0"/>
                  <w:vAlign w:val="center"/>
                </w:tcPr>
                <w:p w14:paraId="125C54B8">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万码</w:t>
                  </w:r>
                </w:p>
              </w:tc>
              <w:tc>
                <w:tcPr>
                  <w:tcW w:w="459" w:type="pct"/>
                  <w:shd w:val="clear" w:color="auto" w:fill="auto"/>
                  <w:noWrap w:val="0"/>
                  <w:vAlign w:val="center"/>
                </w:tcPr>
                <w:p w14:paraId="73981E5E">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3.9</w:t>
                  </w:r>
                </w:p>
              </w:tc>
              <w:tc>
                <w:tcPr>
                  <w:tcW w:w="645" w:type="pct"/>
                  <w:shd w:val="clear" w:color="auto" w:fill="auto"/>
                  <w:noWrap w:val="0"/>
                  <w:vAlign w:val="center"/>
                </w:tcPr>
                <w:p w14:paraId="67F8B92F">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0.4</w:t>
                  </w:r>
                </w:p>
              </w:tc>
              <w:tc>
                <w:tcPr>
                  <w:tcW w:w="634" w:type="pct"/>
                  <w:shd w:val="clear" w:color="auto" w:fill="auto"/>
                  <w:noWrap w:val="0"/>
                  <w:vAlign w:val="center"/>
                </w:tcPr>
                <w:p w14:paraId="5F7C7895">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卷轴式</w:t>
                  </w:r>
                </w:p>
              </w:tc>
              <w:tc>
                <w:tcPr>
                  <w:tcW w:w="827" w:type="pct"/>
                  <w:shd w:val="clear" w:color="auto" w:fill="auto"/>
                  <w:noWrap w:val="0"/>
                  <w:vAlign w:val="center"/>
                </w:tcPr>
                <w:p w14:paraId="3CC91975">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50码/卷</w:t>
                  </w:r>
                </w:p>
              </w:tc>
              <w:tc>
                <w:tcPr>
                  <w:tcW w:w="749" w:type="pct"/>
                  <w:tcBorders>
                    <w:right w:val="nil"/>
                  </w:tcBorders>
                  <w:shd w:val="clear" w:color="auto" w:fill="auto"/>
                  <w:noWrap w:val="0"/>
                  <w:vAlign w:val="center"/>
                </w:tcPr>
                <w:p w14:paraId="51729F42">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外购</w:t>
                  </w:r>
                </w:p>
              </w:tc>
            </w:tr>
            <w:tr w14:paraId="02D69E06">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339" w:type="pct"/>
                  <w:tcBorders>
                    <w:left w:val="nil"/>
                  </w:tcBorders>
                  <w:shd w:val="clear" w:color="auto" w:fill="auto"/>
                  <w:noWrap w:val="0"/>
                  <w:vAlign w:val="center"/>
                </w:tcPr>
                <w:p w14:paraId="30508DD8">
                  <w:pPr>
                    <w:keepNext w:val="0"/>
                    <w:keepLines w:val="0"/>
                    <w:widowControl/>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14</w:t>
                  </w:r>
                </w:p>
              </w:tc>
              <w:tc>
                <w:tcPr>
                  <w:tcW w:w="801" w:type="pct"/>
                  <w:shd w:val="clear" w:color="auto" w:fill="auto"/>
                  <w:noWrap w:val="0"/>
                  <w:vAlign w:val="center"/>
                </w:tcPr>
                <w:p w14:paraId="56146D7B">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贴合类网布</w:t>
                  </w:r>
                </w:p>
              </w:tc>
              <w:tc>
                <w:tcPr>
                  <w:tcW w:w="543" w:type="pct"/>
                  <w:shd w:val="clear" w:color="auto" w:fill="auto"/>
                  <w:noWrap w:val="0"/>
                  <w:vAlign w:val="center"/>
                </w:tcPr>
                <w:p w14:paraId="7C5A26DA">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万码</w:t>
                  </w:r>
                </w:p>
              </w:tc>
              <w:tc>
                <w:tcPr>
                  <w:tcW w:w="459" w:type="pct"/>
                  <w:shd w:val="clear" w:color="auto" w:fill="auto"/>
                  <w:noWrap w:val="0"/>
                  <w:vAlign w:val="center"/>
                </w:tcPr>
                <w:p w14:paraId="635F7A03">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3.9</w:t>
                  </w:r>
                </w:p>
              </w:tc>
              <w:tc>
                <w:tcPr>
                  <w:tcW w:w="645" w:type="pct"/>
                  <w:shd w:val="clear" w:color="auto" w:fill="auto"/>
                  <w:noWrap w:val="0"/>
                  <w:vAlign w:val="center"/>
                </w:tcPr>
                <w:p w14:paraId="3F032C07">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0.4</w:t>
                  </w:r>
                </w:p>
              </w:tc>
              <w:tc>
                <w:tcPr>
                  <w:tcW w:w="634" w:type="pct"/>
                  <w:shd w:val="clear" w:color="auto" w:fill="auto"/>
                  <w:noWrap w:val="0"/>
                  <w:vAlign w:val="center"/>
                </w:tcPr>
                <w:p w14:paraId="69E668A0">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卷轴式</w:t>
                  </w:r>
                </w:p>
              </w:tc>
              <w:tc>
                <w:tcPr>
                  <w:tcW w:w="827" w:type="pct"/>
                  <w:shd w:val="clear" w:color="auto" w:fill="auto"/>
                  <w:noWrap w:val="0"/>
                  <w:vAlign w:val="center"/>
                </w:tcPr>
                <w:p w14:paraId="7FD477A4">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50码/卷</w:t>
                  </w:r>
                </w:p>
              </w:tc>
              <w:tc>
                <w:tcPr>
                  <w:tcW w:w="749" w:type="pct"/>
                  <w:tcBorders>
                    <w:right w:val="nil"/>
                  </w:tcBorders>
                  <w:shd w:val="clear" w:color="auto" w:fill="auto"/>
                  <w:noWrap w:val="0"/>
                  <w:vAlign w:val="center"/>
                </w:tcPr>
                <w:p w14:paraId="1A6FD318">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外购</w:t>
                  </w:r>
                </w:p>
              </w:tc>
            </w:tr>
            <w:tr w14:paraId="5EEBB1F7">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339" w:type="pct"/>
                  <w:tcBorders>
                    <w:left w:val="nil"/>
                  </w:tcBorders>
                  <w:shd w:val="clear" w:color="auto" w:fill="auto"/>
                  <w:noWrap w:val="0"/>
                  <w:vAlign w:val="center"/>
                </w:tcPr>
                <w:p w14:paraId="41AC6F2C">
                  <w:pPr>
                    <w:keepNext w:val="0"/>
                    <w:keepLines w:val="0"/>
                    <w:widowControl/>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15</w:t>
                  </w:r>
                </w:p>
              </w:tc>
              <w:tc>
                <w:tcPr>
                  <w:tcW w:w="801" w:type="pct"/>
                  <w:shd w:val="clear" w:color="auto" w:fill="auto"/>
                  <w:noWrap w:val="0"/>
                  <w:vAlign w:val="center"/>
                </w:tcPr>
                <w:p w14:paraId="57A0E2E5">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海绵</w:t>
                  </w:r>
                </w:p>
              </w:tc>
              <w:tc>
                <w:tcPr>
                  <w:tcW w:w="543" w:type="pct"/>
                  <w:shd w:val="clear" w:color="auto" w:fill="auto"/>
                  <w:noWrap w:val="0"/>
                  <w:vAlign w:val="center"/>
                </w:tcPr>
                <w:p w14:paraId="3D89E651">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万码</w:t>
                  </w:r>
                </w:p>
              </w:tc>
              <w:tc>
                <w:tcPr>
                  <w:tcW w:w="459" w:type="pct"/>
                  <w:shd w:val="clear" w:color="auto" w:fill="auto"/>
                  <w:noWrap w:val="0"/>
                  <w:vAlign w:val="center"/>
                </w:tcPr>
                <w:p w14:paraId="32F65DF8">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6</w:t>
                  </w:r>
                </w:p>
              </w:tc>
              <w:tc>
                <w:tcPr>
                  <w:tcW w:w="645" w:type="pct"/>
                  <w:shd w:val="clear" w:color="auto" w:fill="auto"/>
                  <w:noWrap w:val="0"/>
                  <w:vAlign w:val="center"/>
                </w:tcPr>
                <w:p w14:paraId="57287BC3">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0.5</w:t>
                  </w:r>
                </w:p>
              </w:tc>
              <w:tc>
                <w:tcPr>
                  <w:tcW w:w="634" w:type="pct"/>
                  <w:shd w:val="clear" w:color="auto" w:fill="auto"/>
                  <w:noWrap w:val="0"/>
                  <w:vAlign w:val="center"/>
                </w:tcPr>
                <w:p w14:paraId="45F4F407">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卷轴式</w:t>
                  </w:r>
                </w:p>
              </w:tc>
              <w:tc>
                <w:tcPr>
                  <w:tcW w:w="827" w:type="pct"/>
                  <w:shd w:val="clear" w:color="auto" w:fill="auto"/>
                  <w:noWrap w:val="0"/>
                  <w:vAlign w:val="center"/>
                </w:tcPr>
                <w:p w14:paraId="19219FF7">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50码/卷</w:t>
                  </w:r>
                </w:p>
              </w:tc>
              <w:tc>
                <w:tcPr>
                  <w:tcW w:w="749" w:type="pct"/>
                  <w:tcBorders>
                    <w:right w:val="nil"/>
                  </w:tcBorders>
                  <w:shd w:val="clear" w:color="auto" w:fill="auto"/>
                  <w:noWrap w:val="0"/>
                  <w:vAlign w:val="center"/>
                </w:tcPr>
                <w:p w14:paraId="1CFF5D55">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外购</w:t>
                  </w:r>
                </w:p>
              </w:tc>
            </w:tr>
            <w:tr w14:paraId="3AD8C544">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5000" w:type="pct"/>
                  <w:gridSpan w:val="8"/>
                  <w:tcBorders>
                    <w:left w:val="nil"/>
                    <w:right w:val="nil"/>
                  </w:tcBorders>
                  <w:shd w:val="clear" w:color="auto" w:fill="auto"/>
                  <w:noWrap w:val="0"/>
                  <w:vAlign w:val="center"/>
                </w:tcPr>
                <w:p w14:paraId="6E65D65C">
                  <w:pPr>
                    <w:keepNext w:val="0"/>
                    <w:keepLines w:val="0"/>
                    <w:widowControl/>
                    <w:suppressLineNumbers w:val="0"/>
                    <w:spacing w:before="0" w:beforeAutospacing="0" w:after="0" w:afterAutospacing="0" w:line="240" w:lineRule="auto"/>
                    <w:ind w:left="0" w:right="0" w:firstLine="0" w:firstLineChars="0"/>
                    <w:jc w:val="center"/>
                    <w:rPr>
                      <w:rFonts w:hint="eastAsia"/>
                      <w:color w:val="auto"/>
                      <w:kern w:val="0"/>
                      <w:sz w:val="21"/>
                      <w:szCs w:val="21"/>
                      <w:u w:val="none"/>
                    </w:rPr>
                  </w:pPr>
                  <w:r>
                    <w:rPr>
                      <w:rFonts w:hint="eastAsia"/>
                      <w:color w:val="auto"/>
                      <w:sz w:val="21"/>
                      <w:szCs w:val="21"/>
                      <w:lang w:val="en-US" w:eastAsia="zh-CN"/>
                    </w:rPr>
                    <w:t>丝网印花区</w:t>
                  </w:r>
                </w:p>
              </w:tc>
            </w:tr>
            <w:tr w14:paraId="7E4ABDC2">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339" w:type="pct"/>
                  <w:tcBorders>
                    <w:left w:val="nil"/>
                  </w:tcBorders>
                  <w:shd w:val="clear" w:color="auto" w:fill="auto"/>
                  <w:noWrap w:val="0"/>
                  <w:vAlign w:val="center"/>
                </w:tcPr>
                <w:p w14:paraId="49B069CA">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16</w:t>
                  </w:r>
                </w:p>
              </w:tc>
              <w:tc>
                <w:tcPr>
                  <w:tcW w:w="801" w:type="pct"/>
                  <w:shd w:val="clear" w:color="auto" w:fill="auto"/>
                  <w:noWrap w:val="0"/>
                  <w:vAlign w:val="center"/>
                </w:tcPr>
                <w:p w14:paraId="1960DE5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宋体" w:cs="Times New Roman"/>
                      <w:snapToGrid w:val="0"/>
                      <w:color w:val="auto"/>
                      <w:spacing w:val="0"/>
                      <w:kern w:val="2"/>
                      <w:sz w:val="21"/>
                      <w:szCs w:val="21"/>
                      <w:highlight w:val="none"/>
                      <w:lang w:val="en-US" w:eastAsia="zh-CN" w:bidi="ar-SA"/>
                    </w:rPr>
                  </w:pPr>
                  <w:r>
                    <w:rPr>
                      <w:rFonts w:hint="eastAsia"/>
                      <w:snapToGrid w:val="0"/>
                      <w:color w:val="auto"/>
                      <w:spacing w:val="0"/>
                      <w:sz w:val="21"/>
                      <w:szCs w:val="21"/>
                      <w:highlight w:val="none"/>
                      <w:lang w:val="en-US" w:eastAsia="zh-CN"/>
                    </w:rPr>
                    <w:t>水性印花油墨</w:t>
                  </w:r>
                </w:p>
              </w:tc>
              <w:tc>
                <w:tcPr>
                  <w:tcW w:w="543" w:type="pct"/>
                  <w:shd w:val="clear" w:color="auto" w:fill="auto"/>
                  <w:noWrap w:val="0"/>
                  <w:vAlign w:val="center"/>
                </w:tcPr>
                <w:p w14:paraId="5D95708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宋体" w:cs="Times New Roman"/>
                      <w:snapToGrid w:val="0"/>
                      <w:color w:val="auto"/>
                      <w:spacing w:val="0"/>
                      <w:kern w:val="2"/>
                      <w:sz w:val="21"/>
                      <w:szCs w:val="21"/>
                      <w:highlight w:val="none"/>
                      <w:lang w:val="en-US" w:eastAsia="zh-CN" w:bidi="ar-SA"/>
                    </w:rPr>
                  </w:pPr>
                  <w:r>
                    <w:rPr>
                      <w:rFonts w:hint="eastAsia"/>
                      <w:color w:val="auto"/>
                      <w:kern w:val="0"/>
                      <w:sz w:val="21"/>
                      <w:szCs w:val="21"/>
                      <w:u w:val="none"/>
                    </w:rPr>
                    <w:t>t/a</w:t>
                  </w:r>
                </w:p>
              </w:tc>
              <w:tc>
                <w:tcPr>
                  <w:tcW w:w="459" w:type="pct"/>
                  <w:shd w:val="clear" w:color="auto" w:fill="auto"/>
                  <w:noWrap w:val="0"/>
                  <w:vAlign w:val="center"/>
                </w:tcPr>
                <w:p w14:paraId="3E74D0CA">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宋体" w:cs="Times New Roman"/>
                      <w:snapToGrid w:val="0"/>
                      <w:color w:val="auto"/>
                      <w:spacing w:val="0"/>
                      <w:kern w:val="2"/>
                      <w:sz w:val="21"/>
                      <w:szCs w:val="21"/>
                      <w:highlight w:val="none"/>
                      <w:lang w:val="en-US" w:eastAsia="zh-CN" w:bidi="ar-SA"/>
                    </w:rPr>
                  </w:pPr>
                  <w:r>
                    <w:rPr>
                      <w:rFonts w:hint="eastAsia"/>
                      <w:snapToGrid w:val="0"/>
                      <w:color w:val="auto"/>
                      <w:spacing w:val="0"/>
                      <w:sz w:val="21"/>
                      <w:szCs w:val="21"/>
                      <w:highlight w:val="none"/>
                      <w:lang w:val="en-US" w:eastAsia="zh-CN"/>
                    </w:rPr>
                    <w:t>1</w:t>
                  </w:r>
                </w:p>
              </w:tc>
              <w:tc>
                <w:tcPr>
                  <w:tcW w:w="645" w:type="pct"/>
                  <w:shd w:val="clear" w:color="auto" w:fill="auto"/>
                  <w:noWrap w:val="0"/>
                  <w:vAlign w:val="center"/>
                </w:tcPr>
                <w:p w14:paraId="11B889C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jc w:val="center"/>
                    <w:textAlignment w:val="auto"/>
                    <w:rPr>
                      <w:rFonts w:hint="eastAsia" w:ascii="Times New Roman" w:hAnsi="Times New Roman" w:eastAsia="宋体" w:cs="Times New Roman"/>
                      <w:b w:val="0"/>
                      <w:bCs w:val="0"/>
                      <w:color w:val="auto"/>
                      <w:spacing w:val="0"/>
                      <w:kern w:val="2"/>
                      <w:sz w:val="21"/>
                      <w:szCs w:val="21"/>
                      <w:highlight w:val="none"/>
                      <w:vertAlign w:val="baseline"/>
                      <w:lang w:val="en-US" w:eastAsia="zh-CN" w:bidi="ar-SA"/>
                    </w:rPr>
                  </w:pPr>
                  <w:r>
                    <w:rPr>
                      <w:rFonts w:hint="eastAsia" w:cs="Times New Roman"/>
                      <w:b w:val="0"/>
                      <w:bCs w:val="0"/>
                      <w:color w:val="auto"/>
                      <w:spacing w:val="0"/>
                      <w:kern w:val="2"/>
                      <w:sz w:val="21"/>
                      <w:szCs w:val="21"/>
                      <w:highlight w:val="none"/>
                      <w:vertAlign w:val="baseline"/>
                      <w:lang w:val="en-US" w:eastAsia="zh-CN" w:bidi="ar-SA"/>
                    </w:rPr>
                    <w:t>0.1</w:t>
                  </w:r>
                </w:p>
              </w:tc>
              <w:tc>
                <w:tcPr>
                  <w:tcW w:w="634" w:type="pct"/>
                  <w:shd w:val="clear" w:color="auto" w:fill="auto"/>
                  <w:noWrap w:val="0"/>
                  <w:vAlign w:val="center"/>
                </w:tcPr>
                <w:p w14:paraId="0562B54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宋体" w:cs="Times New Roman"/>
                      <w:snapToGrid w:val="0"/>
                      <w:color w:val="auto"/>
                      <w:spacing w:val="0"/>
                      <w:kern w:val="2"/>
                      <w:sz w:val="21"/>
                      <w:szCs w:val="21"/>
                      <w:highlight w:val="none"/>
                      <w:lang w:val="en-US" w:eastAsia="zh-CN" w:bidi="ar-SA"/>
                    </w:rPr>
                  </w:pPr>
                  <w:r>
                    <w:rPr>
                      <w:rFonts w:hint="eastAsia"/>
                      <w:color w:val="auto"/>
                      <w:kern w:val="0"/>
                      <w:sz w:val="21"/>
                      <w:szCs w:val="21"/>
                      <w:u w:val="none"/>
                    </w:rPr>
                    <w:t>桶装</w:t>
                  </w:r>
                </w:p>
              </w:tc>
              <w:tc>
                <w:tcPr>
                  <w:tcW w:w="827" w:type="pct"/>
                  <w:shd w:val="clear" w:color="auto" w:fill="auto"/>
                  <w:noWrap w:val="0"/>
                  <w:vAlign w:val="center"/>
                </w:tcPr>
                <w:p w14:paraId="1D7910E3">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s="Times New Roman"/>
                      <w:b w:val="0"/>
                      <w:bCs w:val="0"/>
                      <w:color w:val="auto"/>
                      <w:spacing w:val="0"/>
                      <w:kern w:val="2"/>
                      <w:sz w:val="21"/>
                      <w:szCs w:val="21"/>
                      <w:highlight w:val="none"/>
                      <w:vertAlign w:val="baseline"/>
                      <w:lang w:val="en-US" w:eastAsia="zh-CN" w:bidi="ar-SA"/>
                    </w:rPr>
                    <w:t>20kg/桶装</w:t>
                  </w:r>
                </w:p>
              </w:tc>
              <w:tc>
                <w:tcPr>
                  <w:tcW w:w="749" w:type="pct"/>
                  <w:tcBorders>
                    <w:right w:val="nil"/>
                  </w:tcBorders>
                  <w:shd w:val="clear" w:color="auto" w:fill="auto"/>
                  <w:noWrap w:val="0"/>
                  <w:vAlign w:val="center"/>
                </w:tcPr>
                <w:p w14:paraId="0659AECE">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snapToGrid w:val="0"/>
                      <w:color w:val="auto"/>
                      <w:spacing w:val="0"/>
                      <w:sz w:val="21"/>
                      <w:szCs w:val="21"/>
                      <w:highlight w:val="none"/>
                      <w:lang w:val="en-US" w:eastAsia="zh-CN"/>
                    </w:rPr>
                    <w:t>外购</w:t>
                  </w:r>
                </w:p>
              </w:tc>
            </w:tr>
            <w:tr w14:paraId="64ED2B42">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339" w:type="pct"/>
                  <w:tcBorders>
                    <w:left w:val="nil"/>
                  </w:tcBorders>
                  <w:shd w:val="clear" w:color="auto" w:fill="auto"/>
                  <w:noWrap w:val="0"/>
                  <w:vAlign w:val="center"/>
                </w:tcPr>
                <w:p w14:paraId="030870D3">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17</w:t>
                  </w:r>
                </w:p>
              </w:tc>
              <w:tc>
                <w:tcPr>
                  <w:tcW w:w="801" w:type="pct"/>
                  <w:shd w:val="clear" w:color="auto" w:fill="auto"/>
                  <w:noWrap w:val="0"/>
                  <w:vAlign w:val="center"/>
                </w:tcPr>
                <w:p w14:paraId="79E6228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宋体" w:cs="Times New Roman"/>
                      <w:snapToGrid w:val="0"/>
                      <w:color w:val="auto"/>
                      <w:spacing w:val="0"/>
                      <w:kern w:val="2"/>
                      <w:sz w:val="21"/>
                      <w:szCs w:val="21"/>
                      <w:highlight w:val="none"/>
                      <w:lang w:val="en-US" w:eastAsia="zh-CN" w:bidi="ar-SA"/>
                    </w:rPr>
                  </w:pPr>
                  <w:r>
                    <w:rPr>
                      <w:rFonts w:hint="eastAsia" w:cs="Times New Roman"/>
                      <w:snapToGrid w:val="0"/>
                      <w:color w:val="auto"/>
                      <w:spacing w:val="0"/>
                      <w:kern w:val="2"/>
                      <w:sz w:val="21"/>
                      <w:szCs w:val="21"/>
                      <w:highlight w:val="none"/>
                      <w:lang w:val="en-US" w:eastAsia="zh-CN" w:bidi="ar-SA"/>
                    </w:rPr>
                    <w:t>台面胶</w:t>
                  </w:r>
                </w:p>
              </w:tc>
              <w:tc>
                <w:tcPr>
                  <w:tcW w:w="543" w:type="pct"/>
                  <w:shd w:val="clear" w:color="auto" w:fill="auto"/>
                  <w:noWrap w:val="0"/>
                  <w:vAlign w:val="center"/>
                </w:tcPr>
                <w:p w14:paraId="092E888A">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宋体" w:cs="Times New Roman"/>
                      <w:snapToGrid w:val="0"/>
                      <w:color w:val="auto"/>
                      <w:spacing w:val="0"/>
                      <w:kern w:val="2"/>
                      <w:sz w:val="21"/>
                      <w:szCs w:val="21"/>
                      <w:highlight w:val="none"/>
                      <w:lang w:val="en-US" w:eastAsia="zh-CN" w:bidi="ar-SA"/>
                    </w:rPr>
                  </w:pPr>
                  <w:r>
                    <w:rPr>
                      <w:rFonts w:hint="eastAsia"/>
                      <w:color w:val="auto"/>
                      <w:kern w:val="0"/>
                      <w:sz w:val="21"/>
                      <w:szCs w:val="21"/>
                      <w:u w:val="none"/>
                    </w:rPr>
                    <w:t>t/a</w:t>
                  </w:r>
                </w:p>
              </w:tc>
              <w:tc>
                <w:tcPr>
                  <w:tcW w:w="459" w:type="pct"/>
                  <w:shd w:val="clear" w:color="auto" w:fill="auto"/>
                  <w:noWrap w:val="0"/>
                  <w:vAlign w:val="center"/>
                </w:tcPr>
                <w:p w14:paraId="3783774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宋体" w:cs="Times New Roman"/>
                      <w:snapToGrid w:val="0"/>
                      <w:color w:val="auto"/>
                      <w:spacing w:val="0"/>
                      <w:kern w:val="2"/>
                      <w:sz w:val="21"/>
                      <w:szCs w:val="21"/>
                      <w:highlight w:val="none"/>
                      <w:lang w:val="en-US" w:eastAsia="zh-CN" w:bidi="ar-SA"/>
                    </w:rPr>
                  </w:pPr>
                  <w:r>
                    <w:rPr>
                      <w:rFonts w:hint="eastAsia" w:cs="Times New Roman"/>
                      <w:snapToGrid w:val="0"/>
                      <w:color w:val="auto"/>
                      <w:spacing w:val="0"/>
                      <w:kern w:val="2"/>
                      <w:sz w:val="21"/>
                      <w:szCs w:val="21"/>
                      <w:highlight w:val="none"/>
                      <w:lang w:val="en-US" w:eastAsia="zh-CN" w:bidi="ar-SA"/>
                    </w:rPr>
                    <w:t>0.1</w:t>
                  </w:r>
                </w:p>
              </w:tc>
              <w:tc>
                <w:tcPr>
                  <w:tcW w:w="645" w:type="pct"/>
                  <w:shd w:val="clear" w:color="auto" w:fill="auto"/>
                  <w:noWrap w:val="0"/>
                  <w:vAlign w:val="center"/>
                </w:tcPr>
                <w:p w14:paraId="1FCE6FD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jc w:val="center"/>
                    <w:textAlignment w:val="auto"/>
                    <w:rPr>
                      <w:rFonts w:hint="eastAsia" w:ascii="Times New Roman" w:hAnsi="Times New Roman" w:eastAsia="宋体" w:cs="Times New Roman"/>
                      <w:b w:val="0"/>
                      <w:bCs w:val="0"/>
                      <w:color w:val="auto"/>
                      <w:spacing w:val="0"/>
                      <w:kern w:val="2"/>
                      <w:sz w:val="21"/>
                      <w:szCs w:val="21"/>
                      <w:highlight w:val="none"/>
                      <w:vertAlign w:val="baseline"/>
                      <w:lang w:val="en-US" w:eastAsia="zh-CN" w:bidi="ar-SA"/>
                    </w:rPr>
                  </w:pPr>
                  <w:r>
                    <w:rPr>
                      <w:rFonts w:hint="eastAsia" w:cs="Times New Roman"/>
                      <w:b w:val="0"/>
                      <w:bCs w:val="0"/>
                      <w:color w:val="auto"/>
                      <w:spacing w:val="0"/>
                      <w:kern w:val="2"/>
                      <w:sz w:val="21"/>
                      <w:szCs w:val="21"/>
                      <w:highlight w:val="none"/>
                      <w:vertAlign w:val="baseline"/>
                      <w:lang w:val="en-US" w:eastAsia="zh-CN" w:bidi="ar-SA"/>
                    </w:rPr>
                    <w:t>0.05</w:t>
                  </w:r>
                </w:p>
              </w:tc>
              <w:tc>
                <w:tcPr>
                  <w:tcW w:w="634" w:type="pct"/>
                  <w:shd w:val="clear" w:color="auto" w:fill="auto"/>
                  <w:noWrap w:val="0"/>
                  <w:vAlign w:val="center"/>
                </w:tcPr>
                <w:p w14:paraId="53665BE5">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宋体" w:cs="Times New Roman"/>
                      <w:snapToGrid w:val="0"/>
                      <w:color w:val="auto"/>
                      <w:spacing w:val="0"/>
                      <w:kern w:val="2"/>
                      <w:sz w:val="21"/>
                      <w:szCs w:val="21"/>
                      <w:highlight w:val="none"/>
                      <w:lang w:val="en-US" w:eastAsia="zh-CN" w:bidi="ar-SA"/>
                    </w:rPr>
                  </w:pPr>
                  <w:r>
                    <w:rPr>
                      <w:rFonts w:hint="eastAsia"/>
                      <w:color w:val="auto"/>
                      <w:kern w:val="0"/>
                      <w:sz w:val="21"/>
                      <w:szCs w:val="21"/>
                      <w:u w:val="none"/>
                    </w:rPr>
                    <w:t>桶装</w:t>
                  </w:r>
                </w:p>
              </w:tc>
              <w:tc>
                <w:tcPr>
                  <w:tcW w:w="827" w:type="pct"/>
                  <w:shd w:val="clear" w:color="auto" w:fill="auto"/>
                  <w:noWrap w:val="0"/>
                  <w:vAlign w:val="center"/>
                </w:tcPr>
                <w:p w14:paraId="1C85640B">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s="Times New Roman"/>
                      <w:b w:val="0"/>
                      <w:bCs w:val="0"/>
                      <w:color w:val="auto"/>
                      <w:spacing w:val="0"/>
                      <w:kern w:val="2"/>
                      <w:sz w:val="21"/>
                      <w:szCs w:val="21"/>
                      <w:highlight w:val="none"/>
                      <w:vertAlign w:val="baseline"/>
                      <w:lang w:val="en-US" w:eastAsia="zh-CN" w:bidi="ar-SA"/>
                    </w:rPr>
                    <w:t>20kg/桶装</w:t>
                  </w:r>
                </w:p>
              </w:tc>
              <w:tc>
                <w:tcPr>
                  <w:tcW w:w="749" w:type="pct"/>
                  <w:tcBorders>
                    <w:right w:val="nil"/>
                  </w:tcBorders>
                  <w:shd w:val="clear" w:color="auto" w:fill="auto"/>
                  <w:noWrap w:val="0"/>
                  <w:vAlign w:val="center"/>
                </w:tcPr>
                <w:p w14:paraId="7077037C">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snapToGrid w:val="0"/>
                      <w:color w:val="auto"/>
                      <w:spacing w:val="0"/>
                      <w:sz w:val="21"/>
                      <w:szCs w:val="21"/>
                      <w:highlight w:val="none"/>
                      <w:lang w:val="en-US" w:eastAsia="zh-CN"/>
                    </w:rPr>
                    <w:t>外购</w:t>
                  </w:r>
                </w:p>
              </w:tc>
            </w:tr>
            <w:tr w14:paraId="31EC1E60">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5000" w:type="pct"/>
                  <w:gridSpan w:val="8"/>
                  <w:tcBorders>
                    <w:left w:val="nil"/>
                    <w:right w:val="nil"/>
                  </w:tcBorders>
                  <w:noWrap w:val="0"/>
                  <w:vAlign w:val="center"/>
                </w:tcPr>
                <w:p w14:paraId="557D957A">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s="宋体"/>
                      <w:color w:val="auto"/>
                      <w:sz w:val="21"/>
                      <w:szCs w:val="21"/>
                      <w:highlight w:val="none"/>
                      <w:lang w:val="en-US" w:eastAsia="zh-CN"/>
                    </w:rPr>
                    <w:t>皮鞋、高跟鞋、PVC注塑鞋生产线</w:t>
                  </w:r>
                </w:p>
              </w:tc>
            </w:tr>
            <w:tr w14:paraId="26BFF8CC">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339" w:type="pct"/>
                  <w:tcBorders>
                    <w:left w:val="nil"/>
                  </w:tcBorders>
                  <w:shd w:val="clear" w:color="auto" w:fill="auto"/>
                  <w:noWrap w:val="0"/>
                  <w:vAlign w:val="center"/>
                </w:tcPr>
                <w:p w14:paraId="4DE59B6C">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18</w:t>
                  </w:r>
                </w:p>
              </w:tc>
              <w:tc>
                <w:tcPr>
                  <w:tcW w:w="801" w:type="pct"/>
                  <w:shd w:val="clear" w:color="auto" w:fill="auto"/>
                  <w:noWrap w:val="0"/>
                  <w:vAlign w:val="center"/>
                </w:tcPr>
                <w:p w14:paraId="1208D498">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s="Times New Roman"/>
                      <w:color w:val="auto"/>
                      <w:kern w:val="0"/>
                      <w:sz w:val="21"/>
                      <w:szCs w:val="21"/>
                      <w:u w:val="none"/>
                      <w:lang w:val="en-US" w:eastAsia="zh-CN" w:bidi="ar-SA"/>
                    </w:rPr>
                    <w:t>高跟鞋底中㡳</w:t>
                  </w:r>
                </w:p>
              </w:tc>
              <w:tc>
                <w:tcPr>
                  <w:tcW w:w="543" w:type="pct"/>
                  <w:shd w:val="clear" w:color="auto" w:fill="auto"/>
                  <w:noWrap w:val="0"/>
                  <w:vAlign w:val="center"/>
                </w:tcPr>
                <w:p w14:paraId="40E192E3">
                  <w:pPr>
                    <w:keepNext w:val="0"/>
                    <w:keepLines w:val="0"/>
                    <w:suppressLineNumbers w:val="0"/>
                    <w:kinsoku/>
                    <w:overflowPunct w:val="0"/>
                    <w:spacing w:before="0" w:beforeAutospacing="0" w:after="0" w:afterAutospacing="0"/>
                    <w:ind w:left="21" w:leftChars="10" w:right="0"/>
                    <w:jc w:val="center"/>
                    <w:rPr>
                      <w:rFonts w:hint="eastAsia" w:ascii="Times New Roman" w:hAnsi="Times New Roman" w:eastAsia="宋体" w:cs="Times New Roman"/>
                      <w:color w:val="auto"/>
                      <w:kern w:val="2"/>
                      <w:sz w:val="21"/>
                      <w:szCs w:val="24"/>
                      <w:u w:val="none"/>
                      <w:lang w:val="en-US" w:eastAsia="zh-CN" w:bidi="ar-SA"/>
                    </w:rPr>
                  </w:pPr>
                  <w:r>
                    <w:rPr>
                      <w:rFonts w:hint="eastAsia"/>
                      <w:color w:val="auto"/>
                      <w:u w:val="none"/>
                      <w:lang w:val="en-US" w:eastAsia="zh-CN"/>
                    </w:rPr>
                    <w:t>万</w:t>
                  </w:r>
                  <w:r>
                    <w:rPr>
                      <w:rFonts w:hint="eastAsia"/>
                      <w:color w:val="auto"/>
                      <w:u w:val="none"/>
                      <w:lang w:eastAsia="zh-CN"/>
                    </w:rPr>
                    <w:t>双</w:t>
                  </w:r>
                </w:p>
              </w:tc>
              <w:tc>
                <w:tcPr>
                  <w:tcW w:w="459" w:type="pct"/>
                  <w:shd w:val="clear" w:color="auto" w:fill="auto"/>
                  <w:noWrap w:val="0"/>
                  <w:vAlign w:val="center"/>
                </w:tcPr>
                <w:p w14:paraId="33B40207">
                  <w:pPr>
                    <w:keepNext w:val="0"/>
                    <w:keepLines w:val="0"/>
                    <w:suppressLineNumbers w:val="0"/>
                    <w:kinsoku/>
                    <w:overflowPunct w:val="0"/>
                    <w:spacing w:before="0" w:beforeAutospacing="0" w:after="0" w:afterAutospacing="0"/>
                    <w:ind w:left="21" w:leftChars="10" w:right="0"/>
                    <w:jc w:val="center"/>
                    <w:rPr>
                      <w:rFonts w:hint="eastAsia" w:ascii="Times New Roman" w:hAnsi="Times New Roman" w:eastAsia="宋体" w:cs="Times New Roman"/>
                      <w:color w:val="auto"/>
                      <w:kern w:val="2"/>
                      <w:sz w:val="21"/>
                      <w:szCs w:val="24"/>
                      <w:u w:val="none"/>
                      <w:lang w:val="en-US" w:eastAsia="zh-CN" w:bidi="ar-SA"/>
                    </w:rPr>
                  </w:pPr>
                  <w:r>
                    <w:rPr>
                      <w:rFonts w:hint="eastAsia"/>
                      <w:color w:val="auto"/>
                      <w:u w:val="none"/>
                      <w:lang w:val="en-US" w:eastAsia="zh-CN"/>
                    </w:rPr>
                    <w:t>8</w:t>
                  </w:r>
                  <w:r>
                    <w:rPr>
                      <w:rFonts w:hint="default"/>
                      <w:color w:val="auto"/>
                      <w:u w:val="none"/>
                      <w:lang w:eastAsia="zh-CN"/>
                    </w:rPr>
                    <w:t>0</w:t>
                  </w:r>
                </w:p>
              </w:tc>
              <w:tc>
                <w:tcPr>
                  <w:tcW w:w="645" w:type="pct"/>
                  <w:shd w:val="clear" w:color="auto" w:fill="auto"/>
                  <w:noWrap w:val="0"/>
                  <w:vAlign w:val="center"/>
                </w:tcPr>
                <w:p w14:paraId="1B5DE8ED">
                  <w:pPr>
                    <w:keepNext w:val="0"/>
                    <w:keepLines w:val="0"/>
                    <w:suppressLineNumbers w:val="0"/>
                    <w:kinsoku/>
                    <w:overflowPunct w:val="0"/>
                    <w:spacing w:before="0" w:beforeAutospacing="0" w:after="0" w:afterAutospacing="0"/>
                    <w:ind w:left="21" w:leftChars="10" w:right="0"/>
                    <w:jc w:val="center"/>
                    <w:rPr>
                      <w:rFonts w:hint="eastAsia" w:ascii="Times New Roman" w:hAnsi="Times New Roman" w:eastAsia="宋体" w:cs="Times New Roman"/>
                      <w:color w:val="auto"/>
                      <w:kern w:val="2"/>
                      <w:sz w:val="21"/>
                      <w:szCs w:val="24"/>
                      <w:u w:val="none"/>
                      <w:lang w:val="en-US" w:eastAsia="zh-CN" w:bidi="ar-SA"/>
                    </w:rPr>
                  </w:pPr>
                  <w:r>
                    <w:rPr>
                      <w:rFonts w:hint="default"/>
                      <w:color w:val="auto"/>
                      <w:u w:val="none"/>
                      <w:lang w:eastAsia="zh-CN"/>
                    </w:rPr>
                    <w:t>15</w:t>
                  </w:r>
                </w:p>
              </w:tc>
              <w:tc>
                <w:tcPr>
                  <w:tcW w:w="634" w:type="pct"/>
                  <w:shd w:val="clear" w:color="auto" w:fill="auto"/>
                  <w:noWrap w:val="0"/>
                  <w:vAlign w:val="center"/>
                </w:tcPr>
                <w:p w14:paraId="16A64F3C">
                  <w:pPr>
                    <w:keepNext w:val="0"/>
                    <w:keepLines w:val="0"/>
                    <w:suppressLineNumbers w:val="0"/>
                    <w:kinsoku/>
                    <w:overflowPunct w:val="0"/>
                    <w:spacing w:before="0" w:beforeAutospacing="0" w:after="0" w:afterAutospacing="0"/>
                    <w:ind w:left="21" w:leftChars="10" w:right="0"/>
                    <w:jc w:val="center"/>
                    <w:rPr>
                      <w:rFonts w:hint="default" w:ascii="Times New Roman" w:hAnsi="Times New Roman" w:eastAsia="宋体" w:cs="Times New Roman"/>
                      <w:color w:val="auto"/>
                      <w:kern w:val="2"/>
                      <w:sz w:val="21"/>
                      <w:szCs w:val="24"/>
                      <w:u w:val="none"/>
                      <w:lang w:val="en-US" w:eastAsia="zh-CN" w:bidi="ar-SA"/>
                    </w:rPr>
                  </w:pPr>
                  <w:r>
                    <w:rPr>
                      <w:rFonts w:hint="eastAsia" w:cs="Times New Roman"/>
                      <w:color w:val="auto"/>
                      <w:kern w:val="2"/>
                      <w:sz w:val="21"/>
                      <w:szCs w:val="24"/>
                      <w:u w:val="none"/>
                      <w:lang w:val="en-US" w:eastAsia="zh-CN" w:bidi="ar-SA"/>
                    </w:rPr>
                    <w:t>/</w:t>
                  </w:r>
                </w:p>
              </w:tc>
              <w:tc>
                <w:tcPr>
                  <w:tcW w:w="827" w:type="pct"/>
                  <w:shd w:val="clear" w:color="auto" w:fill="auto"/>
                  <w:noWrap w:val="0"/>
                  <w:vAlign w:val="center"/>
                </w:tcPr>
                <w:p w14:paraId="4021315A">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s="Times New Roman"/>
                      <w:color w:val="auto"/>
                      <w:kern w:val="0"/>
                      <w:sz w:val="21"/>
                      <w:szCs w:val="21"/>
                      <w:u w:val="none"/>
                      <w:lang w:val="en-US" w:eastAsia="zh-CN" w:bidi="ar-SA"/>
                    </w:rPr>
                    <w:t>/</w:t>
                  </w:r>
                </w:p>
              </w:tc>
              <w:tc>
                <w:tcPr>
                  <w:tcW w:w="749" w:type="pct"/>
                  <w:tcBorders>
                    <w:right w:val="nil"/>
                  </w:tcBorders>
                  <w:shd w:val="clear" w:color="auto" w:fill="auto"/>
                  <w:noWrap w:val="0"/>
                  <w:vAlign w:val="center"/>
                </w:tcPr>
                <w:p w14:paraId="12732408">
                  <w:pPr>
                    <w:keepNext w:val="0"/>
                    <w:keepLines w:val="0"/>
                    <w:suppressLineNumbers w:val="0"/>
                    <w:kinsoku/>
                    <w:overflowPunct w:val="0"/>
                    <w:spacing w:before="0" w:beforeAutospacing="0" w:after="0" w:afterAutospacing="0"/>
                    <w:ind w:left="21" w:leftChars="10" w:right="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u w:val="none"/>
                      <w:lang w:eastAsia="zh-CN"/>
                    </w:rPr>
                    <w:t>外购</w:t>
                  </w:r>
                </w:p>
              </w:tc>
            </w:tr>
            <w:tr w14:paraId="3E22C46B">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339" w:type="pct"/>
                  <w:tcBorders>
                    <w:left w:val="nil"/>
                  </w:tcBorders>
                  <w:shd w:val="clear" w:color="auto" w:fill="auto"/>
                  <w:noWrap w:val="0"/>
                  <w:vAlign w:val="center"/>
                </w:tcPr>
                <w:p w14:paraId="2F6CD208">
                  <w:pPr>
                    <w:keepNext w:val="0"/>
                    <w:keepLines w:val="0"/>
                    <w:widowControl/>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19</w:t>
                  </w:r>
                </w:p>
              </w:tc>
              <w:tc>
                <w:tcPr>
                  <w:tcW w:w="801" w:type="pct"/>
                  <w:shd w:val="clear" w:color="auto" w:fill="auto"/>
                  <w:noWrap w:val="0"/>
                  <w:vAlign w:val="center"/>
                </w:tcPr>
                <w:p w14:paraId="2B32BA6B">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s="Times New Roman"/>
                      <w:color w:val="auto"/>
                      <w:kern w:val="0"/>
                      <w:sz w:val="21"/>
                      <w:szCs w:val="21"/>
                      <w:u w:val="none"/>
                      <w:lang w:val="en-US" w:eastAsia="zh-CN" w:bidi="ar-SA"/>
                    </w:rPr>
                    <w:t>高跟鞋底大㡳</w:t>
                  </w:r>
                </w:p>
              </w:tc>
              <w:tc>
                <w:tcPr>
                  <w:tcW w:w="543" w:type="pct"/>
                  <w:shd w:val="clear" w:color="auto" w:fill="auto"/>
                  <w:noWrap w:val="0"/>
                  <w:vAlign w:val="center"/>
                </w:tcPr>
                <w:p w14:paraId="68BBA750">
                  <w:pPr>
                    <w:keepNext w:val="0"/>
                    <w:keepLines w:val="0"/>
                    <w:suppressLineNumbers w:val="0"/>
                    <w:kinsoku/>
                    <w:overflowPunct w:val="0"/>
                    <w:spacing w:before="0" w:beforeAutospacing="0" w:after="0" w:afterAutospacing="0"/>
                    <w:ind w:left="21" w:leftChars="10" w:right="0"/>
                    <w:jc w:val="center"/>
                    <w:rPr>
                      <w:rFonts w:hint="default" w:ascii="Times New Roman" w:hAnsi="Times New Roman" w:eastAsia="宋体" w:cs="Times New Roman"/>
                      <w:color w:val="auto"/>
                      <w:kern w:val="2"/>
                      <w:sz w:val="21"/>
                      <w:szCs w:val="24"/>
                      <w:u w:val="none"/>
                      <w:lang w:val="en-US" w:eastAsia="zh-CN" w:bidi="ar-SA"/>
                    </w:rPr>
                  </w:pPr>
                  <w:r>
                    <w:rPr>
                      <w:rFonts w:hint="eastAsia"/>
                      <w:color w:val="auto"/>
                      <w:u w:val="none"/>
                      <w:lang w:eastAsia="zh-CN"/>
                    </w:rPr>
                    <w:t>双</w:t>
                  </w:r>
                  <w:r>
                    <w:rPr>
                      <w:rFonts w:hint="eastAsia"/>
                      <w:color w:val="auto"/>
                      <w:u w:val="none"/>
                      <w:lang w:val="en-US" w:eastAsia="zh-CN"/>
                    </w:rPr>
                    <w:t>万</w:t>
                  </w:r>
                </w:p>
              </w:tc>
              <w:tc>
                <w:tcPr>
                  <w:tcW w:w="459" w:type="pct"/>
                  <w:shd w:val="clear" w:color="auto" w:fill="auto"/>
                  <w:noWrap w:val="0"/>
                  <w:vAlign w:val="center"/>
                </w:tcPr>
                <w:p w14:paraId="55AC85A0">
                  <w:pPr>
                    <w:keepNext w:val="0"/>
                    <w:keepLines w:val="0"/>
                    <w:suppressLineNumbers w:val="0"/>
                    <w:kinsoku/>
                    <w:overflowPunct w:val="0"/>
                    <w:spacing w:before="0" w:beforeAutospacing="0" w:after="0" w:afterAutospacing="0"/>
                    <w:ind w:left="21" w:leftChars="10" w:right="0"/>
                    <w:jc w:val="center"/>
                    <w:rPr>
                      <w:rFonts w:hint="eastAsia" w:ascii="Times New Roman" w:hAnsi="Times New Roman" w:eastAsia="宋体" w:cs="Times New Roman"/>
                      <w:color w:val="auto"/>
                      <w:kern w:val="2"/>
                      <w:sz w:val="21"/>
                      <w:szCs w:val="24"/>
                      <w:u w:val="none"/>
                      <w:lang w:val="en-US" w:eastAsia="zh-CN" w:bidi="ar-SA"/>
                    </w:rPr>
                  </w:pPr>
                  <w:r>
                    <w:rPr>
                      <w:rFonts w:hint="eastAsia"/>
                      <w:color w:val="auto"/>
                      <w:u w:val="none"/>
                      <w:lang w:val="en-US" w:eastAsia="zh-CN"/>
                    </w:rPr>
                    <w:t>8</w:t>
                  </w:r>
                  <w:r>
                    <w:rPr>
                      <w:rFonts w:hint="default"/>
                      <w:color w:val="auto"/>
                      <w:u w:val="none"/>
                      <w:lang w:eastAsia="zh-CN"/>
                    </w:rPr>
                    <w:t>0</w:t>
                  </w:r>
                </w:p>
              </w:tc>
              <w:tc>
                <w:tcPr>
                  <w:tcW w:w="645" w:type="pct"/>
                  <w:shd w:val="clear" w:color="auto" w:fill="auto"/>
                  <w:noWrap w:val="0"/>
                  <w:vAlign w:val="center"/>
                </w:tcPr>
                <w:p w14:paraId="278EDFFF">
                  <w:pPr>
                    <w:keepNext w:val="0"/>
                    <w:keepLines w:val="0"/>
                    <w:suppressLineNumbers w:val="0"/>
                    <w:kinsoku/>
                    <w:overflowPunct w:val="0"/>
                    <w:spacing w:before="0" w:beforeAutospacing="0" w:after="0" w:afterAutospacing="0"/>
                    <w:ind w:left="21" w:leftChars="10" w:right="0"/>
                    <w:jc w:val="center"/>
                    <w:rPr>
                      <w:rFonts w:hint="eastAsia" w:ascii="Times New Roman" w:hAnsi="Times New Roman" w:eastAsia="宋体" w:cs="Times New Roman"/>
                      <w:color w:val="auto"/>
                      <w:kern w:val="2"/>
                      <w:sz w:val="21"/>
                      <w:szCs w:val="24"/>
                      <w:u w:val="none"/>
                      <w:lang w:val="en-US" w:eastAsia="zh-CN" w:bidi="ar-SA"/>
                    </w:rPr>
                  </w:pPr>
                  <w:r>
                    <w:rPr>
                      <w:rFonts w:hint="default"/>
                      <w:color w:val="auto"/>
                      <w:u w:val="none"/>
                      <w:lang w:eastAsia="zh-CN"/>
                    </w:rPr>
                    <w:t>15</w:t>
                  </w:r>
                </w:p>
              </w:tc>
              <w:tc>
                <w:tcPr>
                  <w:tcW w:w="634" w:type="pct"/>
                  <w:shd w:val="clear" w:color="auto" w:fill="auto"/>
                  <w:noWrap w:val="0"/>
                  <w:vAlign w:val="center"/>
                </w:tcPr>
                <w:p w14:paraId="30E544DA">
                  <w:pPr>
                    <w:keepNext w:val="0"/>
                    <w:keepLines w:val="0"/>
                    <w:suppressLineNumbers w:val="0"/>
                    <w:kinsoku/>
                    <w:overflowPunct w:val="0"/>
                    <w:spacing w:before="0" w:beforeAutospacing="0" w:after="0" w:afterAutospacing="0"/>
                    <w:ind w:left="21" w:leftChars="10" w:right="0"/>
                    <w:jc w:val="center"/>
                    <w:rPr>
                      <w:rFonts w:hint="default" w:ascii="Times New Roman" w:hAnsi="Times New Roman" w:eastAsia="宋体" w:cs="Times New Roman"/>
                      <w:color w:val="auto"/>
                      <w:kern w:val="2"/>
                      <w:sz w:val="21"/>
                      <w:szCs w:val="24"/>
                      <w:u w:val="none"/>
                      <w:lang w:val="en-US" w:eastAsia="zh-CN" w:bidi="ar-SA"/>
                    </w:rPr>
                  </w:pPr>
                  <w:r>
                    <w:rPr>
                      <w:rFonts w:hint="eastAsia" w:cs="Times New Roman"/>
                      <w:color w:val="auto"/>
                      <w:kern w:val="2"/>
                      <w:sz w:val="21"/>
                      <w:szCs w:val="24"/>
                      <w:u w:val="none"/>
                      <w:lang w:val="en-US" w:eastAsia="zh-CN" w:bidi="ar-SA"/>
                    </w:rPr>
                    <w:t>/</w:t>
                  </w:r>
                </w:p>
              </w:tc>
              <w:tc>
                <w:tcPr>
                  <w:tcW w:w="827" w:type="pct"/>
                  <w:shd w:val="clear" w:color="auto" w:fill="auto"/>
                  <w:noWrap w:val="0"/>
                  <w:vAlign w:val="center"/>
                </w:tcPr>
                <w:p w14:paraId="6EA9F4D0">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s="Times New Roman"/>
                      <w:color w:val="auto"/>
                      <w:kern w:val="0"/>
                      <w:sz w:val="21"/>
                      <w:szCs w:val="21"/>
                      <w:u w:val="none"/>
                      <w:lang w:val="en-US" w:eastAsia="zh-CN" w:bidi="ar-SA"/>
                    </w:rPr>
                    <w:t>/</w:t>
                  </w:r>
                </w:p>
              </w:tc>
              <w:tc>
                <w:tcPr>
                  <w:tcW w:w="749" w:type="pct"/>
                  <w:tcBorders>
                    <w:right w:val="nil"/>
                  </w:tcBorders>
                  <w:shd w:val="clear" w:color="auto" w:fill="auto"/>
                  <w:noWrap w:val="0"/>
                  <w:vAlign w:val="center"/>
                </w:tcPr>
                <w:p w14:paraId="2C76A4D3">
                  <w:pPr>
                    <w:keepNext w:val="0"/>
                    <w:keepLines w:val="0"/>
                    <w:suppressLineNumbers w:val="0"/>
                    <w:kinsoku/>
                    <w:overflowPunct w:val="0"/>
                    <w:spacing w:before="0" w:beforeAutospacing="0" w:after="0" w:afterAutospacing="0"/>
                    <w:ind w:left="21" w:leftChars="10" w:right="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u w:val="none"/>
                      <w:lang w:eastAsia="zh-CN"/>
                    </w:rPr>
                    <w:t>外购</w:t>
                  </w:r>
                </w:p>
              </w:tc>
            </w:tr>
            <w:tr w14:paraId="1BEF220C">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339" w:type="pct"/>
                  <w:tcBorders>
                    <w:left w:val="nil"/>
                  </w:tcBorders>
                  <w:shd w:val="clear" w:color="auto" w:fill="auto"/>
                  <w:noWrap w:val="0"/>
                  <w:vAlign w:val="center"/>
                </w:tcPr>
                <w:p w14:paraId="34DBBAA1">
                  <w:pPr>
                    <w:keepNext w:val="0"/>
                    <w:keepLines w:val="0"/>
                    <w:widowControl/>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20</w:t>
                  </w:r>
                </w:p>
              </w:tc>
              <w:tc>
                <w:tcPr>
                  <w:tcW w:w="801" w:type="pct"/>
                  <w:shd w:val="clear" w:color="auto" w:fill="auto"/>
                  <w:noWrap w:val="0"/>
                  <w:vAlign w:val="center"/>
                </w:tcPr>
                <w:p w14:paraId="5877CAEC">
                  <w:pPr>
                    <w:keepNext w:val="0"/>
                    <w:keepLines w:val="0"/>
                    <w:widowControl/>
                    <w:suppressLineNumbers w:val="0"/>
                    <w:spacing w:before="0" w:beforeAutospacing="0" w:after="0" w:afterAutospacing="0" w:line="240" w:lineRule="auto"/>
                    <w:ind w:left="0" w:right="0" w:firstLine="0" w:firstLineChars="0"/>
                    <w:jc w:val="center"/>
                    <w:rPr>
                      <w:rFonts w:hint="default" w:cs="Times New Roman"/>
                      <w:color w:val="auto"/>
                      <w:kern w:val="0"/>
                      <w:sz w:val="21"/>
                      <w:szCs w:val="21"/>
                      <w:u w:val="none"/>
                      <w:lang w:val="en-US" w:eastAsia="zh-CN" w:bidi="ar-SA"/>
                    </w:rPr>
                  </w:pPr>
                  <w:r>
                    <w:rPr>
                      <w:rFonts w:hint="eastAsia" w:cs="Times New Roman"/>
                      <w:color w:val="auto"/>
                      <w:kern w:val="0"/>
                      <w:sz w:val="21"/>
                      <w:szCs w:val="21"/>
                      <w:u w:val="none"/>
                      <w:lang w:val="en-US" w:eastAsia="zh-CN" w:bidi="ar-SA"/>
                    </w:rPr>
                    <w:t>高跟鞋鞋垫</w:t>
                  </w:r>
                </w:p>
              </w:tc>
              <w:tc>
                <w:tcPr>
                  <w:tcW w:w="543" w:type="pct"/>
                  <w:shd w:val="clear" w:color="auto" w:fill="auto"/>
                  <w:noWrap w:val="0"/>
                  <w:vAlign w:val="center"/>
                </w:tcPr>
                <w:p w14:paraId="2E23F882">
                  <w:pPr>
                    <w:keepNext w:val="0"/>
                    <w:keepLines w:val="0"/>
                    <w:suppressLineNumbers w:val="0"/>
                    <w:kinsoku/>
                    <w:overflowPunct w:val="0"/>
                    <w:spacing w:before="0" w:beforeAutospacing="0" w:after="0" w:afterAutospacing="0"/>
                    <w:ind w:left="21" w:leftChars="10" w:right="0"/>
                    <w:jc w:val="center"/>
                    <w:rPr>
                      <w:rFonts w:hint="eastAsia"/>
                      <w:color w:val="auto"/>
                      <w:u w:val="none"/>
                      <w:lang w:eastAsia="zh-CN"/>
                    </w:rPr>
                  </w:pPr>
                  <w:r>
                    <w:rPr>
                      <w:rFonts w:hint="eastAsia"/>
                      <w:color w:val="auto"/>
                      <w:u w:val="none"/>
                      <w:lang w:eastAsia="zh-CN"/>
                    </w:rPr>
                    <w:t>双</w:t>
                  </w:r>
                  <w:r>
                    <w:rPr>
                      <w:rFonts w:hint="eastAsia"/>
                      <w:color w:val="auto"/>
                      <w:u w:val="none"/>
                      <w:lang w:val="en-US" w:eastAsia="zh-CN"/>
                    </w:rPr>
                    <w:t>万</w:t>
                  </w:r>
                </w:p>
              </w:tc>
              <w:tc>
                <w:tcPr>
                  <w:tcW w:w="459" w:type="pct"/>
                  <w:shd w:val="clear" w:color="auto" w:fill="auto"/>
                  <w:noWrap w:val="0"/>
                  <w:vAlign w:val="center"/>
                </w:tcPr>
                <w:p w14:paraId="1625BB13">
                  <w:pPr>
                    <w:keepNext w:val="0"/>
                    <w:keepLines w:val="0"/>
                    <w:suppressLineNumbers w:val="0"/>
                    <w:kinsoku/>
                    <w:overflowPunct w:val="0"/>
                    <w:spacing w:before="0" w:beforeAutospacing="0" w:after="0" w:afterAutospacing="0"/>
                    <w:ind w:left="21" w:leftChars="10" w:right="0"/>
                    <w:jc w:val="center"/>
                    <w:rPr>
                      <w:rFonts w:hint="eastAsia" w:ascii="Times New Roman" w:hAnsi="Times New Roman" w:eastAsia="宋体" w:cs="Times New Roman"/>
                      <w:color w:val="auto"/>
                      <w:kern w:val="2"/>
                      <w:sz w:val="21"/>
                      <w:szCs w:val="24"/>
                      <w:u w:val="none"/>
                      <w:lang w:val="en-US" w:eastAsia="zh-CN" w:bidi="ar-SA"/>
                    </w:rPr>
                  </w:pPr>
                  <w:r>
                    <w:rPr>
                      <w:rFonts w:hint="eastAsia"/>
                      <w:color w:val="auto"/>
                      <w:u w:val="none"/>
                      <w:lang w:val="en-US" w:eastAsia="zh-CN"/>
                    </w:rPr>
                    <w:t>8</w:t>
                  </w:r>
                  <w:r>
                    <w:rPr>
                      <w:rFonts w:hint="default"/>
                      <w:color w:val="auto"/>
                      <w:u w:val="none"/>
                      <w:lang w:eastAsia="zh-CN"/>
                    </w:rPr>
                    <w:t>0</w:t>
                  </w:r>
                </w:p>
              </w:tc>
              <w:tc>
                <w:tcPr>
                  <w:tcW w:w="645" w:type="pct"/>
                  <w:shd w:val="clear" w:color="auto" w:fill="auto"/>
                  <w:noWrap w:val="0"/>
                  <w:vAlign w:val="center"/>
                </w:tcPr>
                <w:p w14:paraId="7BA86054">
                  <w:pPr>
                    <w:keepNext w:val="0"/>
                    <w:keepLines w:val="0"/>
                    <w:suppressLineNumbers w:val="0"/>
                    <w:kinsoku/>
                    <w:overflowPunct w:val="0"/>
                    <w:spacing w:before="0" w:beforeAutospacing="0" w:after="0" w:afterAutospacing="0"/>
                    <w:ind w:left="21" w:leftChars="10" w:right="0"/>
                    <w:jc w:val="center"/>
                    <w:rPr>
                      <w:rFonts w:hint="eastAsia" w:ascii="Times New Roman" w:hAnsi="Times New Roman" w:eastAsia="宋体" w:cs="Times New Roman"/>
                      <w:color w:val="auto"/>
                      <w:kern w:val="2"/>
                      <w:sz w:val="21"/>
                      <w:szCs w:val="24"/>
                      <w:u w:val="none"/>
                      <w:lang w:val="en-US" w:eastAsia="zh-CN" w:bidi="ar-SA"/>
                    </w:rPr>
                  </w:pPr>
                  <w:r>
                    <w:rPr>
                      <w:rFonts w:hint="default"/>
                      <w:color w:val="auto"/>
                      <w:u w:val="none"/>
                      <w:lang w:eastAsia="zh-CN"/>
                    </w:rPr>
                    <w:t>15</w:t>
                  </w:r>
                </w:p>
              </w:tc>
              <w:tc>
                <w:tcPr>
                  <w:tcW w:w="634" w:type="pct"/>
                  <w:shd w:val="clear" w:color="auto" w:fill="auto"/>
                  <w:noWrap w:val="0"/>
                  <w:vAlign w:val="center"/>
                </w:tcPr>
                <w:p w14:paraId="4F62A2E2">
                  <w:pPr>
                    <w:keepNext w:val="0"/>
                    <w:keepLines w:val="0"/>
                    <w:suppressLineNumbers w:val="0"/>
                    <w:kinsoku/>
                    <w:overflowPunct w:val="0"/>
                    <w:spacing w:before="0" w:beforeAutospacing="0" w:after="0" w:afterAutospacing="0"/>
                    <w:ind w:left="21" w:leftChars="10" w:right="0"/>
                    <w:jc w:val="center"/>
                    <w:rPr>
                      <w:rFonts w:hint="eastAsia" w:ascii="Times New Roman" w:hAnsi="Times New Roman" w:eastAsia="宋体" w:cs="Times New Roman"/>
                      <w:color w:val="auto"/>
                      <w:kern w:val="2"/>
                      <w:sz w:val="21"/>
                      <w:szCs w:val="24"/>
                      <w:u w:val="none"/>
                      <w:lang w:val="en-US" w:eastAsia="zh-CN" w:bidi="ar-SA"/>
                    </w:rPr>
                  </w:pPr>
                  <w:r>
                    <w:rPr>
                      <w:rFonts w:hint="eastAsia" w:cs="Times New Roman"/>
                      <w:color w:val="auto"/>
                      <w:kern w:val="2"/>
                      <w:sz w:val="21"/>
                      <w:szCs w:val="24"/>
                      <w:u w:val="none"/>
                      <w:lang w:val="en-US" w:eastAsia="zh-CN" w:bidi="ar-SA"/>
                    </w:rPr>
                    <w:t>/</w:t>
                  </w:r>
                </w:p>
              </w:tc>
              <w:tc>
                <w:tcPr>
                  <w:tcW w:w="827" w:type="pct"/>
                  <w:shd w:val="clear" w:color="auto" w:fill="auto"/>
                  <w:noWrap w:val="0"/>
                  <w:vAlign w:val="center"/>
                </w:tcPr>
                <w:p w14:paraId="7B4182F6">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s="Times New Roman"/>
                      <w:color w:val="auto"/>
                      <w:kern w:val="0"/>
                      <w:sz w:val="21"/>
                      <w:szCs w:val="21"/>
                      <w:u w:val="none"/>
                      <w:lang w:val="en-US" w:eastAsia="zh-CN" w:bidi="ar-SA"/>
                    </w:rPr>
                    <w:t>/</w:t>
                  </w:r>
                </w:p>
              </w:tc>
              <w:tc>
                <w:tcPr>
                  <w:tcW w:w="749" w:type="pct"/>
                  <w:tcBorders>
                    <w:right w:val="nil"/>
                  </w:tcBorders>
                  <w:shd w:val="clear" w:color="auto" w:fill="auto"/>
                  <w:noWrap w:val="0"/>
                  <w:vAlign w:val="center"/>
                </w:tcPr>
                <w:p w14:paraId="3EC6CEF1">
                  <w:pPr>
                    <w:keepNext w:val="0"/>
                    <w:keepLines w:val="0"/>
                    <w:suppressLineNumbers w:val="0"/>
                    <w:kinsoku/>
                    <w:overflowPunct w:val="0"/>
                    <w:spacing w:before="0" w:beforeAutospacing="0" w:after="0" w:afterAutospacing="0"/>
                    <w:ind w:left="21" w:leftChars="10" w:right="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u w:val="none"/>
                      <w:lang w:eastAsia="zh-CN"/>
                    </w:rPr>
                    <w:t>外购</w:t>
                  </w:r>
                </w:p>
              </w:tc>
            </w:tr>
            <w:tr w14:paraId="6580442B">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339" w:type="pct"/>
                  <w:tcBorders>
                    <w:left w:val="nil"/>
                  </w:tcBorders>
                  <w:shd w:val="clear" w:color="auto" w:fill="auto"/>
                  <w:noWrap w:val="0"/>
                  <w:vAlign w:val="center"/>
                </w:tcPr>
                <w:p w14:paraId="2BF9118C">
                  <w:pPr>
                    <w:keepNext w:val="0"/>
                    <w:keepLines w:val="0"/>
                    <w:widowControl/>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21</w:t>
                  </w:r>
                </w:p>
              </w:tc>
              <w:tc>
                <w:tcPr>
                  <w:tcW w:w="801" w:type="pct"/>
                  <w:shd w:val="clear" w:color="auto" w:fill="auto"/>
                  <w:noWrap w:val="0"/>
                  <w:vAlign w:val="center"/>
                </w:tcPr>
                <w:p w14:paraId="3856C20C">
                  <w:pPr>
                    <w:keepNext w:val="0"/>
                    <w:keepLines w:val="0"/>
                    <w:widowControl/>
                    <w:suppressLineNumbers w:val="0"/>
                    <w:spacing w:before="0" w:beforeAutospacing="0" w:after="0" w:afterAutospacing="0" w:line="240" w:lineRule="auto"/>
                    <w:ind w:left="0" w:right="0" w:firstLine="0" w:firstLineChars="0"/>
                    <w:jc w:val="center"/>
                    <w:rPr>
                      <w:rFonts w:hint="default" w:cs="Times New Roman"/>
                      <w:color w:val="auto"/>
                      <w:kern w:val="0"/>
                      <w:sz w:val="21"/>
                      <w:szCs w:val="21"/>
                      <w:u w:val="none"/>
                      <w:lang w:val="en-US" w:eastAsia="zh-CN" w:bidi="ar-SA"/>
                    </w:rPr>
                  </w:pPr>
                  <w:r>
                    <w:rPr>
                      <w:rFonts w:hint="eastAsia" w:cs="Times New Roman"/>
                      <w:color w:val="auto"/>
                      <w:kern w:val="0"/>
                      <w:sz w:val="21"/>
                      <w:szCs w:val="21"/>
                      <w:u w:val="none"/>
                      <w:lang w:val="en-US" w:eastAsia="zh-CN" w:bidi="ar-SA"/>
                    </w:rPr>
                    <w:t>鞋带</w:t>
                  </w:r>
                </w:p>
              </w:tc>
              <w:tc>
                <w:tcPr>
                  <w:tcW w:w="543" w:type="pct"/>
                  <w:shd w:val="clear" w:color="auto" w:fill="auto"/>
                  <w:noWrap w:val="0"/>
                  <w:vAlign w:val="center"/>
                </w:tcPr>
                <w:p w14:paraId="0BCC8DC3">
                  <w:pPr>
                    <w:keepNext w:val="0"/>
                    <w:keepLines w:val="0"/>
                    <w:suppressLineNumbers w:val="0"/>
                    <w:kinsoku/>
                    <w:overflowPunct w:val="0"/>
                    <w:spacing w:before="0" w:beforeAutospacing="0" w:after="0" w:afterAutospacing="0"/>
                    <w:ind w:left="21" w:leftChars="10" w:right="0"/>
                    <w:jc w:val="center"/>
                    <w:rPr>
                      <w:rFonts w:hint="eastAsia"/>
                      <w:color w:val="auto"/>
                      <w:u w:val="none"/>
                      <w:lang w:eastAsia="zh-CN"/>
                    </w:rPr>
                  </w:pPr>
                  <w:r>
                    <w:rPr>
                      <w:rFonts w:hint="eastAsia"/>
                      <w:color w:val="auto"/>
                      <w:u w:val="none"/>
                      <w:lang w:eastAsia="zh-CN"/>
                    </w:rPr>
                    <w:t>双</w:t>
                  </w:r>
                  <w:r>
                    <w:rPr>
                      <w:rFonts w:hint="eastAsia"/>
                      <w:color w:val="auto"/>
                      <w:u w:val="none"/>
                      <w:lang w:val="en-US" w:eastAsia="zh-CN"/>
                    </w:rPr>
                    <w:t>万</w:t>
                  </w:r>
                </w:p>
              </w:tc>
              <w:tc>
                <w:tcPr>
                  <w:tcW w:w="459" w:type="pct"/>
                  <w:shd w:val="clear" w:color="auto" w:fill="auto"/>
                  <w:noWrap w:val="0"/>
                  <w:vAlign w:val="center"/>
                </w:tcPr>
                <w:p w14:paraId="2280C2A2">
                  <w:pPr>
                    <w:keepNext w:val="0"/>
                    <w:keepLines w:val="0"/>
                    <w:suppressLineNumbers w:val="0"/>
                    <w:kinsoku/>
                    <w:overflowPunct w:val="0"/>
                    <w:spacing w:before="0" w:beforeAutospacing="0" w:after="0" w:afterAutospacing="0"/>
                    <w:ind w:left="21" w:leftChars="10" w:right="0"/>
                    <w:jc w:val="center"/>
                    <w:rPr>
                      <w:rFonts w:hint="default"/>
                      <w:color w:val="auto"/>
                      <w:u w:val="none"/>
                      <w:lang w:val="en-US" w:eastAsia="zh-CN"/>
                    </w:rPr>
                  </w:pPr>
                  <w:r>
                    <w:rPr>
                      <w:rFonts w:hint="eastAsia"/>
                      <w:color w:val="auto"/>
                      <w:u w:val="none"/>
                      <w:lang w:val="en-US" w:eastAsia="zh-CN"/>
                    </w:rPr>
                    <w:t>120</w:t>
                  </w:r>
                </w:p>
              </w:tc>
              <w:tc>
                <w:tcPr>
                  <w:tcW w:w="645" w:type="pct"/>
                  <w:shd w:val="clear" w:color="auto" w:fill="auto"/>
                  <w:noWrap w:val="0"/>
                  <w:vAlign w:val="center"/>
                </w:tcPr>
                <w:p w14:paraId="7B575D1C">
                  <w:pPr>
                    <w:keepNext w:val="0"/>
                    <w:keepLines w:val="0"/>
                    <w:suppressLineNumbers w:val="0"/>
                    <w:kinsoku/>
                    <w:overflowPunct w:val="0"/>
                    <w:spacing w:before="0" w:beforeAutospacing="0" w:after="0" w:afterAutospacing="0"/>
                    <w:ind w:left="21" w:leftChars="10" w:right="0"/>
                    <w:jc w:val="center"/>
                    <w:rPr>
                      <w:rFonts w:hint="default"/>
                      <w:color w:val="auto"/>
                      <w:u w:val="none"/>
                      <w:lang w:val="en-US" w:eastAsia="zh-CN"/>
                    </w:rPr>
                  </w:pPr>
                  <w:r>
                    <w:rPr>
                      <w:rFonts w:hint="eastAsia"/>
                      <w:color w:val="auto"/>
                      <w:u w:val="none"/>
                      <w:lang w:val="en-US" w:eastAsia="zh-CN"/>
                    </w:rPr>
                    <w:t>20</w:t>
                  </w:r>
                </w:p>
              </w:tc>
              <w:tc>
                <w:tcPr>
                  <w:tcW w:w="634" w:type="pct"/>
                  <w:shd w:val="clear" w:color="auto" w:fill="auto"/>
                  <w:noWrap w:val="0"/>
                  <w:vAlign w:val="center"/>
                </w:tcPr>
                <w:p w14:paraId="3FA3E906">
                  <w:pPr>
                    <w:keepNext w:val="0"/>
                    <w:keepLines w:val="0"/>
                    <w:suppressLineNumbers w:val="0"/>
                    <w:kinsoku/>
                    <w:overflowPunct w:val="0"/>
                    <w:spacing w:before="0" w:beforeAutospacing="0" w:after="0" w:afterAutospacing="0"/>
                    <w:ind w:left="21" w:leftChars="10" w:right="0"/>
                    <w:jc w:val="center"/>
                    <w:rPr>
                      <w:rFonts w:hint="eastAsia" w:cs="Times New Roman"/>
                      <w:color w:val="auto"/>
                      <w:kern w:val="2"/>
                      <w:sz w:val="21"/>
                      <w:szCs w:val="24"/>
                      <w:u w:val="none"/>
                      <w:lang w:val="en-US" w:eastAsia="zh-CN" w:bidi="ar-SA"/>
                    </w:rPr>
                  </w:pPr>
                  <w:r>
                    <w:rPr>
                      <w:rFonts w:hint="eastAsia" w:cs="Times New Roman"/>
                      <w:color w:val="auto"/>
                      <w:kern w:val="2"/>
                      <w:sz w:val="21"/>
                      <w:szCs w:val="24"/>
                      <w:u w:val="none"/>
                      <w:lang w:val="en-US" w:eastAsia="zh-CN" w:bidi="ar-SA"/>
                    </w:rPr>
                    <w:t>/</w:t>
                  </w:r>
                </w:p>
              </w:tc>
              <w:tc>
                <w:tcPr>
                  <w:tcW w:w="827" w:type="pct"/>
                  <w:shd w:val="clear" w:color="auto" w:fill="auto"/>
                  <w:noWrap w:val="0"/>
                  <w:vAlign w:val="center"/>
                </w:tcPr>
                <w:p w14:paraId="03216978">
                  <w:pPr>
                    <w:keepNext w:val="0"/>
                    <w:keepLines w:val="0"/>
                    <w:widowControl/>
                    <w:suppressLineNumbers w:val="0"/>
                    <w:spacing w:before="0" w:beforeAutospacing="0" w:after="0" w:afterAutospacing="0" w:line="240" w:lineRule="auto"/>
                    <w:ind w:left="0" w:right="0" w:firstLine="0" w:firstLineChars="0"/>
                    <w:jc w:val="center"/>
                    <w:rPr>
                      <w:rFonts w:hint="eastAsia" w:cs="Times New Roman"/>
                      <w:color w:val="auto"/>
                      <w:kern w:val="0"/>
                      <w:sz w:val="21"/>
                      <w:szCs w:val="21"/>
                      <w:u w:val="none"/>
                      <w:lang w:val="en-US" w:eastAsia="zh-CN" w:bidi="ar-SA"/>
                    </w:rPr>
                  </w:pPr>
                  <w:r>
                    <w:rPr>
                      <w:rFonts w:hint="eastAsia" w:cs="Times New Roman"/>
                      <w:color w:val="auto"/>
                      <w:kern w:val="0"/>
                      <w:sz w:val="21"/>
                      <w:szCs w:val="21"/>
                      <w:u w:val="none"/>
                      <w:lang w:val="en-US" w:eastAsia="zh-CN" w:bidi="ar-SA"/>
                    </w:rPr>
                    <w:t>/</w:t>
                  </w:r>
                </w:p>
              </w:tc>
              <w:tc>
                <w:tcPr>
                  <w:tcW w:w="749" w:type="pct"/>
                  <w:tcBorders>
                    <w:right w:val="nil"/>
                  </w:tcBorders>
                  <w:shd w:val="clear" w:color="auto" w:fill="auto"/>
                  <w:noWrap w:val="0"/>
                  <w:vAlign w:val="center"/>
                </w:tcPr>
                <w:p w14:paraId="7B7A03DF">
                  <w:pPr>
                    <w:keepNext w:val="0"/>
                    <w:keepLines w:val="0"/>
                    <w:suppressLineNumbers w:val="0"/>
                    <w:kinsoku/>
                    <w:overflowPunct w:val="0"/>
                    <w:spacing w:before="0" w:beforeAutospacing="0" w:after="0" w:afterAutospacing="0"/>
                    <w:ind w:left="21" w:leftChars="10" w:right="0"/>
                    <w:jc w:val="center"/>
                    <w:rPr>
                      <w:rFonts w:hint="eastAsia"/>
                      <w:color w:val="auto"/>
                      <w:u w:val="none"/>
                      <w:lang w:eastAsia="zh-CN"/>
                    </w:rPr>
                  </w:pPr>
                  <w:r>
                    <w:rPr>
                      <w:rFonts w:hint="eastAsia"/>
                      <w:color w:val="auto"/>
                      <w:u w:val="none"/>
                      <w:lang w:eastAsia="zh-CN"/>
                    </w:rPr>
                    <w:t>外购</w:t>
                  </w:r>
                </w:p>
              </w:tc>
            </w:tr>
            <w:tr w14:paraId="2A1A86FD">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339" w:type="pct"/>
                  <w:tcBorders>
                    <w:left w:val="nil"/>
                  </w:tcBorders>
                  <w:shd w:val="clear" w:color="auto" w:fill="auto"/>
                  <w:noWrap w:val="0"/>
                  <w:vAlign w:val="center"/>
                </w:tcPr>
                <w:p w14:paraId="058E64DA">
                  <w:pPr>
                    <w:keepNext w:val="0"/>
                    <w:keepLines w:val="0"/>
                    <w:widowControl/>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22</w:t>
                  </w:r>
                </w:p>
              </w:tc>
              <w:tc>
                <w:tcPr>
                  <w:tcW w:w="801" w:type="pct"/>
                  <w:noWrap w:val="0"/>
                  <w:vAlign w:val="center"/>
                </w:tcPr>
                <w:p w14:paraId="4603F415">
                  <w:pPr>
                    <w:keepNext w:val="0"/>
                    <w:keepLines w:val="0"/>
                    <w:widowControl/>
                    <w:suppressLineNumbers w:val="0"/>
                    <w:spacing w:before="0" w:beforeAutospacing="0" w:after="0" w:afterAutospacing="0" w:line="240" w:lineRule="auto"/>
                    <w:ind w:left="0" w:right="0" w:firstLine="0" w:firstLineChars="0"/>
                    <w:jc w:val="center"/>
                    <w:rPr>
                      <w:rFonts w:hint="eastAsia"/>
                      <w:color w:val="auto"/>
                      <w:kern w:val="0"/>
                      <w:sz w:val="21"/>
                      <w:szCs w:val="21"/>
                      <w:u w:val="none"/>
                    </w:rPr>
                  </w:pPr>
                  <w:r>
                    <w:rPr>
                      <w:rFonts w:hint="eastAsia"/>
                      <w:color w:val="auto"/>
                      <w:kern w:val="0"/>
                      <w:sz w:val="21"/>
                      <w:szCs w:val="21"/>
                      <w:u w:val="none"/>
                      <w:lang w:eastAsia="zh-CN"/>
                    </w:rPr>
                    <w:t>PU胶</w:t>
                  </w:r>
                  <w:r>
                    <w:rPr>
                      <w:rFonts w:hint="eastAsia"/>
                      <w:color w:val="auto"/>
                      <w:kern w:val="0"/>
                      <w:sz w:val="21"/>
                      <w:szCs w:val="21"/>
                      <w:u w:val="none"/>
                      <w:lang w:val="en-US" w:eastAsia="zh-CN"/>
                    </w:rPr>
                    <w:t>聚氨酯胶粘剂</w:t>
                  </w:r>
                </w:p>
              </w:tc>
              <w:tc>
                <w:tcPr>
                  <w:tcW w:w="543" w:type="pct"/>
                  <w:noWrap w:val="0"/>
                  <w:vAlign w:val="center"/>
                </w:tcPr>
                <w:p w14:paraId="6668D0FD">
                  <w:pPr>
                    <w:keepNext w:val="0"/>
                    <w:keepLines w:val="0"/>
                    <w:widowControl/>
                    <w:suppressLineNumbers w:val="0"/>
                    <w:spacing w:before="0" w:beforeAutospacing="0" w:after="0" w:afterAutospacing="0" w:line="240" w:lineRule="auto"/>
                    <w:ind w:left="0" w:right="0" w:firstLine="0" w:firstLineChars="0"/>
                    <w:jc w:val="center"/>
                    <w:rPr>
                      <w:rFonts w:hint="eastAsia"/>
                      <w:color w:val="auto"/>
                      <w:kern w:val="0"/>
                      <w:sz w:val="21"/>
                      <w:szCs w:val="21"/>
                      <w:u w:val="none"/>
                    </w:rPr>
                  </w:pPr>
                  <w:r>
                    <w:rPr>
                      <w:rFonts w:hint="eastAsia"/>
                      <w:color w:val="auto"/>
                      <w:kern w:val="0"/>
                      <w:sz w:val="21"/>
                      <w:szCs w:val="21"/>
                      <w:u w:val="none"/>
                    </w:rPr>
                    <w:t>t/a</w:t>
                  </w:r>
                </w:p>
              </w:tc>
              <w:tc>
                <w:tcPr>
                  <w:tcW w:w="459" w:type="pct"/>
                  <w:noWrap w:val="0"/>
                  <w:vAlign w:val="center"/>
                </w:tcPr>
                <w:p w14:paraId="6D4D0E28">
                  <w:pPr>
                    <w:keepNext w:val="0"/>
                    <w:keepLines w:val="0"/>
                    <w:widowControl/>
                    <w:suppressLineNumbers w:val="0"/>
                    <w:spacing w:before="0" w:beforeAutospacing="0" w:after="0" w:afterAutospacing="0" w:line="240" w:lineRule="auto"/>
                    <w:ind w:left="0" w:leftChars="0" w:right="0" w:rightChars="0" w:firstLine="0" w:firstLineChars="0"/>
                    <w:jc w:val="center"/>
                    <w:rPr>
                      <w:rFonts w:hint="eastAsia" w:eastAsia="宋体"/>
                      <w:color w:val="auto"/>
                      <w:kern w:val="0"/>
                      <w:sz w:val="21"/>
                      <w:szCs w:val="21"/>
                      <w:u w:val="none"/>
                      <w:lang w:val="en-US" w:eastAsia="zh-CN"/>
                    </w:rPr>
                  </w:pPr>
                  <w:r>
                    <w:rPr>
                      <w:rFonts w:hint="eastAsia"/>
                      <w:color w:val="auto"/>
                      <w:kern w:val="0"/>
                      <w:sz w:val="21"/>
                      <w:szCs w:val="21"/>
                      <w:u w:val="none"/>
                      <w:shd w:val="clear" w:color="auto" w:fill="auto"/>
                      <w:lang w:val="en-US" w:eastAsia="zh-CN"/>
                    </w:rPr>
                    <w:t>10.36</w:t>
                  </w:r>
                </w:p>
              </w:tc>
              <w:tc>
                <w:tcPr>
                  <w:tcW w:w="645" w:type="pct"/>
                  <w:noWrap w:val="0"/>
                  <w:vAlign w:val="center"/>
                </w:tcPr>
                <w:p w14:paraId="785EF86E">
                  <w:pPr>
                    <w:keepNext w:val="0"/>
                    <w:keepLines w:val="0"/>
                    <w:widowControl/>
                    <w:suppressLineNumbers w:val="0"/>
                    <w:spacing w:before="0" w:beforeAutospacing="0" w:after="0" w:afterAutospacing="0" w:line="240" w:lineRule="auto"/>
                    <w:ind w:left="0" w:right="0" w:firstLine="0" w:firstLineChars="0"/>
                    <w:jc w:val="center"/>
                    <w:rPr>
                      <w:rFonts w:hint="eastAsia"/>
                      <w:color w:val="auto"/>
                      <w:kern w:val="0"/>
                      <w:sz w:val="21"/>
                      <w:szCs w:val="21"/>
                      <w:u w:val="none"/>
                    </w:rPr>
                  </w:pPr>
                  <w:r>
                    <w:rPr>
                      <w:rFonts w:hint="eastAsia"/>
                      <w:color w:val="auto"/>
                      <w:kern w:val="0"/>
                      <w:sz w:val="21"/>
                      <w:szCs w:val="21"/>
                      <w:u w:val="none"/>
                    </w:rPr>
                    <w:t>2</w:t>
                  </w:r>
                </w:p>
              </w:tc>
              <w:tc>
                <w:tcPr>
                  <w:tcW w:w="634" w:type="pct"/>
                  <w:noWrap w:val="0"/>
                  <w:vAlign w:val="center"/>
                </w:tcPr>
                <w:p w14:paraId="74356651">
                  <w:pPr>
                    <w:keepNext w:val="0"/>
                    <w:keepLines w:val="0"/>
                    <w:widowControl/>
                    <w:suppressLineNumbers w:val="0"/>
                    <w:spacing w:before="0" w:beforeAutospacing="0" w:after="0" w:afterAutospacing="0" w:line="240" w:lineRule="auto"/>
                    <w:ind w:left="0" w:right="0" w:firstLine="0" w:firstLineChars="0"/>
                    <w:jc w:val="center"/>
                    <w:rPr>
                      <w:rFonts w:hint="eastAsia"/>
                      <w:color w:val="auto"/>
                      <w:kern w:val="0"/>
                      <w:sz w:val="21"/>
                      <w:szCs w:val="21"/>
                      <w:u w:val="none"/>
                    </w:rPr>
                  </w:pPr>
                  <w:r>
                    <w:rPr>
                      <w:rFonts w:hint="eastAsia"/>
                      <w:color w:val="auto"/>
                      <w:kern w:val="0"/>
                      <w:sz w:val="21"/>
                      <w:szCs w:val="21"/>
                      <w:u w:val="none"/>
                    </w:rPr>
                    <w:t>桶装</w:t>
                  </w:r>
                </w:p>
              </w:tc>
              <w:tc>
                <w:tcPr>
                  <w:tcW w:w="827" w:type="pct"/>
                  <w:noWrap w:val="0"/>
                  <w:vAlign w:val="center"/>
                </w:tcPr>
                <w:p w14:paraId="7C931C5B">
                  <w:pPr>
                    <w:keepNext w:val="0"/>
                    <w:keepLines w:val="0"/>
                    <w:widowControl/>
                    <w:suppressLineNumbers w:val="0"/>
                    <w:spacing w:before="0" w:beforeAutospacing="0" w:after="0" w:afterAutospacing="0" w:line="240" w:lineRule="auto"/>
                    <w:ind w:left="0" w:right="0" w:firstLine="0" w:firstLineChars="0"/>
                    <w:jc w:val="center"/>
                    <w:rPr>
                      <w:rFonts w:hint="eastAsia"/>
                      <w:color w:val="auto"/>
                      <w:kern w:val="0"/>
                      <w:sz w:val="21"/>
                      <w:szCs w:val="21"/>
                      <w:u w:val="none"/>
                    </w:rPr>
                  </w:pPr>
                  <w:r>
                    <w:rPr>
                      <w:rFonts w:hint="eastAsia"/>
                      <w:color w:val="auto"/>
                      <w:kern w:val="0"/>
                      <w:sz w:val="21"/>
                      <w:szCs w:val="21"/>
                      <w:u w:val="none"/>
                    </w:rPr>
                    <w:t>50kg/桶</w:t>
                  </w:r>
                </w:p>
              </w:tc>
              <w:tc>
                <w:tcPr>
                  <w:tcW w:w="749" w:type="pct"/>
                  <w:tcBorders>
                    <w:right w:val="nil"/>
                  </w:tcBorders>
                  <w:noWrap w:val="0"/>
                  <w:vAlign w:val="center"/>
                </w:tcPr>
                <w:p w14:paraId="02D1A368">
                  <w:pPr>
                    <w:keepNext w:val="0"/>
                    <w:keepLines w:val="0"/>
                    <w:widowControl/>
                    <w:suppressLineNumbers w:val="0"/>
                    <w:spacing w:before="0" w:beforeAutospacing="0" w:after="0" w:afterAutospacing="0" w:line="240" w:lineRule="auto"/>
                    <w:ind w:left="0" w:right="0" w:firstLine="0" w:firstLineChars="0"/>
                    <w:jc w:val="center"/>
                    <w:rPr>
                      <w:rFonts w:hint="eastAsia"/>
                      <w:color w:val="auto"/>
                      <w:kern w:val="0"/>
                      <w:sz w:val="21"/>
                      <w:szCs w:val="21"/>
                      <w:u w:val="none"/>
                    </w:rPr>
                  </w:pPr>
                  <w:r>
                    <w:rPr>
                      <w:rFonts w:hint="eastAsia"/>
                      <w:color w:val="auto"/>
                      <w:kern w:val="0"/>
                      <w:sz w:val="21"/>
                      <w:szCs w:val="21"/>
                      <w:u w:val="none"/>
                    </w:rPr>
                    <w:t>外购</w:t>
                  </w:r>
                </w:p>
              </w:tc>
            </w:tr>
            <w:tr w14:paraId="6C71D74A">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339" w:type="pct"/>
                  <w:tcBorders>
                    <w:left w:val="nil"/>
                  </w:tcBorders>
                  <w:shd w:val="clear" w:color="auto" w:fill="auto"/>
                  <w:noWrap w:val="0"/>
                  <w:vAlign w:val="center"/>
                </w:tcPr>
                <w:p w14:paraId="0DDAB1A4">
                  <w:pPr>
                    <w:keepNext w:val="0"/>
                    <w:keepLines w:val="0"/>
                    <w:widowControl/>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23</w:t>
                  </w:r>
                </w:p>
              </w:tc>
              <w:tc>
                <w:tcPr>
                  <w:tcW w:w="801" w:type="pct"/>
                  <w:noWrap w:val="0"/>
                  <w:vAlign w:val="center"/>
                </w:tcPr>
                <w:p w14:paraId="568E6288">
                  <w:pPr>
                    <w:keepNext w:val="0"/>
                    <w:keepLines w:val="0"/>
                    <w:widowControl/>
                    <w:suppressLineNumbers w:val="0"/>
                    <w:spacing w:before="0" w:beforeAutospacing="0" w:after="0" w:afterAutospacing="0" w:line="240" w:lineRule="auto"/>
                    <w:ind w:left="0" w:right="0" w:firstLine="0" w:firstLineChars="0"/>
                    <w:jc w:val="center"/>
                    <w:rPr>
                      <w:rFonts w:hint="eastAsia"/>
                      <w:color w:val="auto"/>
                      <w:kern w:val="0"/>
                      <w:sz w:val="21"/>
                      <w:szCs w:val="21"/>
                      <w:u w:val="none"/>
                    </w:rPr>
                  </w:pPr>
                  <w:r>
                    <w:rPr>
                      <w:rFonts w:hint="eastAsia"/>
                      <w:color w:val="auto"/>
                      <w:kern w:val="0"/>
                      <w:sz w:val="21"/>
                      <w:szCs w:val="21"/>
                      <w:u w:val="none"/>
                      <w:lang w:val="en-US" w:eastAsia="zh-CN"/>
                    </w:rPr>
                    <w:t>EVA</w:t>
                  </w:r>
                  <w:r>
                    <w:rPr>
                      <w:rFonts w:hint="eastAsia"/>
                      <w:color w:val="auto"/>
                      <w:kern w:val="0"/>
                      <w:sz w:val="21"/>
                      <w:szCs w:val="21"/>
                      <w:u w:val="none"/>
                    </w:rPr>
                    <w:t>处理剂</w:t>
                  </w:r>
                </w:p>
              </w:tc>
              <w:tc>
                <w:tcPr>
                  <w:tcW w:w="543" w:type="pct"/>
                  <w:noWrap w:val="0"/>
                  <w:vAlign w:val="center"/>
                </w:tcPr>
                <w:p w14:paraId="05CFA61F">
                  <w:pPr>
                    <w:keepNext w:val="0"/>
                    <w:keepLines w:val="0"/>
                    <w:widowControl/>
                    <w:suppressLineNumbers w:val="0"/>
                    <w:spacing w:before="0" w:beforeAutospacing="0" w:after="0" w:afterAutospacing="0" w:line="240" w:lineRule="auto"/>
                    <w:ind w:left="0" w:right="0" w:firstLine="0" w:firstLineChars="0"/>
                    <w:jc w:val="center"/>
                    <w:rPr>
                      <w:rFonts w:hint="eastAsia"/>
                      <w:color w:val="auto"/>
                      <w:kern w:val="0"/>
                      <w:sz w:val="21"/>
                      <w:szCs w:val="21"/>
                      <w:u w:val="none"/>
                    </w:rPr>
                  </w:pPr>
                  <w:r>
                    <w:rPr>
                      <w:rFonts w:hint="eastAsia"/>
                      <w:color w:val="auto"/>
                      <w:kern w:val="0"/>
                      <w:sz w:val="21"/>
                      <w:szCs w:val="21"/>
                      <w:u w:val="none"/>
                    </w:rPr>
                    <w:t>t/a</w:t>
                  </w:r>
                </w:p>
              </w:tc>
              <w:tc>
                <w:tcPr>
                  <w:tcW w:w="459" w:type="pct"/>
                  <w:noWrap w:val="0"/>
                  <w:vAlign w:val="center"/>
                </w:tcPr>
                <w:p w14:paraId="6EE20235">
                  <w:pPr>
                    <w:keepNext w:val="0"/>
                    <w:keepLines w:val="0"/>
                    <w:widowControl/>
                    <w:suppressLineNumbers w:val="0"/>
                    <w:spacing w:before="0" w:beforeAutospacing="0" w:after="0" w:afterAutospacing="0" w:line="240" w:lineRule="auto"/>
                    <w:ind w:left="0" w:leftChars="0" w:right="0" w:rightChars="0" w:firstLine="0" w:firstLineChars="0"/>
                    <w:jc w:val="center"/>
                    <w:rPr>
                      <w:rFonts w:hint="default" w:eastAsia="宋体"/>
                      <w:color w:val="auto"/>
                      <w:kern w:val="0"/>
                      <w:sz w:val="21"/>
                      <w:szCs w:val="21"/>
                      <w:u w:val="none"/>
                      <w:lang w:val="en-US" w:eastAsia="zh-CN"/>
                    </w:rPr>
                  </w:pPr>
                  <w:r>
                    <w:rPr>
                      <w:rFonts w:hint="eastAsia" w:ascii="Times New Roman" w:hAnsi="Times New Roman" w:eastAsia="宋体"/>
                      <w:color w:val="auto"/>
                      <w:kern w:val="0"/>
                      <w:sz w:val="21"/>
                      <w:szCs w:val="21"/>
                      <w:u w:val="none"/>
                      <w:shd w:val="clear" w:color="auto" w:fill="auto"/>
                      <w:lang w:val="en-US" w:eastAsia="zh-CN"/>
                    </w:rPr>
                    <w:t>0.</w:t>
                  </w:r>
                  <w:r>
                    <w:rPr>
                      <w:rFonts w:hint="eastAsia"/>
                      <w:color w:val="auto"/>
                      <w:kern w:val="0"/>
                      <w:sz w:val="21"/>
                      <w:szCs w:val="21"/>
                      <w:u w:val="none"/>
                      <w:shd w:val="clear" w:color="auto" w:fill="auto"/>
                      <w:lang w:val="en-US" w:eastAsia="zh-CN"/>
                    </w:rPr>
                    <w:t>518</w:t>
                  </w:r>
                </w:p>
              </w:tc>
              <w:tc>
                <w:tcPr>
                  <w:tcW w:w="645" w:type="pct"/>
                  <w:noWrap w:val="0"/>
                  <w:vAlign w:val="center"/>
                </w:tcPr>
                <w:p w14:paraId="72B1D58A">
                  <w:pPr>
                    <w:keepNext w:val="0"/>
                    <w:keepLines w:val="0"/>
                    <w:widowControl/>
                    <w:suppressLineNumbers w:val="0"/>
                    <w:spacing w:before="0" w:beforeAutospacing="0" w:after="0" w:afterAutospacing="0" w:line="240" w:lineRule="auto"/>
                    <w:ind w:left="0" w:right="0" w:firstLine="0" w:firstLineChars="0"/>
                    <w:jc w:val="center"/>
                    <w:rPr>
                      <w:rFonts w:hint="eastAsia"/>
                      <w:color w:val="auto"/>
                      <w:kern w:val="0"/>
                      <w:sz w:val="21"/>
                      <w:szCs w:val="21"/>
                      <w:u w:val="none"/>
                    </w:rPr>
                  </w:pPr>
                  <w:r>
                    <w:rPr>
                      <w:rFonts w:hint="eastAsia"/>
                      <w:color w:val="auto"/>
                      <w:kern w:val="0"/>
                      <w:sz w:val="21"/>
                      <w:szCs w:val="21"/>
                      <w:u w:val="none"/>
                    </w:rPr>
                    <w:t>0.25</w:t>
                  </w:r>
                </w:p>
              </w:tc>
              <w:tc>
                <w:tcPr>
                  <w:tcW w:w="634" w:type="pct"/>
                  <w:noWrap w:val="0"/>
                  <w:vAlign w:val="center"/>
                </w:tcPr>
                <w:p w14:paraId="3330FF0A">
                  <w:pPr>
                    <w:keepNext w:val="0"/>
                    <w:keepLines w:val="0"/>
                    <w:widowControl/>
                    <w:suppressLineNumbers w:val="0"/>
                    <w:spacing w:before="0" w:beforeAutospacing="0" w:after="0" w:afterAutospacing="0" w:line="240" w:lineRule="auto"/>
                    <w:ind w:left="0" w:right="0" w:firstLine="0" w:firstLineChars="0"/>
                    <w:jc w:val="center"/>
                    <w:rPr>
                      <w:rFonts w:hint="eastAsia"/>
                      <w:color w:val="auto"/>
                      <w:kern w:val="0"/>
                      <w:sz w:val="21"/>
                      <w:szCs w:val="21"/>
                      <w:u w:val="none"/>
                    </w:rPr>
                  </w:pPr>
                  <w:r>
                    <w:rPr>
                      <w:rFonts w:hint="eastAsia"/>
                      <w:color w:val="auto"/>
                      <w:kern w:val="0"/>
                      <w:sz w:val="21"/>
                      <w:szCs w:val="21"/>
                      <w:u w:val="none"/>
                    </w:rPr>
                    <w:t>桶装</w:t>
                  </w:r>
                </w:p>
              </w:tc>
              <w:tc>
                <w:tcPr>
                  <w:tcW w:w="827" w:type="pct"/>
                  <w:noWrap w:val="0"/>
                  <w:vAlign w:val="center"/>
                </w:tcPr>
                <w:p w14:paraId="65754A9B">
                  <w:pPr>
                    <w:keepNext w:val="0"/>
                    <w:keepLines w:val="0"/>
                    <w:widowControl/>
                    <w:suppressLineNumbers w:val="0"/>
                    <w:spacing w:before="0" w:beforeAutospacing="0" w:after="0" w:afterAutospacing="0" w:line="240" w:lineRule="auto"/>
                    <w:ind w:left="0" w:right="0" w:firstLine="0" w:firstLineChars="0"/>
                    <w:jc w:val="center"/>
                    <w:rPr>
                      <w:rFonts w:hint="eastAsia"/>
                      <w:color w:val="auto"/>
                      <w:kern w:val="0"/>
                      <w:sz w:val="21"/>
                      <w:szCs w:val="21"/>
                      <w:u w:val="none"/>
                    </w:rPr>
                  </w:pPr>
                  <w:r>
                    <w:rPr>
                      <w:rFonts w:hint="eastAsia"/>
                      <w:color w:val="auto"/>
                      <w:kern w:val="0"/>
                      <w:sz w:val="21"/>
                      <w:szCs w:val="21"/>
                      <w:u w:val="none"/>
                    </w:rPr>
                    <w:t>25kg/桶</w:t>
                  </w:r>
                </w:p>
              </w:tc>
              <w:tc>
                <w:tcPr>
                  <w:tcW w:w="749" w:type="pct"/>
                  <w:tcBorders>
                    <w:right w:val="nil"/>
                  </w:tcBorders>
                  <w:noWrap w:val="0"/>
                  <w:vAlign w:val="center"/>
                </w:tcPr>
                <w:p w14:paraId="324979E0">
                  <w:pPr>
                    <w:keepNext w:val="0"/>
                    <w:keepLines w:val="0"/>
                    <w:widowControl/>
                    <w:suppressLineNumbers w:val="0"/>
                    <w:spacing w:before="0" w:beforeAutospacing="0" w:after="0" w:afterAutospacing="0" w:line="240" w:lineRule="auto"/>
                    <w:ind w:left="0" w:right="0" w:firstLine="0" w:firstLineChars="0"/>
                    <w:jc w:val="center"/>
                    <w:rPr>
                      <w:rFonts w:hint="eastAsia"/>
                      <w:color w:val="auto"/>
                      <w:kern w:val="0"/>
                      <w:sz w:val="21"/>
                      <w:szCs w:val="21"/>
                      <w:u w:val="none"/>
                    </w:rPr>
                  </w:pPr>
                  <w:r>
                    <w:rPr>
                      <w:rFonts w:hint="eastAsia"/>
                      <w:color w:val="auto"/>
                      <w:kern w:val="0"/>
                      <w:sz w:val="21"/>
                      <w:szCs w:val="21"/>
                      <w:u w:val="none"/>
                    </w:rPr>
                    <w:t>外购</w:t>
                  </w:r>
                </w:p>
              </w:tc>
            </w:tr>
            <w:tr w14:paraId="4B3F3AB0">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339" w:type="pct"/>
                  <w:tcBorders>
                    <w:left w:val="nil"/>
                  </w:tcBorders>
                  <w:shd w:val="clear" w:color="auto" w:fill="auto"/>
                  <w:noWrap w:val="0"/>
                  <w:vAlign w:val="center"/>
                </w:tcPr>
                <w:p w14:paraId="13D67291">
                  <w:pPr>
                    <w:keepNext w:val="0"/>
                    <w:keepLines w:val="0"/>
                    <w:widowControl/>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24</w:t>
                  </w:r>
                </w:p>
              </w:tc>
              <w:tc>
                <w:tcPr>
                  <w:tcW w:w="801" w:type="pct"/>
                  <w:noWrap w:val="0"/>
                  <w:vAlign w:val="center"/>
                </w:tcPr>
                <w:p w14:paraId="69D8E0F8">
                  <w:pPr>
                    <w:keepNext w:val="0"/>
                    <w:keepLines w:val="0"/>
                    <w:widowControl/>
                    <w:suppressLineNumbers w:val="0"/>
                    <w:spacing w:before="0" w:beforeAutospacing="0" w:after="0" w:afterAutospacing="0" w:line="240" w:lineRule="auto"/>
                    <w:ind w:left="0" w:right="0" w:firstLine="0" w:firstLineChars="0"/>
                    <w:jc w:val="center"/>
                    <w:rPr>
                      <w:rFonts w:hint="eastAsia"/>
                      <w:color w:val="auto"/>
                      <w:kern w:val="0"/>
                      <w:sz w:val="21"/>
                      <w:szCs w:val="21"/>
                      <w:u w:val="none"/>
                    </w:rPr>
                  </w:pPr>
                  <w:r>
                    <w:rPr>
                      <w:rFonts w:hint="eastAsia"/>
                      <w:color w:val="auto"/>
                      <w:kern w:val="0"/>
                      <w:sz w:val="21"/>
                      <w:szCs w:val="21"/>
                      <w:u w:val="none"/>
                      <w:lang w:val="en-US" w:eastAsia="zh-CN"/>
                    </w:rPr>
                    <w:t>TPR</w:t>
                  </w:r>
                  <w:r>
                    <w:rPr>
                      <w:rFonts w:hint="eastAsia"/>
                      <w:color w:val="auto"/>
                      <w:kern w:val="0"/>
                      <w:sz w:val="21"/>
                      <w:szCs w:val="21"/>
                      <w:u w:val="none"/>
                    </w:rPr>
                    <w:t>处理剂</w:t>
                  </w:r>
                </w:p>
              </w:tc>
              <w:tc>
                <w:tcPr>
                  <w:tcW w:w="543" w:type="pct"/>
                  <w:noWrap w:val="0"/>
                  <w:vAlign w:val="center"/>
                </w:tcPr>
                <w:p w14:paraId="41503E1C">
                  <w:pPr>
                    <w:keepNext w:val="0"/>
                    <w:keepLines w:val="0"/>
                    <w:widowControl/>
                    <w:suppressLineNumbers w:val="0"/>
                    <w:spacing w:before="0" w:beforeAutospacing="0" w:after="0" w:afterAutospacing="0" w:line="240" w:lineRule="auto"/>
                    <w:ind w:left="0" w:right="0" w:firstLine="0" w:firstLineChars="0"/>
                    <w:jc w:val="center"/>
                    <w:rPr>
                      <w:rFonts w:hint="eastAsia"/>
                      <w:color w:val="auto"/>
                      <w:kern w:val="0"/>
                      <w:sz w:val="21"/>
                      <w:szCs w:val="21"/>
                      <w:u w:val="none"/>
                    </w:rPr>
                  </w:pPr>
                  <w:r>
                    <w:rPr>
                      <w:rFonts w:hint="eastAsia"/>
                      <w:color w:val="auto"/>
                      <w:kern w:val="0"/>
                      <w:sz w:val="21"/>
                      <w:szCs w:val="21"/>
                      <w:u w:val="none"/>
                    </w:rPr>
                    <w:t>t/a</w:t>
                  </w:r>
                </w:p>
              </w:tc>
              <w:tc>
                <w:tcPr>
                  <w:tcW w:w="459" w:type="pct"/>
                  <w:noWrap w:val="0"/>
                  <w:vAlign w:val="center"/>
                </w:tcPr>
                <w:p w14:paraId="5A36B8CB">
                  <w:pPr>
                    <w:keepNext w:val="0"/>
                    <w:keepLines w:val="0"/>
                    <w:widowControl/>
                    <w:suppressLineNumbers w:val="0"/>
                    <w:spacing w:before="0" w:beforeAutospacing="0" w:after="0" w:afterAutospacing="0" w:line="240" w:lineRule="auto"/>
                    <w:ind w:left="0" w:leftChars="0" w:right="0" w:rightChars="0" w:firstLine="0" w:firstLineChars="0"/>
                    <w:jc w:val="center"/>
                    <w:rPr>
                      <w:rFonts w:hint="default" w:eastAsia="宋体"/>
                      <w:color w:val="auto"/>
                      <w:kern w:val="0"/>
                      <w:sz w:val="21"/>
                      <w:szCs w:val="21"/>
                      <w:u w:val="none"/>
                      <w:lang w:val="en-US" w:eastAsia="zh-CN"/>
                    </w:rPr>
                  </w:pPr>
                  <w:r>
                    <w:rPr>
                      <w:rFonts w:hint="eastAsia"/>
                      <w:color w:val="auto"/>
                      <w:kern w:val="0"/>
                      <w:sz w:val="21"/>
                      <w:szCs w:val="21"/>
                      <w:u w:val="none"/>
                      <w:shd w:val="clear" w:color="auto" w:fill="auto"/>
                      <w:lang w:val="en-US" w:eastAsia="zh-CN"/>
                    </w:rPr>
                    <w:t>1.036</w:t>
                  </w:r>
                </w:p>
              </w:tc>
              <w:tc>
                <w:tcPr>
                  <w:tcW w:w="645" w:type="pct"/>
                  <w:noWrap w:val="0"/>
                  <w:vAlign w:val="center"/>
                </w:tcPr>
                <w:p w14:paraId="0FA1D245">
                  <w:pPr>
                    <w:keepNext w:val="0"/>
                    <w:keepLines w:val="0"/>
                    <w:widowControl/>
                    <w:suppressLineNumbers w:val="0"/>
                    <w:spacing w:before="0" w:beforeAutospacing="0" w:after="0" w:afterAutospacing="0" w:line="240" w:lineRule="auto"/>
                    <w:ind w:left="0" w:right="0" w:firstLine="0" w:firstLineChars="0"/>
                    <w:jc w:val="center"/>
                    <w:rPr>
                      <w:rFonts w:hint="eastAsia"/>
                      <w:color w:val="auto"/>
                      <w:kern w:val="0"/>
                      <w:sz w:val="21"/>
                      <w:szCs w:val="21"/>
                      <w:u w:val="none"/>
                    </w:rPr>
                  </w:pPr>
                  <w:r>
                    <w:rPr>
                      <w:rFonts w:hint="eastAsia"/>
                      <w:color w:val="auto"/>
                      <w:kern w:val="0"/>
                      <w:sz w:val="21"/>
                      <w:szCs w:val="21"/>
                      <w:u w:val="none"/>
                    </w:rPr>
                    <w:t>0.05</w:t>
                  </w:r>
                </w:p>
              </w:tc>
              <w:tc>
                <w:tcPr>
                  <w:tcW w:w="634" w:type="pct"/>
                  <w:noWrap w:val="0"/>
                  <w:vAlign w:val="center"/>
                </w:tcPr>
                <w:p w14:paraId="032DC6E0">
                  <w:pPr>
                    <w:keepNext w:val="0"/>
                    <w:keepLines w:val="0"/>
                    <w:widowControl/>
                    <w:suppressLineNumbers w:val="0"/>
                    <w:spacing w:before="0" w:beforeAutospacing="0" w:after="0" w:afterAutospacing="0" w:line="240" w:lineRule="auto"/>
                    <w:ind w:left="0" w:right="0" w:firstLine="0" w:firstLineChars="0"/>
                    <w:jc w:val="center"/>
                    <w:rPr>
                      <w:rFonts w:hint="eastAsia"/>
                      <w:color w:val="auto"/>
                      <w:kern w:val="0"/>
                      <w:sz w:val="21"/>
                      <w:szCs w:val="21"/>
                      <w:u w:val="none"/>
                    </w:rPr>
                  </w:pPr>
                  <w:r>
                    <w:rPr>
                      <w:rFonts w:hint="eastAsia"/>
                      <w:color w:val="auto"/>
                      <w:kern w:val="0"/>
                      <w:sz w:val="21"/>
                      <w:szCs w:val="21"/>
                      <w:u w:val="none"/>
                    </w:rPr>
                    <w:t>桶装</w:t>
                  </w:r>
                </w:p>
              </w:tc>
              <w:tc>
                <w:tcPr>
                  <w:tcW w:w="827" w:type="pct"/>
                  <w:noWrap w:val="0"/>
                  <w:vAlign w:val="center"/>
                </w:tcPr>
                <w:p w14:paraId="7E2F6F0B">
                  <w:pPr>
                    <w:keepNext w:val="0"/>
                    <w:keepLines w:val="0"/>
                    <w:widowControl/>
                    <w:suppressLineNumbers w:val="0"/>
                    <w:spacing w:before="0" w:beforeAutospacing="0" w:after="0" w:afterAutospacing="0" w:line="240" w:lineRule="auto"/>
                    <w:ind w:left="0" w:right="0" w:firstLine="0" w:firstLineChars="0"/>
                    <w:jc w:val="center"/>
                    <w:rPr>
                      <w:rFonts w:hint="eastAsia"/>
                      <w:color w:val="auto"/>
                      <w:kern w:val="0"/>
                      <w:sz w:val="21"/>
                      <w:szCs w:val="21"/>
                      <w:u w:val="none"/>
                    </w:rPr>
                  </w:pPr>
                  <w:r>
                    <w:rPr>
                      <w:rFonts w:hint="eastAsia"/>
                      <w:color w:val="auto"/>
                      <w:kern w:val="0"/>
                      <w:sz w:val="21"/>
                      <w:szCs w:val="21"/>
                      <w:u w:val="none"/>
                    </w:rPr>
                    <w:t>25kg/桶</w:t>
                  </w:r>
                </w:p>
              </w:tc>
              <w:tc>
                <w:tcPr>
                  <w:tcW w:w="749" w:type="pct"/>
                  <w:tcBorders>
                    <w:right w:val="nil"/>
                  </w:tcBorders>
                  <w:noWrap w:val="0"/>
                  <w:vAlign w:val="center"/>
                </w:tcPr>
                <w:p w14:paraId="0EC4401B">
                  <w:pPr>
                    <w:keepNext w:val="0"/>
                    <w:keepLines w:val="0"/>
                    <w:widowControl/>
                    <w:suppressLineNumbers w:val="0"/>
                    <w:spacing w:before="0" w:beforeAutospacing="0" w:after="0" w:afterAutospacing="0" w:line="240" w:lineRule="auto"/>
                    <w:ind w:left="0" w:right="0" w:firstLine="0" w:firstLineChars="0"/>
                    <w:jc w:val="center"/>
                    <w:rPr>
                      <w:rFonts w:hint="eastAsia"/>
                      <w:color w:val="auto"/>
                      <w:kern w:val="0"/>
                      <w:sz w:val="21"/>
                      <w:szCs w:val="21"/>
                      <w:u w:val="none"/>
                    </w:rPr>
                  </w:pPr>
                  <w:r>
                    <w:rPr>
                      <w:rFonts w:hint="eastAsia"/>
                      <w:color w:val="auto"/>
                      <w:kern w:val="0"/>
                      <w:sz w:val="21"/>
                      <w:szCs w:val="21"/>
                      <w:u w:val="none"/>
                    </w:rPr>
                    <w:t>外购</w:t>
                  </w:r>
                </w:p>
              </w:tc>
            </w:tr>
            <w:tr w14:paraId="0E57B056">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339" w:type="pct"/>
                  <w:tcBorders>
                    <w:left w:val="nil"/>
                  </w:tcBorders>
                  <w:shd w:val="clear" w:color="auto" w:fill="auto"/>
                  <w:noWrap w:val="0"/>
                  <w:vAlign w:val="center"/>
                </w:tcPr>
                <w:p w14:paraId="7F787F2D">
                  <w:pPr>
                    <w:keepNext w:val="0"/>
                    <w:keepLines w:val="0"/>
                    <w:widowControl/>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s="Times New Roman"/>
                      <w:color w:val="auto"/>
                      <w:kern w:val="0"/>
                      <w:sz w:val="21"/>
                      <w:szCs w:val="21"/>
                      <w:u w:val="none"/>
                      <w:lang w:val="en-US" w:eastAsia="zh-CN" w:bidi="ar-SA"/>
                    </w:rPr>
                    <w:t>25</w:t>
                  </w:r>
                </w:p>
              </w:tc>
              <w:tc>
                <w:tcPr>
                  <w:tcW w:w="801" w:type="pct"/>
                  <w:shd w:val="clear" w:color="auto" w:fill="auto"/>
                  <w:noWrap w:val="0"/>
                  <w:vAlign w:val="center"/>
                </w:tcPr>
                <w:p w14:paraId="130F4DDC">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鞋配饰</w:t>
                  </w:r>
                </w:p>
              </w:tc>
              <w:tc>
                <w:tcPr>
                  <w:tcW w:w="543" w:type="pct"/>
                  <w:shd w:val="clear" w:color="auto" w:fill="auto"/>
                  <w:noWrap w:val="0"/>
                  <w:vAlign w:val="center"/>
                </w:tcPr>
                <w:p w14:paraId="50F48AED">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万套</w:t>
                  </w:r>
                  <w:r>
                    <w:rPr>
                      <w:rFonts w:hint="eastAsia"/>
                      <w:color w:val="auto"/>
                      <w:kern w:val="0"/>
                      <w:sz w:val="21"/>
                      <w:szCs w:val="21"/>
                      <w:u w:val="none"/>
                    </w:rPr>
                    <w:t>/a</w:t>
                  </w:r>
                </w:p>
              </w:tc>
              <w:tc>
                <w:tcPr>
                  <w:tcW w:w="459" w:type="pct"/>
                  <w:shd w:val="clear" w:color="auto" w:fill="auto"/>
                  <w:noWrap w:val="0"/>
                  <w:vAlign w:val="center"/>
                </w:tcPr>
                <w:p w14:paraId="3CAD6D46">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280</w:t>
                  </w:r>
                </w:p>
              </w:tc>
              <w:tc>
                <w:tcPr>
                  <w:tcW w:w="645" w:type="pct"/>
                  <w:shd w:val="clear" w:color="auto" w:fill="auto"/>
                  <w:noWrap w:val="0"/>
                  <w:vAlign w:val="center"/>
                </w:tcPr>
                <w:p w14:paraId="39950BB1">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15</w:t>
                  </w:r>
                </w:p>
              </w:tc>
              <w:tc>
                <w:tcPr>
                  <w:tcW w:w="634" w:type="pct"/>
                  <w:shd w:val="clear" w:color="auto" w:fill="auto"/>
                  <w:noWrap w:val="0"/>
                  <w:vAlign w:val="center"/>
                </w:tcPr>
                <w:p w14:paraId="05EC82D1">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袋装</w:t>
                  </w:r>
                </w:p>
              </w:tc>
              <w:tc>
                <w:tcPr>
                  <w:tcW w:w="827" w:type="pct"/>
                  <w:shd w:val="clear" w:color="auto" w:fill="auto"/>
                  <w:noWrap w:val="0"/>
                  <w:vAlign w:val="center"/>
                </w:tcPr>
                <w:p w14:paraId="1C0D7B3D">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w:t>
                  </w:r>
                </w:p>
              </w:tc>
              <w:tc>
                <w:tcPr>
                  <w:tcW w:w="749" w:type="pct"/>
                  <w:tcBorders>
                    <w:right w:val="nil"/>
                  </w:tcBorders>
                  <w:shd w:val="clear" w:color="auto" w:fill="auto"/>
                  <w:noWrap w:val="0"/>
                  <w:vAlign w:val="center"/>
                </w:tcPr>
                <w:p w14:paraId="63E67E96">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外购</w:t>
                  </w:r>
                </w:p>
              </w:tc>
            </w:tr>
            <w:tr w14:paraId="0790F7A1">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339" w:type="pct"/>
                  <w:tcBorders>
                    <w:left w:val="nil"/>
                  </w:tcBorders>
                  <w:shd w:val="clear" w:color="auto" w:fill="auto"/>
                  <w:noWrap w:val="0"/>
                  <w:vAlign w:val="center"/>
                </w:tcPr>
                <w:p w14:paraId="3136A6E5">
                  <w:pPr>
                    <w:keepNext w:val="0"/>
                    <w:keepLines w:val="0"/>
                    <w:widowControl/>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s="Times New Roman"/>
                      <w:color w:val="auto"/>
                      <w:kern w:val="0"/>
                      <w:sz w:val="21"/>
                      <w:szCs w:val="21"/>
                      <w:u w:val="none"/>
                      <w:lang w:val="en-US" w:eastAsia="zh-CN" w:bidi="ar-SA"/>
                    </w:rPr>
                    <w:t>26</w:t>
                  </w:r>
                </w:p>
              </w:tc>
              <w:tc>
                <w:tcPr>
                  <w:tcW w:w="801" w:type="pct"/>
                  <w:shd w:val="clear" w:color="auto" w:fill="auto"/>
                  <w:noWrap w:val="0"/>
                  <w:vAlign w:val="center"/>
                </w:tcPr>
                <w:p w14:paraId="348379C7">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鞋头片</w:t>
                  </w:r>
                </w:p>
              </w:tc>
              <w:tc>
                <w:tcPr>
                  <w:tcW w:w="543" w:type="pct"/>
                  <w:shd w:val="clear" w:color="auto" w:fill="auto"/>
                  <w:noWrap w:val="0"/>
                  <w:vAlign w:val="center"/>
                </w:tcPr>
                <w:p w14:paraId="10B023C4">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万个</w:t>
                  </w:r>
                  <w:r>
                    <w:rPr>
                      <w:rFonts w:hint="eastAsia"/>
                      <w:color w:val="auto"/>
                      <w:kern w:val="0"/>
                      <w:sz w:val="21"/>
                      <w:szCs w:val="21"/>
                      <w:u w:val="none"/>
                    </w:rPr>
                    <w:t>/a</w:t>
                  </w:r>
                </w:p>
              </w:tc>
              <w:tc>
                <w:tcPr>
                  <w:tcW w:w="459" w:type="pct"/>
                  <w:shd w:val="clear" w:color="auto" w:fill="auto"/>
                  <w:noWrap w:val="0"/>
                  <w:vAlign w:val="center"/>
                </w:tcPr>
                <w:p w14:paraId="30B39137">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280</w:t>
                  </w:r>
                </w:p>
              </w:tc>
              <w:tc>
                <w:tcPr>
                  <w:tcW w:w="645" w:type="pct"/>
                  <w:shd w:val="clear" w:color="auto" w:fill="auto"/>
                  <w:noWrap w:val="0"/>
                  <w:vAlign w:val="center"/>
                </w:tcPr>
                <w:p w14:paraId="3F77C57A">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s="Times New Roman"/>
                      <w:color w:val="auto"/>
                      <w:kern w:val="0"/>
                      <w:sz w:val="21"/>
                      <w:szCs w:val="21"/>
                      <w:u w:val="none"/>
                      <w:lang w:val="en-US" w:eastAsia="zh-CN" w:bidi="ar-SA"/>
                    </w:rPr>
                    <w:t>10</w:t>
                  </w:r>
                </w:p>
              </w:tc>
              <w:tc>
                <w:tcPr>
                  <w:tcW w:w="634" w:type="pct"/>
                  <w:shd w:val="clear" w:color="auto" w:fill="auto"/>
                  <w:noWrap w:val="0"/>
                  <w:vAlign w:val="center"/>
                </w:tcPr>
                <w:p w14:paraId="6CAD674E">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袋装</w:t>
                  </w:r>
                </w:p>
              </w:tc>
              <w:tc>
                <w:tcPr>
                  <w:tcW w:w="827" w:type="pct"/>
                  <w:shd w:val="clear" w:color="auto" w:fill="auto"/>
                  <w:noWrap w:val="0"/>
                  <w:vAlign w:val="center"/>
                </w:tcPr>
                <w:p w14:paraId="1956B6D2">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w:t>
                  </w:r>
                </w:p>
              </w:tc>
              <w:tc>
                <w:tcPr>
                  <w:tcW w:w="749" w:type="pct"/>
                  <w:tcBorders>
                    <w:right w:val="nil"/>
                  </w:tcBorders>
                  <w:shd w:val="clear" w:color="auto" w:fill="auto"/>
                  <w:noWrap w:val="0"/>
                  <w:vAlign w:val="center"/>
                </w:tcPr>
                <w:p w14:paraId="3FBBC752">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外购</w:t>
                  </w:r>
                </w:p>
              </w:tc>
            </w:tr>
            <w:tr w14:paraId="15D600AB">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339" w:type="pct"/>
                  <w:tcBorders>
                    <w:left w:val="nil"/>
                  </w:tcBorders>
                  <w:shd w:val="clear" w:color="auto" w:fill="auto"/>
                  <w:noWrap w:val="0"/>
                  <w:vAlign w:val="center"/>
                </w:tcPr>
                <w:p w14:paraId="7D01E038">
                  <w:pPr>
                    <w:keepNext w:val="0"/>
                    <w:keepLines w:val="0"/>
                    <w:widowControl/>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27</w:t>
                  </w:r>
                </w:p>
              </w:tc>
              <w:tc>
                <w:tcPr>
                  <w:tcW w:w="801" w:type="pct"/>
                  <w:shd w:val="clear" w:color="auto" w:fill="auto"/>
                  <w:noWrap w:val="0"/>
                  <w:vAlign w:val="center"/>
                </w:tcPr>
                <w:p w14:paraId="1D20F4DB">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鞋身侧片</w:t>
                  </w:r>
                </w:p>
              </w:tc>
              <w:tc>
                <w:tcPr>
                  <w:tcW w:w="543" w:type="pct"/>
                  <w:shd w:val="clear" w:color="auto" w:fill="auto"/>
                  <w:noWrap w:val="0"/>
                  <w:vAlign w:val="center"/>
                </w:tcPr>
                <w:p w14:paraId="3330BB7F">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万个</w:t>
                  </w:r>
                  <w:r>
                    <w:rPr>
                      <w:rFonts w:hint="eastAsia"/>
                      <w:color w:val="auto"/>
                      <w:kern w:val="0"/>
                      <w:sz w:val="21"/>
                      <w:szCs w:val="21"/>
                      <w:u w:val="none"/>
                    </w:rPr>
                    <w:t>/a</w:t>
                  </w:r>
                </w:p>
              </w:tc>
              <w:tc>
                <w:tcPr>
                  <w:tcW w:w="459" w:type="pct"/>
                  <w:shd w:val="clear" w:color="auto" w:fill="auto"/>
                  <w:noWrap w:val="0"/>
                  <w:vAlign w:val="center"/>
                </w:tcPr>
                <w:p w14:paraId="6382BE48">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s="Times New Roman"/>
                      <w:color w:val="auto"/>
                      <w:kern w:val="0"/>
                      <w:sz w:val="21"/>
                      <w:szCs w:val="21"/>
                      <w:u w:val="none"/>
                      <w:lang w:val="en-US" w:eastAsia="zh-CN" w:bidi="ar-SA"/>
                    </w:rPr>
                    <w:t>560</w:t>
                  </w:r>
                </w:p>
              </w:tc>
              <w:tc>
                <w:tcPr>
                  <w:tcW w:w="645" w:type="pct"/>
                  <w:shd w:val="clear" w:color="auto" w:fill="auto"/>
                  <w:noWrap w:val="0"/>
                  <w:vAlign w:val="center"/>
                </w:tcPr>
                <w:p w14:paraId="142D7DAF">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s="Times New Roman"/>
                      <w:color w:val="auto"/>
                      <w:kern w:val="0"/>
                      <w:sz w:val="21"/>
                      <w:szCs w:val="21"/>
                      <w:u w:val="none"/>
                      <w:lang w:val="en-US" w:eastAsia="zh-CN" w:bidi="ar-SA"/>
                    </w:rPr>
                    <w:t>30</w:t>
                  </w:r>
                </w:p>
              </w:tc>
              <w:tc>
                <w:tcPr>
                  <w:tcW w:w="634" w:type="pct"/>
                  <w:shd w:val="clear" w:color="auto" w:fill="auto"/>
                  <w:noWrap w:val="0"/>
                  <w:vAlign w:val="center"/>
                </w:tcPr>
                <w:p w14:paraId="0732519B">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袋装</w:t>
                  </w:r>
                </w:p>
              </w:tc>
              <w:tc>
                <w:tcPr>
                  <w:tcW w:w="827" w:type="pct"/>
                  <w:shd w:val="clear" w:color="auto" w:fill="auto"/>
                  <w:noWrap w:val="0"/>
                  <w:vAlign w:val="center"/>
                </w:tcPr>
                <w:p w14:paraId="2AC1D834">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w:t>
                  </w:r>
                </w:p>
              </w:tc>
              <w:tc>
                <w:tcPr>
                  <w:tcW w:w="749" w:type="pct"/>
                  <w:tcBorders>
                    <w:right w:val="nil"/>
                  </w:tcBorders>
                  <w:shd w:val="clear" w:color="auto" w:fill="auto"/>
                  <w:noWrap w:val="0"/>
                  <w:vAlign w:val="center"/>
                </w:tcPr>
                <w:p w14:paraId="49254A6A">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外购</w:t>
                  </w:r>
                </w:p>
              </w:tc>
            </w:tr>
            <w:tr w14:paraId="5987CA97">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339" w:type="pct"/>
                  <w:tcBorders>
                    <w:left w:val="nil"/>
                  </w:tcBorders>
                  <w:shd w:val="clear" w:color="auto" w:fill="auto"/>
                  <w:noWrap w:val="0"/>
                  <w:vAlign w:val="center"/>
                </w:tcPr>
                <w:p w14:paraId="0C806D1B">
                  <w:pPr>
                    <w:keepNext w:val="0"/>
                    <w:keepLines w:val="0"/>
                    <w:widowControl/>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s="Times New Roman"/>
                      <w:color w:val="auto"/>
                      <w:kern w:val="0"/>
                      <w:sz w:val="21"/>
                      <w:szCs w:val="21"/>
                      <w:u w:val="none"/>
                      <w:lang w:val="en-US" w:eastAsia="zh-CN" w:bidi="ar-SA"/>
                    </w:rPr>
                    <w:t>28</w:t>
                  </w:r>
                </w:p>
              </w:tc>
              <w:tc>
                <w:tcPr>
                  <w:tcW w:w="801" w:type="pct"/>
                  <w:shd w:val="clear" w:color="auto" w:fill="auto"/>
                  <w:noWrap w:val="0"/>
                  <w:vAlign w:val="center"/>
                </w:tcPr>
                <w:p w14:paraId="0D6219F0">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鞋跟</w:t>
                  </w:r>
                </w:p>
              </w:tc>
              <w:tc>
                <w:tcPr>
                  <w:tcW w:w="543" w:type="pct"/>
                  <w:shd w:val="clear" w:color="auto" w:fill="auto"/>
                  <w:noWrap w:val="0"/>
                  <w:vAlign w:val="center"/>
                </w:tcPr>
                <w:p w14:paraId="7CBDB20F">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万个</w:t>
                  </w:r>
                  <w:r>
                    <w:rPr>
                      <w:rFonts w:hint="eastAsia"/>
                      <w:color w:val="auto"/>
                      <w:kern w:val="0"/>
                      <w:sz w:val="21"/>
                      <w:szCs w:val="21"/>
                      <w:u w:val="none"/>
                    </w:rPr>
                    <w:t>/a</w:t>
                  </w:r>
                </w:p>
              </w:tc>
              <w:tc>
                <w:tcPr>
                  <w:tcW w:w="459" w:type="pct"/>
                  <w:shd w:val="clear" w:color="auto" w:fill="auto"/>
                  <w:noWrap w:val="0"/>
                  <w:vAlign w:val="center"/>
                </w:tcPr>
                <w:p w14:paraId="4E93842C">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s="Times New Roman"/>
                      <w:color w:val="auto"/>
                      <w:kern w:val="0"/>
                      <w:sz w:val="21"/>
                      <w:szCs w:val="21"/>
                      <w:u w:val="none"/>
                      <w:lang w:val="en-US" w:eastAsia="zh-CN" w:bidi="ar-SA"/>
                    </w:rPr>
                    <w:t>80</w:t>
                  </w:r>
                </w:p>
              </w:tc>
              <w:tc>
                <w:tcPr>
                  <w:tcW w:w="645" w:type="pct"/>
                  <w:shd w:val="clear" w:color="auto" w:fill="auto"/>
                  <w:noWrap w:val="0"/>
                  <w:vAlign w:val="center"/>
                </w:tcPr>
                <w:p w14:paraId="6E827427">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s="Times New Roman"/>
                      <w:color w:val="auto"/>
                      <w:kern w:val="0"/>
                      <w:sz w:val="21"/>
                      <w:szCs w:val="21"/>
                      <w:u w:val="none"/>
                      <w:lang w:val="en-US" w:eastAsia="zh-CN" w:bidi="ar-SA"/>
                    </w:rPr>
                    <w:t>10</w:t>
                  </w:r>
                </w:p>
              </w:tc>
              <w:tc>
                <w:tcPr>
                  <w:tcW w:w="634" w:type="pct"/>
                  <w:shd w:val="clear" w:color="auto" w:fill="auto"/>
                  <w:noWrap w:val="0"/>
                  <w:vAlign w:val="center"/>
                </w:tcPr>
                <w:p w14:paraId="789366CE">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袋装</w:t>
                  </w:r>
                </w:p>
              </w:tc>
              <w:tc>
                <w:tcPr>
                  <w:tcW w:w="827" w:type="pct"/>
                  <w:shd w:val="clear" w:color="auto" w:fill="auto"/>
                  <w:noWrap w:val="0"/>
                  <w:vAlign w:val="center"/>
                </w:tcPr>
                <w:p w14:paraId="7A85B691">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w:t>
                  </w:r>
                </w:p>
              </w:tc>
              <w:tc>
                <w:tcPr>
                  <w:tcW w:w="749" w:type="pct"/>
                  <w:tcBorders>
                    <w:right w:val="nil"/>
                  </w:tcBorders>
                  <w:shd w:val="clear" w:color="auto" w:fill="auto"/>
                  <w:noWrap w:val="0"/>
                  <w:vAlign w:val="center"/>
                </w:tcPr>
                <w:p w14:paraId="4E923F37">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外购</w:t>
                  </w:r>
                </w:p>
              </w:tc>
            </w:tr>
            <w:tr w14:paraId="00E7E473">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339" w:type="pct"/>
                  <w:tcBorders>
                    <w:left w:val="nil"/>
                  </w:tcBorders>
                  <w:shd w:val="clear" w:color="auto" w:fill="auto"/>
                  <w:noWrap w:val="0"/>
                  <w:vAlign w:val="center"/>
                </w:tcPr>
                <w:p w14:paraId="3663619F">
                  <w:pPr>
                    <w:keepNext w:val="0"/>
                    <w:keepLines w:val="0"/>
                    <w:widowControl/>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29</w:t>
                  </w:r>
                </w:p>
              </w:tc>
              <w:tc>
                <w:tcPr>
                  <w:tcW w:w="801" w:type="pct"/>
                  <w:shd w:val="clear" w:color="auto" w:fill="auto"/>
                  <w:noWrap w:val="0"/>
                  <w:vAlign w:val="center"/>
                </w:tcPr>
                <w:p w14:paraId="20B79DBB">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垫片</w:t>
                  </w:r>
                </w:p>
              </w:tc>
              <w:tc>
                <w:tcPr>
                  <w:tcW w:w="543" w:type="pct"/>
                  <w:shd w:val="clear" w:color="auto" w:fill="auto"/>
                  <w:noWrap w:val="0"/>
                  <w:vAlign w:val="center"/>
                </w:tcPr>
                <w:p w14:paraId="3E9ADEBE">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t/a</w:t>
                  </w:r>
                </w:p>
              </w:tc>
              <w:tc>
                <w:tcPr>
                  <w:tcW w:w="459" w:type="pct"/>
                  <w:shd w:val="clear" w:color="auto" w:fill="auto"/>
                  <w:noWrap w:val="0"/>
                  <w:vAlign w:val="center"/>
                </w:tcPr>
                <w:p w14:paraId="7E230DBD">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2.8</w:t>
                  </w:r>
                </w:p>
              </w:tc>
              <w:tc>
                <w:tcPr>
                  <w:tcW w:w="645" w:type="pct"/>
                  <w:shd w:val="clear" w:color="auto" w:fill="auto"/>
                  <w:noWrap w:val="0"/>
                  <w:vAlign w:val="center"/>
                </w:tcPr>
                <w:p w14:paraId="579EBEE0">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0.5</w:t>
                  </w:r>
                </w:p>
              </w:tc>
              <w:tc>
                <w:tcPr>
                  <w:tcW w:w="634" w:type="pct"/>
                  <w:shd w:val="clear" w:color="auto" w:fill="auto"/>
                  <w:noWrap w:val="0"/>
                  <w:vAlign w:val="center"/>
                </w:tcPr>
                <w:p w14:paraId="065C1EA9">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袋装</w:t>
                  </w:r>
                </w:p>
              </w:tc>
              <w:tc>
                <w:tcPr>
                  <w:tcW w:w="827" w:type="pct"/>
                  <w:shd w:val="clear" w:color="auto" w:fill="auto"/>
                  <w:noWrap w:val="0"/>
                  <w:vAlign w:val="center"/>
                </w:tcPr>
                <w:p w14:paraId="40368DAC">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w:t>
                  </w:r>
                </w:p>
              </w:tc>
              <w:tc>
                <w:tcPr>
                  <w:tcW w:w="749" w:type="pct"/>
                  <w:tcBorders>
                    <w:right w:val="nil"/>
                  </w:tcBorders>
                  <w:shd w:val="clear" w:color="auto" w:fill="auto"/>
                  <w:noWrap w:val="0"/>
                  <w:vAlign w:val="center"/>
                </w:tcPr>
                <w:p w14:paraId="1D9B2916">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外购</w:t>
                  </w:r>
                </w:p>
              </w:tc>
            </w:tr>
            <w:tr w14:paraId="647B0E05">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339" w:type="pct"/>
                  <w:tcBorders>
                    <w:left w:val="nil"/>
                  </w:tcBorders>
                  <w:shd w:val="clear" w:color="auto" w:fill="auto"/>
                  <w:noWrap w:val="0"/>
                  <w:vAlign w:val="center"/>
                </w:tcPr>
                <w:p w14:paraId="48C8DF9B">
                  <w:pPr>
                    <w:keepNext w:val="0"/>
                    <w:keepLines w:val="0"/>
                    <w:widowControl/>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30</w:t>
                  </w:r>
                </w:p>
              </w:tc>
              <w:tc>
                <w:tcPr>
                  <w:tcW w:w="801" w:type="pct"/>
                  <w:shd w:val="clear" w:color="auto" w:fill="auto"/>
                  <w:noWrap w:val="0"/>
                  <w:vAlign w:val="center"/>
                </w:tcPr>
                <w:p w14:paraId="29E11EF0">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模具</w:t>
                  </w:r>
                </w:p>
              </w:tc>
              <w:tc>
                <w:tcPr>
                  <w:tcW w:w="543" w:type="pct"/>
                  <w:shd w:val="clear" w:color="auto" w:fill="auto"/>
                  <w:noWrap w:val="0"/>
                  <w:vAlign w:val="center"/>
                </w:tcPr>
                <w:p w14:paraId="62CE2CA4">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套</w:t>
                  </w:r>
                </w:p>
              </w:tc>
              <w:tc>
                <w:tcPr>
                  <w:tcW w:w="459" w:type="pct"/>
                  <w:shd w:val="clear" w:color="auto" w:fill="auto"/>
                  <w:noWrap w:val="0"/>
                  <w:vAlign w:val="center"/>
                </w:tcPr>
                <w:p w14:paraId="2C3A38ED">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1000</w:t>
                  </w:r>
                </w:p>
              </w:tc>
              <w:tc>
                <w:tcPr>
                  <w:tcW w:w="645" w:type="pct"/>
                  <w:shd w:val="clear" w:color="auto" w:fill="auto"/>
                  <w:noWrap w:val="0"/>
                  <w:vAlign w:val="center"/>
                </w:tcPr>
                <w:p w14:paraId="7025962E">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s="Times New Roman"/>
                      <w:color w:val="auto"/>
                      <w:kern w:val="0"/>
                      <w:sz w:val="21"/>
                      <w:szCs w:val="21"/>
                      <w:u w:val="none"/>
                      <w:lang w:val="en-US" w:eastAsia="zh-CN" w:bidi="ar-SA"/>
                    </w:rPr>
                    <w:t>1000</w:t>
                  </w:r>
                </w:p>
              </w:tc>
              <w:tc>
                <w:tcPr>
                  <w:tcW w:w="634" w:type="pct"/>
                  <w:shd w:val="clear" w:color="auto" w:fill="auto"/>
                  <w:noWrap w:val="0"/>
                  <w:vAlign w:val="center"/>
                </w:tcPr>
                <w:p w14:paraId="0F28A8A2">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袋装</w:t>
                  </w:r>
                </w:p>
              </w:tc>
              <w:tc>
                <w:tcPr>
                  <w:tcW w:w="827" w:type="pct"/>
                  <w:shd w:val="clear" w:color="auto" w:fill="auto"/>
                  <w:noWrap w:val="0"/>
                  <w:vAlign w:val="center"/>
                </w:tcPr>
                <w:p w14:paraId="19378E0E">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w:t>
                  </w:r>
                </w:p>
              </w:tc>
              <w:tc>
                <w:tcPr>
                  <w:tcW w:w="749" w:type="pct"/>
                  <w:tcBorders>
                    <w:right w:val="nil"/>
                  </w:tcBorders>
                  <w:shd w:val="clear" w:color="auto" w:fill="auto"/>
                  <w:noWrap w:val="0"/>
                  <w:vAlign w:val="center"/>
                </w:tcPr>
                <w:p w14:paraId="422C9A69">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snapToGrid w:val="0"/>
                      <w:color w:val="auto"/>
                      <w:spacing w:val="0"/>
                      <w:sz w:val="21"/>
                      <w:szCs w:val="21"/>
                      <w:highlight w:val="none"/>
                      <w:lang w:val="en-US" w:eastAsia="zh-CN"/>
                    </w:rPr>
                    <w:t>外购</w:t>
                  </w:r>
                </w:p>
              </w:tc>
            </w:tr>
            <w:tr w14:paraId="7CCEE57E">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5000" w:type="pct"/>
                  <w:gridSpan w:val="8"/>
                  <w:tcBorders>
                    <w:left w:val="nil"/>
                    <w:right w:val="nil"/>
                  </w:tcBorders>
                  <w:shd w:val="clear" w:color="auto" w:fill="auto"/>
                  <w:noWrap w:val="0"/>
                  <w:vAlign w:val="center"/>
                </w:tcPr>
                <w:p w14:paraId="1E47B8C6">
                  <w:pPr>
                    <w:keepNext w:val="0"/>
                    <w:keepLines w:val="0"/>
                    <w:widowControl/>
                    <w:suppressLineNumbers w:val="0"/>
                    <w:spacing w:before="0" w:beforeAutospacing="0" w:after="0" w:afterAutospacing="0" w:line="240" w:lineRule="auto"/>
                    <w:ind w:left="0" w:right="0" w:firstLine="0" w:firstLineChars="0"/>
                    <w:jc w:val="center"/>
                    <w:rPr>
                      <w:rFonts w:hint="eastAsia"/>
                      <w:color w:val="auto"/>
                      <w:kern w:val="0"/>
                      <w:sz w:val="21"/>
                      <w:szCs w:val="21"/>
                      <w:u w:val="none"/>
                    </w:rPr>
                  </w:pPr>
                  <w:r>
                    <w:rPr>
                      <w:rFonts w:hint="eastAsia"/>
                      <w:color w:val="auto"/>
                      <w:kern w:val="0"/>
                      <w:sz w:val="21"/>
                      <w:szCs w:val="21"/>
                      <w:u w:val="none"/>
                      <w:lang w:val="en-US" w:eastAsia="zh-CN"/>
                    </w:rPr>
                    <w:t>设备维护</w:t>
                  </w:r>
                </w:p>
              </w:tc>
            </w:tr>
            <w:tr w14:paraId="65B2275A">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339" w:type="pct"/>
                  <w:tcBorders>
                    <w:left w:val="nil"/>
                  </w:tcBorders>
                  <w:shd w:val="clear" w:color="auto" w:fill="auto"/>
                  <w:noWrap w:val="0"/>
                  <w:vAlign w:val="center"/>
                </w:tcPr>
                <w:p w14:paraId="31D283F6">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s="Times New Roman"/>
                      <w:color w:val="auto"/>
                      <w:kern w:val="0"/>
                      <w:sz w:val="21"/>
                      <w:szCs w:val="21"/>
                      <w:u w:val="none"/>
                      <w:lang w:val="en-US" w:eastAsia="zh-CN" w:bidi="ar-SA"/>
                    </w:rPr>
                    <w:t>31</w:t>
                  </w:r>
                </w:p>
              </w:tc>
              <w:tc>
                <w:tcPr>
                  <w:tcW w:w="801" w:type="pct"/>
                  <w:shd w:val="clear" w:color="auto" w:fill="auto"/>
                  <w:noWrap w:val="0"/>
                  <w:vAlign w:val="center"/>
                </w:tcPr>
                <w:p w14:paraId="241606E7">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润滑油</w:t>
                  </w:r>
                </w:p>
              </w:tc>
              <w:tc>
                <w:tcPr>
                  <w:tcW w:w="543" w:type="pct"/>
                  <w:shd w:val="clear" w:color="auto" w:fill="auto"/>
                  <w:noWrap w:val="0"/>
                  <w:vAlign w:val="center"/>
                </w:tcPr>
                <w:p w14:paraId="72CCA713">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t/a</w:t>
                  </w:r>
                </w:p>
              </w:tc>
              <w:tc>
                <w:tcPr>
                  <w:tcW w:w="459" w:type="pct"/>
                  <w:shd w:val="clear" w:color="auto" w:fill="auto"/>
                  <w:noWrap w:val="0"/>
                  <w:vAlign w:val="center"/>
                </w:tcPr>
                <w:p w14:paraId="22555E17">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1</w:t>
                  </w:r>
                </w:p>
              </w:tc>
              <w:tc>
                <w:tcPr>
                  <w:tcW w:w="645" w:type="pct"/>
                  <w:shd w:val="clear" w:color="auto" w:fill="auto"/>
                  <w:noWrap w:val="0"/>
                  <w:vAlign w:val="center"/>
                </w:tcPr>
                <w:p w14:paraId="7DA5D99F">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s="Times New Roman"/>
                      <w:color w:val="auto"/>
                      <w:kern w:val="0"/>
                      <w:sz w:val="21"/>
                      <w:szCs w:val="21"/>
                      <w:u w:val="none"/>
                      <w:lang w:val="en-US" w:eastAsia="zh-CN" w:bidi="ar-SA"/>
                    </w:rPr>
                    <w:t>0.364</w:t>
                  </w:r>
                </w:p>
              </w:tc>
              <w:tc>
                <w:tcPr>
                  <w:tcW w:w="634" w:type="pct"/>
                  <w:shd w:val="clear" w:color="auto" w:fill="auto"/>
                  <w:noWrap w:val="0"/>
                  <w:vAlign w:val="center"/>
                </w:tcPr>
                <w:p w14:paraId="03F50F7A">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桶装</w:t>
                  </w:r>
                </w:p>
              </w:tc>
              <w:tc>
                <w:tcPr>
                  <w:tcW w:w="827" w:type="pct"/>
                  <w:shd w:val="clear" w:color="auto" w:fill="auto"/>
                  <w:noWrap w:val="0"/>
                  <w:vAlign w:val="center"/>
                </w:tcPr>
                <w:p w14:paraId="1EC261E7">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182</w:t>
                  </w:r>
                  <w:r>
                    <w:rPr>
                      <w:rFonts w:hint="eastAsia"/>
                      <w:color w:val="auto"/>
                      <w:kern w:val="0"/>
                      <w:sz w:val="21"/>
                      <w:szCs w:val="21"/>
                      <w:u w:val="none"/>
                    </w:rPr>
                    <w:t>kg/桶</w:t>
                  </w:r>
                </w:p>
              </w:tc>
              <w:tc>
                <w:tcPr>
                  <w:tcW w:w="749" w:type="pct"/>
                  <w:tcBorders>
                    <w:right w:val="nil"/>
                  </w:tcBorders>
                  <w:shd w:val="clear" w:color="auto" w:fill="auto"/>
                  <w:noWrap w:val="0"/>
                  <w:vAlign w:val="center"/>
                </w:tcPr>
                <w:p w14:paraId="6A9FEDF0">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外购</w:t>
                  </w:r>
                </w:p>
              </w:tc>
            </w:tr>
            <w:tr w14:paraId="54664D24">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339" w:type="pct"/>
                  <w:tcBorders>
                    <w:left w:val="nil"/>
                  </w:tcBorders>
                  <w:shd w:val="clear" w:color="auto" w:fill="auto"/>
                  <w:noWrap w:val="0"/>
                  <w:vAlign w:val="center"/>
                </w:tcPr>
                <w:p w14:paraId="3FDB033F">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b/>
                      <w:bCs/>
                      <w:color w:val="auto"/>
                      <w:kern w:val="0"/>
                      <w:sz w:val="21"/>
                      <w:szCs w:val="21"/>
                      <w:u w:val="none"/>
                      <w:lang w:val="en-US" w:eastAsia="zh-CN" w:bidi="ar-SA"/>
                    </w:rPr>
                  </w:pPr>
                  <w:r>
                    <w:rPr>
                      <w:rFonts w:hint="eastAsia" w:cs="Times New Roman"/>
                      <w:snapToGrid w:val="0"/>
                      <w:color w:val="auto"/>
                      <w:spacing w:val="0"/>
                      <w:kern w:val="2"/>
                      <w:sz w:val="21"/>
                      <w:szCs w:val="21"/>
                      <w:highlight w:val="none"/>
                      <w:lang w:val="en-US" w:eastAsia="zh-CN" w:bidi="ar-SA"/>
                    </w:rPr>
                    <w:t>32</w:t>
                  </w:r>
                </w:p>
              </w:tc>
              <w:tc>
                <w:tcPr>
                  <w:tcW w:w="801" w:type="pct"/>
                  <w:shd w:val="clear" w:color="auto" w:fill="auto"/>
                  <w:noWrap w:val="0"/>
                  <w:vAlign w:val="center"/>
                </w:tcPr>
                <w:p w14:paraId="36A66192">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机油</w:t>
                  </w:r>
                </w:p>
              </w:tc>
              <w:tc>
                <w:tcPr>
                  <w:tcW w:w="543" w:type="pct"/>
                  <w:shd w:val="clear" w:color="auto" w:fill="auto"/>
                  <w:noWrap w:val="0"/>
                  <w:vAlign w:val="center"/>
                </w:tcPr>
                <w:p w14:paraId="59E27CDF">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t/a</w:t>
                  </w:r>
                </w:p>
              </w:tc>
              <w:tc>
                <w:tcPr>
                  <w:tcW w:w="459" w:type="pct"/>
                  <w:shd w:val="clear" w:color="auto" w:fill="auto"/>
                  <w:noWrap w:val="0"/>
                  <w:vAlign w:val="center"/>
                </w:tcPr>
                <w:p w14:paraId="0D98BE6F">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1</w:t>
                  </w:r>
                </w:p>
              </w:tc>
              <w:tc>
                <w:tcPr>
                  <w:tcW w:w="645" w:type="pct"/>
                  <w:shd w:val="clear" w:color="auto" w:fill="auto"/>
                  <w:noWrap w:val="0"/>
                  <w:vAlign w:val="center"/>
                </w:tcPr>
                <w:p w14:paraId="7398B1C0">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s="Times New Roman"/>
                      <w:color w:val="auto"/>
                      <w:kern w:val="0"/>
                      <w:sz w:val="21"/>
                      <w:szCs w:val="21"/>
                      <w:u w:val="none"/>
                      <w:lang w:val="en-US" w:eastAsia="zh-CN" w:bidi="ar-SA"/>
                    </w:rPr>
                    <w:t>0.364</w:t>
                  </w:r>
                </w:p>
              </w:tc>
              <w:tc>
                <w:tcPr>
                  <w:tcW w:w="634" w:type="pct"/>
                  <w:shd w:val="clear" w:color="auto" w:fill="auto"/>
                  <w:noWrap w:val="0"/>
                  <w:vAlign w:val="center"/>
                </w:tcPr>
                <w:p w14:paraId="39F37BC0">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桶装</w:t>
                  </w:r>
                </w:p>
              </w:tc>
              <w:tc>
                <w:tcPr>
                  <w:tcW w:w="827" w:type="pct"/>
                  <w:shd w:val="clear" w:color="auto" w:fill="auto"/>
                  <w:noWrap w:val="0"/>
                  <w:vAlign w:val="center"/>
                </w:tcPr>
                <w:p w14:paraId="0F96573E">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182</w:t>
                  </w:r>
                  <w:r>
                    <w:rPr>
                      <w:rFonts w:hint="eastAsia"/>
                      <w:color w:val="auto"/>
                      <w:kern w:val="0"/>
                      <w:sz w:val="21"/>
                      <w:szCs w:val="21"/>
                      <w:u w:val="none"/>
                    </w:rPr>
                    <w:t>kg/桶</w:t>
                  </w:r>
                </w:p>
              </w:tc>
              <w:tc>
                <w:tcPr>
                  <w:tcW w:w="749" w:type="pct"/>
                  <w:tcBorders>
                    <w:right w:val="nil"/>
                  </w:tcBorders>
                  <w:shd w:val="clear" w:color="auto" w:fill="auto"/>
                  <w:noWrap w:val="0"/>
                  <w:vAlign w:val="center"/>
                </w:tcPr>
                <w:p w14:paraId="704E99D3">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外购</w:t>
                  </w:r>
                </w:p>
              </w:tc>
            </w:tr>
            <w:tr w14:paraId="5BB63441">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5000" w:type="pct"/>
                  <w:gridSpan w:val="8"/>
                  <w:tcBorders>
                    <w:left w:val="nil"/>
                    <w:right w:val="nil"/>
                  </w:tcBorders>
                  <w:noWrap w:val="0"/>
                  <w:vAlign w:val="center"/>
                </w:tcPr>
                <w:p w14:paraId="513DC67B">
                  <w:pPr>
                    <w:keepNext w:val="0"/>
                    <w:keepLines w:val="0"/>
                    <w:widowControl/>
                    <w:suppressLineNumbers w:val="0"/>
                    <w:spacing w:before="0" w:beforeAutospacing="0" w:after="0" w:afterAutospacing="0" w:line="240" w:lineRule="auto"/>
                    <w:ind w:left="0" w:right="0" w:firstLine="0" w:firstLineChars="0"/>
                    <w:jc w:val="center"/>
                    <w:rPr>
                      <w:rFonts w:hint="eastAsia"/>
                      <w:color w:val="auto"/>
                      <w:kern w:val="0"/>
                      <w:sz w:val="21"/>
                      <w:szCs w:val="21"/>
                      <w:u w:val="none"/>
                    </w:rPr>
                  </w:pPr>
                  <w:r>
                    <w:rPr>
                      <w:rFonts w:hint="eastAsia" w:cs="Times New Roman"/>
                      <w:b w:val="0"/>
                      <w:bCs w:val="0"/>
                      <w:color w:val="auto"/>
                      <w:spacing w:val="0"/>
                      <w:kern w:val="2"/>
                      <w:sz w:val="21"/>
                      <w:szCs w:val="21"/>
                      <w:highlight w:val="none"/>
                      <w:vertAlign w:val="baseline"/>
                      <w:lang w:val="en-US" w:eastAsia="zh-CN" w:bidi="ar-SA"/>
                    </w:rPr>
                    <w:t>废气治理</w:t>
                  </w:r>
                </w:p>
              </w:tc>
            </w:tr>
            <w:tr w14:paraId="1320F069">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303" w:hRule="atLeast"/>
                <w:jc w:val="center"/>
              </w:trPr>
              <w:tc>
                <w:tcPr>
                  <w:tcW w:w="339" w:type="pct"/>
                  <w:tcBorders>
                    <w:left w:val="nil"/>
                  </w:tcBorders>
                  <w:noWrap w:val="0"/>
                  <w:vAlign w:val="center"/>
                </w:tcPr>
                <w:p w14:paraId="471027BE">
                  <w:pPr>
                    <w:keepNext w:val="0"/>
                    <w:keepLines w:val="0"/>
                    <w:widowControl/>
                    <w:suppressLineNumbers w:val="0"/>
                    <w:spacing w:before="0" w:beforeAutospacing="0" w:after="0" w:afterAutospacing="0" w:line="240" w:lineRule="auto"/>
                    <w:ind w:left="0" w:right="0" w:firstLine="0" w:firstLineChars="0"/>
                    <w:jc w:val="center"/>
                    <w:rPr>
                      <w:rFonts w:hint="default"/>
                      <w:color w:val="auto"/>
                      <w:kern w:val="0"/>
                      <w:sz w:val="21"/>
                      <w:szCs w:val="21"/>
                      <w:u w:val="none"/>
                      <w:lang w:val="en-US" w:eastAsia="zh-CN"/>
                    </w:rPr>
                  </w:pPr>
                  <w:r>
                    <w:rPr>
                      <w:rFonts w:hint="eastAsia"/>
                      <w:color w:val="auto"/>
                      <w:kern w:val="0"/>
                      <w:sz w:val="21"/>
                      <w:szCs w:val="21"/>
                      <w:u w:val="none"/>
                      <w:lang w:val="en-US" w:eastAsia="zh-CN"/>
                    </w:rPr>
                    <w:t>33</w:t>
                  </w:r>
                </w:p>
              </w:tc>
              <w:tc>
                <w:tcPr>
                  <w:tcW w:w="801" w:type="pct"/>
                  <w:shd w:val="clear" w:color="auto" w:fill="auto"/>
                  <w:noWrap w:val="0"/>
                  <w:vAlign w:val="center"/>
                </w:tcPr>
                <w:p w14:paraId="6A4F176E">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b w:val="0"/>
                      <w:bCs w:val="0"/>
                      <w:color w:val="auto"/>
                      <w:kern w:val="0"/>
                      <w:sz w:val="21"/>
                      <w:szCs w:val="21"/>
                      <w:u w:val="none"/>
                      <w:lang w:val="en-US" w:eastAsia="zh-CN" w:bidi="ar-SA"/>
                    </w:rPr>
                  </w:pPr>
                  <w:r>
                    <w:rPr>
                      <w:rFonts w:hint="eastAsia"/>
                      <w:b w:val="0"/>
                      <w:bCs w:val="0"/>
                      <w:color w:val="auto"/>
                      <w:kern w:val="0"/>
                      <w:sz w:val="21"/>
                      <w:szCs w:val="21"/>
                      <w:u w:val="none"/>
                    </w:rPr>
                    <w:t>活性炭</w:t>
                  </w:r>
                </w:p>
              </w:tc>
              <w:tc>
                <w:tcPr>
                  <w:tcW w:w="543" w:type="pct"/>
                  <w:shd w:val="clear" w:color="auto" w:fill="auto"/>
                  <w:noWrap w:val="0"/>
                  <w:vAlign w:val="center"/>
                </w:tcPr>
                <w:p w14:paraId="6E9BB7C0">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b w:val="0"/>
                      <w:bCs w:val="0"/>
                      <w:color w:val="auto"/>
                      <w:kern w:val="0"/>
                      <w:sz w:val="21"/>
                      <w:szCs w:val="21"/>
                      <w:u w:val="none"/>
                      <w:lang w:val="en-US" w:eastAsia="zh-CN" w:bidi="ar-SA"/>
                    </w:rPr>
                  </w:pPr>
                  <w:r>
                    <w:rPr>
                      <w:rFonts w:hint="eastAsia"/>
                      <w:b w:val="0"/>
                      <w:bCs w:val="0"/>
                      <w:color w:val="auto"/>
                      <w:kern w:val="0"/>
                      <w:sz w:val="21"/>
                      <w:szCs w:val="21"/>
                      <w:u w:val="none"/>
                    </w:rPr>
                    <w:t>t/a</w:t>
                  </w:r>
                </w:p>
              </w:tc>
              <w:tc>
                <w:tcPr>
                  <w:tcW w:w="459" w:type="pct"/>
                  <w:shd w:val="clear" w:color="auto" w:fill="auto"/>
                  <w:noWrap w:val="0"/>
                  <w:vAlign w:val="center"/>
                </w:tcPr>
                <w:p w14:paraId="06775B8F">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b w:val="0"/>
                      <w:bCs w:val="0"/>
                      <w:color w:val="auto"/>
                      <w:kern w:val="0"/>
                      <w:sz w:val="21"/>
                      <w:szCs w:val="21"/>
                      <w:u w:val="none"/>
                      <w:lang w:val="en-US" w:eastAsia="zh-CN" w:bidi="ar-SA"/>
                    </w:rPr>
                  </w:pPr>
                  <w:r>
                    <w:rPr>
                      <w:rFonts w:hint="eastAsia" w:cs="Times New Roman"/>
                      <w:b w:val="0"/>
                      <w:bCs w:val="0"/>
                      <w:color w:val="auto"/>
                      <w:kern w:val="0"/>
                      <w:sz w:val="21"/>
                      <w:szCs w:val="21"/>
                      <w:u w:val="none"/>
                      <w:lang w:val="en-US" w:eastAsia="zh-CN" w:bidi="ar-SA"/>
                    </w:rPr>
                    <w:t>47.7</w:t>
                  </w:r>
                </w:p>
              </w:tc>
              <w:tc>
                <w:tcPr>
                  <w:tcW w:w="645" w:type="pct"/>
                  <w:shd w:val="clear" w:color="auto" w:fill="auto"/>
                  <w:noWrap w:val="0"/>
                  <w:vAlign w:val="center"/>
                </w:tcPr>
                <w:p w14:paraId="3EB3CE3C">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b w:val="0"/>
                      <w:bCs w:val="0"/>
                      <w:color w:val="auto"/>
                      <w:kern w:val="0"/>
                      <w:sz w:val="21"/>
                      <w:szCs w:val="21"/>
                      <w:u w:val="none"/>
                      <w:lang w:val="en-US" w:eastAsia="zh-CN" w:bidi="ar-SA"/>
                    </w:rPr>
                  </w:pPr>
                  <w:r>
                    <w:rPr>
                      <w:rFonts w:hint="eastAsia" w:cs="Times New Roman"/>
                      <w:b w:val="0"/>
                      <w:bCs w:val="0"/>
                      <w:color w:val="auto"/>
                      <w:kern w:val="0"/>
                      <w:sz w:val="21"/>
                      <w:szCs w:val="21"/>
                      <w:u w:val="none"/>
                      <w:lang w:val="en-US" w:eastAsia="zh-CN" w:bidi="ar-SA"/>
                    </w:rPr>
                    <w:t>/</w:t>
                  </w:r>
                </w:p>
              </w:tc>
              <w:tc>
                <w:tcPr>
                  <w:tcW w:w="634" w:type="pct"/>
                  <w:shd w:val="clear" w:color="auto" w:fill="auto"/>
                  <w:noWrap w:val="0"/>
                  <w:vAlign w:val="center"/>
                </w:tcPr>
                <w:p w14:paraId="2C3B54AF">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b w:val="0"/>
                      <w:bCs w:val="0"/>
                      <w:color w:val="auto"/>
                      <w:kern w:val="0"/>
                      <w:sz w:val="21"/>
                      <w:szCs w:val="21"/>
                      <w:u w:val="none"/>
                      <w:lang w:val="en-US" w:eastAsia="zh-CN" w:bidi="ar-SA"/>
                    </w:rPr>
                  </w:pPr>
                  <w:r>
                    <w:rPr>
                      <w:rFonts w:hint="eastAsia"/>
                      <w:b w:val="0"/>
                      <w:bCs w:val="0"/>
                      <w:color w:val="auto"/>
                      <w:kern w:val="0"/>
                      <w:sz w:val="21"/>
                      <w:szCs w:val="21"/>
                      <w:u w:val="none"/>
                    </w:rPr>
                    <w:t>袋装</w:t>
                  </w:r>
                </w:p>
              </w:tc>
              <w:tc>
                <w:tcPr>
                  <w:tcW w:w="827" w:type="pct"/>
                  <w:shd w:val="clear" w:color="auto" w:fill="auto"/>
                  <w:noWrap w:val="0"/>
                  <w:vAlign w:val="center"/>
                </w:tcPr>
                <w:p w14:paraId="2259C35A">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b w:val="0"/>
                      <w:bCs w:val="0"/>
                      <w:color w:val="auto"/>
                      <w:kern w:val="0"/>
                      <w:sz w:val="21"/>
                      <w:szCs w:val="21"/>
                      <w:u w:val="none"/>
                      <w:lang w:val="en-US" w:eastAsia="zh-CN" w:bidi="ar-SA"/>
                    </w:rPr>
                  </w:pPr>
                  <w:r>
                    <w:rPr>
                      <w:rFonts w:hint="eastAsia"/>
                      <w:b w:val="0"/>
                      <w:bCs w:val="0"/>
                      <w:color w:val="auto"/>
                      <w:kern w:val="0"/>
                      <w:sz w:val="21"/>
                      <w:szCs w:val="21"/>
                      <w:u w:val="none"/>
                    </w:rPr>
                    <w:t>/</w:t>
                  </w:r>
                </w:p>
              </w:tc>
              <w:tc>
                <w:tcPr>
                  <w:tcW w:w="749" w:type="pct"/>
                  <w:tcBorders>
                    <w:right w:val="nil"/>
                  </w:tcBorders>
                  <w:shd w:val="clear" w:color="auto" w:fill="auto"/>
                  <w:noWrap w:val="0"/>
                  <w:vAlign w:val="center"/>
                </w:tcPr>
                <w:p w14:paraId="31266408">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b w:val="0"/>
                      <w:bCs w:val="0"/>
                      <w:color w:val="auto"/>
                      <w:kern w:val="0"/>
                      <w:sz w:val="21"/>
                      <w:szCs w:val="21"/>
                      <w:u w:val="none"/>
                      <w:lang w:val="en-US" w:eastAsia="zh-CN" w:bidi="ar-SA"/>
                    </w:rPr>
                  </w:pPr>
                  <w:r>
                    <w:rPr>
                      <w:rFonts w:hint="eastAsia"/>
                      <w:b w:val="0"/>
                      <w:bCs w:val="0"/>
                      <w:color w:val="auto"/>
                      <w:kern w:val="0"/>
                      <w:sz w:val="21"/>
                      <w:szCs w:val="21"/>
                      <w:u w:val="none"/>
                    </w:rPr>
                    <w:t>废气治理</w:t>
                  </w:r>
                </w:p>
              </w:tc>
            </w:tr>
            <w:tr w14:paraId="2927E54C">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5000" w:type="pct"/>
                  <w:gridSpan w:val="8"/>
                  <w:tcBorders>
                    <w:left w:val="nil"/>
                    <w:right w:val="nil"/>
                  </w:tcBorders>
                  <w:noWrap w:val="0"/>
                  <w:vAlign w:val="center"/>
                </w:tcPr>
                <w:p w14:paraId="3EFCE850">
                  <w:pPr>
                    <w:keepNext w:val="0"/>
                    <w:keepLines w:val="0"/>
                    <w:widowControl/>
                    <w:suppressLineNumbers w:val="0"/>
                    <w:spacing w:before="0" w:beforeAutospacing="0" w:after="0" w:afterAutospacing="0" w:line="240" w:lineRule="auto"/>
                    <w:ind w:left="0" w:right="0" w:firstLine="0" w:firstLineChars="0"/>
                    <w:jc w:val="center"/>
                    <w:rPr>
                      <w:rFonts w:hint="default" w:eastAsia="宋体"/>
                      <w:color w:val="auto"/>
                      <w:kern w:val="0"/>
                      <w:sz w:val="21"/>
                      <w:szCs w:val="21"/>
                      <w:u w:val="none"/>
                      <w:lang w:val="en-US" w:eastAsia="zh-CN"/>
                    </w:rPr>
                  </w:pPr>
                  <w:r>
                    <w:rPr>
                      <w:rFonts w:hint="eastAsia" w:cs="Times New Roman"/>
                      <w:color w:val="auto"/>
                      <w:kern w:val="0"/>
                      <w:sz w:val="21"/>
                      <w:szCs w:val="21"/>
                      <w:u w:val="none"/>
                      <w:lang w:val="en-US" w:eastAsia="zh-CN" w:bidi="ar-SA"/>
                    </w:rPr>
                    <w:t>能源</w:t>
                  </w:r>
                </w:p>
              </w:tc>
            </w:tr>
            <w:tr w14:paraId="6FBAFAD3">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339" w:type="pct"/>
                  <w:tcBorders>
                    <w:left w:val="nil"/>
                  </w:tcBorders>
                  <w:noWrap w:val="0"/>
                  <w:vAlign w:val="center"/>
                </w:tcPr>
                <w:p w14:paraId="16FFEB8E">
                  <w:pPr>
                    <w:keepNext w:val="0"/>
                    <w:keepLines w:val="0"/>
                    <w:widowControl/>
                    <w:suppressLineNumbers w:val="0"/>
                    <w:spacing w:before="0" w:beforeAutospacing="0" w:after="0" w:afterAutospacing="0" w:line="240" w:lineRule="auto"/>
                    <w:ind w:left="0" w:right="0" w:firstLine="0" w:firstLineChars="0"/>
                    <w:jc w:val="center"/>
                    <w:rPr>
                      <w:rFonts w:hint="default" w:eastAsia="宋体"/>
                      <w:color w:val="auto"/>
                      <w:kern w:val="0"/>
                      <w:sz w:val="21"/>
                      <w:szCs w:val="21"/>
                      <w:u w:val="none"/>
                      <w:lang w:val="en-US" w:eastAsia="zh-CN"/>
                    </w:rPr>
                  </w:pPr>
                  <w:r>
                    <w:rPr>
                      <w:rFonts w:hint="eastAsia"/>
                      <w:color w:val="auto"/>
                      <w:kern w:val="0"/>
                      <w:sz w:val="21"/>
                      <w:szCs w:val="21"/>
                      <w:u w:val="none"/>
                      <w:lang w:val="en-US" w:eastAsia="zh-CN"/>
                    </w:rPr>
                    <w:t>34</w:t>
                  </w:r>
                </w:p>
              </w:tc>
              <w:tc>
                <w:tcPr>
                  <w:tcW w:w="801" w:type="pct"/>
                  <w:noWrap w:val="0"/>
                  <w:vAlign w:val="center"/>
                </w:tcPr>
                <w:p w14:paraId="260A621A">
                  <w:pPr>
                    <w:keepNext w:val="0"/>
                    <w:keepLines w:val="0"/>
                    <w:widowControl/>
                    <w:suppressLineNumbers w:val="0"/>
                    <w:spacing w:before="0" w:beforeAutospacing="0" w:after="0" w:afterAutospacing="0" w:line="240" w:lineRule="auto"/>
                    <w:ind w:left="0" w:right="0" w:firstLine="0" w:firstLineChars="0"/>
                    <w:jc w:val="center"/>
                    <w:rPr>
                      <w:rFonts w:hint="eastAsia"/>
                      <w:b w:val="0"/>
                      <w:bCs w:val="0"/>
                      <w:color w:val="auto"/>
                      <w:kern w:val="0"/>
                      <w:sz w:val="21"/>
                      <w:szCs w:val="21"/>
                      <w:u w:val="none"/>
                    </w:rPr>
                  </w:pPr>
                  <w:r>
                    <w:rPr>
                      <w:rFonts w:hint="eastAsia"/>
                      <w:b w:val="0"/>
                      <w:bCs w:val="0"/>
                      <w:color w:val="auto"/>
                      <w:kern w:val="0"/>
                      <w:sz w:val="21"/>
                      <w:szCs w:val="21"/>
                      <w:u w:val="none"/>
                    </w:rPr>
                    <w:t>水</w:t>
                  </w:r>
                </w:p>
              </w:tc>
              <w:tc>
                <w:tcPr>
                  <w:tcW w:w="543" w:type="pct"/>
                  <w:noWrap w:val="0"/>
                  <w:vAlign w:val="center"/>
                </w:tcPr>
                <w:p w14:paraId="0DBE8132">
                  <w:pPr>
                    <w:keepNext w:val="0"/>
                    <w:keepLines w:val="0"/>
                    <w:widowControl/>
                    <w:suppressLineNumbers w:val="0"/>
                    <w:spacing w:before="0" w:beforeAutospacing="0" w:after="0" w:afterAutospacing="0" w:line="240" w:lineRule="auto"/>
                    <w:ind w:left="0" w:right="0" w:firstLine="0" w:firstLineChars="0"/>
                    <w:jc w:val="center"/>
                    <w:rPr>
                      <w:rFonts w:hint="eastAsia"/>
                      <w:b w:val="0"/>
                      <w:bCs w:val="0"/>
                      <w:color w:val="auto"/>
                      <w:kern w:val="0"/>
                      <w:sz w:val="21"/>
                      <w:szCs w:val="21"/>
                      <w:u w:val="none"/>
                    </w:rPr>
                  </w:pPr>
                  <w:r>
                    <w:rPr>
                      <w:rFonts w:hint="eastAsia"/>
                      <w:b w:val="0"/>
                      <w:bCs w:val="0"/>
                      <w:color w:val="auto"/>
                      <w:kern w:val="0"/>
                      <w:sz w:val="21"/>
                      <w:szCs w:val="21"/>
                      <w:u w:val="none"/>
                    </w:rPr>
                    <w:t>t/a</w:t>
                  </w:r>
                </w:p>
              </w:tc>
              <w:tc>
                <w:tcPr>
                  <w:tcW w:w="459" w:type="pct"/>
                  <w:noWrap w:val="0"/>
                  <w:vAlign w:val="center"/>
                </w:tcPr>
                <w:p w14:paraId="26A1D8D4">
                  <w:pPr>
                    <w:keepNext w:val="0"/>
                    <w:keepLines w:val="0"/>
                    <w:widowControl/>
                    <w:suppressLineNumbers w:val="0"/>
                    <w:spacing w:before="0" w:beforeAutospacing="0" w:after="0" w:afterAutospacing="0" w:line="240" w:lineRule="auto"/>
                    <w:ind w:left="0" w:right="0" w:firstLine="0" w:firstLineChars="0"/>
                    <w:jc w:val="center"/>
                    <w:rPr>
                      <w:rFonts w:hint="default" w:eastAsia="宋体"/>
                      <w:b w:val="0"/>
                      <w:bCs w:val="0"/>
                      <w:color w:val="auto"/>
                      <w:kern w:val="0"/>
                      <w:sz w:val="21"/>
                      <w:szCs w:val="21"/>
                      <w:u w:val="none"/>
                      <w:lang w:val="en-US" w:eastAsia="zh-CN"/>
                    </w:rPr>
                  </w:pPr>
                  <w:r>
                    <w:rPr>
                      <w:rFonts w:hint="eastAsia"/>
                      <w:b w:val="0"/>
                      <w:bCs w:val="0"/>
                      <w:color w:val="auto"/>
                      <w:kern w:val="0"/>
                      <w:sz w:val="21"/>
                      <w:szCs w:val="21"/>
                      <w:u w:val="none"/>
                      <w:lang w:val="en-US" w:eastAsia="zh-CN"/>
                    </w:rPr>
                    <w:t>24204</w:t>
                  </w:r>
                </w:p>
              </w:tc>
              <w:tc>
                <w:tcPr>
                  <w:tcW w:w="645" w:type="pct"/>
                  <w:noWrap w:val="0"/>
                  <w:vAlign w:val="center"/>
                </w:tcPr>
                <w:p w14:paraId="51686389">
                  <w:pPr>
                    <w:keepNext w:val="0"/>
                    <w:keepLines w:val="0"/>
                    <w:widowControl/>
                    <w:suppressLineNumbers w:val="0"/>
                    <w:spacing w:before="0" w:beforeAutospacing="0" w:after="0" w:afterAutospacing="0" w:line="240" w:lineRule="auto"/>
                    <w:ind w:left="0" w:right="0" w:firstLine="0" w:firstLineChars="0"/>
                    <w:jc w:val="center"/>
                    <w:rPr>
                      <w:rFonts w:hint="eastAsia"/>
                      <w:b w:val="0"/>
                      <w:bCs w:val="0"/>
                      <w:color w:val="auto"/>
                      <w:kern w:val="0"/>
                      <w:sz w:val="21"/>
                      <w:szCs w:val="21"/>
                      <w:u w:val="none"/>
                    </w:rPr>
                  </w:pPr>
                  <w:r>
                    <w:rPr>
                      <w:rFonts w:hint="eastAsia"/>
                      <w:b w:val="0"/>
                      <w:bCs w:val="0"/>
                      <w:color w:val="auto"/>
                      <w:kern w:val="0"/>
                      <w:sz w:val="21"/>
                      <w:szCs w:val="21"/>
                      <w:u w:val="none"/>
                    </w:rPr>
                    <w:t>/</w:t>
                  </w:r>
                </w:p>
              </w:tc>
              <w:tc>
                <w:tcPr>
                  <w:tcW w:w="634" w:type="pct"/>
                  <w:noWrap w:val="0"/>
                  <w:vAlign w:val="center"/>
                </w:tcPr>
                <w:p w14:paraId="348FC865">
                  <w:pPr>
                    <w:keepNext w:val="0"/>
                    <w:keepLines w:val="0"/>
                    <w:widowControl/>
                    <w:suppressLineNumbers w:val="0"/>
                    <w:spacing w:before="0" w:beforeAutospacing="0" w:after="0" w:afterAutospacing="0" w:line="240" w:lineRule="auto"/>
                    <w:ind w:left="0" w:right="0" w:firstLine="0" w:firstLineChars="0"/>
                    <w:jc w:val="center"/>
                    <w:rPr>
                      <w:rFonts w:hint="eastAsia"/>
                      <w:b w:val="0"/>
                      <w:bCs w:val="0"/>
                      <w:color w:val="auto"/>
                      <w:kern w:val="0"/>
                      <w:sz w:val="21"/>
                      <w:szCs w:val="21"/>
                      <w:u w:val="none"/>
                    </w:rPr>
                  </w:pPr>
                  <w:r>
                    <w:rPr>
                      <w:rFonts w:hint="eastAsia"/>
                      <w:b w:val="0"/>
                      <w:bCs w:val="0"/>
                      <w:color w:val="auto"/>
                      <w:kern w:val="0"/>
                      <w:sz w:val="21"/>
                      <w:szCs w:val="21"/>
                      <w:u w:val="none"/>
                    </w:rPr>
                    <w:t>/</w:t>
                  </w:r>
                </w:p>
              </w:tc>
              <w:tc>
                <w:tcPr>
                  <w:tcW w:w="827" w:type="pct"/>
                  <w:noWrap w:val="0"/>
                  <w:vAlign w:val="center"/>
                </w:tcPr>
                <w:p w14:paraId="39C9DFE3">
                  <w:pPr>
                    <w:keepNext w:val="0"/>
                    <w:keepLines w:val="0"/>
                    <w:widowControl/>
                    <w:suppressLineNumbers w:val="0"/>
                    <w:spacing w:before="0" w:beforeAutospacing="0" w:after="0" w:afterAutospacing="0" w:line="240" w:lineRule="auto"/>
                    <w:ind w:left="0" w:right="0" w:firstLine="0" w:firstLineChars="0"/>
                    <w:jc w:val="center"/>
                    <w:rPr>
                      <w:rFonts w:hint="eastAsia"/>
                      <w:b w:val="0"/>
                      <w:bCs w:val="0"/>
                      <w:color w:val="auto"/>
                      <w:kern w:val="0"/>
                      <w:sz w:val="21"/>
                      <w:szCs w:val="21"/>
                      <w:u w:val="none"/>
                    </w:rPr>
                  </w:pPr>
                  <w:r>
                    <w:rPr>
                      <w:rFonts w:hint="eastAsia"/>
                      <w:b w:val="0"/>
                      <w:bCs w:val="0"/>
                      <w:color w:val="auto"/>
                      <w:kern w:val="0"/>
                      <w:sz w:val="21"/>
                      <w:szCs w:val="21"/>
                      <w:u w:val="none"/>
                    </w:rPr>
                    <w:t>/</w:t>
                  </w:r>
                </w:p>
              </w:tc>
              <w:tc>
                <w:tcPr>
                  <w:tcW w:w="749" w:type="pct"/>
                  <w:tcBorders>
                    <w:right w:val="nil"/>
                  </w:tcBorders>
                  <w:noWrap w:val="0"/>
                  <w:vAlign w:val="center"/>
                </w:tcPr>
                <w:p w14:paraId="4B088474">
                  <w:pPr>
                    <w:keepNext w:val="0"/>
                    <w:keepLines w:val="0"/>
                    <w:widowControl/>
                    <w:suppressLineNumbers w:val="0"/>
                    <w:spacing w:before="0" w:beforeAutospacing="0" w:after="0" w:afterAutospacing="0" w:line="240" w:lineRule="auto"/>
                    <w:ind w:left="0" w:right="0" w:firstLine="0" w:firstLineChars="0"/>
                    <w:jc w:val="center"/>
                    <w:rPr>
                      <w:rFonts w:hint="eastAsia"/>
                      <w:b w:val="0"/>
                      <w:bCs w:val="0"/>
                      <w:color w:val="auto"/>
                      <w:kern w:val="0"/>
                      <w:sz w:val="21"/>
                      <w:szCs w:val="21"/>
                      <w:u w:val="none"/>
                    </w:rPr>
                  </w:pPr>
                  <w:r>
                    <w:rPr>
                      <w:rFonts w:hint="eastAsia"/>
                      <w:b w:val="0"/>
                      <w:bCs w:val="0"/>
                      <w:color w:val="auto"/>
                      <w:kern w:val="0"/>
                      <w:sz w:val="21"/>
                      <w:szCs w:val="21"/>
                      <w:u w:val="none"/>
                    </w:rPr>
                    <w:t>市政管网</w:t>
                  </w:r>
                </w:p>
              </w:tc>
            </w:tr>
            <w:tr w14:paraId="3572B4C9">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339" w:type="pct"/>
                  <w:tcBorders>
                    <w:left w:val="nil"/>
                    <w:bottom w:val="single" w:color="auto" w:sz="12" w:space="0"/>
                  </w:tcBorders>
                  <w:noWrap w:val="0"/>
                  <w:vAlign w:val="center"/>
                </w:tcPr>
                <w:p w14:paraId="38CEB486">
                  <w:pPr>
                    <w:keepNext w:val="0"/>
                    <w:keepLines w:val="0"/>
                    <w:widowControl/>
                    <w:suppressLineNumbers w:val="0"/>
                    <w:spacing w:before="0" w:beforeAutospacing="0" w:after="0" w:afterAutospacing="0" w:line="240" w:lineRule="auto"/>
                    <w:ind w:left="0" w:right="0" w:firstLine="0" w:firstLineChars="0"/>
                    <w:jc w:val="center"/>
                    <w:rPr>
                      <w:rFonts w:hint="default" w:eastAsia="宋体"/>
                      <w:color w:val="auto"/>
                      <w:kern w:val="0"/>
                      <w:sz w:val="21"/>
                      <w:szCs w:val="21"/>
                      <w:u w:val="none"/>
                      <w:lang w:val="en-US" w:eastAsia="zh-CN"/>
                    </w:rPr>
                  </w:pPr>
                  <w:r>
                    <w:rPr>
                      <w:rFonts w:hint="eastAsia"/>
                      <w:color w:val="auto"/>
                      <w:kern w:val="0"/>
                      <w:sz w:val="21"/>
                      <w:szCs w:val="21"/>
                      <w:u w:val="none"/>
                      <w:lang w:val="en-US" w:eastAsia="zh-CN"/>
                    </w:rPr>
                    <w:t>35</w:t>
                  </w:r>
                </w:p>
              </w:tc>
              <w:tc>
                <w:tcPr>
                  <w:tcW w:w="801" w:type="pct"/>
                  <w:tcBorders>
                    <w:bottom w:val="single" w:color="auto" w:sz="12" w:space="0"/>
                  </w:tcBorders>
                  <w:shd w:val="clear" w:color="auto" w:fill="auto"/>
                  <w:noWrap w:val="0"/>
                  <w:vAlign w:val="center"/>
                </w:tcPr>
                <w:p w14:paraId="0C62E45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宋体" w:cs="Times New Roman"/>
                      <w:snapToGrid w:val="0"/>
                      <w:color w:val="auto"/>
                      <w:spacing w:val="0"/>
                      <w:kern w:val="2"/>
                      <w:sz w:val="21"/>
                      <w:szCs w:val="21"/>
                      <w:highlight w:val="none"/>
                      <w:lang w:val="en-US" w:eastAsia="zh-CN" w:bidi="ar-SA"/>
                    </w:rPr>
                  </w:pPr>
                  <w:r>
                    <w:rPr>
                      <w:rFonts w:hint="eastAsia"/>
                      <w:snapToGrid w:val="0"/>
                      <w:color w:val="auto"/>
                      <w:spacing w:val="0"/>
                      <w:sz w:val="21"/>
                      <w:szCs w:val="21"/>
                      <w:highlight w:val="none"/>
                    </w:rPr>
                    <w:t>电</w:t>
                  </w:r>
                </w:p>
              </w:tc>
              <w:tc>
                <w:tcPr>
                  <w:tcW w:w="543" w:type="pct"/>
                  <w:tcBorders>
                    <w:bottom w:val="single" w:color="auto" w:sz="12" w:space="0"/>
                  </w:tcBorders>
                  <w:shd w:val="clear" w:color="auto" w:fill="auto"/>
                  <w:noWrap w:val="0"/>
                  <w:vAlign w:val="center"/>
                </w:tcPr>
                <w:p w14:paraId="526D7B0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宋体" w:cs="Times New Roman"/>
                      <w:snapToGrid w:val="0"/>
                      <w:color w:val="auto"/>
                      <w:spacing w:val="0"/>
                      <w:kern w:val="2"/>
                      <w:sz w:val="21"/>
                      <w:szCs w:val="21"/>
                      <w:highlight w:val="none"/>
                      <w:lang w:val="en-US" w:eastAsia="zh-CN" w:bidi="ar-SA"/>
                    </w:rPr>
                  </w:pPr>
                  <w:r>
                    <w:rPr>
                      <w:rFonts w:hint="eastAsia"/>
                      <w:snapToGrid w:val="0"/>
                      <w:color w:val="auto"/>
                      <w:spacing w:val="0"/>
                      <w:sz w:val="21"/>
                      <w:szCs w:val="21"/>
                      <w:highlight w:val="none"/>
                      <w:lang w:val="en-US" w:eastAsia="zh-CN"/>
                    </w:rPr>
                    <w:t>万kW∙h</w:t>
                  </w:r>
                </w:p>
              </w:tc>
              <w:tc>
                <w:tcPr>
                  <w:tcW w:w="459" w:type="pct"/>
                  <w:tcBorders>
                    <w:bottom w:val="single" w:color="auto" w:sz="12" w:space="0"/>
                  </w:tcBorders>
                  <w:noWrap w:val="0"/>
                  <w:vAlign w:val="center"/>
                </w:tcPr>
                <w:p w14:paraId="3882D544">
                  <w:pPr>
                    <w:keepNext w:val="0"/>
                    <w:keepLines w:val="0"/>
                    <w:widowControl/>
                    <w:suppressLineNumbers w:val="0"/>
                    <w:spacing w:before="0" w:beforeAutospacing="0" w:after="0" w:afterAutospacing="0" w:line="240" w:lineRule="auto"/>
                    <w:ind w:left="0" w:right="0" w:firstLine="0" w:firstLineChars="0"/>
                    <w:jc w:val="center"/>
                    <w:rPr>
                      <w:rFonts w:hint="default" w:eastAsia="宋体"/>
                      <w:color w:val="auto"/>
                      <w:kern w:val="0"/>
                      <w:sz w:val="21"/>
                      <w:szCs w:val="21"/>
                      <w:u w:val="none"/>
                      <w:lang w:val="en-US" w:eastAsia="zh-CN"/>
                    </w:rPr>
                  </w:pPr>
                  <w:r>
                    <w:rPr>
                      <w:rFonts w:hint="eastAsia"/>
                      <w:color w:val="auto"/>
                      <w:kern w:val="0"/>
                      <w:sz w:val="21"/>
                      <w:szCs w:val="21"/>
                      <w:u w:val="none"/>
                      <w:lang w:val="en-US" w:eastAsia="zh-CN"/>
                    </w:rPr>
                    <w:t>150</w:t>
                  </w:r>
                </w:p>
              </w:tc>
              <w:tc>
                <w:tcPr>
                  <w:tcW w:w="645" w:type="pct"/>
                  <w:tcBorders>
                    <w:bottom w:val="single" w:color="auto" w:sz="12" w:space="0"/>
                  </w:tcBorders>
                  <w:noWrap w:val="0"/>
                  <w:vAlign w:val="center"/>
                </w:tcPr>
                <w:p w14:paraId="5A4BE5EE">
                  <w:pPr>
                    <w:keepNext w:val="0"/>
                    <w:keepLines w:val="0"/>
                    <w:widowControl/>
                    <w:suppressLineNumbers w:val="0"/>
                    <w:spacing w:before="0" w:beforeAutospacing="0" w:after="0" w:afterAutospacing="0" w:line="240" w:lineRule="auto"/>
                    <w:ind w:left="0" w:right="0" w:firstLine="0" w:firstLineChars="0"/>
                    <w:jc w:val="center"/>
                    <w:rPr>
                      <w:rFonts w:hint="eastAsia"/>
                      <w:color w:val="auto"/>
                      <w:kern w:val="0"/>
                      <w:sz w:val="21"/>
                      <w:szCs w:val="21"/>
                      <w:u w:val="none"/>
                    </w:rPr>
                  </w:pPr>
                  <w:r>
                    <w:rPr>
                      <w:rFonts w:hint="eastAsia"/>
                      <w:color w:val="auto"/>
                      <w:kern w:val="0"/>
                      <w:sz w:val="21"/>
                      <w:szCs w:val="21"/>
                      <w:u w:val="none"/>
                    </w:rPr>
                    <w:t>/</w:t>
                  </w:r>
                </w:p>
              </w:tc>
              <w:tc>
                <w:tcPr>
                  <w:tcW w:w="634" w:type="pct"/>
                  <w:tcBorders>
                    <w:bottom w:val="single" w:color="auto" w:sz="12" w:space="0"/>
                  </w:tcBorders>
                  <w:noWrap w:val="0"/>
                  <w:vAlign w:val="center"/>
                </w:tcPr>
                <w:p w14:paraId="19218BFA">
                  <w:pPr>
                    <w:keepNext w:val="0"/>
                    <w:keepLines w:val="0"/>
                    <w:widowControl/>
                    <w:suppressLineNumbers w:val="0"/>
                    <w:spacing w:before="0" w:beforeAutospacing="0" w:after="0" w:afterAutospacing="0" w:line="240" w:lineRule="auto"/>
                    <w:ind w:left="0" w:right="0" w:firstLine="0" w:firstLineChars="0"/>
                    <w:jc w:val="center"/>
                    <w:rPr>
                      <w:rFonts w:hint="eastAsia"/>
                      <w:color w:val="auto"/>
                      <w:kern w:val="0"/>
                      <w:sz w:val="21"/>
                      <w:szCs w:val="21"/>
                      <w:u w:val="none"/>
                    </w:rPr>
                  </w:pPr>
                  <w:r>
                    <w:rPr>
                      <w:rFonts w:hint="eastAsia"/>
                      <w:color w:val="auto"/>
                      <w:kern w:val="0"/>
                      <w:sz w:val="21"/>
                      <w:szCs w:val="21"/>
                      <w:u w:val="none"/>
                    </w:rPr>
                    <w:t>/</w:t>
                  </w:r>
                </w:p>
              </w:tc>
              <w:tc>
                <w:tcPr>
                  <w:tcW w:w="827" w:type="pct"/>
                  <w:tcBorders>
                    <w:bottom w:val="single" w:color="auto" w:sz="12" w:space="0"/>
                  </w:tcBorders>
                  <w:noWrap w:val="0"/>
                  <w:vAlign w:val="center"/>
                </w:tcPr>
                <w:p w14:paraId="501F9ABA">
                  <w:pPr>
                    <w:keepNext w:val="0"/>
                    <w:keepLines w:val="0"/>
                    <w:widowControl/>
                    <w:suppressLineNumbers w:val="0"/>
                    <w:spacing w:before="0" w:beforeAutospacing="0" w:after="0" w:afterAutospacing="0" w:line="240" w:lineRule="auto"/>
                    <w:ind w:left="0" w:right="0" w:firstLine="0" w:firstLineChars="0"/>
                    <w:jc w:val="center"/>
                    <w:rPr>
                      <w:rFonts w:hint="eastAsia"/>
                      <w:color w:val="auto"/>
                      <w:kern w:val="0"/>
                      <w:sz w:val="21"/>
                      <w:szCs w:val="21"/>
                      <w:u w:val="none"/>
                    </w:rPr>
                  </w:pPr>
                  <w:r>
                    <w:rPr>
                      <w:rFonts w:hint="eastAsia"/>
                      <w:color w:val="auto"/>
                      <w:kern w:val="0"/>
                      <w:sz w:val="21"/>
                      <w:szCs w:val="21"/>
                      <w:u w:val="none"/>
                    </w:rPr>
                    <w:t>/</w:t>
                  </w:r>
                </w:p>
              </w:tc>
              <w:tc>
                <w:tcPr>
                  <w:tcW w:w="749" w:type="pct"/>
                  <w:tcBorders>
                    <w:bottom w:val="single" w:color="auto" w:sz="12" w:space="0"/>
                    <w:right w:val="nil"/>
                  </w:tcBorders>
                  <w:noWrap w:val="0"/>
                  <w:vAlign w:val="center"/>
                </w:tcPr>
                <w:p w14:paraId="65BC36BE">
                  <w:pPr>
                    <w:keepNext w:val="0"/>
                    <w:keepLines w:val="0"/>
                    <w:widowControl/>
                    <w:suppressLineNumbers w:val="0"/>
                    <w:spacing w:before="0" w:beforeAutospacing="0" w:after="0" w:afterAutospacing="0" w:line="240" w:lineRule="auto"/>
                    <w:ind w:left="0" w:right="0" w:firstLine="0" w:firstLineChars="0"/>
                    <w:jc w:val="center"/>
                    <w:rPr>
                      <w:rFonts w:hint="eastAsia" w:eastAsia="宋体"/>
                      <w:color w:val="auto"/>
                      <w:kern w:val="0"/>
                      <w:sz w:val="21"/>
                      <w:szCs w:val="21"/>
                      <w:u w:val="none"/>
                      <w:lang w:val="en-US" w:eastAsia="zh-CN"/>
                    </w:rPr>
                  </w:pPr>
                  <w:r>
                    <w:rPr>
                      <w:rFonts w:hint="eastAsia"/>
                      <w:color w:val="auto"/>
                      <w:kern w:val="0"/>
                      <w:sz w:val="21"/>
                      <w:szCs w:val="21"/>
                      <w:u w:val="none"/>
                      <w:lang w:val="en-US" w:eastAsia="zh-CN"/>
                    </w:rPr>
                    <w:t>电网</w:t>
                  </w:r>
                </w:p>
              </w:tc>
            </w:tr>
          </w:tbl>
          <w:p w14:paraId="33F77874">
            <w:pPr>
              <w:pStyle w:val="9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right="0" w:firstLine="478" w:firstLineChars="200"/>
              <w:textAlignment w:val="auto"/>
              <w:rPr>
                <w:rFonts w:hint="default" w:ascii="Times New Roman" w:hAnsi="Times New Roman" w:cs="Times New Roman"/>
                <w:b/>
                <w:bCs/>
                <w:color w:val="auto"/>
                <w:highlight w:val="none"/>
              </w:rPr>
            </w:pPr>
            <w:r>
              <w:rPr>
                <w:rFonts w:hint="default" w:ascii="Times New Roman" w:hAnsi="Times New Roman" w:cs="Times New Roman"/>
                <w:b/>
                <w:bCs/>
                <w:color w:val="auto"/>
                <w:spacing w:val="-1"/>
                <w:highlight w:val="none"/>
              </w:rPr>
              <w:t>主要原辅材料理化性质：</w:t>
            </w:r>
          </w:p>
          <w:p w14:paraId="284E868A">
            <w:pPr>
              <w:pStyle w:val="97"/>
              <w:keepNext w:val="0"/>
              <w:keepLines w:val="0"/>
              <w:pageBreakBefore w:val="0"/>
              <w:widowControl w:val="0"/>
              <w:suppressLineNumbers w:val="0"/>
              <w:kinsoku/>
              <w:wordWrap/>
              <w:overflowPunct w:val="0"/>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Times New Roman" w:hAnsi="Times New Roman" w:eastAsia="宋体" w:cs="宋体"/>
                <w:b w:val="0"/>
                <w:bCs w:val="0"/>
                <w:color w:val="auto"/>
                <w:sz w:val="24"/>
                <w:u w:val="none"/>
                <w:lang w:eastAsia="zh-CN"/>
              </w:rPr>
            </w:pPr>
            <w:r>
              <w:rPr>
                <w:rFonts w:hint="default" w:ascii="Times New Roman" w:hAnsi="Times New Roman" w:eastAsia="宋体" w:cs="宋体"/>
                <w:b/>
                <w:bCs/>
                <w:color w:val="auto"/>
                <w:sz w:val="24"/>
                <w:u w:val="none"/>
                <w:lang w:val="en-US" w:eastAsia="zh-CN"/>
              </w:rPr>
              <w:t>PVC</w:t>
            </w:r>
            <w:r>
              <w:rPr>
                <w:rFonts w:hint="eastAsia" w:ascii="Times New Roman" w:hAnsi="Times New Roman" w:eastAsia="宋体" w:cs="宋体"/>
                <w:b/>
                <w:bCs/>
                <w:color w:val="auto"/>
                <w:sz w:val="24"/>
                <w:u w:val="none"/>
                <w:lang w:val="en-US" w:eastAsia="zh-CN"/>
              </w:rPr>
              <w:t>：</w:t>
            </w:r>
            <w:r>
              <w:rPr>
                <w:rFonts w:hint="eastAsia" w:ascii="Times New Roman" w:hAnsi="Times New Roman" w:eastAsia="宋体" w:cs="宋体"/>
                <w:b w:val="0"/>
                <w:bCs w:val="0"/>
                <w:color w:val="auto"/>
                <w:sz w:val="24"/>
                <w:u w:val="none"/>
                <w:lang w:val="en-US" w:eastAsia="zh-CN"/>
              </w:rPr>
              <w:t>主要成分为聚氯乙烯，是氯乙烯单体在过氧化物、偶氮化合物等引发剂或在光、热作用下按自由基聚合反应机理聚合而成的聚合物。</w:t>
            </w:r>
            <w:r>
              <w:rPr>
                <w:rFonts w:hint="default" w:ascii="Times New Roman" w:hAnsi="Times New Roman" w:eastAsia="宋体" w:cs="宋体"/>
                <w:b w:val="0"/>
                <w:bCs w:val="0"/>
                <w:color w:val="auto"/>
                <w:sz w:val="24"/>
                <w:u w:val="none"/>
                <w:lang w:val="en-US" w:eastAsia="zh-CN"/>
              </w:rPr>
              <w:t>PVC</w:t>
            </w:r>
            <w:r>
              <w:rPr>
                <w:rFonts w:hint="eastAsia" w:ascii="Times New Roman" w:hAnsi="Times New Roman" w:eastAsia="宋体" w:cs="宋体"/>
                <w:b w:val="0"/>
                <w:bCs w:val="0"/>
                <w:color w:val="auto"/>
                <w:sz w:val="24"/>
                <w:u w:val="none"/>
                <w:lang w:val="en-US" w:eastAsia="zh-CN"/>
              </w:rPr>
              <w:t>是微黄色透明粉末固体、物理外观为白色粉末，无毒、无臭；相对密度</w:t>
            </w:r>
            <w:r>
              <w:rPr>
                <w:rFonts w:hint="default" w:ascii="Times New Roman" w:hAnsi="Times New Roman" w:eastAsia="宋体" w:cs="宋体"/>
                <w:b w:val="0"/>
                <w:bCs w:val="0"/>
                <w:color w:val="auto"/>
                <w:sz w:val="24"/>
                <w:u w:val="none"/>
                <w:lang w:val="en-US" w:eastAsia="zh-CN"/>
              </w:rPr>
              <w:t>1.35-1.46</w:t>
            </w:r>
            <w:r>
              <w:rPr>
                <w:rFonts w:hint="eastAsia" w:ascii="Times New Roman" w:hAnsi="Times New Roman" w:eastAsia="宋体" w:cs="宋体"/>
                <w:b w:val="0"/>
                <w:bCs w:val="0"/>
                <w:color w:val="auto"/>
                <w:sz w:val="24"/>
                <w:u w:val="none"/>
                <w:lang w:val="en-US" w:eastAsia="zh-CN"/>
              </w:rPr>
              <w:t>，不溶于水，汽油，酒精和氯乙烯，溶于丙酮，二氯乙烷，二甲苯等溶剂，化学稳定性高，具有良好的可塑性。</w:t>
            </w:r>
            <w:r>
              <w:rPr>
                <w:rFonts w:hint="default" w:ascii="Times New Roman" w:hAnsi="Times New Roman" w:eastAsia="宋体" w:cs="宋体"/>
                <w:b w:val="0"/>
                <w:bCs w:val="0"/>
                <w:color w:val="auto"/>
                <w:sz w:val="24"/>
                <w:u w:val="none"/>
                <w:lang w:val="en-US" w:eastAsia="zh-CN"/>
              </w:rPr>
              <w:t>PVC</w:t>
            </w:r>
            <w:r>
              <w:rPr>
                <w:rFonts w:hint="eastAsia" w:ascii="Times New Roman" w:hAnsi="Times New Roman" w:eastAsia="宋体" w:cs="宋体"/>
                <w:b w:val="0"/>
                <w:bCs w:val="0"/>
                <w:color w:val="auto"/>
                <w:sz w:val="24"/>
                <w:u w:val="none"/>
                <w:lang w:val="en-US" w:eastAsia="zh-CN"/>
              </w:rPr>
              <w:t>的热稳定性很差，纯</w:t>
            </w:r>
            <w:r>
              <w:rPr>
                <w:rFonts w:hint="default" w:ascii="Times New Roman" w:hAnsi="Times New Roman" w:eastAsia="宋体" w:cs="宋体"/>
                <w:b w:val="0"/>
                <w:bCs w:val="0"/>
                <w:color w:val="auto"/>
                <w:sz w:val="24"/>
                <w:u w:val="none"/>
                <w:lang w:val="en-US" w:eastAsia="zh-CN"/>
              </w:rPr>
              <w:t>PVC</w:t>
            </w:r>
            <w:r>
              <w:rPr>
                <w:rFonts w:hint="eastAsia" w:ascii="Times New Roman" w:hAnsi="Times New Roman" w:eastAsia="宋体" w:cs="宋体"/>
                <w:b w:val="0"/>
                <w:bCs w:val="0"/>
                <w:color w:val="auto"/>
                <w:sz w:val="24"/>
                <w:u w:val="none"/>
                <w:lang w:val="en-US" w:eastAsia="zh-CN"/>
              </w:rPr>
              <w:t>树脂在</w:t>
            </w:r>
            <w:r>
              <w:rPr>
                <w:rFonts w:hint="default" w:ascii="Times New Roman" w:hAnsi="Times New Roman" w:eastAsia="宋体" w:cs="宋体"/>
                <w:b w:val="0"/>
                <w:bCs w:val="0"/>
                <w:color w:val="auto"/>
                <w:sz w:val="24"/>
                <w:u w:val="none"/>
                <w:lang w:val="en-US" w:eastAsia="zh-CN"/>
              </w:rPr>
              <w:t>140℃</w:t>
            </w:r>
            <w:r>
              <w:rPr>
                <w:rFonts w:hint="eastAsia" w:ascii="Times New Roman" w:hAnsi="Times New Roman" w:eastAsia="宋体" w:cs="宋体"/>
                <w:b w:val="0"/>
                <w:bCs w:val="0"/>
                <w:color w:val="auto"/>
                <w:sz w:val="24"/>
                <w:u w:val="none"/>
                <w:lang w:val="en-US" w:eastAsia="zh-CN"/>
              </w:rPr>
              <w:t>就开始分解，</w:t>
            </w:r>
            <w:r>
              <w:rPr>
                <w:rFonts w:hint="default" w:ascii="Times New Roman" w:hAnsi="Times New Roman" w:eastAsia="宋体" w:cs="宋体"/>
                <w:b w:val="0"/>
                <w:bCs w:val="0"/>
                <w:color w:val="auto"/>
                <w:sz w:val="24"/>
                <w:u w:val="none"/>
                <w:lang w:val="en-US" w:eastAsia="zh-CN"/>
              </w:rPr>
              <w:t>180℃</w:t>
            </w:r>
            <w:r>
              <w:rPr>
                <w:rFonts w:hint="eastAsia" w:ascii="Times New Roman" w:hAnsi="Times New Roman" w:eastAsia="宋体" w:cs="宋体"/>
                <w:b w:val="0"/>
                <w:bCs w:val="0"/>
                <w:color w:val="auto"/>
                <w:sz w:val="24"/>
                <w:u w:val="none"/>
                <w:lang w:val="en-US" w:eastAsia="zh-CN"/>
              </w:rPr>
              <w:t>就立刻加速分解，但添加了热稳定剂之后，能够大大提高</w:t>
            </w:r>
            <w:r>
              <w:rPr>
                <w:rFonts w:hint="default" w:ascii="Times New Roman" w:hAnsi="Times New Roman" w:eastAsia="宋体" w:cs="宋体"/>
                <w:b w:val="0"/>
                <w:bCs w:val="0"/>
                <w:color w:val="auto"/>
                <w:sz w:val="24"/>
                <w:u w:val="none"/>
                <w:lang w:val="en-US" w:eastAsia="zh-CN"/>
              </w:rPr>
              <w:t>PVC</w:t>
            </w:r>
            <w:r>
              <w:rPr>
                <w:rFonts w:hint="eastAsia" w:ascii="Times New Roman" w:hAnsi="Times New Roman" w:eastAsia="宋体" w:cs="宋体"/>
                <w:b w:val="0"/>
                <w:bCs w:val="0"/>
                <w:color w:val="auto"/>
                <w:sz w:val="24"/>
                <w:u w:val="none"/>
                <w:lang w:val="en-US" w:eastAsia="zh-CN"/>
              </w:rPr>
              <w:t>的热稳定性，因此纯</w:t>
            </w:r>
            <w:r>
              <w:rPr>
                <w:rFonts w:hint="default" w:ascii="Times New Roman" w:hAnsi="Times New Roman" w:eastAsia="宋体" w:cs="宋体"/>
                <w:b w:val="0"/>
                <w:bCs w:val="0"/>
                <w:color w:val="auto"/>
                <w:sz w:val="24"/>
                <w:u w:val="none"/>
                <w:lang w:val="en-US" w:eastAsia="zh-CN"/>
              </w:rPr>
              <w:t>PVC</w:t>
            </w:r>
            <w:r>
              <w:rPr>
                <w:rFonts w:hint="eastAsia" w:ascii="Times New Roman" w:hAnsi="Times New Roman" w:eastAsia="宋体" w:cs="宋体"/>
                <w:b w:val="0"/>
                <w:bCs w:val="0"/>
                <w:color w:val="auto"/>
                <w:sz w:val="24"/>
                <w:u w:val="none"/>
                <w:lang w:val="en-US" w:eastAsia="zh-CN"/>
              </w:rPr>
              <w:t>树脂很难用于热塑性的方法加工，生产加工时一般需添加其他物料进行改性。</w:t>
            </w:r>
          </w:p>
          <w:p w14:paraId="4B5750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left"/>
              <w:textAlignment w:val="auto"/>
              <w:rPr>
                <w:rFonts w:hint="eastAsia" w:ascii="Times New Roman" w:hAnsi="Times New Roman" w:eastAsia="宋体" w:cs="宋体"/>
                <w:color w:val="auto"/>
                <w:kern w:val="2"/>
                <w:sz w:val="24"/>
                <w:szCs w:val="24"/>
                <w:u w:val="none"/>
                <w:lang w:val="en-US" w:eastAsia="zh-CN" w:bidi="ar-SA"/>
              </w:rPr>
            </w:pPr>
            <w:r>
              <w:rPr>
                <w:rFonts w:hint="eastAsia" w:ascii="宋体" w:hAnsi="宋体" w:eastAsia="宋体" w:cs="宋体"/>
                <w:b/>
                <w:bCs/>
                <w:color w:val="auto"/>
                <w:kern w:val="0"/>
                <w:sz w:val="24"/>
                <w:szCs w:val="24"/>
                <w:lang w:val="en-US" w:eastAsia="zh-CN" w:bidi="ar"/>
              </w:rPr>
              <w:t>邻苯二甲酸二丁酯：</w:t>
            </w:r>
            <w:r>
              <w:rPr>
                <w:rFonts w:hint="eastAsia" w:ascii="Times New Roman" w:hAnsi="Times New Roman" w:eastAsia="宋体" w:cs="宋体"/>
                <w:color w:val="auto"/>
                <w:kern w:val="2"/>
                <w:sz w:val="24"/>
                <w:szCs w:val="24"/>
                <w:u w:val="none"/>
                <w:lang w:val="en-US" w:eastAsia="zh-CN" w:bidi="ar-SA"/>
              </w:rPr>
              <w:t>是聚氯乙烯最常用的增塑剂，可使制品具有良好的柔软性。但耐久性差。稳定性、耐挠曲性、黏结性和防水性均优于其他增塑剂。物化性质：无色透明液体，具有芳香气味，比重</w:t>
            </w:r>
            <w:r>
              <w:rPr>
                <w:rFonts w:hint="default" w:ascii="Times New Roman" w:hAnsi="Times New Roman" w:eastAsia="宋体" w:cs="宋体"/>
                <w:color w:val="auto"/>
                <w:kern w:val="2"/>
                <w:sz w:val="24"/>
                <w:szCs w:val="24"/>
                <w:u w:val="none"/>
                <w:lang w:val="en-US" w:eastAsia="zh-CN" w:bidi="ar-SA"/>
              </w:rPr>
              <w:t>1.045</w:t>
            </w:r>
            <w:r>
              <w:rPr>
                <w:rFonts w:hint="eastAsia" w:ascii="Times New Roman" w:hAnsi="Times New Roman" w:eastAsia="宋体" w:cs="宋体"/>
                <w:color w:val="auto"/>
                <w:kern w:val="2"/>
                <w:sz w:val="24"/>
                <w:szCs w:val="24"/>
                <w:u w:val="none"/>
                <w:lang w:val="en-US" w:eastAsia="zh-CN" w:bidi="ar-SA"/>
              </w:rPr>
              <w:t>，沸点</w:t>
            </w:r>
            <w:r>
              <w:rPr>
                <w:rFonts w:hint="default" w:ascii="Times New Roman" w:hAnsi="Times New Roman" w:eastAsia="宋体" w:cs="宋体"/>
                <w:color w:val="auto"/>
                <w:kern w:val="2"/>
                <w:sz w:val="24"/>
                <w:szCs w:val="24"/>
                <w:u w:val="none"/>
                <w:lang w:val="en-US" w:eastAsia="zh-CN" w:bidi="ar-SA"/>
              </w:rPr>
              <w:t>340℃</w:t>
            </w:r>
            <w:r>
              <w:rPr>
                <w:rFonts w:hint="eastAsia" w:ascii="Times New Roman" w:hAnsi="Times New Roman" w:eastAsia="宋体" w:cs="宋体"/>
                <w:color w:val="auto"/>
                <w:kern w:val="2"/>
                <w:sz w:val="24"/>
                <w:szCs w:val="24"/>
                <w:u w:val="none"/>
                <w:lang w:val="en-US" w:eastAsia="zh-CN" w:bidi="ar-SA"/>
              </w:rPr>
              <w:t>，闪点</w:t>
            </w:r>
            <w:r>
              <w:rPr>
                <w:rFonts w:hint="default" w:ascii="Times New Roman" w:hAnsi="Times New Roman" w:eastAsia="宋体" w:cs="宋体"/>
                <w:color w:val="auto"/>
                <w:kern w:val="2"/>
                <w:sz w:val="24"/>
                <w:szCs w:val="24"/>
                <w:u w:val="none"/>
                <w:lang w:val="en-US" w:eastAsia="zh-CN" w:bidi="ar-SA"/>
              </w:rPr>
              <w:t>171℃</w:t>
            </w:r>
            <w:r>
              <w:rPr>
                <w:rFonts w:hint="eastAsia" w:ascii="Times New Roman" w:hAnsi="Times New Roman" w:eastAsia="宋体" w:cs="宋体"/>
                <w:color w:val="auto"/>
                <w:kern w:val="2"/>
                <w:sz w:val="24"/>
                <w:szCs w:val="24"/>
                <w:u w:val="none"/>
                <w:lang w:val="en-US" w:eastAsia="zh-CN" w:bidi="ar-SA"/>
              </w:rPr>
              <w:t>，着火点</w:t>
            </w:r>
            <w:r>
              <w:rPr>
                <w:rFonts w:hint="default" w:ascii="Times New Roman" w:hAnsi="Times New Roman" w:eastAsia="宋体" w:cs="宋体"/>
                <w:color w:val="auto"/>
                <w:kern w:val="2"/>
                <w:sz w:val="24"/>
                <w:szCs w:val="24"/>
                <w:u w:val="none"/>
                <w:lang w:val="en-US" w:eastAsia="zh-CN" w:bidi="ar-SA"/>
              </w:rPr>
              <w:t>202℃</w:t>
            </w:r>
            <w:r>
              <w:rPr>
                <w:rFonts w:hint="eastAsia" w:ascii="Times New Roman" w:hAnsi="Times New Roman" w:eastAsia="宋体" w:cs="宋体"/>
                <w:color w:val="auto"/>
                <w:kern w:val="2"/>
                <w:sz w:val="24"/>
                <w:szCs w:val="24"/>
                <w:u w:val="none"/>
                <w:lang w:val="en-US" w:eastAsia="zh-CN" w:bidi="ar-SA"/>
              </w:rPr>
              <w:t>，水溶解度</w:t>
            </w:r>
            <w:r>
              <w:rPr>
                <w:rFonts w:hint="default" w:ascii="Times New Roman" w:hAnsi="Times New Roman" w:eastAsia="宋体" w:cs="宋体"/>
                <w:color w:val="auto"/>
                <w:kern w:val="2"/>
                <w:sz w:val="24"/>
                <w:szCs w:val="24"/>
                <w:u w:val="none"/>
                <w:lang w:val="en-US" w:eastAsia="zh-CN" w:bidi="ar-SA"/>
              </w:rPr>
              <w:t>202℃</w:t>
            </w:r>
            <w:r>
              <w:rPr>
                <w:rFonts w:hint="eastAsia" w:ascii="Times New Roman" w:hAnsi="Times New Roman" w:eastAsia="宋体" w:cs="宋体"/>
                <w:color w:val="auto"/>
                <w:kern w:val="2"/>
                <w:sz w:val="24"/>
                <w:szCs w:val="24"/>
                <w:u w:val="none"/>
                <w:lang w:val="en-US" w:eastAsia="zh-CN" w:bidi="ar-SA"/>
              </w:rPr>
              <w:t>，溶解大多数有机溶剂和烃类。</w:t>
            </w:r>
          </w:p>
          <w:p w14:paraId="23FB60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left"/>
              <w:textAlignment w:val="auto"/>
              <w:rPr>
                <w:rFonts w:hint="default" w:ascii="Times New Roman" w:hAnsi="Times New Roman" w:eastAsia="宋体"/>
                <w:color w:val="auto"/>
              </w:rPr>
            </w:pPr>
            <w:r>
              <w:rPr>
                <w:rFonts w:hint="eastAsia" w:ascii="Times New Roman" w:hAnsi="Times New Roman" w:eastAsia="宋体" w:cs="宋体"/>
                <w:b/>
                <w:bCs/>
                <w:color w:val="auto"/>
                <w:kern w:val="0"/>
                <w:sz w:val="24"/>
                <w:szCs w:val="24"/>
                <w:lang w:val="en-US" w:eastAsia="zh-CN" w:bidi="ar"/>
              </w:rPr>
              <w:t>碳酸钙：</w:t>
            </w:r>
            <w:r>
              <w:rPr>
                <w:rFonts w:hint="eastAsia" w:ascii="Times New Roman" w:hAnsi="Times New Roman" w:eastAsia="宋体" w:cs="宋体"/>
                <w:color w:val="auto"/>
                <w:kern w:val="0"/>
                <w:sz w:val="24"/>
                <w:szCs w:val="24"/>
                <w:lang w:val="en-US" w:eastAsia="zh-CN" w:bidi="ar"/>
              </w:rPr>
              <w:t>碳酸钙是一种无机化合物，化学式是</w:t>
            </w:r>
            <w:r>
              <w:rPr>
                <w:rFonts w:hint="default" w:ascii="Times New Roman" w:hAnsi="Times New Roman" w:eastAsia="宋体" w:cs="Times New Roman"/>
                <w:color w:val="auto"/>
                <w:kern w:val="0"/>
                <w:sz w:val="24"/>
                <w:szCs w:val="24"/>
                <w:lang w:val="en-US" w:eastAsia="zh-CN" w:bidi="ar"/>
              </w:rPr>
              <w:t>CaCO</w:t>
            </w:r>
            <w:r>
              <w:rPr>
                <w:rFonts w:hint="eastAsia" w:ascii="Times New Roman" w:hAnsi="Times New Roman" w:eastAsia="宋体" w:cs="Times New Roman"/>
                <w:color w:val="auto"/>
                <w:kern w:val="0"/>
                <w:sz w:val="24"/>
                <w:szCs w:val="24"/>
                <w:vertAlign w:val="subscript"/>
                <w:lang w:val="en-US" w:eastAsia="zh-CN" w:bidi="ar"/>
              </w:rPr>
              <w:t>3</w:t>
            </w:r>
            <w:r>
              <w:rPr>
                <w:rFonts w:hint="eastAsia" w:ascii="Times New Roman" w:hAnsi="Times New Roman" w:eastAsia="宋体" w:cs="宋体"/>
                <w:color w:val="auto"/>
                <w:kern w:val="0"/>
                <w:sz w:val="24"/>
                <w:szCs w:val="24"/>
                <w:lang w:val="en-US" w:eastAsia="zh-CN" w:bidi="ar"/>
              </w:rPr>
              <w:t>，分子量为</w:t>
            </w:r>
            <w:r>
              <w:rPr>
                <w:rFonts w:hint="default" w:ascii="Times New Roman" w:hAnsi="Times New Roman" w:eastAsia="宋体" w:cs="Times New Roman"/>
                <w:color w:val="auto"/>
                <w:kern w:val="0"/>
                <w:sz w:val="24"/>
                <w:szCs w:val="24"/>
                <w:lang w:val="en-US" w:eastAsia="zh-CN" w:bidi="ar"/>
              </w:rPr>
              <w:t>100.09</w:t>
            </w:r>
            <w:r>
              <w:rPr>
                <w:rFonts w:hint="eastAsia" w:ascii="Times New Roman" w:hAnsi="Times New Roman" w:eastAsia="宋体" w:cs="宋体"/>
                <w:color w:val="auto"/>
                <w:kern w:val="0"/>
                <w:sz w:val="24"/>
                <w:szCs w:val="24"/>
                <w:lang w:val="en-US" w:eastAsia="zh-CN" w:bidi="ar"/>
              </w:rPr>
              <w:t>，别名沉淀碳酸钙、白垩粉、外观为白色轻质粉末，无臭、无味，密度</w:t>
            </w:r>
            <w:r>
              <w:rPr>
                <w:rFonts w:hint="default" w:ascii="Times New Roman" w:hAnsi="Times New Roman" w:eastAsia="宋体" w:cs="Times New Roman"/>
                <w:color w:val="auto"/>
                <w:kern w:val="0"/>
                <w:sz w:val="24"/>
                <w:szCs w:val="24"/>
                <w:lang w:val="en-US" w:eastAsia="zh-CN" w:bidi="ar"/>
              </w:rPr>
              <w:t>2.71</w:t>
            </w:r>
            <w:r>
              <w:rPr>
                <w:rFonts w:hint="eastAsia" w:cs="Times New Roman"/>
                <w:color w:val="auto"/>
                <w:kern w:val="0"/>
                <w:sz w:val="24"/>
                <w:szCs w:val="24"/>
                <w:lang w:val="en-US" w:eastAsia="zh-CN" w:bidi="ar"/>
              </w:rPr>
              <w:t>～</w:t>
            </w:r>
            <w:r>
              <w:rPr>
                <w:rFonts w:hint="default" w:ascii="Times New Roman" w:hAnsi="Times New Roman" w:eastAsia="宋体" w:cs="Times New Roman"/>
                <w:color w:val="auto"/>
                <w:kern w:val="0"/>
                <w:sz w:val="24"/>
                <w:szCs w:val="24"/>
                <w:lang w:val="en-US" w:eastAsia="zh-CN" w:bidi="ar"/>
              </w:rPr>
              <w:t>2.91g/cm</w:t>
            </w:r>
            <w:r>
              <w:rPr>
                <w:rFonts w:hint="eastAsia" w:ascii="Times New Roman" w:hAnsi="Times New Roman" w:eastAsia="宋体" w:cs="Times New Roman"/>
                <w:color w:val="auto"/>
                <w:kern w:val="0"/>
                <w:sz w:val="24"/>
                <w:szCs w:val="24"/>
                <w:vertAlign w:val="superscript"/>
                <w:lang w:val="en-US" w:eastAsia="zh-CN" w:bidi="ar"/>
              </w:rPr>
              <w:t>3</w:t>
            </w:r>
            <w:r>
              <w:rPr>
                <w:rFonts w:hint="eastAsia" w:ascii="Times New Roman" w:hAnsi="Times New Roman" w:eastAsia="宋体" w:cs="宋体"/>
                <w:color w:val="auto"/>
                <w:kern w:val="0"/>
                <w:sz w:val="24"/>
                <w:szCs w:val="24"/>
                <w:lang w:val="en-US" w:eastAsia="zh-CN" w:bidi="ar"/>
              </w:rPr>
              <w:t>，熔点</w:t>
            </w:r>
            <w:r>
              <w:rPr>
                <w:rFonts w:hint="default" w:ascii="Times New Roman" w:hAnsi="Times New Roman" w:eastAsia="宋体" w:cs="Times New Roman"/>
                <w:color w:val="auto"/>
                <w:kern w:val="0"/>
                <w:sz w:val="24"/>
                <w:szCs w:val="24"/>
                <w:lang w:val="en-US" w:eastAsia="zh-CN" w:bidi="ar"/>
              </w:rPr>
              <w:t>1339℃</w:t>
            </w:r>
            <w:r>
              <w:rPr>
                <w:rFonts w:hint="eastAsia" w:ascii="Times New Roman" w:hAnsi="Times New Roman" w:eastAsia="宋体" w:cs="宋体"/>
                <w:color w:val="auto"/>
                <w:kern w:val="0"/>
                <w:sz w:val="24"/>
                <w:szCs w:val="24"/>
                <w:lang w:val="en-US" w:eastAsia="zh-CN" w:bidi="ar"/>
              </w:rPr>
              <w:t>，粒径范围</w:t>
            </w:r>
            <w:r>
              <w:rPr>
                <w:rFonts w:hint="default" w:ascii="Times New Roman" w:hAnsi="Times New Roman" w:eastAsia="宋体" w:cs="Times New Roman"/>
                <w:color w:val="auto"/>
                <w:kern w:val="0"/>
                <w:sz w:val="24"/>
                <w:szCs w:val="24"/>
                <w:lang w:val="en-US" w:eastAsia="zh-CN" w:bidi="ar"/>
              </w:rPr>
              <w:t>1.0~1.6μm</w:t>
            </w:r>
            <w:r>
              <w:rPr>
                <w:rFonts w:hint="eastAsia" w:ascii="Times New Roman" w:hAnsi="Times New Roman" w:eastAsia="宋体" w:cs="宋体"/>
                <w:color w:val="auto"/>
                <w:kern w:val="0"/>
                <w:sz w:val="24"/>
                <w:szCs w:val="24"/>
                <w:lang w:val="en-US" w:eastAsia="zh-CN" w:bidi="ar"/>
              </w:rPr>
              <w:t>。难溶于水和醇，遇水溶解生成碳酸氢钙。在空气中稳定，有轻微吸潮能力。主要用于塑料、橡胶的填充剂和补强剂之一，能使塑料易于加工成型。</w:t>
            </w:r>
          </w:p>
          <w:p w14:paraId="47920C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left"/>
              <w:textAlignment w:val="auto"/>
              <w:rPr>
                <w:rFonts w:hint="default" w:ascii="Times New Roman" w:hAnsi="Times New Roman" w:eastAsia="宋体"/>
                <w:color w:val="auto"/>
              </w:rPr>
            </w:pPr>
            <w:r>
              <w:rPr>
                <w:rFonts w:hint="eastAsia" w:ascii="Times New Roman" w:hAnsi="Times New Roman" w:eastAsia="宋体" w:cs="宋体"/>
                <w:b/>
                <w:bCs/>
                <w:color w:val="auto"/>
                <w:kern w:val="0"/>
                <w:sz w:val="24"/>
                <w:szCs w:val="24"/>
                <w:lang w:val="en-US" w:eastAsia="zh-CN" w:bidi="ar"/>
              </w:rPr>
              <w:t>钛白粉：</w:t>
            </w:r>
            <w:r>
              <w:rPr>
                <w:rFonts w:hint="eastAsia" w:ascii="Times New Roman" w:hAnsi="Times New Roman" w:eastAsia="宋体" w:cs="宋体"/>
                <w:color w:val="auto"/>
                <w:kern w:val="0"/>
                <w:sz w:val="24"/>
                <w:szCs w:val="24"/>
                <w:lang w:val="en-US" w:eastAsia="zh-CN" w:bidi="ar"/>
              </w:rPr>
              <w:t>白色粉末</w:t>
            </w:r>
            <w:r>
              <w:rPr>
                <w:rFonts w:hint="eastAsia" w:cs="宋体"/>
                <w:color w:val="auto"/>
                <w:kern w:val="0"/>
                <w:sz w:val="24"/>
                <w:szCs w:val="24"/>
                <w:lang w:val="en-US" w:eastAsia="zh-CN" w:bidi="ar"/>
              </w:rPr>
              <w:t>，是</w:t>
            </w:r>
            <w:r>
              <w:rPr>
                <w:rFonts w:hint="eastAsia" w:ascii="Times New Roman" w:hAnsi="Times New Roman" w:eastAsia="宋体" w:cs="宋体"/>
                <w:color w:val="auto"/>
                <w:kern w:val="0"/>
                <w:sz w:val="24"/>
                <w:szCs w:val="24"/>
                <w:lang w:val="en-US" w:eastAsia="zh-CN" w:bidi="ar"/>
              </w:rPr>
              <w:t>一种重要的无机化工颜料，主要成分为二氧化钛，化学性质极为稳定，常温下几乎不与其他元素和化合物反应，不溶于水、稀酸、碱，主要用于塑料制品的白色配色，能提升鞋材的白度和亮度，同时增强材料的耐热性和抗紫外线能力。</w:t>
            </w:r>
          </w:p>
          <w:p w14:paraId="222E29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left"/>
              <w:textAlignment w:val="auto"/>
              <w:rPr>
                <w:rFonts w:hint="default" w:ascii="Times New Roman" w:hAnsi="Times New Roman" w:eastAsia="宋体"/>
                <w:color w:val="auto"/>
              </w:rPr>
            </w:pPr>
            <w:r>
              <w:rPr>
                <w:rFonts w:hint="eastAsia" w:ascii="Times New Roman" w:hAnsi="Times New Roman" w:eastAsia="宋体" w:cs="宋体"/>
                <w:b/>
                <w:bCs/>
                <w:color w:val="auto"/>
                <w:kern w:val="0"/>
                <w:sz w:val="24"/>
                <w:szCs w:val="24"/>
                <w:lang w:val="en-US" w:eastAsia="zh-CN" w:bidi="ar"/>
              </w:rPr>
              <w:t>发泡剂：</w:t>
            </w:r>
            <w:r>
              <w:rPr>
                <w:rFonts w:hint="default" w:ascii="Times New Roman" w:hAnsi="Times New Roman" w:eastAsia="宋体" w:cs="Times New Roman"/>
                <w:color w:val="auto"/>
                <w:kern w:val="0"/>
                <w:sz w:val="24"/>
                <w:szCs w:val="24"/>
                <w:lang w:val="en-US" w:eastAsia="zh-CN" w:bidi="ar"/>
              </w:rPr>
              <w:t>AC</w:t>
            </w:r>
            <w:r>
              <w:rPr>
                <w:rFonts w:hint="eastAsia" w:ascii="Times New Roman" w:hAnsi="Times New Roman" w:eastAsia="宋体" w:cs="宋体"/>
                <w:color w:val="auto"/>
                <w:kern w:val="0"/>
                <w:sz w:val="24"/>
                <w:szCs w:val="24"/>
                <w:lang w:val="en-US" w:eastAsia="zh-CN" w:bidi="ar"/>
              </w:rPr>
              <w:t>发泡剂，化学名称为偶氮二甲酰胺（C</w:t>
            </w:r>
            <w:r>
              <w:rPr>
                <w:rFonts w:hint="eastAsia" w:ascii="Times New Roman" w:hAnsi="Times New Roman" w:eastAsia="宋体" w:cs="宋体"/>
                <w:color w:val="auto"/>
                <w:kern w:val="0"/>
                <w:sz w:val="24"/>
                <w:szCs w:val="24"/>
                <w:vertAlign w:val="subscript"/>
                <w:lang w:val="en-US" w:eastAsia="zh-CN" w:bidi="ar"/>
              </w:rPr>
              <w:t>2</w:t>
            </w:r>
            <w:r>
              <w:rPr>
                <w:rFonts w:hint="eastAsia" w:ascii="Times New Roman" w:hAnsi="Times New Roman" w:eastAsia="宋体" w:cs="宋体"/>
                <w:color w:val="auto"/>
                <w:kern w:val="0"/>
                <w:sz w:val="24"/>
                <w:szCs w:val="24"/>
                <w:lang w:val="en-US" w:eastAsia="zh-CN" w:bidi="ar"/>
              </w:rPr>
              <w:t>H</w:t>
            </w:r>
            <w:r>
              <w:rPr>
                <w:rFonts w:hint="eastAsia" w:ascii="Times New Roman" w:hAnsi="Times New Roman" w:eastAsia="宋体" w:cs="宋体"/>
                <w:color w:val="auto"/>
                <w:kern w:val="0"/>
                <w:sz w:val="24"/>
                <w:szCs w:val="24"/>
                <w:vertAlign w:val="subscript"/>
                <w:lang w:val="en-US" w:eastAsia="zh-CN" w:bidi="ar"/>
              </w:rPr>
              <w:t>4</w:t>
            </w:r>
            <w:r>
              <w:rPr>
                <w:rFonts w:hint="eastAsia" w:ascii="Times New Roman" w:hAnsi="Times New Roman" w:eastAsia="宋体" w:cs="宋体"/>
                <w:color w:val="auto"/>
                <w:kern w:val="0"/>
                <w:sz w:val="24"/>
                <w:szCs w:val="24"/>
                <w:lang w:val="en-US" w:eastAsia="zh-CN" w:bidi="ar"/>
              </w:rPr>
              <w:t>N</w:t>
            </w:r>
            <w:r>
              <w:rPr>
                <w:rFonts w:hint="eastAsia" w:ascii="Times New Roman" w:hAnsi="Times New Roman" w:eastAsia="宋体" w:cs="宋体"/>
                <w:color w:val="auto"/>
                <w:kern w:val="0"/>
                <w:sz w:val="24"/>
                <w:szCs w:val="24"/>
                <w:vertAlign w:val="subscript"/>
                <w:lang w:val="en-US" w:eastAsia="zh-CN" w:bidi="ar"/>
              </w:rPr>
              <w:t>4</w:t>
            </w:r>
            <w:r>
              <w:rPr>
                <w:rFonts w:hint="eastAsia" w:ascii="Times New Roman" w:hAnsi="Times New Roman" w:eastAsia="宋体" w:cs="宋体"/>
                <w:color w:val="auto"/>
                <w:kern w:val="0"/>
                <w:sz w:val="24"/>
                <w:szCs w:val="24"/>
                <w:lang w:val="en-US" w:eastAsia="zh-CN" w:bidi="ar"/>
              </w:rPr>
              <w:t>O</w:t>
            </w:r>
            <w:r>
              <w:rPr>
                <w:rFonts w:hint="eastAsia" w:ascii="Times New Roman" w:hAnsi="Times New Roman" w:eastAsia="宋体" w:cs="宋体"/>
                <w:color w:val="auto"/>
                <w:kern w:val="0"/>
                <w:sz w:val="24"/>
                <w:szCs w:val="24"/>
                <w:vertAlign w:val="subscript"/>
                <w:lang w:val="en-US" w:eastAsia="zh-CN" w:bidi="ar"/>
              </w:rPr>
              <w:t>2</w:t>
            </w:r>
            <w:r>
              <w:rPr>
                <w:rFonts w:hint="eastAsia" w:ascii="Times New Roman" w:hAnsi="Times New Roman" w:eastAsia="宋体" w:cs="宋体"/>
                <w:color w:val="auto"/>
                <w:kern w:val="0"/>
                <w:sz w:val="24"/>
                <w:szCs w:val="24"/>
                <w:lang w:val="en-US" w:eastAsia="zh-CN" w:bidi="ar"/>
              </w:rPr>
              <w:t>），为淡黄色或橘黄色结晶粉末。分子量为</w:t>
            </w:r>
            <w:r>
              <w:rPr>
                <w:rFonts w:hint="default" w:ascii="Times New Roman" w:hAnsi="Times New Roman" w:eastAsia="宋体" w:cs="Times New Roman"/>
                <w:color w:val="auto"/>
                <w:kern w:val="0"/>
                <w:sz w:val="24"/>
                <w:szCs w:val="24"/>
                <w:lang w:val="en-US" w:eastAsia="zh-CN" w:bidi="ar"/>
              </w:rPr>
              <w:t>116</w:t>
            </w:r>
            <w:r>
              <w:rPr>
                <w:rFonts w:hint="eastAsia" w:ascii="Times New Roman" w:hAnsi="Times New Roman" w:eastAsia="宋体" w:cs="宋体"/>
                <w:color w:val="auto"/>
                <w:kern w:val="0"/>
                <w:sz w:val="24"/>
                <w:szCs w:val="24"/>
                <w:lang w:val="en-US" w:eastAsia="zh-CN" w:bidi="ar"/>
              </w:rPr>
              <w:t>，分解热</w:t>
            </w:r>
            <w:r>
              <w:rPr>
                <w:rFonts w:hint="default" w:ascii="Times New Roman" w:hAnsi="Times New Roman" w:eastAsia="宋体" w:cs="Times New Roman"/>
                <w:color w:val="auto"/>
                <w:kern w:val="0"/>
                <w:sz w:val="24"/>
                <w:szCs w:val="24"/>
                <w:lang w:val="en-US" w:eastAsia="zh-CN" w:bidi="ar"/>
              </w:rPr>
              <w:t>359.9J/g℃</w:t>
            </w:r>
            <w:r>
              <w:rPr>
                <w:rFonts w:hint="eastAsia" w:ascii="Times New Roman" w:hAnsi="Times New Roman" w:eastAsia="宋体" w:cs="宋体"/>
                <w:color w:val="auto"/>
                <w:kern w:val="0"/>
                <w:sz w:val="24"/>
                <w:szCs w:val="24"/>
                <w:lang w:val="en-US" w:eastAsia="zh-CN" w:bidi="ar"/>
              </w:rPr>
              <w:t>，在常温下可以经久储藏，不易变质，不易结块。无毒、无臭、无污染。</w:t>
            </w:r>
            <w:r>
              <w:rPr>
                <w:rFonts w:hint="default" w:ascii="Times New Roman" w:hAnsi="Times New Roman" w:eastAsia="宋体" w:cs="Times New Roman"/>
                <w:color w:val="auto"/>
                <w:kern w:val="0"/>
                <w:sz w:val="24"/>
                <w:szCs w:val="24"/>
                <w:lang w:val="en-US" w:eastAsia="zh-CN" w:bidi="ar"/>
              </w:rPr>
              <w:t>AC</w:t>
            </w:r>
            <w:r>
              <w:rPr>
                <w:rFonts w:hint="eastAsia" w:ascii="Times New Roman" w:hAnsi="Times New Roman" w:eastAsia="宋体" w:cs="宋体"/>
                <w:color w:val="auto"/>
                <w:kern w:val="0"/>
                <w:sz w:val="24"/>
                <w:szCs w:val="24"/>
                <w:lang w:val="en-US" w:eastAsia="zh-CN" w:bidi="ar"/>
              </w:rPr>
              <w:t>发泡剂广泛使用于聚氯乙烯、聚乙烯、聚苯乙烯、乙烯</w:t>
            </w:r>
            <w:r>
              <w:rPr>
                <w:rFonts w:hint="default" w:ascii="Times New Roman" w:hAnsi="Times New Roman" w:eastAsia="宋体" w:cs="Times New Roman"/>
                <w:color w:val="auto"/>
                <w:kern w:val="0"/>
                <w:sz w:val="24"/>
                <w:szCs w:val="24"/>
                <w:lang w:val="en-US" w:eastAsia="zh-CN" w:bidi="ar"/>
              </w:rPr>
              <w:t>-</w:t>
            </w:r>
            <w:r>
              <w:rPr>
                <w:rFonts w:hint="eastAsia" w:ascii="Times New Roman" w:hAnsi="Times New Roman" w:eastAsia="宋体" w:cs="宋体"/>
                <w:color w:val="auto"/>
                <w:kern w:val="0"/>
                <w:sz w:val="24"/>
                <w:szCs w:val="24"/>
                <w:lang w:val="en-US" w:eastAsia="zh-CN" w:bidi="ar"/>
              </w:rPr>
              <w:t>醋酸乙烯共聚物、</w:t>
            </w:r>
            <w:r>
              <w:rPr>
                <w:rFonts w:hint="default" w:ascii="Times New Roman" w:hAnsi="Times New Roman" w:eastAsia="宋体" w:cs="Times New Roman"/>
                <w:color w:val="auto"/>
                <w:kern w:val="0"/>
                <w:sz w:val="24"/>
                <w:szCs w:val="24"/>
                <w:lang w:val="en-US" w:eastAsia="zh-CN" w:bidi="ar"/>
              </w:rPr>
              <w:t>ABS</w:t>
            </w:r>
            <w:r>
              <w:rPr>
                <w:rFonts w:hint="eastAsia" w:ascii="Times New Roman" w:hAnsi="Times New Roman" w:eastAsia="宋体" w:cs="宋体"/>
                <w:color w:val="auto"/>
                <w:kern w:val="0"/>
                <w:sz w:val="24"/>
                <w:szCs w:val="24"/>
                <w:lang w:val="en-US" w:eastAsia="zh-CN" w:bidi="ar"/>
              </w:rPr>
              <w:t>树脂以及各种橡胶等加工过程中。</w:t>
            </w:r>
          </w:p>
          <w:p w14:paraId="77C5CD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left"/>
              <w:textAlignment w:val="auto"/>
              <w:rPr>
                <w:rFonts w:hint="eastAsia" w:ascii="Times New Roman" w:hAnsi="Times New Roman" w:eastAsia="宋体" w:cs="宋体"/>
                <w:color w:val="auto"/>
                <w:kern w:val="0"/>
                <w:sz w:val="24"/>
                <w:szCs w:val="24"/>
                <w:lang w:val="en-US" w:eastAsia="zh-CN" w:bidi="ar"/>
              </w:rPr>
            </w:pPr>
            <w:r>
              <w:rPr>
                <w:rFonts w:hint="eastAsia" w:ascii="Times New Roman" w:hAnsi="Times New Roman" w:eastAsia="宋体" w:cs="宋体"/>
                <w:b/>
                <w:bCs/>
                <w:color w:val="auto"/>
                <w:kern w:val="0"/>
                <w:sz w:val="24"/>
                <w:szCs w:val="24"/>
                <w:lang w:val="en-US" w:eastAsia="zh-CN" w:bidi="ar"/>
              </w:rPr>
              <w:t>稳定剂：</w:t>
            </w:r>
            <w:r>
              <w:rPr>
                <w:rFonts w:hint="eastAsia" w:ascii="Times New Roman" w:hAnsi="Times New Roman" w:eastAsia="宋体" w:cs="宋体"/>
                <w:color w:val="auto"/>
                <w:kern w:val="0"/>
                <w:sz w:val="24"/>
                <w:szCs w:val="24"/>
                <w:lang w:val="en-US" w:eastAsia="zh-CN" w:bidi="ar"/>
              </w:rPr>
              <w:t>由于</w:t>
            </w:r>
            <w:r>
              <w:rPr>
                <w:rFonts w:hint="default" w:ascii="Times New Roman" w:hAnsi="Times New Roman" w:eastAsia="宋体" w:cs="Times New Roman"/>
                <w:color w:val="auto"/>
                <w:kern w:val="0"/>
                <w:sz w:val="24"/>
                <w:szCs w:val="24"/>
                <w:lang w:val="en-US" w:eastAsia="zh-CN" w:bidi="ar"/>
              </w:rPr>
              <w:t>PVC</w:t>
            </w:r>
            <w:r>
              <w:rPr>
                <w:rFonts w:hint="eastAsia" w:ascii="Times New Roman" w:hAnsi="Times New Roman" w:eastAsia="宋体" w:cs="宋体"/>
                <w:color w:val="auto"/>
                <w:kern w:val="0"/>
                <w:sz w:val="24"/>
                <w:szCs w:val="24"/>
                <w:lang w:val="en-US" w:eastAsia="zh-CN" w:bidi="ar"/>
              </w:rPr>
              <w:t>的热稳定性不好，所以必须加入相应的稳定剂，修补</w:t>
            </w:r>
            <w:r>
              <w:rPr>
                <w:rFonts w:hint="default" w:ascii="Times New Roman" w:hAnsi="Times New Roman" w:eastAsia="宋体" w:cs="Times New Roman"/>
                <w:color w:val="auto"/>
                <w:kern w:val="0"/>
                <w:sz w:val="24"/>
                <w:szCs w:val="24"/>
                <w:lang w:val="en-US" w:eastAsia="zh-CN" w:bidi="ar"/>
              </w:rPr>
              <w:t>PVC</w:t>
            </w:r>
            <w:r>
              <w:rPr>
                <w:rFonts w:hint="eastAsia" w:ascii="Times New Roman" w:hAnsi="Times New Roman" w:eastAsia="宋体" w:cs="宋体"/>
                <w:color w:val="auto"/>
                <w:kern w:val="0"/>
                <w:sz w:val="24"/>
                <w:szCs w:val="24"/>
                <w:lang w:val="en-US" w:eastAsia="zh-CN" w:bidi="ar"/>
              </w:rPr>
              <w:t>链的缺陷，同时能有效抑制</w:t>
            </w:r>
            <w:r>
              <w:rPr>
                <w:rFonts w:hint="default" w:ascii="Times New Roman" w:hAnsi="Times New Roman" w:eastAsia="宋体" w:cs="Times New Roman"/>
                <w:color w:val="auto"/>
                <w:kern w:val="0"/>
                <w:sz w:val="24"/>
                <w:szCs w:val="24"/>
                <w:lang w:val="en-US" w:eastAsia="zh-CN" w:bidi="ar"/>
              </w:rPr>
              <w:t>PVC</w:t>
            </w:r>
            <w:r>
              <w:rPr>
                <w:rFonts w:hint="eastAsia" w:ascii="Times New Roman" w:hAnsi="Times New Roman" w:eastAsia="宋体" w:cs="宋体"/>
                <w:color w:val="auto"/>
                <w:kern w:val="0"/>
                <w:sz w:val="24"/>
                <w:szCs w:val="24"/>
                <w:lang w:val="en-US" w:eastAsia="zh-CN" w:bidi="ar"/>
              </w:rPr>
              <w:t>脱氯产生的</w:t>
            </w:r>
            <w:r>
              <w:rPr>
                <w:rFonts w:hint="default" w:ascii="Times New Roman" w:hAnsi="Times New Roman" w:eastAsia="宋体" w:cs="Times New Roman"/>
                <w:color w:val="auto"/>
                <w:kern w:val="0"/>
                <w:sz w:val="24"/>
                <w:szCs w:val="24"/>
                <w:lang w:val="en-US" w:eastAsia="zh-CN" w:bidi="ar"/>
              </w:rPr>
              <w:t>HCl</w:t>
            </w:r>
            <w:r>
              <w:rPr>
                <w:rFonts w:hint="eastAsia" w:ascii="Times New Roman" w:hAnsi="Times New Roman" w:eastAsia="宋体" w:cs="宋体"/>
                <w:color w:val="auto"/>
                <w:kern w:val="0"/>
                <w:sz w:val="24"/>
                <w:szCs w:val="24"/>
                <w:lang w:val="en-US" w:eastAsia="zh-CN" w:bidi="ar"/>
              </w:rPr>
              <w:t>。稳定剂由钙盐、锌盐、润滑剂、抗氧剂等为主要组分采用特殊复合工艺而合成。它不但可以取代铅镉盐类和有机锡类等有毒稳定剂，而且具有相当好的热稳定性、光稳定性和透明性及着色力。在</w:t>
            </w:r>
            <w:r>
              <w:rPr>
                <w:rFonts w:hint="default" w:ascii="Times New Roman" w:hAnsi="Times New Roman" w:eastAsia="宋体" w:cs="Times New Roman"/>
                <w:color w:val="auto"/>
                <w:kern w:val="0"/>
                <w:sz w:val="24"/>
                <w:szCs w:val="24"/>
                <w:lang w:val="en-US" w:eastAsia="zh-CN" w:bidi="ar"/>
              </w:rPr>
              <w:t>PVC</w:t>
            </w:r>
            <w:r>
              <w:rPr>
                <w:rFonts w:hint="eastAsia" w:ascii="Times New Roman" w:hAnsi="Times New Roman" w:eastAsia="宋体" w:cs="宋体"/>
                <w:color w:val="auto"/>
                <w:kern w:val="0"/>
                <w:sz w:val="24"/>
                <w:szCs w:val="24"/>
                <w:lang w:val="en-US" w:eastAsia="zh-CN" w:bidi="ar"/>
              </w:rPr>
              <w:t>树脂制品中，加工性能好，热稳定作用相当于铅盐类稳定剂，是一种良好的无毒稳定剂。</w:t>
            </w:r>
          </w:p>
          <w:p w14:paraId="6A2DD984">
            <w:pPr>
              <w:pStyle w:val="97"/>
              <w:keepNext w:val="0"/>
              <w:keepLines w:val="0"/>
              <w:pageBreakBefore w:val="0"/>
              <w:widowControl w:val="0"/>
              <w:suppressLineNumbers w:val="0"/>
              <w:kinsoku/>
              <w:wordWrap/>
              <w:overflowPunct w:val="0"/>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Times New Roman" w:hAnsi="Times New Roman" w:eastAsia="宋体" w:cs="宋体"/>
                <w:b/>
                <w:bCs/>
                <w:color w:val="auto"/>
                <w:sz w:val="24"/>
                <w:u w:val="none"/>
                <w:lang w:eastAsia="zh-CN"/>
              </w:rPr>
            </w:pPr>
            <w:r>
              <w:rPr>
                <w:rFonts w:hint="eastAsia" w:ascii="Times New Roman" w:hAnsi="Times New Roman" w:eastAsia="宋体" w:cs="宋体"/>
                <w:b/>
                <w:bCs/>
                <w:color w:val="auto"/>
                <w:sz w:val="24"/>
                <w:u w:val="none"/>
                <w:lang w:val="en-US" w:eastAsia="zh-CN"/>
              </w:rPr>
              <w:t>硬脂酸：</w:t>
            </w:r>
            <w:r>
              <w:rPr>
                <w:rFonts w:hint="eastAsia" w:ascii="Times New Roman" w:hAnsi="Times New Roman" w:eastAsia="宋体" w:cs="宋体"/>
                <w:b w:val="0"/>
                <w:bCs w:val="0"/>
                <w:color w:val="auto"/>
                <w:sz w:val="24"/>
                <w:u w:val="none"/>
                <w:lang w:val="en-US" w:eastAsia="zh-CN"/>
              </w:rPr>
              <w:t>白色蜡状透明固体或微黄色</w:t>
            </w:r>
            <w:r>
              <w:rPr>
                <w:rFonts w:hint="eastAsia" w:ascii="Times New Roman" w:hAnsi="Times New Roman" w:cs="宋体"/>
                <w:b w:val="0"/>
                <w:bCs w:val="0"/>
                <w:color w:val="auto"/>
                <w:sz w:val="24"/>
                <w:u w:val="none"/>
                <w:lang w:val="en-US" w:eastAsia="zh-CN"/>
              </w:rPr>
              <w:t>蜡状</w:t>
            </w:r>
            <w:r>
              <w:rPr>
                <w:rFonts w:hint="eastAsia" w:ascii="Times New Roman" w:hAnsi="Times New Roman" w:eastAsia="宋体" w:cs="宋体"/>
                <w:b w:val="0"/>
                <w:bCs w:val="0"/>
                <w:color w:val="auto"/>
                <w:sz w:val="24"/>
                <w:u w:val="none"/>
                <w:lang w:val="en-US" w:eastAsia="zh-CN"/>
              </w:rPr>
              <w:t>固体。能分散成粉末，微带牛油气味。相对密度：</w:t>
            </w:r>
            <w:r>
              <w:rPr>
                <w:rFonts w:hint="default" w:ascii="Times New Roman" w:hAnsi="Times New Roman" w:eastAsia="宋体" w:cs="宋体"/>
                <w:b w:val="0"/>
                <w:bCs w:val="0"/>
                <w:color w:val="auto"/>
                <w:sz w:val="24"/>
                <w:u w:val="none"/>
                <w:lang w:val="en-US" w:eastAsia="zh-CN"/>
              </w:rPr>
              <w:t>0.9408</w:t>
            </w:r>
            <w:r>
              <w:rPr>
                <w:rFonts w:hint="eastAsia" w:ascii="Times New Roman" w:hAnsi="Times New Roman" w:eastAsia="宋体" w:cs="宋体"/>
                <w:b w:val="0"/>
                <w:bCs w:val="0"/>
                <w:color w:val="auto"/>
                <w:sz w:val="24"/>
                <w:u w:val="none"/>
                <w:lang w:val="en-US" w:eastAsia="zh-CN"/>
              </w:rPr>
              <w:t>，熔点：</w:t>
            </w:r>
            <w:r>
              <w:rPr>
                <w:rFonts w:hint="default" w:ascii="Times New Roman" w:hAnsi="Times New Roman" w:eastAsia="宋体" w:cs="宋体"/>
                <w:b w:val="0"/>
                <w:bCs w:val="0"/>
                <w:color w:val="auto"/>
                <w:sz w:val="24"/>
                <w:u w:val="none"/>
                <w:lang w:val="en-US" w:eastAsia="zh-CN"/>
              </w:rPr>
              <w:t>64-69℃</w:t>
            </w:r>
            <w:r>
              <w:rPr>
                <w:rFonts w:hint="eastAsia" w:ascii="Times New Roman" w:hAnsi="Times New Roman" w:eastAsia="宋体" w:cs="宋体"/>
                <w:b w:val="0"/>
                <w:bCs w:val="0"/>
                <w:color w:val="auto"/>
                <w:sz w:val="24"/>
                <w:u w:val="none"/>
                <w:lang w:val="en-US" w:eastAsia="zh-CN"/>
              </w:rPr>
              <w:t>，折射率：</w:t>
            </w:r>
            <w:r>
              <w:rPr>
                <w:rFonts w:hint="default" w:ascii="Times New Roman" w:hAnsi="Times New Roman" w:eastAsia="宋体" w:cs="宋体"/>
                <w:b w:val="0"/>
                <w:bCs w:val="0"/>
                <w:color w:val="auto"/>
                <w:sz w:val="24"/>
                <w:u w:val="none"/>
                <w:lang w:val="en-US" w:eastAsia="zh-CN"/>
              </w:rPr>
              <w:t>1.455</w:t>
            </w:r>
            <w:r>
              <w:rPr>
                <w:rFonts w:hint="eastAsia" w:ascii="Times New Roman" w:hAnsi="Times New Roman" w:eastAsia="宋体" w:cs="宋体"/>
                <w:b w:val="0"/>
                <w:bCs w:val="0"/>
                <w:color w:val="auto"/>
                <w:sz w:val="24"/>
                <w:u w:val="none"/>
                <w:lang w:val="en-US" w:eastAsia="zh-CN"/>
              </w:rPr>
              <w:t>，溶解性：不溶于水，稍溶于冷乙醇，加热时较易溶解。微溶于丙酮、苯，易溶于乙醚、氯仿、热乙醇、四氯化碳等。</w:t>
            </w:r>
          </w:p>
          <w:p w14:paraId="14F57505">
            <w:pPr>
              <w:pStyle w:val="97"/>
              <w:keepNext w:val="0"/>
              <w:keepLines w:val="0"/>
              <w:pageBreakBefore w:val="0"/>
              <w:widowControl w:val="0"/>
              <w:suppressLineNumbers w:val="0"/>
              <w:kinsoku/>
              <w:wordWrap/>
              <w:overflowPunct w:val="0"/>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Times New Roman" w:hAnsi="Times New Roman"/>
                <w:color w:val="auto"/>
                <w:spacing w:val="-3"/>
                <w:sz w:val="24"/>
                <w:u w:val="none"/>
                <w:lang w:eastAsia="zh-CN"/>
              </w:rPr>
            </w:pPr>
            <w:r>
              <w:rPr>
                <w:rFonts w:hint="eastAsia" w:ascii="Times New Roman" w:hAnsi="Times New Roman"/>
                <w:b/>
                <w:bCs/>
                <w:color w:val="auto"/>
                <w:sz w:val="24"/>
                <w:u w:val="none"/>
                <w:lang w:eastAsia="zh-CN"/>
              </w:rPr>
              <w:t>P</w:t>
            </w:r>
            <w:r>
              <w:rPr>
                <w:rFonts w:hint="default" w:ascii="Times New Roman" w:hAnsi="Times New Roman"/>
                <w:b/>
                <w:bCs/>
                <w:color w:val="auto"/>
                <w:sz w:val="24"/>
                <w:u w:val="none"/>
                <w:lang w:eastAsia="zh-CN"/>
              </w:rPr>
              <w:t>U</w:t>
            </w:r>
            <w:r>
              <w:rPr>
                <w:rFonts w:hint="eastAsia" w:ascii="Times New Roman" w:hAnsi="Times New Roman"/>
                <w:b/>
                <w:bCs/>
                <w:color w:val="auto"/>
                <w:sz w:val="24"/>
                <w:u w:val="none"/>
                <w:lang w:eastAsia="zh-CN"/>
              </w:rPr>
              <w:t>胶</w:t>
            </w:r>
            <w:r>
              <w:rPr>
                <w:rFonts w:hint="eastAsia" w:ascii="Times New Roman" w:hAnsi="Times New Roman"/>
                <w:b/>
                <w:bCs/>
                <w:color w:val="auto"/>
                <w:sz w:val="24"/>
                <w:u w:val="none"/>
                <w:lang w:val="en-US" w:eastAsia="zh-CN"/>
              </w:rPr>
              <w:t>聚氨酯胶粘剂：</w:t>
            </w:r>
            <w:r>
              <w:rPr>
                <w:rFonts w:hint="eastAsia" w:ascii="Times New Roman" w:hAnsi="Times New Roman"/>
                <w:color w:val="auto"/>
                <w:sz w:val="24"/>
                <w:u w:val="none"/>
                <w:lang w:val="en-US" w:eastAsia="zh-CN"/>
              </w:rPr>
              <w:t>简称PU胶，</w:t>
            </w:r>
            <w:r>
              <w:rPr>
                <w:rFonts w:hint="eastAsia" w:ascii="Times New Roman" w:hAnsi="Times New Roman"/>
                <w:color w:val="auto"/>
                <w:spacing w:val="-3"/>
                <w:sz w:val="24"/>
                <w:u w:val="none"/>
                <w:lang w:eastAsia="zh-CN"/>
              </w:rPr>
              <w:t>俗名白胶，可用于PVC、TPR、橡胶、尼龙布、ABS、人工合成皮革等PU合成材料的黏接，具有优异的粘接牢度，耐热耐候性能好，无色半透明，环保无毒，操作方便，适合于流水线生产。根据建设单位提供</w:t>
            </w:r>
            <w:r>
              <w:rPr>
                <w:rFonts w:hint="eastAsia" w:ascii="Times New Roman" w:hAnsi="Times New Roman"/>
                <w:color w:val="auto"/>
                <w:spacing w:val="-3"/>
                <w:sz w:val="24"/>
                <w:u w:val="none"/>
                <w:lang w:val="en-US" w:eastAsia="zh-CN"/>
              </w:rPr>
              <w:t>MSDS</w:t>
            </w:r>
            <w:r>
              <w:rPr>
                <w:rFonts w:hint="eastAsia" w:ascii="Times New Roman" w:hAnsi="Times New Roman"/>
                <w:color w:val="auto"/>
                <w:spacing w:val="-3"/>
                <w:sz w:val="24"/>
                <w:u w:val="none"/>
                <w:lang w:eastAsia="zh-CN"/>
              </w:rPr>
              <w:t>，本项目使用PU胶主要成分有</w:t>
            </w:r>
            <w:r>
              <w:rPr>
                <w:rFonts w:hint="eastAsia" w:ascii="Times New Roman" w:hAnsi="Times New Roman"/>
                <w:color w:val="auto"/>
                <w:spacing w:val="-3"/>
                <w:sz w:val="24"/>
                <w:u w:val="none"/>
                <w:lang w:val="en-US" w:eastAsia="zh-CN"/>
              </w:rPr>
              <w:t>聚氨酯树脂5%—10%、</w:t>
            </w:r>
            <w:r>
              <w:rPr>
                <w:rFonts w:hint="eastAsia" w:ascii="Times New Roman" w:hAnsi="Times New Roman"/>
                <w:color w:val="auto"/>
                <w:spacing w:val="-3"/>
                <w:sz w:val="24"/>
                <w:u w:val="none"/>
                <w:lang w:eastAsia="zh-CN"/>
              </w:rPr>
              <w:t>丁酮5%—10%、</w:t>
            </w:r>
            <w:r>
              <w:rPr>
                <w:rFonts w:hint="eastAsia" w:ascii="Times New Roman" w:hAnsi="Times New Roman"/>
                <w:color w:val="auto"/>
                <w:spacing w:val="-3"/>
                <w:sz w:val="24"/>
                <w:u w:val="none"/>
                <w:lang w:val="en-US" w:eastAsia="zh-CN"/>
              </w:rPr>
              <w:t>丙酮20%—30%</w:t>
            </w:r>
            <w:r>
              <w:rPr>
                <w:rFonts w:hint="eastAsia" w:ascii="Times New Roman" w:hAnsi="Times New Roman"/>
                <w:color w:val="auto"/>
                <w:spacing w:val="-3"/>
                <w:sz w:val="24"/>
                <w:u w:val="none"/>
                <w:lang w:eastAsia="zh-CN"/>
              </w:rPr>
              <w:t>、</w:t>
            </w:r>
            <w:r>
              <w:rPr>
                <w:rFonts w:hint="eastAsia" w:ascii="Times New Roman" w:hAnsi="Times New Roman"/>
                <w:color w:val="auto"/>
                <w:spacing w:val="-3"/>
                <w:sz w:val="24"/>
                <w:u w:val="none"/>
                <w:lang w:val="en-US" w:eastAsia="zh-CN"/>
              </w:rPr>
              <w:t>碳酸二甲酯10%—19%、醋酸乙</w:t>
            </w:r>
            <w:r>
              <w:rPr>
                <w:rFonts w:hint="eastAsia" w:ascii="Times New Roman" w:hAnsi="Times New Roman"/>
                <w:color w:val="auto"/>
                <w:spacing w:val="-3"/>
                <w:sz w:val="24"/>
                <w:u w:val="none"/>
                <w:lang w:eastAsia="zh-CN"/>
              </w:rPr>
              <w:t>酯23%—30%</w:t>
            </w:r>
            <w:r>
              <w:rPr>
                <w:rFonts w:hint="eastAsia" w:ascii="Times New Roman" w:hAnsi="Times New Roman"/>
                <w:color w:val="auto"/>
                <w:spacing w:val="-3"/>
                <w:sz w:val="24"/>
                <w:u w:val="none"/>
                <w:lang w:val="en-US" w:eastAsia="zh-CN"/>
              </w:rPr>
              <w:t>、醋酸甲</w:t>
            </w:r>
            <w:r>
              <w:rPr>
                <w:rFonts w:hint="eastAsia" w:ascii="Times New Roman" w:hAnsi="Times New Roman"/>
                <w:color w:val="auto"/>
                <w:spacing w:val="-3"/>
                <w:sz w:val="24"/>
                <w:u w:val="none"/>
                <w:lang w:eastAsia="zh-CN"/>
              </w:rPr>
              <w:t>酯10%—20%。其</w:t>
            </w:r>
            <w:r>
              <w:rPr>
                <w:rFonts w:hint="eastAsia" w:ascii="Times New Roman" w:hAnsi="Times New Roman"/>
                <w:color w:val="auto"/>
                <w:spacing w:val="-3"/>
                <w:sz w:val="24"/>
                <w:u w:val="none"/>
                <w:lang w:val="en-US" w:eastAsia="zh-CN"/>
              </w:rPr>
              <w:t>中聚氨酯树脂不易挥发，其他组分易挥发，</w:t>
            </w:r>
            <w:r>
              <w:rPr>
                <w:rFonts w:hint="eastAsia" w:ascii="Times New Roman" w:hAnsi="Times New Roman"/>
                <w:color w:val="auto"/>
                <w:spacing w:val="-3"/>
                <w:sz w:val="24"/>
                <w:u w:val="none"/>
                <w:lang w:eastAsia="zh-CN"/>
              </w:rPr>
              <w:t>总挥发性有机物</w:t>
            </w:r>
            <w:r>
              <w:rPr>
                <w:rFonts w:hint="eastAsia" w:ascii="Times New Roman" w:hAnsi="Times New Roman"/>
                <w:color w:val="auto"/>
                <w:spacing w:val="-3"/>
                <w:sz w:val="24"/>
                <w:u w:val="none"/>
                <w:lang w:val="en-US" w:eastAsia="zh-CN"/>
              </w:rPr>
              <w:t>为90%—95%</w:t>
            </w:r>
            <w:r>
              <w:rPr>
                <w:rFonts w:hint="eastAsia" w:ascii="Times New Roman" w:hAnsi="Times New Roman"/>
                <w:color w:val="auto"/>
                <w:spacing w:val="-3"/>
                <w:sz w:val="24"/>
                <w:u w:val="none"/>
                <w:lang w:eastAsia="zh-CN"/>
              </w:rPr>
              <w:t>，</w:t>
            </w:r>
            <w:r>
              <w:rPr>
                <w:rFonts w:hint="eastAsia" w:ascii="Times New Roman" w:hAnsi="Times New Roman"/>
                <w:color w:val="auto"/>
                <w:spacing w:val="-3"/>
                <w:sz w:val="24"/>
                <w:u w:val="none"/>
                <w:lang w:val="en-US" w:eastAsia="zh-CN"/>
              </w:rPr>
              <w:t>以最不利计，挥发性有机物含量约为95%</w:t>
            </w:r>
            <w:r>
              <w:rPr>
                <w:rFonts w:hint="eastAsia" w:ascii="Times New Roman" w:hAnsi="Times New Roman"/>
                <w:color w:val="auto"/>
                <w:spacing w:val="-3"/>
                <w:sz w:val="24"/>
                <w:u w:val="none"/>
                <w:lang w:eastAsia="zh-CN"/>
              </w:rPr>
              <w:t>。</w:t>
            </w:r>
          </w:p>
          <w:p w14:paraId="4FBC95F0">
            <w:pPr>
              <w:pStyle w:val="97"/>
              <w:keepNext w:val="0"/>
              <w:keepLines w:val="0"/>
              <w:pageBreakBefore w:val="0"/>
              <w:widowControl w:val="0"/>
              <w:suppressLineNumbers w:val="0"/>
              <w:kinsoku/>
              <w:wordWrap/>
              <w:overflowPunct w:val="0"/>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Times New Roman" w:hAnsi="Times New Roman"/>
                <w:color w:val="auto"/>
                <w:spacing w:val="-3"/>
                <w:sz w:val="24"/>
                <w:u w:val="none"/>
                <w:lang w:eastAsia="zh-CN"/>
              </w:rPr>
            </w:pPr>
            <w:r>
              <w:rPr>
                <w:rFonts w:hint="eastAsia" w:ascii="Times New Roman" w:hAnsi="Times New Roman"/>
                <w:b/>
                <w:bCs/>
                <w:color w:val="auto"/>
                <w:sz w:val="24"/>
                <w:u w:val="none"/>
                <w:lang w:val="en-US" w:eastAsia="zh-CN"/>
              </w:rPr>
              <w:t>EVA处理剂：</w:t>
            </w:r>
            <w:r>
              <w:rPr>
                <w:rFonts w:hint="eastAsia" w:ascii="Times New Roman" w:hAnsi="Times New Roman"/>
                <w:color w:val="auto"/>
                <w:sz w:val="24"/>
                <w:u w:val="none"/>
                <w:lang w:val="en-US" w:eastAsia="zh-CN"/>
              </w:rPr>
              <w:t>根据建设单位提供MSDS，</w:t>
            </w:r>
            <w:r>
              <w:rPr>
                <w:rFonts w:hint="eastAsia" w:ascii="Times New Roman" w:hAnsi="Times New Roman"/>
                <w:color w:val="auto"/>
                <w:spacing w:val="-3"/>
                <w:sz w:val="24"/>
                <w:u w:val="none"/>
                <w:lang w:eastAsia="zh-CN"/>
              </w:rPr>
              <w:t>本项目使用</w:t>
            </w:r>
            <w:r>
              <w:rPr>
                <w:rFonts w:hint="eastAsia" w:ascii="Times New Roman" w:hAnsi="Times New Roman"/>
                <w:color w:val="auto"/>
                <w:spacing w:val="-3"/>
                <w:sz w:val="24"/>
                <w:u w:val="none"/>
                <w:lang w:val="en-US" w:eastAsia="zh-CN"/>
              </w:rPr>
              <w:t>EVA处理剂</w:t>
            </w:r>
            <w:r>
              <w:rPr>
                <w:rFonts w:hint="eastAsia" w:ascii="Times New Roman" w:hAnsi="Times New Roman"/>
                <w:color w:val="auto"/>
                <w:spacing w:val="-3"/>
                <w:sz w:val="24"/>
                <w:u w:val="none"/>
                <w:lang w:eastAsia="zh-CN"/>
              </w:rPr>
              <w:t>主要成分有</w:t>
            </w:r>
            <w:r>
              <w:rPr>
                <w:rFonts w:hint="eastAsia" w:ascii="Times New Roman" w:hAnsi="Times New Roman"/>
                <w:color w:val="auto"/>
                <w:spacing w:val="-3"/>
                <w:sz w:val="24"/>
                <w:u w:val="none"/>
                <w:lang w:val="en-US" w:eastAsia="zh-CN"/>
              </w:rPr>
              <w:t>合成树脂1%—5%、</w:t>
            </w:r>
            <w:r>
              <w:rPr>
                <w:rFonts w:hint="eastAsia" w:ascii="Times New Roman" w:hAnsi="Times New Roman"/>
                <w:color w:val="auto"/>
                <w:spacing w:val="-3"/>
                <w:sz w:val="24"/>
                <w:u w:val="none"/>
                <w:lang w:eastAsia="zh-CN"/>
              </w:rPr>
              <w:t>丁酮30%—40%、</w:t>
            </w:r>
            <w:r>
              <w:rPr>
                <w:rFonts w:hint="eastAsia" w:ascii="Times New Roman" w:hAnsi="Times New Roman"/>
                <w:color w:val="auto"/>
                <w:spacing w:val="-3"/>
                <w:sz w:val="24"/>
                <w:u w:val="none"/>
                <w:lang w:val="en-US" w:eastAsia="zh-CN"/>
              </w:rPr>
              <w:t>碳酸二甲酯15%—25%、醋酸乙</w:t>
            </w:r>
            <w:r>
              <w:rPr>
                <w:rFonts w:hint="eastAsia" w:ascii="Times New Roman" w:hAnsi="Times New Roman"/>
                <w:color w:val="auto"/>
                <w:spacing w:val="-3"/>
                <w:sz w:val="24"/>
                <w:u w:val="none"/>
                <w:lang w:eastAsia="zh-CN"/>
              </w:rPr>
              <w:t>酯40%—45%。其</w:t>
            </w:r>
            <w:r>
              <w:rPr>
                <w:rFonts w:hint="eastAsia" w:ascii="Times New Roman" w:hAnsi="Times New Roman"/>
                <w:color w:val="auto"/>
                <w:spacing w:val="-3"/>
                <w:sz w:val="24"/>
                <w:u w:val="none"/>
                <w:lang w:val="en-US" w:eastAsia="zh-CN"/>
              </w:rPr>
              <w:t>中合成酯树脂不易挥发，其他组分易挥发，</w:t>
            </w:r>
            <w:r>
              <w:rPr>
                <w:rFonts w:hint="eastAsia" w:ascii="Times New Roman" w:hAnsi="Times New Roman"/>
                <w:color w:val="auto"/>
                <w:spacing w:val="-3"/>
                <w:sz w:val="24"/>
                <w:u w:val="none"/>
                <w:lang w:eastAsia="zh-CN"/>
              </w:rPr>
              <w:t>总挥发性有机物</w:t>
            </w:r>
            <w:r>
              <w:rPr>
                <w:rFonts w:hint="eastAsia" w:ascii="Times New Roman" w:hAnsi="Times New Roman"/>
                <w:color w:val="auto"/>
                <w:spacing w:val="-3"/>
                <w:sz w:val="24"/>
                <w:u w:val="none"/>
                <w:lang w:val="en-US" w:eastAsia="zh-CN"/>
              </w:rPr>
              <w:t>为95%—99%</w:t>
            </w:r>
            <w:r>
              <w:rPr>
                <w:rFonts w:hint="eastAsia" w:ascii="Times New Roman" w:hAnsi="Times New Roman"/>
                <w:color w:val="auto"/>
                <w:spacing w:val="-3"/>
                <w:sz w:val="24"/>
                <w:u w:val="none"/>
                <w:lang w:eastAsia="zh-CN"/>
              </w:rPr>
              <w:t>，</w:t>
            </w:r>
            <w:r>
              <w:rPr>
                <w:rFonts w:hint="eastAsia" w:ascii="Times New Roman" w:hAnsi="Times New Roman"/>
                <w:color w:val="auto"/>
                <w:spacing w:val="-3"/>
                <w:sz w:val="24"/>
                <w:u w:val="none"/>
                <w:lang w:val="en-US" w:eastAsia="zh-CN"/>
              </w:rPr>
              <w:t>以最不利计，挥发性有机物含量约为99%</w:t>
            </w:r>
            <w:r>
              <w:rPr>
                <w:rFonts w:hint="eastAsia" w:ascii="Times New Roman" w:hAnsi="Times New Roman"/>
                <w:color w:val="auto"/>
                <w:spacing w:val="-3"/>
                <w:sz w:val="24"/>
                <w:u w:val="none"/>
                <w:lang w:eastAsia="zh-CN"/>
              </w:rPr>
              <w:t>。</w:t>
            </w:r>
          </w:p>
          <w:p w14:paraId="451670BF">
            <w:pPr>
              <w:pStyle w:val="97"/>
              <w:keepNext w:val="0"/>
              <w:keepLines w:val="0"/>
              <w:pageBreakBefore w:val="0"/>
              <w:widowControl w:val="0"/>
              <w:suppressLineNumbers w:val="0"/>
              <w:kinsoku/>
              <w:wordWrap/>
              <w:overflowPunct w:val="0"/>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Times New Roman" w:hAnsi="Times New Roman"/>
                <w:color w:val="auto"/>
                <w:spacing w:val="-3"/>
                <w:sz w:val="24"/>
                <w:u w:val="none"/>
                <w:lang w:eastAsia="zh-CN"/>
              </w:rPr>
            </w:pPr>
            <w:r>
              <w:rPr>
                <w:rFonts w:hint="eastAsia" w:ascii="Times New Roman" w:hAnsi="Times New Roman"/>
                <w:b/>
                <w:bCs/>
                <w:color w:val="auto"/>
                <w:sz w:val="24"/>
                <w:u w:val="none"/>
                <w:lang w:val="en-US" w:eastAsia="zh-CN"/>
              </w:rPr>
              <w:t>TPR处理剂：</w:t>
            </w:r>
            <w:r>
              <w:rPr>
                <w:rFonts w:hint="eastAsia" w:ascii="Times New Roman" w:hAnsi="Times New Roman"/>
                <w:color w:val="auto"/>
                <w:sz w:val="24"/>
                <w:u w:val="none"/>
                <w:lang w:val="en-US" w:eastAsia="zh-CN"/>
              </w:rPr>
              <w:t>根据建设单位提供MSDS，</w:t>
            </w:r>
            <w:r>
              <w:rPr>
                <w:rFonts w:hint="eastAsia" w:ascii="Times New Roman" w:hAnsi="Times New Roman"/>
                <w:color w:val="auto"/>
                <w:spacing w:val="-3"/>
                <w:sz w:val="24"/>
                <w:u w:val="none"/>
                <w:lang w:eastAsia="zh-CN"/>
              </w:rPr>
              <w:t>本项目使用</w:t>
            </w:r>
            <w:r>
              <w:rPr>
                <w:rFonts w:hint="eastAsia" w:ascii="Times New Roman" w:hAnsi="Times New Roman"/>
                <w:color w:val="auto"/>
                <w:spacing w:val="-3"/>
                <w:sz w:val="24"/>
                <w:u w:val="none"/>
                <w:lang w:val="en-US" w:eastAsia="zh-CN"/>
              </w:rPr>
              <w:t>TPR处理剂</w:t>
            </w:r>
            <w:r>
              <w:rPr>
                <w:rFonts w:hint="eastAsia" w:ascii="Times New Roman" w:hAnsi="Times New Roman"/>
                <w:color w:val="auto"/>
                <w:spacing w:val="-3"/>
                <w:sz w:val="24"/>
                <w:u w:val="none"/>
                <w:lang w:eastAsia="zh-CN"/>
              </w:rPr>
              <w:t>主要成分有</w:t>
            </w:r>
            <w:r>
              <w:rPr>
                <w:rFonts w:hint="eastAsia" w:ascii="Times New Roman" w:hAnsi="Times New Roman"/>
                <w:color w:val="auto"/>
                <w:spacing w:val="-3"/>
                <w:sz w:val="24"/>
                <w:u w:val="none"/>
                <w:lang w:val="en-US" w:eastAsia="zh-CN"/>
              </w:rPr>
              <w:t>合成树脂5%—10%、</w:t>
            </w:r>
            <w:r>
              <w:rPr>
                <w:rFonts w:hint="eastAsia" w:ascii="Times New Roman" w:hAnsi="Times New Roman"/>
                <w:color w:val="auto"/>
                <w:spacing w:val="-3"/>
                <w:sz w:val="24"/>
                <w:u w:val="none"/>
                <w:lang w:eastAsia="zh-CN"/>
              </w:rPr>
              <w:t>丁酮30%—35%、</w:t>
            </w:r>
            <w:r>
              <w:rPr>
                <w:rFonts w:hint="eastAsia" w:ascii="Times New Roman" w:hAnsi="Times New Roman"/>
                <w:color w:val="auto"/>
                <w:spacing w:val="-3"/>
                <w:sz w:val="24"/>
                <w:u w:val="none"/>
                <w:lang w:val="en-US" w:eastAsia="zh-CN"/>
              </w:rPr>
              <w:t>碳酸二甲酯20%—30%、醋酸乙</w:t>
            </w:r>
            <w:r>
              <w:rPr>
                <w:rFonts w:hint="eastAsia" w:ascii="Times New Roman" w:hAnsi="Times New Roman"/>
                <w:color w:val="auto"/>
                <w:spacing w:val="-3"/>
                <w:sz w:val="24"/>
                <w:u w:val="none"/>
                <w:lang w:eastAsia="zh-CN"/>
              </w:rPr>
              <w:t>酯35%—45%。其</w:t>
            </w:r>
            <w:r>
              <w:rPr>
                <w:rFonts w:hint="eastAsia" w:ascii="Times New Roman" w:hAnsi="Times New Roman"/>
                <w:color w:val="auto"/>
                <w:spacing w:val="-3"/>
                <w:sz w:val="24"/>
                <w:u w:val="none"/>
                <w:lang w:val="en-US" w:eastAsia="zh-CN"/>
              </w:rPr>
              <w:t>中合成酯树脂不易挥发，其他组分易挥发，</w:t>
            </w:r>
            <w:r>
              <w:rPr>
                <w:rFonts w:hint="eastAsia" w:ascii="Times New Roman" w:hAnsi="Times New Roman"/>
                <w:color w:val="auto"/>
                <w:spacing w:val="-3"/>
                <w:sz w:val="24"/>
                <w:u w:val="none"/>
                <w:lang w:eastAsia="zh-CN"/>
              </w:rPr>
              <w:t>总挥发性有机物</w:t>
            </w:r>
            <w:r>
              <w:rPr>
                <w:rFonts w:hint="eastAsia" w:ascii="Times New Roman" w:hAnsi="Times New Roman"/>
                <w:color w:val="auto"/>
                <w:spacing w:val="-3"/>
                <w:sz w:val="24"/>
                <w:u w:val="none"/>
                <w:lang w:val="en-US" w:eastAsia="zh-CN"/>
              </w:rPr>
              <w:t>为90%—95%</w:t>
            </w:r>
            <w:r>
              <w:rPr>
                <w:rFonts w:hint="eastAsia" w:ascii="Times New Roman" w:hAnsi="Times New Roman"/>
                <w:color w:val="auto"/>
                <w:spacing w:val="-3"/>
                <w:sz w:val="24"/>
                <w:u w:val="none"/>
                <w:lang w:eastAsia="zh-CN"/>
              </w:rPr>
              <w:t>，</w:t>
            </w:r>
            <w:r>
              <w:rPr>
                <w:rFonts w:hint="eastAsia" w:ascii="Times New Roman" w:hAnsi="Times New Roman"/>
                <w:color w:val="auto"/>
                <w:spacing w:val="-3"/>
                <w:sz w:val="24"/>
                <w:u w:val="none"/>
                <w:lang w:val="en-US" w:eastAsia="zh-CN"/>
              </w:rPr>
              <w:t>以最不利计，挥发性有机物含量约为95%</w:t>
            </w:r>
            <w:r>
              <w:rPr>
                <w:rFonts w:hint="eastAsia" w:ascii="Times New Roman" w:hAnsi="Times New Roman"/>
                <w:color w:val="auto"/>
                <w:spacing w:val="-3"/>
                <w:sz w:val="24"/>
                <w:u w:val="none"/>
                <w:lang w:eastAsia="zh-CN"/>
              </w:rPr>
              <w:t>。</w:t>
            </w:r>
          </w:p>
          <w:p w14:paraId="073286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70" w:firstLineChars="200"/>
              <w:jc w:val="left"/>
              <w:textAlignment w:val="auto"/>
              <w:rPr>
                <w:rFonts w:hint="eastAsia" w:ascii="Times New Roman" w:hAnsi="Times New Roman" w:eastAsia="宋体" w:cs="宋体"/>
                <w:color w:val="auto"/>
                <w:kern w:val="2"/>
                <w:sz w:val="24"/>
                <w:szCs w:val="24"/>
                <w:u w:val="none"/>
                <w:lang w:val="en-US" w:eastAsia="zh-CN" w:bidi="ar-SA"/>
              </w:rPr>
            </w:pPr>
            <w:r>
              <w:rPr>
                <w:rFonts w:hint="eastAsia" w:ascii="Times New Roman" w:hAnsi="Times New Roman"/>
                <w:b/>
                <w:bCs/>
                <w:color w:val="auto"/>
                <w:spacing w:val="-3"/>
                <w:sz w:val="24"/>
                <w:u w:val="none"/>
                <w:lang w:val="en-US" w:eastAsia="zh-CN"/>
              </w:rPr>
              <w:t>脱模剂</w:t>
            </w:r>
            <w:r>
              <w:rPr>
                <w:rFonts w:hint="eastAsia" w:ascii="Times New Roman" w:hAnsi="Times New Roman"/>
                <w:color w:val="auto"/>
                <w:spacing w:val="-3"/>
                <w:sz w:val="24"/>
                <w:u w:val="none"/>
                <w:lang w:val="en-US" w:eastAsia="zh-CN"/>
              </w:rPr>
              <w:t>：</w:t>
            </w:r>
            <w:r>
              <w:rPr>
                <w:rFonts w:hint="eastAsia" w:ascii="Times New Roman" w:hAnsi="Times New Roman" w:eastAsia="宋体" w:cs="宋体"/>
                <w:color w:val="auto"/>
                <w:kern w:val="2"/>
                <w:sz w:val="24"/>
                <w:szCs w:val="24"/>
                <w:u w:val="none"/>
                <w:lang w:val="en-US" w:eastAsia="zh-CN" w:bidi="ar-SA"/>
              </w:rPr>
              <w:t>一种介于模具和成品之间的功能性物质，向模腔内喷上脱模剂不仅可以帮助控制模具的温度，还有助于铸件脱模作用，使固化成型的铸件顺利地从模具上分离开来，从而得到光滑平整的制品。脱模剂为乳白色液体、无刺激性气味，其主要成分为：水（40~60%）、聚二甲硅氧烷（10~30%）、石油和光亮油混合物（10~30%）、异丙醇（3~7%）。脱膜剂中异丙醇会产生挥发性有机物，其他成分不会产生挥发性有机物，因此脱膜剂挥发性有机物含量按照7%考虑。</w:t>
            </w:r>
          </w:p>
          <w:p w14:paraId="6A3A47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70" w:firstLineChars="200"/>
              <w:jc w:val="left"/>
              <w:textAlignment w:val="auto"/>
              <w:rPr>
                <w:rFonts w:hint="eastAsia" w:ascii="Times New Roman" w:hAnsi="Times New Roman" w:eastAsia="宋体" w:cs="宋体"/>
                <w:color w:val="auto"/>
                <w:kern w:val="2"/>
                <w:sz w:val="24"/>
                <w:szCs w:val="24"/>
                <w:u w:val="none"/>
                <w:lang w:val="en-US" w:eastAsia="zh-CN" w:bidi="ar-SA"/>
              </w:rPr>
            </w:pPr>
            <w:r>
              <w:rPr>
                <w:rFonts w:hint="eastAsia" w:ascii="Times New Roman" w:hAnsi="Times New Roman" w:eastAsia="宋体" w:cs="Times New Roman"/>
                <w:b/>
                <w:bCs/>
                <w:color w:val="auto"/>
                <w:spacing w:val="-3"/>
                <w:sz w:val="24"/>
                <w:u w:val="none"/>
                <w:lang w:val="en-US" w:eastAsia="zh-CN"/>
              </w:rPr>
              <w:t>聚醚多元醇组合料</w:t>
            </w:r>
            <w:r>
              <w:rPr>
                <w:rFonts w:hint="eastAsia"/>
                <w:color w:val="auto"/>
                <w:kern w:val="0"/>
                <w:sz w:val="21"/>
                <w:szCs w:val="21"/>
                <w:u w:val="none"/>
                <w:lang w:val="en-US" w:eastAsia="zh-CN"/>
              </w:rPr>
              <w:t>：</w:t>
            </w:r>
            <w:r>
              <w:rPr>
                <w:rFonts w:hint="eastAsia" w:ascii="Times New Roman" w:hAnsi="Times New Roman" w:eastAsia="宋体" w:cs="宋体"/>
                <w:color w:val="auto"/>
                <w:kern w:val="2"/>
                <w:sz w:val="24"/>
                <w:szCs w:val="24"/>
                <w:u w:val="none"/>
                <w:lang w:val="en-US" w:eastAsia="zh-CN" w:bidi="ar-SA"/>
              </w:rPr>
              <w:t>聚醚多元醇（</w:t>
            </w:r>
            <w:r>
              <w:rPr>
                <w:rFonts w:hint="default" w:ascii="Times New Roman" w:hAnsi="Times New Roman" w:eastAsia="宋体" w:cs="宋体"/>
                <w:color w:val="auto"/>
                <w:kern w:val="2"/>
                <w:sz w:val="24"/>
                <w:szCs w:val="24"/>
                <w:u w:val="none"/>
                <w:lang w:val="en-US" w:eastAsia="zh-CN" w:bidi="ar-SA"/>
              </w:rPr>
              <w:t>PPG</w:t>
            </w:r>
            <w:r>
              <w:rPr>
                <w:rFonts w:hint="eastAsia" w:ascii="Times New Roman" w:hAnsi="Times New Roman" w:eastAsia="宋体" w:cs="宋体"/>
                <w:color w:val="auto"/>
                <w:kern w:val="2"/>
                <w:sz w:val="24"/>
                <w:szCs w:val="24"/>
                <w:u w:val="none"/>
                <w:lang w:val="en-US" w:eastAsia="zh-CN" w:bidi="ar-SA"/>
              </w:rPr>
              <w:t>）简称聚醚，分子量约为</w:t>
            </w:r>
            <w:r>
              <w:rPr>
                <w:rFonts w:hint="default" w:ascii="Times New Roman" w:hAnsi="Times New Roman" w:eastAsia="宋体" w:cs="宋体"/>
                <w:color w:val="auto"/>
                <w:kern w:val="2"/>
                <w:sz w:val="24"/>
                <w:szCs w:val="24"/>
                <w:u w:val="none"/>
                <w:lang w:val="en-US" w:eastAsia="zh-CN" w:bidi="ar-SA"/>
              </w:rPr>
              <w:t>3000~4000</w:t>
            </w:r>
            <w:r>
              <w:rPr>
                <w:rFonts w:hint="eastAsia" w:ascii="Times New Roman" w:hAnsi="Times New Roman" w:eastAsia="宋体" w:cs="宋体"/>
                <w:color w:val="auto"/>
                <w:kern w:val="2"/>
                <w:sz w:val="24"/>
                <w:szCs w:val="24"/>
                <w:u w:val="none"/>
                <w:lang w:val="en-US" w:eastAsia="zh-CN" w:bidi="ar-SA"/>
              </w:rPr>
              <w:t>，是由起始剂（含活性氢基团的化合物）与环氧乙烷（</w:t>
            </w:r>
            <w:r>
              <w:rPr>
                <w:rFonts w:hint="default" w:ascii="Times New Roman" w:hAnsi="Times New Roman" w:eastAsia="宋体" w:cs="宋体"/>
                <w:color w:val="auto"/>
                <w:kern w:val="2"/>
                <w:sz w:val="24"/>
                <w:szCs w:val="24"/>
                <w:u w:val="none"/>
                <w:lang w:val="en-US" w:eastAsia="zh-CN" w:bidi="ar-SA"/>
              </w:rPr>
              <w:t>EO</w:t>
            </w:r>
            <w:r>
              <w:rPr>
                <w:rFonts w:hint="eastAsia" w:ascii="Times New Roman" w:hAnsi="Times New Roman" w:eastAsia="宋体" w:cs="宋体"/>
                <w:color w:val="auto"/>
                <w:kern w:val="2"/>
                <w:sz w:val="24"/>
                <w:szCs w:val="24"/>
                <w:u w:val="none"/>
                <w:lang w:val="en-US" w:eastAsia="zh-CN" w:bidi="ar-SA"/>
              </w:rPr>
              <w:t>）、环氧丙烷（</w:t>
            </w:r>
            <w:r>
              <w:rPr>
                <w:rFonts w:hint="default" w:ascii="Times New Roman" w:hAnsi="Times New Roman" w:eastAsia="宋体" w:cs="宋体"/>
                <w:color w:val="auto"/>
                <w:kern w:val="2"/>
                <w:sz w:val="24"/>
                <w:szCs w:val="24"/>
                <w:u w:val="none"/>
                <w:lang w:val="en-US" w:eastAsia="zh-CN" w:bidi="ar-SA"/>
              </w:rPr>
              <w:t>PO</w:t>
            </w:r>
            <w:r>
              <w:rPr>
                <w:rFonts w:hint="eastAsia" w:ascii="Times New Roman" w:hAnsi="Times New Roman" w:eastAsia="宋体" w:cs="宋体"/>
                <w:color w:val="auto"/>
                <w:kern w:val="2"/>
                <w:sz w:val="24"/>
                <w:szCs w:val="24"/>
                <w:u w:val="none"/>
                <w:lang w:val="en-US" w:eastAsia="zh-CN" w:bidi="ar-SA"/>
              </w:rPr>
              <w:t>）、环氧丁烷（</w:t>
            </w:r>
            <w:r>
              <w:rPr>
                <w:rFonts w:hint="default" w:ascii="Times New Roman" w:hAnsi="Times New Roman" w:eastAsia="宋体" w:cs="宋体"/>
                <w:color w:val="auto"/>
                <w:kern w:val="2"/>
                <w:sz w:val="24"/>
                <w:szCs w:val="24"/>
                <w:u w:val="none"/>
                <w:lang w:val="en-US" w:eastAsia="zh-CN" w:bidi="ar-SA"/>
              </w:rPr>
              <w:t>BO</w:t>
            </w:r>
            <w:r>
              <w:rPr>
                <w:rFonts w:hint="eastAsia" w:ascii="Times New Roman" w:hAnsi="Times New Roman" w:eastAsia="宋体" w:cs="宋体"/>
                <w:color w:val="auto"/>
                <w:kern w:val="2"/>
                <w:sz w:val="24"/>
                <w:szCs w:val="24"/>
                <w:u w:val="none"/>
                <w:lang w:val="en-US" w:eastAsia="zh-CN" w:bidi="ar-SA"/>
              </w:rPr>
              <w:t>）等在催化剂存在下经加聚反应制得。聚醚多元醇是主链含有醚键</w:t>
            </w:r>
            <w:r>
              <w:rPr>
                <w:rFonts w:hint="eastAsia" w:cs="宋体"/>
                <w:color w:val="auto"/>
                <w:kern w:val="2"/>
                <w:sz w:val="24"/>
                <w:szCs w:val="24"/>
                <w:u w:val="none"/>
                <w:lang w:val="en-US" w:eastAsia="zh-CN" w:bidi="ar-SA"/>
              </w:rPr>
              <w:t>（</w:t>
            </w:r>
            <w:r>
              <w:rPr>
                <w:rFonts w:hint="default" w:ascii="Times New Roman" w:hAnsi="Times New Roman" w:eastAsia="宋体" w:cs="宋体"/>
                <w:color w:val="auto"/>
                <w:kern w:val="2"/>
                <w:sz w:val="24"/>
                <w:szCs w:val="24"/>
                <w:u w:val="none"/>
                <w:lang w:val="en-US" w:eastAsia="zh-CN" w:bidi="ar-SA"/>
              </w:rPr>
              <w:t>—R—O—R—</w:t>
            </w:r>
            <w:r>
              <w:rPr>
                <w:rFonts w:hint="eastAsia" w:cs="宋体"/>
                <w:color w:val="auto"/>
                <w:kern w:val="2"/>
                <w:sz w:val="24"/>
                <w:szCs w:val="24"/>
                <w:u w:val="none"/>
                <w:lang w:val="en-US" w:eastAsia="zh-CN" w:bidi="ar-SA"/>
              </w:rPr>
              <w:t>）</w:t>
            </w:r>
            <w:r>
              <w:rPr>
                <w:rFonts w:hint="eastAsia" w:ascii="Times New Roman" w:hAnsi="Times New Roman" w:eastAsia="宋体" w:cs="宋体"/>
                <w:color w:val="auto"/>
                <w:kern w:val="2"/>
                <w:sz w:val="24"/>
                <w:szCs w:val="24"/>
                <w:u w:val="none"/>
                <w:lang w:val="en-US" w:eastAsia="zh-CN" w:bidi="ar-SA"/>
              </w:rPr>
              <w:t>，端基或侧基含有大于</w:t>
            </w:r>
            <w:r>
              <w:rPr>
                <w:rFonts w:hint="default" w:ascii="Times New Roman" w:hAnsi="Times New Roman" w:eastAsia="宋体" w:cs="宋体"/>
                <w:color w:val="auto"/>
                <w:kern w:val="2"/>
                <w:sz w:val="24"/>
                <w:szCs w:val="24"/>
                <w:u w:val="none"/>
                <w:lang w:val="en-US" w:eastAsia="zh-CN" w:bidi="ar-SA"/>
              </w:rPr>
              <w:t>2</w:t>
            </w:r>
            <w:r>
              <w:rPr>
                <w:rFonts w:hint="eastAsia" w:ascii="Times New Roman" w:hAnsi="Times New Roman" w:eastAsia="宋体" w:cs="宋体"/>
                <w:color w:val="auto"/>
                <w:kern w:val="2"/>
                <w:sz w:val="24"/>
                <w:szCs w:val="24"/>
                <w:u w:val="none"/>
                <w:lang w:val="en-US" w:eastAsia="zh-CN" w:bidi="ar-SA"/>
              </w:rPr>
              <w:t>个羟基</w:t>
            </w:r>
            <w:r>
              <w:rPr>
                <w:rFonts w:hint="eastAsia" w:cs="宋体"/>
                <w:color w:val="auto"/>
                <w:kern w:val="2"/>
                <w:sz w:val="24"/>
                <w:szCs w:val="24"/>
                <w:u w:val="none"/>
                <w:lang w:val="en-US" w:eastAsia="zh-CN" w:bidi="ar-SA"/>
              </w:rPr>
              <w:t>（</w:t>
            </w:r>
            <w:r>
              <w:rPr>
                <w:rFonts w:hint="default" w:ascii="Times New Roman" w:hAnsi="Times New Roman" w:eastAsia="宋体" w:cs="宋体"/>
                <w:color w:val="auto"/>
                <w:kern w:val="2"/>
                <w:sz w:val="24"/>
                <w:szCs w:val="24"/>
                <w:u w:val="none"/>
                <w:lang w:val="en-US" w:eastAsia="zh-CN" w:bidi="ar-SA"/>
              </w:rPr>
              <w:t>—OH</w:t>
            </w:r>
            <w:r>
              <w:rPr>
                <w:rFonts w:hint="eastAsia" w:cs="宋体"/>
                <w:color w:val="auto"/>
                <w:kern w:val="2"/>
                <w:sz w:val="24"/>
                <w:szCs w:val="24"/>
                <w:u w:val="none"/>
                <w:lang w:val="en-US" w:eastAsia="zh-CN" w:bidi="ar-SA"/>
              </w:rPr>
              <w:t>）</w:t>
            </w:r>
            <w:r>
              <w:rPr>
                <w:rFonts w:hint="eastAsia" w:ascii="Times New Roman" w:hAnsi="Times New Roman" w:eastAsia="宋体" w:cs="宋体"/>
                <w:color w:val="auto"/>
                <w:kern w:val="2"/>
                <w:sz w:val="24"/>
                <w:szCs w:val="24"/>
                <w:u w:val="none"/>
                <w:lang w:val="en-US" w:eastAsia="zh-CN" w:bidi="ar-SA"/>
              </w:rPr>
              <w:t>的低聚物。是以低分子量多元醇、多元胺或含活泼氢的化合物为起始剂，与氧化烯烃在催化剂作用下开环聚合而成。密度：</w:t>
            </w:r>
            <w:r>
              <w:rPr>
                <w:rFonts w:hint="default" w:ascii="Times New Roman" w:hAnsi="Times New Roman" w:eastAsia="宋体" w:cs="宋体"/>
                <w:color w:val="auto"/>
                <w:kern w:val="2"/>
                <w:sz w:val="24"/>
                <w:szCs w:val="24"/>
                <w:u w:val="none"/>
                <w:lang w:val="en-US" w:eastAsia="zh-CN" w:bidi="ar-SA"/>
              </w:rPr>
              <w:t>1.02g/m</w:t>
            </w:r>
            <w:r>
              <w:rPr>
                <w:rFonts w:hint="default" w:ascii="Times New Roman" w:hAnsi="Times New Roman" w:eastAsia="宋体" w:cs="宋体"/>
                <w:color w:val="auto"/>
                <w:kern w:val="2"/>
                <w:sz w:val="24"/>
                <w:szCs w:val="24"/>
                <w:u w:val="none"/>
                <w:vertAlign w:val="superscript"/>
                <w:lang w:val="en-US" w:eastAsia="zh-CN" w:bidi="ar-SA"/>
              </w:rPr>
              <w:t>3</w:t>
            </w:r>
            <w:r>
              <w:rPr>
                <w:rFonts w:hint="eastAsia" w:ascii="Times New Roman" w:hAnsi="Times New Roman" w:eastAsia="宋体" w:cs="宋体"/>
                <w:color w:val="auto"/>
                <w:kern w:val="2"/>
                <w:sz w:val="24"/>
                <w:szCs w:val="24"/>
                <w:u w:val="none"/>
                <w:lang w:val="en-US" w:eastAsia="zh-CN" w:bidi="ar-SA"/>
              </w:rPr>
              <w:t>（</w:t>
            </w:r>
            <w:r>
              <w:rPr>
                <w:rFonts w:hint="default" w:ascii="Times New Roman" w:hAnsi="Times New Roman" w:eastAsia="宋体" w:cs="宋体"/>
                <w:color w:val="auto"/>
                <w:kern w:val="2"/>
                <w:sz w:val="24"/>
                <w:szCs w:val="24"/>
                <w:u w:val="none"/>
                <w:lang w:val="en-US" w:eastAsia="zh-CN" w:bidi="ar-SA"/>
              </w:rPr>
              <w:t>20℃</w:t>
            </w:r>
            <w:r>
              <w:rPr>
                <w:rFonts w:hint="eastAsia" w:ascii="Times New Roman" w:hAnsi="Times New Roman" w:eastAsia="宋体" w:cs="宋体"/>
                <w:color w:val="auto"/>
                <w:kern w:val="2"/>
                <w:sz w:val="24"/>
                <w:szCs w:val="24"/>
                <w:u w:val="none"/>
                <w:lang w:val="en-US" w:eastAsia="zh-CN" w:bidi="ar-SA"/>
              </w:rPr>
              <w:t>），熔点</w:t>
            </w:r>
            <w:r>
              <w:rPr>
                <w:rFonts w:hint="default" w:ascii="Times New Roman" w:hAnsi="Times New Roman" w:eastAsia="宋体" w:cs="宋体"/>
                <w:color w:val="auto"/>
                <w:kern w:val="2"/>
                <w:sz w:val="24"/>
                <w:szCs w:val="24"/>
                <w:u w:val="none"/>
                <w:lang w:val="en-US" w:eastAsia="zh-CN" w:bidi="ar-SA"/>
              </w:rPr>
              <w:t>57~61℃</w:t>
            </w:r>
            <w:r>
              <w:rPr>
                <w:rFonts w:hint="eastAsia" w:ascii="Times New Roman" w:hAnsi="Times New Roman" w:eastAsia="宋体" w:cs="宋体"/>
                <w:color w:val="auto"/>
                <w:kern w:val="2"/>
                <w:sz w:val="24"/>
                <w:szCs w:val="24"/>
                <w:u w:val="none"/>
                <w:lang w:val="en-US" w:eastAsia="zh-CN" w:bidi="ar-SA"/>
              </w:rPr>
              <w:t>，沸点＞</w:t>
            </w:r>
            <w:r>
              <w:rPr>
                <w:rFonts w:hint="default" w:ascii="Times New Roman" w:hAnsi="Times New Roman" w:eastAsia="宋体" w:cs="宋体"/>
                <w:color w:val="auto"/>
                <w:kern w:val="2"/>
                <w:sz w:val="24"/>
                <w:szCs w:val="24"/>
                <w:u w:val="none"/>
                <w:lang w:val="en-US" w:eastAsia="zh-CN" w:bidi="ar-SA"/>
              </w:rPr>
              <w:t>150℃</w:t>
            </w:r>
            <w:r>
              <w:rPr>
                <w:rFonts w:hint="eastAsia" w:ascii="Times New Roman" w:hAnsi="Times New Roman" w:eastAsia="宋体" w:cs="宋体"/>
                <w:color w:val="auto"/>
                <w:kern w:val="2"/>
                <w:sz w:val="24"/>
                <w:szCs w:val="24"/>
                <w:u w:val="none"/>
                <w:lang w:val="en-US" w:eastAsia="zh-CN" w:bidi="ar-SA"/>
              </w:rPr>
              <w:t>，闪点</w:t>
            </w:r>
            <w:r>
              <w:rPr>
                <w:rFonts w:hint="default" w:ascii="Times New Roman" w:hAnsi="Times New Roman" w:eastAsia="宋体" w:cs="宋体"/>
                <w:color w:val="auto"/>
                <w:kern w:val="2"/>
                <w:sz w:val="24"/>
                <w:szCs w:val="24"/>
                <w:u w:val="none"/>
                <w:lang w:val="en-US" w:eastAsia="zh-CN" w:bidi="ar-SA"/>
              </w:rPr>
              <w:t>150℃</w:t>
            </w:r>
            <w:r>
              <w:rPr>
                <w:rFonts w:hint="eastAsia" w:ascii="Times New Roman" w:hAnsi="Times New Roman" w:eastAsia="宋体" w:cs="宋体"/>
                <w:color w:val="auto"/>
                <w:kern w:val="2"/>
                <w:sz w:val="24"/>
                <w:szCs w:val="24"/>
                <w:u w:val="none"/>
                <w:lang w:val="en-US" w:eastAsia="zh-CN" w:bidi="ar-SA"/>
              </w:rPr>
              <w:t>。</w:t>
            </w:r>
            <w:r>
              <w:rPr>
                <w:rFonts w:hint="default" w:ascii="Times New Roman" w:hAnsi="Times New Roman" w:eastAsia="宋体" w:cs="宋体"/>
                <w:color w:val="auto"/>
                <w:kern w:val="2"/>
                <w:sz w:val="24"/>
                <w:szCs w:val="24"/>
                <w:u w:val="none"/>
                <w:lang w:val="en-US" w:eastAsia="zh-CN" w:bidi="ar-SA"/>
              </w:rPr>
              <w:t>PPG</w:t>
            </w:r>
            <w:r>
              <w:rPr>
                <w:rFonts w:hint="eastAsia" w:cs="宋体"/>
                <w:color w:val="auto"/>
                <w:kern w:val="2"/>
                <w:sz w:val="24"/>
                <w:szCs w:val="24"/>
                <w:u w:val="none"/>
                <w:lang w:val="en-US" w:eastAsia="zh-CN" w:bidi="ar-SA"/>
              </w:rPr>
              <w:t>饱和蒸汽</w:t>
            </w:r>
            <w:r>
              <w:rPr>
                <w:rFonts w:hint="eastAsia" w:ascii="Times New Roman" w:hAnsi="Times New Roman" w:eastAsia="宋体" w:cs="宋体"/>
                <w:color w:val="auto"/>
                <w:kern w:val="2"/>
                <w:sz w:val="24"/>
                <w:szCs w:val="24"/>
                <w:u w:val="none"/>
                <w:lang w:val="en-US" w:eastAsia="zh-CN" w:bidi="ar-SA"/>
              </w:rPr>
              <w:t>压较低，一般为</w:t>
            </w:r>
            <w:r>
              <w:rPr>
                <w:rFonts w:hint="default" w:ascii="Times New Roman" w:hAnsi="Times New Roman" w:eastAsia="宋体" w:cs="宋体"/>
                <w:color w:val="auto"/>
                <w:kern w:val="2"/>
                <w:sz w:val="24"/>
                <w:szCs w:val="24"/>
                <w:u w:val="none"/>
                <w:lang w:val="en-US" w:eastAsia="zh-CN" w:bidi="ar-SA"/>
              </w:rPr>
              <w:t>1</w:t>
            </w:r>
            <w:r>
              <w:rPr>
                <w:rFonts w:hint="eastAsia" w:cs="宋体"/>
                <w:color w:val="auto"/>
                <w:kern w:val="2"/>
                <w:sz w:val="24"/>
                <w:szCs w:val="24"/>
                <w:u w:val="none"/>
                <w:lang w:val="en-US" w:eastAsia="zh-CN" w:bidi="ar-SA"/>
              </w:rPr>
              <w:t>～</w:t>
            </w:r>
            <w:r>
              <w:rPr>
                <w:rFonts w:hint="default" w:ascii="Times New Roman" w:hAnsi="Times New Roman" w:eastAsia="宋体" w:cs="宋体"/>
                <w:color w:val="auto"/>
                <w:kern w:val="2"/>
                <w:sz w:val="24"/>
                <w:szCs w:val="24"/>
                <w:u w:val="none"/>
                <w:lang w:val="en-US" w:eastAsia="zh-CN" w:bidi="ar-SA"/>
              </w:rPr>
              <w:t>2Pa</w:t>
            </w:r>
            <w:r>
              <w:rPr>
                <w:rFonts w:hint="eastAsia" w:ascii="Times New Roman" w:hAnsi="Times New Roman" w:eastAsia="宋体" w:cs="宋体"/>
                <w:color w:val="auto"/>
                <w:kern w:val="2"/>
                <w:sz w:val="24"/>
                <w:szCs w:val="24"/>
                <w:u w:val="none"/>
                <w:lang w:val="en-US" w:eastAsia="zh-CN" w:bidi="ar-SA"/>
              </w:rPr>
              <w:t>，性质较为稳定，略有特殊气味无毒，无腐蚀性，与绝大多数有机物相溶性好。聚醚主要用于硬质聚氨酯泡沫塑料，广泛应用于冰箱、冰柜、冷藏车、隔热板、管道保温等领域，还可用于作低泡沫洗涤剂或消泡剂等。</w:t>
            </w:r>
          </w:p>
          <w:p w14:paraId="7B3388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70" w:firstLineChars="200"/>
              <w:jc w:val="left"/>
              <w:textAlignment w:val="auto"/>
              <w:rPr>
                <w:rFonts w:hint="eastAsia" w:ascii="Times New Roman" w:hAnsi="Times New Roman" w:eastAsia="宋体" w:cs="宋体"/>
                <w:color w:val="auto"/>
                <w:kern w:val="2"/>
                <w:sz w:val="24"/>
                <w:szCs w:val="24"/>
                <w:u w:val="none"/>
                <w:lang w:val="en-US" w:eastAsia="zh-CN" w:bidi="ar-SA"/>
              </w:rPr>
            </w:pPr>
            <w:r>
              <w:rPr>
                <w:rFonts w:hint="eastAsia" w:ascii="Times New Roman" w:hAnsi="Times New Roman"/>
                <w:b/>
                <w:bCs/>
                <w:color w:val="auto"/>
                <w:spacing w:val="-3"/>
                <w:sz w:val="24"/>
                <w:u w:val="none"/>
                <w:lang w:val="en-US" w:eastAsia="zh-CN"/>
              </w:rPr>
              <w:t>改性MDI</w:t>
            </w:r>
            <w:r>
              <w:rPr>
                <w:rFonts w:hint="eastAsia" w:ascii="Times New Roman" w:hAnsi="Times New Roman"/>
                <w:color w:val="auto"/>
                <w:spacing w:val="-3"/>
                <w:sz w:val="24"/>
                <w:u w:val="none"/>
                <w:lang w:val="en-US" w:eastAsia="zh-CN"/>
              </w:rPr>
              <w:t>：</w:t>
            </w:r>
            <w:r>
              <w:rPr>
                <w:rFonts w:hint="eastAsia" w:ascii="Times New Roman" w:hAnsi="Times New Roman" w:eastAsia="宋体" w:cs="宋体"/>
                <w:color w:val="auto"/>
                <w:kern w:val="2"/>
                <w:sz w:val="24"/>
                <w:szCs w:val="24"/>
                <w:u w:val="none"/>
                <w:lang w:val="en-US" w:eastAsia="zh-CN" w:bidi="ar-SA"/>
              </w:rPr>
              <w:t>异氰酸酯为改性</w:t>
            </w:r>
            <w:r>
              <w:rPr>
                <w:rFonts w:hint="default" w:ascii="Times New Roman" w:hAnsi="Times New Roman" w:eastAsia="宋体" w:cs="宋体"/>
                <w:color w:val="auto"/>
                <w:kern w:val="2"/>
                <w:sz w:val="24"/>
                <w:szCs w:val="24"/>
                <w:u w:val="none"/>
                <w:lang w:val="en-US" w:eastAsia="zh-CN" w:bidi="ar-SA"/>
              </w:rPr>
              <w:t>MDI</w:t>
            </w:r>
            <w:r>
              <w:rPr>
                <w:rFonts w:hint="eastAsia" w:ascii="Times New Roman" w:hAnsi="Times New Roman" w:eastAsia="宋体" w:cs="宋体"/>
                <w:color w:val="auto"/>
                <w:kern w:val="2"/>
                <w:sz w:val="24"/>
                <w:szCs w:val="24"/>
                <w:u w:val="none"/>
                <w:lang w:val="en-US" w:eastAsia="zh-CN" w:bidi="ar-SA"/>
              </w:rPr>
              <w:t>，主要成分为二苯甲烷二异氰酸酯（</w:t>
            </w:r>
            <w:r>
              <w:rPr>
                <w:rFonts w:hint="default" w:ascii="Times New Roman" w:hAnsi="Times New Roman" w:eastAsia="宋体" w:cs="宋体"/>
                <w:color w:val="auto"/>
                <w:kern w:val="2"/>
                <w:sz w:val="24"/>
                <w:szCs w:val="24"/>
                <w:u w:val="none"/>
                <w:lang w:val="en-US" w:eastAsia="zh-CN" w:bidi="ar-SA"/>
              </w:rPr>
              <w:t>MDI</w:t>
            </w:r>
            <w:r>
              <w:rPr>
                <w:rFonts w:hint="eastAsia" w:ascii="Times New Roman" w:hAnsi="Times New Roman" w:eastAsia="宋体" w:cs="宋体"/>
                <w:color w:val="auto"/>
                <w:kern w:val="2"/>
                <w:sz w:val="24"/>
                <w:szCs w:val="24"/>
                <w:u w:val="none"/>
                <w:lang w:val="en-US" w:eastAsia="zh-CN" w:bidi="ar-SA"/>
              </w:rPr>
              <w:t>），改性</w:t>
            </w:r>
            <w:r>
              <w:rPr>
                <w:rFonts w:hint="default" w:ascii="Times New Roman" w:hAnsi="Times New Roman" w:eastAsia="宋体" w:cs="宋体"/>
                <w:color w:val="auto"/>
                <w:kern w:val="2"/>
                <w:sz w:val="24"/>
                <w:szCs w:val="24"/>
                <w:u w:val="none"/>
                <w:lang w:val="en-US" w:eastAsia="zh-CN" w:bidi="ar-SA"/>
              </w:rPr>
              <w:t>MDI</w:t>
            </w:r>
            <w:r>
              <w:rPr>
                <w:rFonts w:hint="eastAsia" w:ascii="Times New Roman" w:hAnsi="Times New Roman" w:eastAsia="宋体" w:cs="宋体"/>
                <w:color w:val="auto"/>
                <w:kern w:val="2"/>
                <w:sz w:val="24"/>
                <w:szCs w:val="24"/>
                <w:u w:val="none"/>
                <w:lang w:val="en-US" w:eastAsia="zh-CN" w:bidi="ar-SA"/>
              </w:rPr>
              <w:t>为黄色液体，气味：胺味，凝固温度＜</w:t>
            </w:r>
            <w:r>
              <w:rPr>
                <w:rFonts w:hint="default" w:ascii="Times New Roman" w:hAnsi="Times New Roman" w:eastAsia="宋体" w:cs="宋体"/>
                <w:color w:val="auto"/>
                <w:kern w:val="2"/>
                <w:sz w:val="24"/>
                <w:szCs w:val="24"/>
                <w:u w:val="none"/>
                <w:lang w:val="en-US" w:eastAsia="zh-CN" w:bidi="ar-SA"/>
              </w:rPr>
              <w:t>10℃</w:t>
            </w:r>
            <w:r>
              <w:rPr>
                <w:rFonts w:hint="eastAsia" w:ascii="Times New Roman" w:hAnsi="Times New Roman" w:eastAsia="宋体" w:cs="宋体"/>
                <w:color w:val="auto"/>
                <w:kern w:val="2"/>
                <w:sz w:val="24"/>
                <w:szCs w:val="24"/>
                <w:u w:val="none"/>
                <w:lang w:val="en-US" w:eastAsia="zh-CN" w:bidi="ar-SA"/>
              </w:rPr>
              <w:t>，沸程＞</w:t>
            </w:r>
            <w:r>
              <w:rPr>
                <w:rFonts w:hint="default" w:ascii="Times New Roman" w:hAnsi="Times New Roman" w:eastAsia="宋体" w:cs="宋体"/>
                <w:color w:val="auto"/>
                <w:kern w:val="2"/>
                <w:sz w:val="24"/>
                <w:szCs w:val="24"/>
                <w:u w:val="none"/>
                <w:lang w:val="en-US" w:eastAsia="zh-CN" w:bidi="ar-SA"/>
              </w:rPr>
              <w:t>200℃</w:t>
            </w:r>
            <w:r>
              <w:rPr>
                <w:rFonts w:hint="eastAsia" w:ascii="Times New Roman" w:hAnsi="Times New Roman" w:eastAsia="宋体" w:cs="宋体"/>
                <w:color w:val="auto"/>
                <w:kern w:val="2"/>
                <w:sz w:val="24"/>
                <w:szCs w:val="24"/>
                <w:u w:val="none"/>
                <w:lang w:val="en-US" w:eastAsia="zh-CN" w:bidi="ar-SA"/>
              </w:rPr>
              <w:t>，闪点：＞</w:t>
            </w:r>
            <w:r>
              <w:rPr>
                <w:rFonts w:hint="default" w:ascii="Times New Roman" w:hAnsi="Times New Roman" w:eastAsia="宋体" w:cs="宋体"/>
                <w:color w:val="auto"/>
                <w:kern w:val="2"/>
                <w:sz w:val="24"/>
                <w:szCs w:val="24"/>
                <w:u w:val="none"/>
                <w:lang w:val="en-US" w:eastAsia="zh-CN" w:bidi="ar-SA"/>
              </w:rPr>
              <w:t>200℃</w:t>
            </w:r>
            <w:r>
              <w:rPr>
                <w:rFonts w:hint="eastAsia" w:ascii="Times New Roman" w:hAnsi="Times New Roman" w:eastAsia="宋体" w:cs="宋体"/>
                <w:color w:val="auto"/>
                <w:kern w:val="2"/>
                <w:sz w:val="24"/>
                <w:szCs w:val="24"/>
                <w:u w:val="none"/>
                <w:lang w:val="en-US" w:eastAsia="zh-CN" w:bidi="ar-SA"/>
              </w:rPr>
              <w:t>，密度：</w:t>
            </w:r>
            <w:r>
              <w:rPr>
                <w:rFonts w:hint="default" w:ascii="Times New Roman" w:hAnsi="Times New Roman" w:eastAsia="宋体" w:cs="宋体"/>
                <w:color w:val="auto"/>
                <w:kern w:val="2"/>
                <w:sz w:val="24"/>
                <w:szCs w:val="24"/>
                <w:u w:val="none"/>
                <w:lang w:val="en-US" w:eastAsia="zh-CN" w:bidi="ar-SA"/>
              </w:rPr>
              <w:t>1.23g/cm</w:t>
            </w:r>
            <w:r>
              <w:rPr>
                <w:rFonts w:hint="default" w:ascii="Times New Roman" w:hAnsi="Times New Roman" w:eastAsia="宋体" w:cs="宋体"/>
                <w:color w:val="auto"/>
                <w:kern w:val="2"/>
                <w:sz w:val="24"/>
                <w:szCs w:val="24"/>
                <w:u w:val="none"/>
                <w:vertAlign w:val="superscript"/>
                <w:lang w:val="en-US" w:eastAsia="zh-CN" w:bidi="ar-SA"/>
              </w:rPr>
              <w:t>3</w:t>
            </w:r>
            <w:r>
              <w:rPr>
                <w:rFonts w:hint="eastAsia" w:cs="宋体"/>
                <w:color w:val="auto"/>
                <w:kern w:val="2"/>
                <w:sz w:val="24"/>
                <w:szCs w:val="24"/>
                <w:u w:val="none"/>
                <w:vertAlign w:val="baseline"/>
                <w:lang w:val="en-US" w:eastAsia="zh-CN" w:bidi="ar-SA"/>
              </w:rPr>
              <w:t>（</w:t>
            </w:r>
            <w:r>
              <w:rPr>
                <w:rFonts w:hint="default" w:ascii="Times New Roman" w:hAnsi="Times New Roman" w:eastAsia="宋体" w:cs="宋体"/>
                <w:color w:val="auto"/>
                <w:kern w:val="2"/>
                <w:sz w:val="24"/>
                <w:szCs w:val="24"/>
                <w:u w:val="none"/>
                <w:lang w:val="en-US" w:eastAsia="zh-CN" w:bidi="ar-SA"/>
              </w:rPr>
              <w:t>2</w:t>
            </w:r>
            <w:r>
              <w:rPr>
                <w:rFonts w:hint="eastAsia" w:ascii="Times New Roman" w:hAnsi="Times New Roman" w:eastAsia="宋体" w:cs="宋体"/>
                <w:color w:val="auto"/>
                <w:kern w:val="2"/>
                <w:sz w:val="24"/>
                <w:szCs w:val="24"/>
                <w:u w:val="none"/>
                <w:lang w:val="en-US" w:eastAsia="zh-CN" w:bidi="ar-SA"/>
              </w:rPr>
              <w:t>0</w:t>
            </w:r>
            <w:r>
              <w:rPr>
                <w:rFonts w:hint="default" w:ascii="Times New Roman" w:hAnsi="Times New Roman" w:eastAsia="宋体" w:cs="宋体"/>
                <w:color w:val="auto"/>
                <w:kern w:val="2"/>
                <w:sz w:val="24"/>
                <w:szCs w:val="24"/>
                <w:u w:val="none"/>
                <w:lang w:val="en-US" w:eastAsia="zh-CN" w:bidi="ar-SA"/>
              </w:rPr>
              <w:t>℃</w:t>
            </w:r>
            <w:r>
              <w:rPr>
                <w:rFonts w:hint="eastAsia" w:cs="宋体"/>
                <w:color w:val="auto"/>
                <w:kern w:val="2"/>
                <w:sz w:val="24"/>
                <w:szCs w:val="24"/>
                <w:u w:val="none"/>
                <w:vertAlign w:val="baseline"/>
                <w:lang w:val="en-US" w:eastAsia="zh-CN" w:bidi="ar-SA"/>
              </w:rPr>
              <w:t>）</w:t>
            </w:r>
            <w:r>
              <w:rPr>
                <w:rFonts w:hint="eastAsia" w:ascii="Times New Roman" w:hAnsi="Times New Roman" w:eastAsia="宋体" w:cs="宋体"/>
                <w:color w:val="auto"/>
                <w:kern w:val="2"/>
                <w:sz w:val="24"/>
                <w:szCs w:val="24"/>
                <w:u w:val="none"/>
                <w:lang w:val="en-US" w:eastAsia="zh-CN" w:bidi="ar-SA"/>
              </w:rPr>
              <w:t>，可燃性：不燃烧，爆炸下限：对于液体无须分类和标识；低爆点可能低于闪点</w:t>
            </w:r>
            <w:r>
              <w:rPr>
                <w:rFonts w:hint="default" w:ascii="Times New Roman" w:hAnsi="Times New Roman" w:eastAsia="宋体" w:cs="宋体"/>
                <w:color w:val="auto"/>
                <w:kern w:val="2"/>
                <w:sz w:val="24"/>
                <w:szCs w:val="24"/>
                <w:u w:val="none"/>
                <w:lang w:val="en-US" w:eastAsia="zh-CN" w:bidi="ar-SA"/>
              </w:rPr>
              <w:t>5-15℃</w:t>
            </w:r>
            <w:r>
              <w:rPr>
                <w:rFonts w:hint="eastAsia" w:ascii="Times New Roman" w:hAnsi="Times New Roman" w:eastAsia="宋体" w:cs="宋体"/>
                <w:color w:val="auto"/>
                <w:kern w:val="2"/>
                <w:sz w:val="24"/>
                <w:szCs w:val="24"/>
                <w:u w:val="none"/>
                <w:lang w:val="en-US" w:eastAsia="zh-CN" w:bidi="ar-SA"/>
              </w:rPr>
              <w:t>；爆炸上限：对于液体无须分类和标识；燃烧温度：＞</w:t>
            </w:r>
            <w:r>
              <w:rPr>
                <w:rFonts w:hint="default" w:ascii="Times New Roman" w:hAnsi="Times New Roman" w:eastAsia="宋体" w:cs="宋体"/>
                <w:color w:val="auto"/>
                <w:kern w:val="2"/>
                <w:sz w:val="24"/>
                <w:szCs w:val="24"/>
                <w:u w:val="none"/>
                <w:lang w:val="en-US" w:eastAsia="zh-CN" w:bidi="ar-SA"/>
              </w:rPr>
              <w:t>530℃</w:t>
            </w:r>
            <w:r>
              <w:rPr>
                <w:rFonts w:hint="eastAsia" w:ascii="Times New Roman" w:hAnsi="Times New Roman" w:eastAsia="宋体" w:cs="宋体"/>
                <w:color w:val="auto"/>
                <w:kern w:val="2"/>
                <w:sz w:val="24"/>
                <w:szCs w:val="24"/>
                <w:u w:val="none"/>
                <w:lang w:val="en-US" w:eastAsia="zh-CN" w:bidi="ar-SA"/>
              </w:rPr>
              <w:t>；热分解：＞</w:t>
            </w:r>
            <w:r>
              <w:rPr>
                <w:rFonts w:hint="default" w:ascii="Times New Roman" w:hAnsi="Times New Roman" w:eastAsia="宋体" w:cs="宋体"/>
                <w:color w:val="auto"/>
                <w:kern w:val="2"/>
                <w:sz w:val="24"/>
                <w:szCs w:val="24"/>
                <w:u w:val="none"/>
                <w:lang w:val="en-US" w:eastAsia="zh-CN" w:bidi="ar-SA"/>
              </w:rPr>
              <w:t>230℃</w:t>
            </w:r>
            <w:r>
              <w:rPr>
                <w:rFonts w:hint="eastAsia" w:ascii="Times New Roman" w:hAnsi="Times New Roman" w:eastAsia="宋体" w:cs="宋体"/>
                <w:color w:val="auto"/>
                <w:kern w:val="2"/>
                <w:sz w:val="24"/>
                <w:szCs w:val="24"/>
                <w:u w:val="none"/>
                <w:lang w:val="en-US" w:eastAsia="zh-CN" w:bidi="ar-SA"/>
              </w:rPr>
              <w:t>；爆炸危险：无爆炸性；蒸气压：＜</w:t>
            </w:r>
            <w:r>
              <w:rPr>
                <w:rFonts w:hint="default" w:ascii="Times New Roman" w:hAnsi="Times New Roman" w:eastAsia="宋体" w:cs="宋体"/>
                <w:color w:val="auto"/>
                <w:kern w:val="2"/>
                <w:sz w:val="24"/>
                <w:szCs w:val="24"/>
                <w:u w:val="none"/>
                <w:lang w:val="en-US" w:eastAsia="zh-CN" w:bidi="ar-SA"/>
              </w:rPr>
              <w:t>0.01Pa</w:t>
            </w:r>
            <w:r>
              <w:rPr>
                <w:rFonts w:hint="eastAsia" w:cs="宋体"/>
                <w:color w:val="auto"/>
                <w:kern w:val="2"/>
                <w:sz w:val="24"/>
                <w:szCs w:val="24"/>
                <w:u w:val="none"/>
                <w:vertAlign w:val="baseline"/>
                <w:lang w:val="en-US" w:eastAsia="zh-CN" w:bidi="ar-SA"/>
              </w:rPr>
              <w:t>（</w:t>
            </w:r>
            <w:r>
              <w:rPr>
                <w:rFonts w:hint="default" w:ascii="Times New Roman" w:hAnsi="Times New Roman" w:eastAsia="宋体" w:cs="宋体"/>
                <w:color w:val="auto"/>
                <w:kern w:val="2"/>
                <w:sz w:val="24"/>
                <w:szCs w:val="24"/>
                <w:u w:val="none"/>
                <w:lang w:val="en-US" w:eastAsia="zh-CN" w:bidi="ar-SA"/>
              </w:rPr>
              <w:t>25℃</w:t>
            </w:r>
            <w:r>
              <w:rPr>
                <w:rFonts w:hint="eastAsia" w:cs="宋体"/>
                <w:color w:val="auto"/>
                <w:kern w:val="2"/>
                <w:sz w:val="24"/>
                <w:szCs w:val="24"/>
                <w:u w:val="none"/>
                <w:vertAlign w:val="baseline"/>
                <w:lang w:val="en-US" w:eastAsia="zh-CN" w:bidi="ar-SA"/>
              </w:rPr>
              <w:t>）</w:t>
            </w:r>
            <w:r>
              <w:rPr>
                <w:rFonts w:hint="eastAsia" w:ascii="Times New Roman" w:hAnsi="Times New Roman" w:eastAsia="宋体" w:cs="宋体"/>
                <w:color w:val="auto"/>
                <w:kern w:val="2"/>
                <w:sz w:val="24"/>
                <w:szCs w:val="24"/>
                <w:u w:val="none"/>
                <w:lang w:val="en-US" w:eastAsia="zh-CN" w:bidi="ar-SA"/>
              </w:rPr>
              <w:t>；密度：</w:t>
            </w:r>
            <w:r>
              <w:rPr>
                <w:rFonts w:hint="default" w:ascii="Times New Roman" w:hAnsi="Times New Roman" w:eastAsia="宋体" w:cs="宋体"/>
                <w:color w:val="auto"/>
                <w:kern w:val="2"/>
                <w:sz w:val="24"/>
                <w:szCs w:val="24"/>
                <w:u w:val="none"/>
                <w:lang w:val="en-US" w:eastAsia="zh-CN" w:bidi="ar-SA"/>
              </w:rPr>
              <w:t>1.20</w:t>
            </w:r>
            <w:r>
              <w:rPr>
                <w:rFonts w:hint="eastAsia" w:ascii="Times New Roman" w:hAnsi="Times New Roman" w:eastAsia="宋体" w:cs="宋体"/>
                <w:color w:val="auto"/>
                <w:kern w:val="2"/>
                <w:sz w:val="24"/>
                <w:szCs w:val="24"/>
                <w:u w:val="none"/>
                <w:lang w:val="en-US" w:eastAsia="zh-CN" w:bidi="ar-SA"/>
              </w:rPr>
              <w:t>克</w:t>
            </w:r>
            <w:r>
              <w:rPr>
                <w:rFonts w:hint="default" w:ascii="Times New Roman" w:hAnsi="Times New Roman" w:eastAsia="宋体" w:cs="宋体"/>
                <w:color w:val="auto"/>
                <w:kern w:val="2"/>
                <w:sz w:val="24"/>
                <w:szCs w:val="24"/>
                <w:u w:val="none"/>
                <w:lang w:val="en-US" w:eastAsia="zh-CN" w:bidi="ar-SA"/>
              </w:rPr>
              <w:t>/cm</w:t>
            </w:r>
            <w:r>
              <w:rPr>
                <w:rFonts w:hint="default" w:ascii="Times New Roman" w:hAnsi="Times New Roman" w:eastAsia="宋体" w:cs="宋体"/>
                <w:color w:val="auto"/>
                <w:kern w:val="2"/>
                <w:sz w:val="24"/>
                <w:szCs w:val="24"/>
                <w:u w:val="none"/>
                <w:vertAlign w:val="superscript"/>
                <w:lang w:val="en-US" w:eastAsia="zh-CN" w:bidi="ar-SA"/>
              </w:rPr>
              <w:t>3</w:t>
            </w:r>
            <w:r>
              <w:rPr>
                <w:rFonts w:hint="eastAsia" w:cs="宋体"/>
                <w:color w:val="auto"/>
                <w:kern w:val="2"/>
                <w:sz w:val="24"/>
                <w:szCs w:val="24"/>
                <w:u w:val="none"/>
                <w:vertAlign w:val="baseline"/>
                <w:lang w:val="en-US" w:eastAsia="zh-CN" w:bidi="ar-SA"/>
              </w:rPr>
              <w:t>（</w:t>
            </w:r>
            <w:r>
              <w:rPr>
                <w:rFonts w:hint="default" w:ascii="Times New Roman" w:hAnsi="Times New Roman" w:eastAsia="宋体" w:cs="宋体"/>
                <w:color w:val="auto"/>
                <w:kern w:val="2"/>
                <w:sz w:val="24"/>
                <w:szCs w:val="24"/>
                <w:u w:val="none"/>
                <w:lang w:val="en-US" w:eastAsia="zh-CN" w:bidi="ar-SA"/>
              </w:rPr>
              <w:t>25℃</w:t>
            </w:r>
            <w:r>
              <w:rPr>
                <w:rFonts w:hint="eastAsia" w:cs="宋体"/>
                <w:color w:val="auto"/>
                <w:kern w:val="2"/>
                <w:sz w:val="24"/>
                <w:szCs w:val="24"/>
                <w:u w:val="none"/>
                <w:vertAlign w:val="baseline"/>
                <w:lang w:val="en-US" w:eastAsia="zh-CN" w:bidi="ar-SA"/>
              </w:rPr>
              <w:t>）</w:t>
            </w:r>
            <w:r>
              <w:rPr>
                <w:rFonts w:hint="eastAsia" w:ascii="Times New Roman" w:hAnsi="Times New Roman" w:eastAsia="宋体" w:cs="宋体"/>
                <w:color w:val="auto"/>
                <w:kern w:val="2"/>
                <w:sz w:val="24"/>
                <w:szCs w:val="24"/>
                <w:u w:val="none"/>
                <w:lang w:val="en-US" w:eastAsia="zh-CN" w:bidi="ar-SA"/>
              </w:rPr>
              <w:t>；相对密度：大约</w:t>
            </w:r>
            <w:r>
              <w:rPr>
                <w:rFonts w:hint="default" w:ascii="Times New Roman" w:hAnsi="Times New Roman" w:eastAsia="宋体" w:cs="宋体"/>
                <w:color w:val="auto"/>
                <w:kern w:val="2"/>
                <w:sz w:val="24"/>
                <w:szCs w:val="24"/>
                <w:u w:val="none"/>
                <w:lang w:val="en-US" w:eastAsia="zh-CN" w:bidi="ar-SA"/>
              </w:rPr>
              <w:t>1.22</w:t>
            </w:r>
            <w:r>
              <w:rPr>
                <w:rFonts w:hint="eastAsia" w:cs="宋体"/>
                <w:color w:val="auto"/>
                <w:kern w:val="2"/>
                <w:sz w:val="24"/>
                <w:szCs w:val="24"/>
                <w:u w:val="none"/>
                <w:vertAlign w:val="baseline"/>
                <w:lang w:val="en-US" w:eastAsia="zh-CN" w:bidi="ar-SA"/>
              </w:rPr>
              <w:t>（</w:t>
            </w:r>
            <w:r>
              <w:rPr>
                <w:rFonts w:hint="default" w:ascii="Times New Roman" w:hAnsi="Times New Roman" w:eastAsia="宋体" w:cs="宋体"/>
                <w:color w:val="auto"/>
                <w:kern w:val="2"/>
                <w:sz w:val="24"/>
                <w:szCs w:val="24"/>
                <w:u w:val="none"/>
                <w:lang w:val="en-US" w:eastAsia="zh-CN" w:bidi="ar-SA"/>
              </w:rPr>
              <w:t>2</w:t>
            </w:r>
            <w:r>
              <w:rPr>
                <w:rFonts w:hint="eastAsia" w:ascii="Times New Roman" w:hAnsi="Times New Roman" w:eastAsia="宋体" w:cs="宋体"/>
                <w:color w:val="auto"/>
                <w:kern w:val="2"/>
                <w:sz w:val="24"/>
                <w:szCs w:val="24"/>
                <w:u w:val="none"/>
                <w:lang w:val="en-US" w:eastAsia="zh-CN" w:bidi="ar-SA"/>
              </w:rPr>
              <w:t>0</w:t>
            </w:r>
            <w:r>
              <w:rPr>
                <w:rFonts w:hint="default" w:ascii="Times New Roman" w:hAnsi="Times New Roman" w:eastAsia="宋体" w:cs="宋体"/>
                <w:color w:val="auto"/>
                <w:kern w:val="2"/>
                <w:sz w:val="24"/>
                <w:szCs w:val="24"/>
                <w:u w:val="none"/>
                <w:lang w:val="en-US" w:eastAsia="zh-CN" w:bidi="ar-SA"/>
              </w:rPr>
              <w:t>℃</w:t>
            </w:r>
            <w:r>
              <w:rPr>
                <w:rFonts w:hint="eastAsia" w:cs="宋体"/>
                <w:color w:val="auto"/>
                <w:kern w:val="2"/>
                <w:sz w:val="24"/>
                <w:szCs w:val="24"/>
                <w:u w:val="none"/>
                <w:vertAlign w:val="baseline"/>
                <w:lang w:val="en-US" w:eastAsia="zh-CN" w:bidi="ar-SA"/>
              </w:rPr>
              <w:t>）</w:t>
            </w:r>
            <w:r>
              <w:rPr>
                <w:rFonts w:hint="eastAsia" w:ascii="Times New Roman" w:hAnsi="Times New Roman" w:eastAsia="宋体" w:cs="宋体"/>
                <w:color w:val="auto"/>
                <w:kern w:val="2"/>
                <w:sz w:val="24"/>
                <w:szCs w:val="24"/>
                <w:u w:val="none"/>
                <w:lang w:val="en-US" w:eastAsia="zh-CN" w:bidi="ar-SA"/>
              </w:rPr>
              <w:t>；相对蒸气密度（空气）：不适用；水中溶解性：水解形成水溶性化合物；水溶性：与水反应。</w:t>
            </w:r>
          </w:p>
          <w:p w14:paraId="547B6A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left"/>
              <w:textAlignment w:val="auto"/>
              <w:rPr>
                <w:rFonts w:hint="eastAsia" w:ascii="Times New Roman" w:hAnsi="Times New Roman" w:eastAsia="宋体" w:cs="宋体"/>
                <w:color w:val="auto"/>
                <w:kern w:val="2"/>
                <w:sz w:val="24"/>
                <w:szCs w:val="24"/>
                <w:u w:val="none"/>
                <w:lang w:val="en-US" w:eastAsia="zh-CN" w:bidi="ar-SA"/>
              </w:rPr>
            </w:pPr>
            <w:r>
              <w:rPr>
                <w:rFonts w:hint="eastAsia" w:ascii="Times New Roman" w:hAnsi="Times New Roman" w:eastAsia="宋体" w:cs="宋体"/>
                <w:b/>
                <w:bCs/>
                <w:color w:val="auto"/>
                <w:kern w:val="2"/>
                <w:sz w:val="24"/>
                <w:szCs w:val="24"/>
                <w:u w:val="none"/>
                <w:lang w:val="en-US" w:eastAsia="zh-CN" w:bidi="ar-SA"/>
              </w:rPr>
              <w:t>色浆</w:t>
            </w:r>
            <w:r>
              <w:rPr>
                <w:rFonts w:hint="eastAsia" w:ascii="Times New Roman" w:hAnsi="Times New Roman" w:eastAsia="宋体" w:cs="宋体"/>
                <w:color w:val="auto"/>
                <w:kern w:val="2"/>
                <w:sz w:val="24"/>
                <w:szCs w:val="24"/>
                <w:u w:val="none"/>
                <w:lang w:val="en-US" w:eastAsia="zh-CN" w:bidi="ar-SA"/>
              </w:rPr>
              <w:t>：一种颜料浓缩浆，是利用不同的颜料，通过对颜料表面处理、表面包裹等技术，经过严密的加工工艺研制而成。</w:t>
            </w:r>
          </w:p>
          <w:p w14:paraId="5D7773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left"/>
              <w:textAlignment w:val="auto"/>
              <w:rPr>
                <w:rFonts w:hint="eastAsia" w:ascii="Times New Roman" w:hAnsi="Times New Roman" w:eastAsia="宋体" w:cs="宋体"/>
                <w:b w:val="0"/>
                <w:bCs w:val="0"/>
                <w:color w:val="auto"/>
                <w:kern w:val="2"/>
                <w:sz w:val="24"/>
                <w:szCs w:val="24"/>
                <w:u w:val="none"/>
                <w:lang w:val="en-US" w:eastAsia="zh-CN" w:bidi="ar-SA"/>
              </w:rPr>
            </w:pPr>
            <w:r>
              <w:rPr>
                <w:rFonts w:hint="eastAsia" w:ascii="Times New Roman" w:hAnsi="Times New Roman" w:eastAsia="宋体" w:cs="宋体"/>
                <w:b/>
                <w:bCs/>
                <w:color w:val="auto"/>
                <w:kern w:val="2"/>
                <w:sz w:val="24"/>
                <w:szCs w:val="24"/>
                <w:u w:val="none"/>
                <w:lang w:val="en-US" w:eastAsia="zh-CN" w:bidi="ar-SA"/>
              </w:rPr>
              <w:t>水性印花油墨</w:t>
            </w:r>
            <w:r>
              <w:rPr>
                <w:rFonts w:hint="eastAsia" w:ascii="Times New Roman" w:hAnsi="Times New Roman" w:eastAsia="宋体" w:cs="宋体"/>
                <w:b w:val="0"/>
                <w:bCs w:val="0"/>
                <w:color w:val="auto"/>
                <w:kern w:val="2"/>
                <w:sz w:val="24"/>
                <w:szCs w:val="24"/>
                <w:u w:val="none"/>
                <w:lang w:val="en-US" w:eastAsia="zh-CN" w:bidi="ar-SA"/>
              </w:rPr>
              <w:t>：是用于印刷的重要材料，它通过印刷或喷绘将图案、文字表现在承印物上。油墨为黏性胶状流体，其中包括主要成分和辅助成分，由连结料（树脂）、颜料、填料、助剂和溶剂等组成。</w:t>
            </w:r>
            <w:r>
              <w:rPr>
                <w:rFonts w:hint="eastAsia" w:ascii="Times New Roman" w:hAnsi="Times New Roman"/>
                <w:color w:val="auto"/>
                <w:sz w:val="24"/>
                <w:u w:val="none"/>
                <w:lang w:val="en-US" w:eastAsia="zh-CN"/>
              </w:rPr>
              <w:t>根据建设单位提供的水性印花油墨</w:t>
            </w:r>
            <w:r>
              <w:rPr>
                <w:rFonts w:hint="eastAsia"/>
                <w:color w:val="auto"/>
                <w:sz w:val="24"/>
                <w:u w:val="none"/>
                <w:lang w:val="en-US" w:eastAsia="zh-CN"/>
              </w:rPr>
              <w:t>成分</w:t>
            </w:r>
            <w:r>
              <w:rPr>
                <w:rFonts w:hint="eastAsia" w:ascii="Times New Roman" w:hAnsi="Times New Roman"/>
                <w:color w:val="auto"/>
                <w:sz w:val="24"/>
                <w:u w:val="none"/>
                <w:lang w:val="en-US" w:eastAsia="zh-CN"/>
              </w:rPr>
              <w:t>说明和</w:t>
            </w:r>
            <w:r>
              <w:rPr>
                <w:rFonts w:hint="eastAsia" w:ascii="Times New Roman" w:hAnsi="Times New Roman" w:eastAsia="宋体" w:cs="宋体"/>
                <w:b w:val="0"/>
                <w:bCs w:val="0"/>
                <w:color w:val="auto"/>
                <w:kern w:val="2"/>
                <w:sz w:val="24"/>
                <w:szCs w:val="24"/>
                <w:u w:val="none"/>
                <w:lang w:val="en-US" w:eastAsia="zh-CN" w:bidi="ar-SA"/>
              </w:rPr>
              <w:t>VOCs检测报告</w:t>
            </w:r>
            <w:r>
              <w:rPr>
                <w:rFonts w:hint="eastAsia" w:ascii="Times New Roman" w:hAnsi="Times New Roman"/>
                <w:color w:val="auto"/>
                <w:sz w:val="24"/>
                <w:u w:val="none"/>
                <w:lang w:val="en-US" w:eastAsia="zh-CN"/>
              </w:rPr>
              <w:t>，</w:t>
            </w:r>
            <w:r>
              <w:rPr>
                <w:rFonts w:hint="eastAsia" w:ascii="Times New Roman" w:hAnsi="Times New Roman" w:eastAsia="宋体" w:cs="宋体"/>
                <w:b w:val="0"/>
                <w:bCs w:val="0"/>
                <w:color w:val="auto"/>
                <w:kern w:val="2"/>
                <w:sz w:val="24"/>
                <w:szCs w:val="24"/>
                <w:u w:val="none"/>
                <w:lang w:val="en-US" w:eastAsia="zh-CN" w:bidi="ar-SA"/>
              </w:rPr>
              <w:t>苯丙聚合溶液42%、水40%、单乙醇胺1%、聚乙烯蜡0.5%、颜料15%、有机硅0.5%、丙二醇1%；水性印花油墨中的VOCs含量为0.28%。</w:t>
            </w:r>
          </w:p>
          <w:p w14:paraId="458D2F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70" w:firstLineChars="200"/>
              <w:jc w:val="left"/>
              <w:textAlignment w:val="auto"/>
              <w:rPr>
                <w:rFonts w:hint="eastAsia" w:ascii="Times New Roman" w:hAnsi="Times New Roman"/>
                <w:b/>
                <w:bCs/>
                <w:color w:val="auto"/>
                <w:spacing w:val="-3"/>
                <w:sz w:val="24"/>
                <w:u w:val="none"/>
                <w:lang w:val="en-US" w:eastAsia="zh-CN"/>
              </w:rPr>
            </w:pPr>
            <w:r>
              <w:rPr>
                <w:rFonts w:hint="eastAsia" w:ascii="Times New Roman" w:hAnsi="Times New Roman"/>
                <w:b/>
                <w:bCs/>
                <w:color w:val="auto"/>
                <w:spacing w:val="-3"/>
                <w:sz w:val="24"/>
                <w:u w:val="none"/>
                <w:lang w:val="en-US" w:eastAsia="zh-CN"/>
              </w:rPr>
              <w:t>台面胶</w:t>
            </w:r>
            <w:r>
              <w:rPr>
                <w:rFonts w:hint="eastAsia" w:ascii="Times New Roman" w:hAnsi="Times New Roman"/>
                <w:b w:val="0"/>
                <w:bCs w:val="0"/>
                <w:color w:val="auto"/>
                <w:spacing w:val="-3"/>
                <w:sz w:val="24"/>
                <w:u w:val="none"/>
                <w:lang w:val="en-US" w:eastAsia="zh-CN"/>
              </w:rPr>
              <w:t>：聚氨酯类水基型胶粘剂，是低粘度、高分子量、高固体成分的水性乳液，具有优异的持久薄膜表面粘性，广泛应用于要求重复使用的乳液。</w:t>
            </w:r>
          </w:p>
          <w:p w14:paraId="6FA70F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70" w:firstLineChars="200"/>
              <w:jc w:val="left"/>
              <w:textAlignment w:val="auto"/>
              <w:rPr>
                <w:rFonts w:hint="eastAsia" w:ascii="Times New Roman" w:hAnsi="Times New Roman" w:eastAsia="宋体" w:cs="宋体"/>
                <w:color w:val="auto"/>
                <w:kern w:val="2"/>
                <w:sz w:val="24"/>
                <w:szCs w:val="24"/>
                <w:u w:val="none"/>
                <w:lang w:val="en-US" w:eastAsia="zh-CN" w:bidi="ar-SA"/>
              </w:rPr>
            </w:pPr>
            <w:r>
              <w:rPr>
                <w:rFonts w:hint="eastAsia" w:ascii="Times New Roman" w:hAnsi="Times New Roman"/>
                <w:b/>
                <w:bCs/>
                <w:color w:val="auto"/>
                <w:spacing w:val="-3"/>
                <w:sz w:val="24"/>
                <w:u w:val="none"/>
                <w:lang w:val="en-US" w:eastAsia="zh-CN"/>
              </w:rPr>
              <w:t>机油</w:t>
            </w:r>
            <w:r>
              <w:rPr>
                <w:rFonts w:hint="eastAsia" w:ascii="Times New Roman" w:hAnsi="Times New Roman"/>
                <w:color w:val="auto"/>
                <w:spacing w:val="-3"/>
                <w:sz w:val="24"/>
                <w:u w:val="none"/>
                <w:lang w:val="en-US" w:eastAsia="zh-CN"/>
              </w:rPr>
              <w:t>：</w:t>
            </w:r>
            <w:r>
              <w:rPr>
                <w:rFonts w:hint="eastAsia" w:ascii="Times New Roman" w:hAnsi="Times New Roman" w:eastAsia="宋体" w:cs="宋体"/>
                <w:color w:val="auto"/>
                <w:kern w:val="2"/>
                <w:sz w:val="24"/>
                <w:szCs w:val="24"/>
                <w:u w:val="none"/>
                <w:lang w:val="en-US" w:eastAsia="zh-CN" w:bidi="ar-SA"/>
              </w:rPr>
              <w:t>机油，即发动机润滑油，密度约为</w:t>
            </w:r>
            <w:r>
              <w:rPr>
                <w:rFonts w:hint="default" w:ascii="Times New Roman" w:hAnsi="Times New Roman" w:eastAsia="宋体" w:cs="Times New Roman"/>
                <w:color w:val="auto"/>
                <w:kern w:val="2"/>
                <w:sz w:val="24"/>
                <w:szCs w:val="24"/>
                <w:u w:val="none"/>
                <w:lang w:val="en-US" w:eastAsia="zh-CN" w:bidi="ar-SA"/>
              </w:rPr>
              <w:t>0.91×10</w:t>
            </w:r>
            <w:r>
              <w:rPr>
                <w:rFonts w:hint="default" w:ascii="Times New Roman" w:hAnsi="Times New Roman" w:eastAsia="宋体" w:cs="Times New Roman"/>
                <w:color w:val="auto"/>
                <w:kern w:val="2"/>
                <w:sz w:val="24"/>
                <w:szCs w:val="24"/>
                <w:u w:val="none"/>
                <w:vertAlign w:val="superscript"/>
                <w:lang w:val="en-US" w:eastAsia="zh-CN" w:bidi="ar-SA"/>
              </w:rPr>
              <w:t>3</w:t>
            </w:r>
            <w:r>
              <w:rPr>
                <w:rFonts w:hint="default" w:ascii="Times New Roman" w:hAnsi="Times New Roman" w:eastAsia="宋体" w:cs="Times New Roman"/>
                <w:color w:val="auto"/>
                <w:kern w:val="2"/>
                <w:sz w:val="24"/>
                <w:szCs w:val="24"/>
                <w:u w:val="none"/>
                <w:lang w:val="en-US" w:eastAsia="zh-CN" w:bidi="ar-SA"/>
              </w:rPr>
              <w:t>kg/m</w:t>
            </w:r>
            <w:r>
              <w:rPr>
                <w:rFonts w:hint="default" w:ascii="Times New Roman" w:hAnsi="Times New Roman" w:eastAsia="宋体" w:cs="Times New Roman"/>
                <w:color w:val="auto"/>
                <w:kern w:val="2"/>
                <w:sz w:val="24"/>
                <w:szCs w:val="24"/>
                <w:u w:val="none"/>
                <w:vertAlign w:val="superscript"/>
                <w:lang w:val="en-US" w:eastAsia="zh-CN" w:bidi="ar-SA"/>
              </w:rPr>
              <w:t>3</w:t>
            </w:r>
            <w:r>
              <w:rPr>
                <w:rFonts w:hint="eastAsia" w:ascii="Times New Roman" w:hAnsi="Times New Roman" w:eastAsia="宋体" w:cs="宋体"/>
                <w:color w:val="auto"/>
                <w:kern w:val="2"/>
                <w:sz w:val="24"/>
                <w:szCs w:val="24"/>
                <w:u w:val="none"/>
                <w:lang w:val="en-US" w:eastAsia="zh-CN" w:bidi="ar-SA"/>
              </w:rPr>
              <w:t>能对发动机起到润滑减磨、辅助冷却降温、密封防漏、防锈防蚀、减震缓冲等作用。机油由基础油和添加剂两部分组成。基础油是润滑油的主要成分，决定着润滑油的基本性质，添加剂则可弥补和改善基础油性能方面的不足，赋予某些新的性能，是润滑油的重要组成部分。</w:t>
            </w:r>
          </w:p>
          <w:p w14:paraId="6BE4FA2C">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left"/>
              <w:textAlignment w:val="auto"/>
              <w:rPr>
                <w:rFonts w:hint="eastAsia" w:ascii="Times New Roman" w:hAnsi="Times New Roman" w:eastAsia="宋体" w:cs="Times New Roman"/>
                <w:b/>
                <w:bCs/>
                <w:color w:val="auto"/>
                <w:sz w:val="24"/>
                <w:highlight w:val="none"/>
                <w:shd w:val="clear" w:color="auto" w:fill="auto"/>
                <w:lang w:val="en-US" w:eastAsia="zh-CN"/>
              </w:rPr>
            </w:pPr>
            <w:r>
              <w:rPr>
                <w:rFonts w:hint="eastAsia" w:ascii="Times New Roman" w:hAnsi="Times New Roman" w:eastAsia="宋体" w:cs="Times New Roman"/>
                <w:b/>
                <w:bCs/>
                <w:color w:val="auto"/>
                <w:kern w:val="2"/>
                <w:sz w:val="24"/>
                <w:szCs w:val="24"/>
                <w:shd w:val="clear" w:fill="auto"/>
                <w:lang w:val="en-US" w:eastAsia="zh-CN" w:bidi="ar-SA"/>
              </w:rPr>
              <w:t>6、</w:t>
            </w:r>
            <w:r>
              <w:rPr>
                <w:rFonts w:hint="eastAsia" w:ascii="Times New Roman" w:hAnsi="Times New Roman" w:eastAsia="宋体" w:cs="Times New Roman"/>
                <w:b/>
                <w:bCs/>
                <w:color w:val="auto"/>
                <w:sz w:val="24"/>
                <w:highlight w:val="none"/>
                <w:shd w:val="clear" w:color="auto" w:fill="auto"/>
                <w:lang w:val="en-US" w:eastAsia="zh-CN"/>
              </w:rPr>
              <w:t>物料平衡</w:t>
            </w:r>
          </w:p>
          <w:p w14:paraId="177698C0">
            <w:pPr>
              <w:keepNext w:val="0"/>
              <w:keepLines w:val="0"/>
              <w:suppressLineNumbers w:val="0"/>
              <w:spacing w:before="0" w:beforeAutospacing="0" w:after="0" w:afterAutospacing="0" w:line="360" w:lineRule="auto"/>
              <w:ind w:left="0" w:right="0"/>
              <w:jc w:val="center"/>
              <w:rPr>
                <w:rFonts w:hint="eastAsia" w:ascii="Times New Roman" w:hAnsi="Times New Roman" w:eastAsia="宋体" w:cs="Times New Roman"/>
                <w:b/>
                <w:color w:val="auto"/>
                <w:sz w:val="21"/>
                <w:szCs w:val="21"/>
                <w:lang w:val="en-US" w:eastAsia="zh-CN"/>
              </w:rPr>
            </w:pPr>
            <w:r>
              <w:rPr>
                <w:rFonts w:hint="default" w:ascii="Times New Roman" w:hAnsi="Times New Roman" w:eastAsia="宋体" w:cs="Times New Roman"/>
                <w:b/>
                <w:color w:val="auto"/>
                <w:sz w:val="21"/>
                <w:szCs w:val="21"/>
              </w:rPr>
              <w:t>表</w:t>
            </w:r>
            <w:r>
              <w:rPr>
                <w:rFonts w:hint="eastAsia" w:ascii="Times New Roman" w:hAnsi="Times New Roman" w:eastAsia="宋体" w:cs="Times New Roman"/>
                <w:b/>
                <w:color w:val="auto"/>
                <w:sz w:val="21"/>
                <w:szCs w:val="21"/>
                <w:lang w:val="en-US" w:eastAsia="zh-CN"/>
              </w:rPr>
              <w:t>2-</w:t>
            </w:r>
            <w:r>
              <w:rPr>
                <w:rFonts w:hint="eastAsia" w:cs="Times New Roman"/>
                <w:b/>
                <w:color w:val="auto"/>
                <w:sz w:val="21"/>
                <w:szCs w:val="21"/>
                <w:lang w:val="en-US" w:eastAsia="zh-CN"/>
              </w:rPr>
              <w:t>6</w:t>
            </w:r>
            <w:r>
              <w:rPr>
                <w:rFonts w:hint="eastAsia" w:ascii="Times New Roman" w:hAnsi="Times New Roman" w:eastAsia="宋体" w:cs="Times New Roman"/>
                <w:b/>
                <w:color w:val="auto"/>
                <w:sz w:val="21"/>
                <w:szCs w:val="21"/>
                <w:lang w:val="en-US" w:eastAsia="zh-CN"/>
              </w:rPr>
              <w:t xml:space="preserve">  项目整体</w:t>
            </w:r>
            <w:r>
              <w:rPr>
                <w:rFonts w:hint="eastAsia" w:cs="Times New Roman"/>
                <w:b/>
                <w:color w:val="auto"/>
                <w:sz w:val="21"/>
                <w:szCs w:val="21"/>
                <w:lang w:val="en-US" w:eastAsia="zh-CN"/>
              </w:rPr>
              <w:t>物料</w:t>
            </w:r>
            <w:r>
              <w:rPr>
                <w:rFonts w:hint="eastAsia" w:ascii="Times New Roman" w:hAnsi="Times New Roman" w:eastAsia="宋体" w:cs="Times New Roman"/>
                <w:b/>
                <w:color w:val="auto"/>
                <w:sz w:val="21"/>
                <w:szCs w:val="21"/>
                <w:lang w:val="en-US" w:eastAsia="zh-CN"/>
              </w:rPr>
              <w:t>平衡表  单位：t/a</w:t>
            </w:r>
          </w:p>
          <w:tbl>
            <w:tblPr>
              <w:tblStyle w:val="26"/>
              <w:tblW w:w="850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47"/>
              <w:gridCol w:w="1170"/>
              <w:gridCol w:w="1048"/>
              <w:gridCol w:w="1090"/>
              <w:gridCol w:w="869"/>
              <w:gridCol w:w="593"/>
              <w:gridCol w:w="1687"/>
            </w:tblGrid>
            <w:tr w14:paraId="727F93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3217" w:type="dxa"/>
                  <w:gridSpan w:val="2"/>
                  <w:noWrap w:val="0"/>
                  <w:vAlign w:val="center"/>
                </w:tcPr>
                <w:p w14:paraId="431715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eastAsia" w:ascii="Times New Roman" w:hAnsi="Times New Roman" w:eastAsia="宋体" w:cs="Times New Roman"/>
                      <w:b/>
                      <w:bCs/>
                      <w:color w:val="auto"/>
                      <w:sz w:val="21"/>
                      <w:szCs w:val="21"/>
                      <w:lang w:eastAsia="zh-CN"/>
                    </w:rPr>
                  </w:pPr>
                  <w:r>
                    <w:rPr>
                      <w:rFonts w:hint="eastAsia" w:ascii="Times New Roman" w:hAnsi="Times New Roman" w:cs="Times New Roman"/>
                      <w:b/>
                      <w:bCs/>
                      <w:color w:val="auto"/>
                      <w:sz w:val="21"/>
                      <w:szCs w:val="21"/>
                      <w:lang w:eastAsia="zh-CN"/>
                    </w:rPr>
                    <w:t>进方</w:t>
                  </w:r>
                </w:p>
              </w:tc>
              <w:tc>
                <w:tcPr>
                  <w:tcW w:w="3600" w:type="dxa"/>
                  <w:gridSpan w:val="4"/>
                  <w:noWrap w:val="0"/>
                  <w:vAlign w:val="center"/>
                </w:tcPr>
                <w:p w14:paraId="212484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eastAsia" w:ascii="Times New Roman" w:hAnsi="Times New Roman" w:cs="Times New Roman"/>
                      <w:b/>
                      <w:bCs/>
                      <w:color w:val="auto"/>
                      <w:sz w:val="21"/>
                      <w:szCs w:val="21"/>
                      <w:lang w:eastAsia="zh-CN"/>
                    </w:rPr>
                  </w:pPr>
                  <w:r>
                    <w:rPr>
                      <w:rFonts w:hint="eastAsia" w:ascii="Times New Roman" w:hAnsi="Times New Roman" w:cs="Times New Roman"/>
                      <w:b/>
                      <w:bCs/>
                      <w:color w:val="auto"/>
                      <w:sz w:val="21"/>
                      <w:szCs w:val="21"/>
                      <w:lang w:eastAsia="zh-CN"/>
                    </w:rPr>
                    <w:t>出方</w:t>
                  </w:r>
                </w:p>
              </w:tc>
              <w:tc>
                <w:tcPr>
                  <w:tcW w:w="1687" w:type="dxa"/>
                  <w:noWrap w:val="0"/>
                  <w:vAlign w:val="center"/>
                </w:tcPr>
                <w:p w14:paraId="4D8342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default" w:ascii="Times New Roman" w:hAnsi="Times New Roman" w:cs="Times New Roman"/>
                      <w:b/>
                      <w:bCs/>
                      <w:color w:val="auto"/>
                      <w:sz w:val="21"/>
                      <w:szCs w:val="21"/>
                      <w:lang w:val="en-US" w:eastAsia="zh-CN"/>
                    </w:rPr>
                  </w:pPr>
                  <w:r>
                    <w:rPr>
                      <w:rFonts w:hint="eastAsia" w:cs="Times New Roman"/>
                      <w:b/>
                      <w:bCs/>
                      <w:color w:val="auto"/>
                      <w:sz w:val="21"/>
                      <w:szCs w:val="21"/>
                      <w:lang w:val="en-US" w:eastAsia="zh-CN"/>
                    </w:rPr>
                    <w:t>备注</w:t>
                  </w:r>
                </w:p>
              </w:tc>
            </w:tr>
            <w:tr w14:paraId="138D5A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047" w:type="dxa"/>
                  <w:shd w:val="clear" w:color="auto" w:fill="auto"/>
                  <w:noWrap w:val="0"/>
                  <w:vAlign w:val="center"/>
                </w:tcPr>
                <w:p w14:paraId="326559E4">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PVC粉</w:t>
                  </w:r>
                </w:p>
              </w:tc>
              <w:tc>
                <w:tcPr>
                  <w:tcW w:w="1170" w:type="dxa"/>
                  <w:shd w:val="clear" w:color="auto" w:fill="auto"/>
                  <w:noWrap w:val="0"/>
                  <w:vAlign w:val="center"/>
                </w:tcPr>
                <w:p w14:paraId="0C23AE26">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192</w:t>
                  </w:r>
                </w:p>
              </w:tc>
              <w:tc>
                <w:tcPr>
                  <w:tcW w:w="2138" w:type="dxa"/>
                  <w:gridSpan w:val="2"/>
                  <w:shd w:val="clear" w:color="auto" w:fill="auto"/>
                  <w:noWrap w:val="0"/>
                  <w:vAlign w:val="center"/>
                </w:tcPr>
                <w:p w14:paraId="0E460D37">
                  <w:pPr>
                    <w:keepNext w:val="0"/>
                    <w:keepLines w:val="0"/>
                    <w:widowControl w:val="0"/>
                    <w:suppressLineNumbers w:val="0"/>
                    <w:autoSpaceDE w:val="0"/>
                    <w:autoSpaceDN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highlight w:val="none"/>
                      <w:lang w:val="en-US" w:eastAsia="zh-CN" w:bidi="zh-CN"/>
                    </w:rPr>
                  </w:pPr>
                  <w:r>
                    <w:rPr>
                      <w:rFonts w:hint="eastAsia" w:cs="Times New Roman"/>
                      <w:color w:val="auto"/>
                      <w:kern w:val="0"/>
                      <w:sz w:val="21"/>
                      <w:szCs w:val="21"/>
                      <w:highlight w:val="none"/>
                      <w:lang w:val="en-US" w:bidi="zh-CN"/>
                    </w:rPr>
                    <w:t>高跟鞋</w:t>
                  </w:r>
                </w:p>
              </w:tc>
              <w:tc>
                <w:tcPr>
                  <w:tcW w:w="1462" w:type="dxa"/>
                  <w:gridSpan w:val="2"/>
                  <w:noWrap w:val="0"/>
                  <w:vAlign w:val="center"/>
                </w:tcPr>
                <w:p w14:paraId="3A7929A2">
                  <w:pPr>
                    <w:pStyle w:val="114"/>
                    <w:keepNext w:val="0"/>
                    <w:keepLines w:val="0"/>
                    <w:suppressLineNumbers w:val="0"/>
                    <w:bidi w:val="0"/>
                    <w:spacing w:before="0" w:beforeAutospacing="0" w:after="0" w:afterAutospacing="0"/>
                    <w:ind w:left="0" w:right="0"/>
                    <w:rPr>
                      <w:rFonts w:hint="default" w:ascii="Times New Roman" w:hAnsi="Times New Roman" w:eastAsia="宋体" w:cs="Times New Roman"/>
                      <w:b w:val="0"/>
                      <w:bCs w:val="0"/>
                      <w:color w:val="auto"/>
                      <w:kern w:val="2"/>
                      <w:sz w:val="21"/>
                      <w:szCs w:val="21"/>
                      <w:lang w:val="en-US" w:eastAsia="zh-CN" w:bidi="ar-SA"/>
                    </w:rPr>
                  </w:pPr>
                  <w:r>
                    <w:rPr>
                      <w:rFonts w:hint="eastAsia" w:cs="Times New Roman"/>
                      <w:b w:val="0"/>
                      <w:bCs w:val="0"/>
                      <w:color w:val="auto"/>
                      <w:kern w:val="2"/>
                      <w:sz w:val="21"/>
                      <w:szCs w:val="21"/>
                      <w:lang w:val="en-US" w:eastAsia="zh-CN" w:bidi="ar-SA"/>
                    </w:rPr>
                    <w:t>442.4</w:t>
                  </w:r>
                </w:p>
              </w:tc>
              <w:tc>
                <w:tcPr>
                  <w:tcW w:w="1687" w:type="dxa"/>
                  <w:noWrap w:val="0"/>
                  <w:vAlign w:val="center"/>
                </w:tcPr>
                <w:p w14:paraId="78DF1DC3">
                  <w:pPr>
                    <w:pStyle w:val="114"/>
                    <w:keepNext w:val="0"/>
                    <w:keepLines w:val="0"/>
                    <w:suppressLineNumbers w:val="0"/>
                    <w:bidi w:val="0"/>
                    <w:spacing w:before="0" w:beforeAutospacing="0" w:after="0" w:afterAutospacing="0"/>
                    <w:ind w:left="0" w:right="0"/>
                    <w:rPr>
                      <w:rFonts w:hint="default" w:cs="Times New Roman"/>
                      <w:b w:val="0"/>
                      <w:bCs w:val="0"/>
                      <w:color w:val="auto"/>
                      <w:kern w:val="2"/>
                      <w:sz w:val="21"/>
                      <w:szCs w:val="21"/>
                      <w:lang w:val="en-US" w:eastAsia="zh-CN" w:bidi="ar-SA"/>
                    </w:rPr>
                  </w:pPr>
                  <w:r>
                    <w:rPr>
                      <w:rFonts w:hint="eastAsia" w:cs="Times New Roman"/>
                      <w:b w:val="0"/>
                      <w:bCs w:val="0"/>
                      <w:color w:val="auto"/>
                      <w:kern w:val="2"/>
                      <w:sz w:val="21"/>
                      <w:szCs w:val="21"/>
                      <w:lang w:val="en-US" w:eastAsia="zh-CN" w:bidi="ar-SA"/>
                    </w:rPr>
                    <w:t>重量约为553g/双</w:t>
                  </w:r>
                </w:p>
              </w:tc>
            </w:tr>
            <w:tr w14:paraId="3D81CA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047" w:type="dxa"/>
                  <w:shd w:val="clear" w:color="auto" w:fill="auto"/>
                  <w:noWrap w:val="0"/>
                  <w:vAlign w:val="center"/>
                </w:tcPr>
                <w:p w14:paraId="1C52CBB3">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eastAsia="宋体"/>
                      <w:color w:val="auto"/>
                      <w:kern w:val="0"/>
                      <w:sz w:val="21"/>
                      <w:szCs w:val="21"/>
                      <w:u w:val="none"/>
                      <w:lang w:val="en-US" w:eastAsia="zh-CN"/>
                    </w:rPr>
                    <w:t>邻苯二甲酸二丁酯</w:t>
                  </w:r>
                  <w:r>
                    <w:rPr>
                      <w:rFonts w:hint="eastAsia"/>
                      <w:color w:val="auto"/>
                      <w:kern w:val="0"/>
                      <w:sz w:val="21"/>
                      <w:szCs w:val="21"/>
                      <w:u w:val="none"/>
                      <w:lang w:val="en-US" w:eastAsia="zh-CN"/>
                    </w:rPr>
                    <w:t>（增塑剂）</w:t>
                  </w:r>
                </w:p>
              </w:tc>
              <w:tc>
                <w:tcPr>
                  <w:tcW w:w="1170" w:type="dxa"/>
                  <w:shd w:val="clear" w:color="auto" w:fill="auto"/>
                  <w:noWrap w:val="0"/>
                  <w:vAlign w:val="center"/>
                </w:tcPr>
                <w:p w14:paraId="09979186">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146</w:t>
                  </w:r>
                </w:p>
              </w:tc>
              <w:tc>
                <w:tcPr>
                  <w:tcW w:w="2138" w:type="dxa"/>
                  <w:gridSpan w:val="2"/>
                  <w:shd w:val="clear" w:color="auto" w:fill="auto"/>
                  <w:noWrap w:val="0"/>
                  <w:vAlign w:val="center"/>
                </w:tcPr>
                <w:p w14:paraId="026AB727">
                  <w:pPr>
                    <w:keepNext w:val="0"/>
                    <w:keepLines w:val="0"/>
                    <w:widowControl w:val="0"/>
                    <w:suppressLineNumbers w:val="0"/>
                    <w:autoSpaceDE w:val="0"/>
                    <w:autoSpaceDN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highlight w:val="none"/>
                      <w:lang w:val="en-US" w:eastAsia="zh-CN" w:bidi="zh-CN"/>
                    </w:rPr>
                  </w:pPr>
                  <w:r>
                    <w:rPr>
                      <w:rFonts w:hint="eastAsia" w:cs="Times New Roman"/>
                      <w:color w:val="auto"/>
                      <w:kern w:val="0"/>
                      <w:sz w:val="21"/>
                      <w:szCs w:val="21"/>
                      <w:highlight w:val="none"/>
                      <w:lang w:val="en-US" w:eastAsia="zh-CN" w:bidi="zh-CN"/>
                    </w:rPr>
                    <w:t>皮鞋</w:t>
                  </w:r>
                </w:p>
              </w:tc>
              <w:tc>
                <w:tcPr>
                  <w:tcW w:w="1462" w:type="dxa"/>
                  <w:gridSpan w:val="2"/>
                  <w:noWrap w:val="0"/>
                  <w:vAlign w:val="center"/>
                </w:tcPr>
                <w:p w14:paraId="3D1E1755">
                  <w:pPr>
                    <w:pStyle w:val="114"/>
                    <w:keepNext w:val="0"/>
                    <w:keepLines w:val="0"/>
                    <w:suppressLineNumbers w:val="0"/>
                    <w:bidi w:val="0"/>
                    <w:spacing w:before="0" w:beforeAutospacing="0" w:after="0" w:afterAutospacing="0"/>
                    <w:ind w:left="0" w:right="0"/>
                    <w:rPr>
                      <w:rFonts w:hint="default" w:ascii="Times New Roman" w:hAnsi="Times New Roman" w:eastAsia="宋体" w:cs="Times New Roman"/>
                      <w:b w:val="0"/>
                      <w:bCs w:val="0"/>
                      <w:color w:val="auto"/>
                      <w:kern w:val="2"/>
                      <w:sz w:val="21"/>
                      <w:szCs w:val="21"/>
                      <w:lang w:val="en-US" w:eastAsia="zh-CN" w:bidi="ar-SA"/>
                    </w:rPr>
                  </w:pPr>
                  <w:r>
                    <w:rPr>
                      <w:rFonts w:hint="eastAsia" w:cs="Times New Roman"/>
                      <w:b w:val="0"/>
                      <w:bCs w:val="0"/>
                      <w:color w:val="auto"/>
                      <w:kern w:val="2"/>
                      <w:sz w:val="21"/>
                      <w:szCs w:val="21"/>
                      <w:lang w:val="en-US" w:eastAsia="zh-CN" w:bidi="ar-SA"/>
                    </w:rPr>
                    <w:t>470.332</w:t>
                  </w:r>
                </w:p>
              </w:tc>
              <w:tc>
                <w:tcPr>
                  <w:tcW w:w="1687" w:type="dxa"/>
                  <w:noWrap w:val="0"/>
                  <w:vAlign w:val="center"/>
                </w:tcPr>
                <w:p w14:paraId="3A758802">
                  <w:pPr>
                    <w:pStyle w:val="114"/>
                    <w:keepNext w:val="0"/>
                    <w:keepLines w:val="0"/>
                    <w:suppressLineNumbers w:val="0"/>
                    <w:bidi w:val="0"/>
                    <w:spacing w:before="0" w:beforeAutospacing="0" w:after="0" w:afterAutospacing="0"/>
                    <w:ind w:left="0" w:right="0"/>
                    <w:rPr>
                      <w:rFonts w:hint="eastAsia" w:cs="Times New Roman"/>
                      <w:b w:val="0"/>
                      <w:bCs w:val="0"/>
                      <w:color w:val="auto"/>
                      <w:kern w:val="2"/>
                      <w:sz w:val="21"/>
                      <w:szCs w:val="21"/>
                      <w:lang w:val="en-US" w:eastAsia="zh-CN" w:bidi="ar-SA"/>
                    </w:rPr>
                  </w:pPr>
                  <w:r>
                    <w:rPr>
                      <w:rFonts w:hint="eastAsia" w:cs="Times New Roman"/>
                      <w:b w:val="0"/>
                      <w:bCs w:val="0"/>
                      <w:color w:val="auto"/>
                      <w:kern w:val="2"/>
                      <w:sz w:val="21"/>
                      <w:szCs w:val="21"/>
                      <w:lang w:val="en-US" w:eastAsia="zh-CN" w:bidi="ar-SA"/>
                    </w:rPr>
                    <w:t>重量约为587.92g/双</w:t>
                  </w:r>
                </w:p>
              </w:tc>
            </w:tr>
            <w:tr w14:paraId="1405A5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047" w:type="dxa"/>
                  <w:shd w:val="clear" w:color="auto" w:fill="auto"/>
                  <w:noWrap w:val="0"/>
                  <w:vAlign w:val="center"/>
                </w:tcPr>
                <w:p w14:paraId="44EFF43A">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ascii="Times New Roman" w:hAnsi="Times New Roman" w:eastAsia="宋体" w:cs="Times New Roman"/>
                      <w:color w:val="auto"/>
                      <w:kern w:val="0"/>
                      <w:sz w:val="21"/>
                      <w:szCs w:val="21"/>
                      <w:u w:val="none"/>
                      <w:lang w:val="en-US" w:eastAsia="zh-CN"/>
                    </w:rPr>
                    <w:t>碳酸钙</w:t>
                  </w:r>
                </w:p>
              </w:tc>
              <w:tc>
                <w:tcPr>
                  <w:tcW w:w="1170" w:type="dxa"/>
                  <w:shd w:val="clear" w:color="auto" w:fill="auto"/>
                  <w:noWrap w:val="0"/>
                  <w:vAlign w:val="center"/>
                </w:tcPr>
                <w:p w14:paraId="7A016847">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128</w:t>
                  </w:r>
                </w:p>
              </w:tc>
              <w:tc>
                <w:tcPr>
                  <w:tcW w:w="2138" w:type="dxa"/>
                  <w:gridSpan w:val="2"/>
                  <w:shd w:val="clear" w:color="auto" w:fill="auto"/>
                  <w:noWrap w:val="0"/>
                  <w:vAlign w:val="center"/>
                </w:tcPr>
                <w:p w14:paraId="140FF01B">
                  <w:pPr>
                    <w:keepNext w:val="0"/>
                    <w:keepLines w:val="0"/>
                    <w:widowControl w:val="0"/>
                    <w:suppressLineNumbers w:val="0"/>
                    <w:autoSpaceDE w:val="0"/>
                    <w:autoSpaceDN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highlight w:val="none"/>
                      <w:lang w:val="en-US" w:eastAsia="zh-CN" w:bidi="zh-CN"/>
                    </w:rPr>
                  </w:pPr>
                  <w:r>
                    <w:rPr>
                      <w:rFonts w:hint="eastAsia" w:cs="Times New Roman"/>
                      <w:color w:val="auto"/>
                      <w:kern w:val="0"/>
                      <w:sz w:val="21"/>
                      <w:szCs w:val="21"/>
                      <w:highlight w:val="none"/>
                      <w:lang w:val="en-US" w:eastAsia="zh-CN" w:bidi="zh-CN"/>
                    </w:rPr>
                    <w:t>注塑鞋</w:t>
                  </w:r>
                </w:p>
              </w:tc>
              <w:tc>
                <w:tcPr>
                  <w:tcW w:w="1462" w:type="dxa"/>
                  <w:gridSpan w:val="2"/>
                  <w:noWrap w:val="0"/>
                  <w:vAlign w:val="center"/>
                </w:tcPr>
                <w:p w14:paraId="18D5D571">
                  <w:pPr>
                    <w:pStyle w:val="114"/>
                    <w:keepNext w:val="0"/>
                    <w:keepLines w:val="0"/>
                    <w:suppressLineNumbers w:val="0"/>
                    <w:bidi w:val="0"/>
                    <w:spacing w:before="0" w:beforeAutospacing="0" w:after="0" w:afterAutospacing="0"/>
                    <w:ind w:left="0" w:right="0"/>
                    <w:rPr>
                      <w:rFonts w:hint="default" w:ascii="Times New Roman" w:hAnsi="Times New Roman" w:eastAsia="宋体" w:cs="Times New Roman"/>
                      <w:b w:val="0"/>
                      <w:bCs w:val="0"/>
                      <w:color w:val="auto"/>
                      <w:kern w:val="2"/>
                      <w:sz w:val="21"/>
                      <w:szCs w:val="21"/>
                      <w:lang w:val="en-US" w:eastAsia="zh-CN" w:bidi="ar-SA"/>
                    </w:rPr>
                  </w:pPr>
                  <w:r>
                    <w:rPr>
                      <w:rFonts w:hint="eastAsia" w:cs="Times New Roman"/>
                      <w:b w:val="0"/>
                      <w:bCs w:val="0"/>
                      <w:color w:val="auto"/>
                      <w:kern w:val="2"/>
                      <w:sz w:val="21"/>
                      <w:szCs w:val="21"/>
                      <w:lang w:val="en-US" w:eastAsia="zh-CN" w:bidi="ar-SA"/>
                    </w:rPr>
                    <w:t>535.352</w:t>
                  </w:r>
                </w:p>
              </w:tc>
              <w:tc>
                <w:tcPr>
                  <w:tcW w:w="1687" w:type="dxa"/>
                  <w:shd w:val="clear" w:color="auto" w:fill="auto"/>
                  <w:noWrap w:val="0"/>
                  <w:vAlign w:val="center"/>
                </w:tcPr>
                <w:p w14:paraId="18AC0668">
                  <w:pPr>
                    <w:pStyle w:val="114"/>
                    <w:keepNext w:val="0"/>
                    <w:keepLines w:val="0"/>
                    <w:suppressLineNumbers w:val="0"/>
                    <w:bidi w:val="0"/>
                    <w:spacing w:before="0" w:beforeAutospacing="0" w:after="0" w:afterAutospacing="0"/>
                    <w:ind w:left="0" w:right="0"/>
                    <w:rPr>
                      <w:rFonts w:hint="eastAsia" w:ascii="Times New Roman" w:hAnsi="Times New Roman" w:eastAsia="宋体" w:cs="Times New Roman"/>
                      <w:b w:val="0"/>
                      <w:bCs w:val="0"/>
                      <w:color w:val="auto"/>
                      <w:kern w:val="2"/>
                      <w:sz w:val="21"/>
                      <w:szCs w:val="21"/>
                      <w:lang w:val="en-US" w:eastAsia="zh-CN" w:bidi="ar-SA"/>
                    </w:rPr>
                  </w:pPr>
                  <w:r>
                    <w:rPr>
                      <w:rFonts w:hint="eastAsia" w:cs="Times New Roman"/>
                      <w:b w:val="0"/>
                      <w:bCs w:val="0"/>
                      <w:color w:val="auto"/>
                      <w:kern w:val="2"/>
                      <w:sz w:val="21"/>
                      <w:szCs w:val="21"/>
                      <w:lang w:val="en-US" w:eastAsia="zh-CN" w:bidi="ar-SA"/>
                    </w:rPr>
                    <w:t>重量约为446.13g/双</w:t>
                  </w:r>
                </w:p>
              </w:tc>
            </w:tr>
            <w:tr w14:paraId="3AE527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047" w:type="dxa"/>
                  <w:shd w:val="clear" w:color="auto" w:fill="auto"/>
                  <w:noWrap w:val="0"/>
                  <w:vAlign w:val="center"/>
                </w:tcPr>
                <w:p w14:paraId="3F050360">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ascii="Times New Roman" w:hAnsi="Times New Roman" w:eastAsia="宋体" w:cs="Times New Roman"/>
                      <w:color w:val="auto"/>
                      <w:kern w:val="0"/>
                      <w:sz w:val="21"/>
                      <w:szCs w:val="21"/>
                      <w:u w:val="none"/>
                      <w:lang w:val="en-US" w:eastAsia="zh-CN"/>
                    </w:rPr>
                    <w:t>钛白粉</w:t>
                  </w:r>
                </w:p>
              </w:tc>
              <w:tc>
                <w:tcPr>
                  <w:tcW w:w="1170" w:type="dxa"/>
                  <w:shd w:val="clear" w:color="auto" w:fill="auto"/>
                  <w:noWrap w:val="0"/>
                  <w:vAlign w:val="center"/>
                </w:tcPr>
                <w:p w14:paraId="2B3DEDFD">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12</w:t>
                  </w:r>
                </w:p>
              </w:tc>
              <w:tc>
                <w:tcPr>
                  <w:tcW w:w="2138" w:type="dxa"/>
                  <w:gridSpan w:val="2"/>
                  <w:shd w:val="clear" w:color="auto" w:fill="auto"/>
                  <w:noWrap w:val="0"/>
                  <w:vAlign w:val="center"/>
                </w:tcPr>
                <w:p w14:paraId="35BE096E">
                  <w:pPr>
                    <w:keepNext w:val="0"/>
                    <w:keepLines w:val="0"/>
                    <w:widowControl w:val="0"/>
                    <w:suppressLineNumbers w:val="0"/>
                    <w:autoSpaceDE w:val="0"/>
                    <w:autoSpaceDN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highlight w:val="none"/>
                      <w:lang w:val="en-US" w:eastAsia="zh-CN" w:bidi="zh-CN"/>
                    </w:rPr>
                  </w:pPr>
                  <w:r>
                    <w:rPr>
                      <w:rFonts w:hint="eastAsia" w:ascii="Times New Roman" w:hAnsi="Times New Roman"/>
                      <w:b w:val="0"/>
                      <w:bCs/>
                      <w:color w:val="auto"/>
                      <w:szCs w:val="21"/>
                      <w:lang w:val="en-US" w:eastAsia="zh-CN"/>
                    </w:rPr>
                    <w:t>聚氨酯鞋垫</w:t>
                  </w:r>
                </w:p>
              </w:tc>
              <w:tc>
                <w:tcPr>
                  <w:tcW w:w="1462" w:type="dxa"/>
                  <w:gridSpan w:val="2"/>
                  <w:noWrap w:val="0"/>
                  <w:vAlign w:val="center"/>
                </w:tcPr>
                <w:p w14:paraId="56E8474B">
                  <w:pPr>
                    <w:pStyle w:val="114"/>
                    <w:keepNext w:val="0"/>
                    <w:keepLines w:val="0"/>
                    <w:suppressLineNumbers w:val="0"/>
                    <w:bidi w:val="0"/>
                    <w:spacing w:before="0" w:beforeAutospacing="0" w:after="0" w:afterAutospacing="0"/>
                    <w:ind w:left="0" w:right="0"/>
                    <w:rPr>
                      <w:rFonts w:hint="default" w:ascii="Times New Roman" w:hAnsi="Times New Roman" w:eastAsia="宋体" w:cs="Times New Roman"/>
                      <w:b w:val="0"/>
                      <w:bCs w:val="0"/>
                      <w:color w:val="auto"/>
                      <w:kern w:val="2"/>
                      <w:sz w:val="21"/>
                      <w:szCs w:val="21"/>
                      <w:lang w:val="en-US" w:eastAsia="zh-CN" w:bidi="ar-SA"/>
                    </w:rPr>
                  </w:pPr>
                  <w:r>
                    <w:rPr>
                      <w:rFonts w:hint="eastAsia" w:cs="Times New Roman"/>
                      <w:b w:val="0"/>
                      <w:bCs w:val="0"/>
                      <w:color w:val="auto"/>
                      <w:kern w:val="2"/>
                      <w:sz w:val="21"/>
                      <w:szCs w:val="21"/>
                      <w:lang w:val="en-US" w:eastAsia="zh-CN" w:bidi="ar-SA"/>
                    </w:rPr>
                    <w:t>84.783</w:t>
                  </w:r>
                </w:p>
              </w:tc>
              <w:tc>
                <w:tcPr>
                  <w:tcW w:w="1687" w:type="dxa"/>
                  <w:noWrap w:val="0"/>
                  <w:vAlign w:val="center"/>
                </w:tcPr>
                <w:p w14:paraId="03979CEE">
                  <w:pPr>
                    <w:pStyle w:val="114"/>
                    <w:keepNext w:val="0"/>
                    <w:keepLines w:val="0"/>
                    <w:suppressLineNumbers w:val="0"/>
                    <w:bidi w:val="0"/>
                    <w:spacing w:before="0" w:beforeAutospacing="0" w:after="0" w:afterAutospacing="0"/>
                    <w:ind w:left="0" w:right="0"/>
                    <w:rPr>
                      <w:rFonts w:hint="eastAsia" w:cs="Times New Roman"/>
                      <w:b w:val="0"/>
                      <w:bCs w:val="0"/>
                      <w:color w:val="auto"/>
                      <w:kern w:val="2"/>
                      <w:sz w:val="21"/>
                      <w:szCs w:val="21"/>
                      <w:lang w:val="en-US" w:eastAsia="zh-CN" w:bidi="ar-SA"/>
                    </w:rPr>
                  </w:pPr>
                  <w:r>
                    <w:rPr>
                      <w:rFonts w:hint="eastAsia" w:cs="Times New Roman"/>
                      <w:b w:val="0"/>
                      <w:bCs w:val="0"/>
                      <w:color w:val="auto"/>
                      <w:kern w:val="2"/>
                      <w:sz w:val="21"/>
                      <w:szCs w:val="21"/>
                      <w:lang w:val="en-US" w:eastAsia="zh-CN" w:bidi="ar-SA"/>
                    </w:rPr>
                    <w:t>重量约为42.39g/双</w:t>
                  </w:r>
                </w:p>
              </w:tc>
            </w:tr>
            <w:tr w14:paraId="251CBE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047" w:type="dxa"/>
                  <w:shd w:val="clear" w:color="auto" w:fill="auto"/>
                  <w:noWrap w:val="0"/>
                  <w:vAlign w:val="center"/>
                </w:tcPr>
                <w:p w14:paraId="483DAC4D">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ascii="Times New Roman" w:hAnsi="Times New Roman" w:eastAsia="宋体" w:cs="Times New Roman"/>
                      <w:color w:val="auto"/>
                      <w:kern w:val="0"/>
                      <w:sz w:val="21"/>
                      <w:szCs w:val="21"/>
                      <w:u w:val="none"/>
                      <w:lang w:val="en-US" w:eastAsia="zh-CN"/>
                    </w:rPr>
                    <w:t>发泡剂</w:t>
                  </w:r>
                </w:p>
              </w:tc>
              <w:tc>
                <w:tcPr>
                  <w:tcW w:w="1170" w:type="dxa"/>
                  <w:shd w:val="clear" w:color="auto" w:fill="auto"/>
                  <w:noWrap w:val="0"/>
                  <w:vAlign w:val="center"/>
                </w:tcPr>
                <w:p w14:paraId="7DCBD152">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6</w:t>
                  </w:r>
                </w:p>
              </w:tc>
              <w:tc>
                <w:tcPr>
                  <w:tcW w:w="2138" w:type="dxa"/>
                  <w:gridSpan w:val="2"/>
                  <w:shd w:val="clear" w:color="auto" w:fill="auto"/>
                  <w:noWrap w:val="0"/>
                  <w:vAlign w:val="center"/>
                </w:tcPr>
                <w:p w14:paraId="286EE77A">
                  <w:pPr>
                    <w:keepNext w:val="0"/>
                    <w:keepLines w:val="0"/>
                    <w:widowControl w:val="0"/>
                    <w:suppressLineNumbers w:val="0"/>
                    <w:autoSpaceDE w:val="0"/>
                    <w:autoSpaceDN w:val="0"/>
                    <w:spacing w:before="0" w:beforeAutospacing="0" w:after="0" w:afterAutospacing="0" w:line="240" w:lineRule="auto"/>
                    <w:ind w:left="0" w:right="0" w:firstLine="0" w:firstLineChars="0"/>
                    <w:jc w:val="center"/>
                    <w:rPr>
                      <w:rFonts w:hint="eastAsia" w:ascii="Times New Roman" w:hAnsi="Times New Roman" w:eastAsia="宋体" w:cs="Times New Roman"/>
                      <w:b w:val="0"/>
                      <w:bCs/>
                      <w:color w:val="auto"/>
                      <w:kern w:val="2"/>
                      <w:sz w:val="21"/>
                      <w:szCs w:val="21"/>
                      <w:lang w:val="en-US" w:eastAsia="zh-CN" w:bidi="ar-SA"/>
                    </w:rPr>
                  </w:pPr>
                  <w:r>
                    <w:rPr>
                      <w:rFonts w:hint="eastAsia"/>
                      <w:color w:val="auto"/>
                      <w:sz w:val="21"/>
                      <w:szCs w:val="21"/>
                      <w:lang w:val="en-US" w:eastAsia="zh-CN"/>
                    </w:rPr>
                    <w:t>注塑鞋底</w:t>
                  </w:r>
                </w:p>
              </w:tc>
              <w:tc>
                <w:tcPr>
                  <w:tcW w:w="1462" w:type="dxa"/>
                  <w:gridSpan w:val="2"/>
                  <w:noWrap w:val="0"/>
                  <w:vAlign w:val="center"/>
                </w:tcPr>
                <w:p w14:paraId="439C58C0">
                  <w:pPr>
                    <w:pStyle w:val="114"/>
                    <w:keepNext w:val="0"/>
                    <w:keepLines w:val="0"/>
                    <w:suppressLineNumbers w:val="0"/>
                    <w:bidi w:val="0"/>
                    <w:spacing w:before="0" w:beforeAutospacing="0" w:after="0" w:afterAutospacing="0"/>
                    <w:ind w:left="0" w:right="0"/>
                    <w:rPr>
                      <w:rFonts w:hint="default" w:ascii="Times New Roman" w:hAnsi="Times New Roman" w:eastAsia="宋体" w:cs="Times New Roman"/>
                      <w:b w:val="0"/>
                      <w:bCs w:val="0"/>
                      <w:color w:val="auto"/>
                      <w:kern w:val="2"/>
                      <w:sz w:val="21"/>
                      <w:szCs w:val="21"/>
                      <w:lang w:val="en-US" w:eastAsia="zh-CN" w:bidi="ar-SA"/>
                    </w:rPr>
                  </w:pPr>
                  <w:r>
                    <w:rPr>
                      <w:rFonts w:hint="eastAsia" w:cs="Times New Roman"/>
                      <w:b w:val="0"/>
                      <w:bCs w:val="0"/>
                      <w:color w:val="auto"/>
                      <w:kern w:val="2"/>
                      <w:sz w:val="21"/>
                      <w:szCs w:val="21"/>
                      <w:lang w:val="en-US" w:eastAsia="zh-CN" w:bidi="ar-SA"/>
                    </w:rPr>
                    <w:t>498.4382</w:t>
                  </w:r>
                </w:p>
              </w:tc>
              <w:tc>
                <w:tcPr>
                  <w:tcW w:w="1687" w:type="dxa"/>
                  <w:noWrap w:val="0"/>
                  <w:vAlign w:val="center"/>
                </w:tcPr>
                <w:p w14:paraId="61BA537B">
                  <w:pPr>
                    <w:pStyle w:val="114"/>
                    <w:keepNext w:val="0"/>
                    <w:keepLines w:val="0"/>
                    <w:suppressLineNumbers w:val="0"/>
                    <w:bidi w:val="0"/>
                    <w:spacing w:before="0" w:beforeAutospacing="0" w:after="0" w:afterAutospacing="0"/>
                    <w:ind w:left="0" w:right="0"/>
                    <w:rPr>
                      <w:rFonts w:hint="eastAsia" w:cs="Times New Roman"/>
                      <w:b w:val="0"/>
                      <w:bCs w:val="0"/>
                      <w:color w:val="auto"/>
                      <w:kern w:val="2"/>
                      <w:sz w:val="21"/>
                      <w:szCs w:val="21"/>
                      <w:lang w:val="en-US" w:eastAsia="zh-CN" w:bidi="ar-SA"/>
                    </w:rPr>
                  </w:pPr>
                  <w:r>
                    <w:rPr>
                      <w:rFonts w:hint="eastAsia" w:cs="Times New Roman"/>
                      <w:b w:val="0"/>
                      <w:bCs w:val="0"/>
                      <w:color w:val="auto"/>
                      <w:kern w:val="2"/>
                      <w:sz w:val="21"/>
                      <w:szCs w:val="21"/>
                      <w:lang w:val="en-US" w:eastAsia="zh-CN" w:bidi="ar-SA"/>
                    </w:rPr>
                    <w:t>重量约为249.219g/双</w:t>
                  </w:r>
                </w:p>
              </w:tc>
            </w:tr>
            <w:tr w14:paraId="5C50B2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047" w:type="dxa"/>
                  <w:shd w:val="clear" w:color="auto" w:fill="auto"/>
                  <w:noWrap w:val="0"/>
                  <w:vAlign w:val="center"/>
                </w:tcPr>
                <w:p w14:paraId="6E48D5A9">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ascii="Times New Roman" w:hAnsi="Times New Roman" w:eastAsia="宋体" w:cs="Times New Roman"/>
                      <w:color w:val="auto"/>
                      <w:kern w:val="0"/>
                      <w:sz w:val="21"/>
                      <w:szCs w:val="21"/>
                      <w:u w:val="none"/>
                      <w:lang w:val="en-US" w:eastAsia="zh-CN"/>
                    </w:rPr>
                    <w:t>稳定剂</w:t>
                  </w:r>
                </w:p>
              </w:tc>
              <w:tc>
                <w:tcPr>
                  <w:tcW w:w="1170" w:type="dxa"/>
                  <w:shd w:val="clear" w:color="auto" w:fill="auto"/>
                  <w:noWrap w:val="0"/>
                  <w:vAlign w:val="center"/>
                </w:tcPr>
                <w:p w14:paraId="63DD0970">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4</w:t>
                  </w:r>
                </w:p>
              </w:tc>
              <w:tc>
                <w:tcPr>
                  <w:tcW w:w="2138" w:type="dxa"/>
                  <w:gridSpan w:val="2"/>
                  <w:noWrap w:val="0"/>
                  <w:vAlign w:val="center"/>
                </w:tcPr>
                <w:p w14:paraId="14A35F84">
                  <w:pPr>
                    <w:pStyle w:val="114"/>
                    <w:keepNext w:val="0"/>
                    <w:keepLines w:val="0"/>
                    <w:suppressLineNumbers w:val="0"/>
                    <w:bidi w:val="0"/>
                    <w:spacing w:before="0" w:beforeAutospacing="0" w:after="0" w:afterAutospacing="0"/>
                    <w:ind w:left="0" w:right="0"/>
                    <w:rPr>
                      <w:rStyle w:val="103"/>
                      <w:rFonts w:hint="eastAsia"/>
                      <w:b w:val="0"/>
                      <w:bCs w:val="0"/>
                      <w:color w:val="auto"/>
                      <w:lang w:val="en-US" w:eastAsia="zh-CN" w:bidi="ar"/>
                    </w:rPr>
                  </w:pPr>
                  <w:r>
                    <w:rPr>
                      <w:rStyle w:val="103"/>
                      <w:rFonts w:hint="eastAsia"/>
                      <w:b w:val="0"/>
                      <w:bCs w:val="0"/>
                      <w:color w:val="auto"/>
                      <w:lang w:val="en-US" w:eastAsia="zh-CN" w:bidi="ar"/>
                    </w:rPr>
                    <w:t>活性炭吸附</w:t>
                  </w:r>
                </w:p>
              </w:tc>
              <w:tc>
                <w:tcPr>
                  <w:tcW w:w="1462" w:type="dxa"/>
                  <w:gridSpan w:val="2"/>
                  <w:noWrap w:val="0"/>
                  <w:vAlign w:val="center"/>
                </w:tcPr>
                <w:p w14:paraId="0FE51E81">
                  <w:pPr>
                    <w:pStyle w:val="114"/>
                    <w:keepNext w:val="0"/>
                    <w:keepLines w:val="0"/>
                    <w:suppressLineNumbers w:val="0"/>
                    <w:bidi w:val="0"/>
                    <w:spacing w:before="0" w:beforeAutospacing="0" w:after="0" w:afterAutospacing="0"/>
                    <w:ind w:left="0" w:right="0"/>
                    <w:rPr>
                      <w:rFonts w:hint="default" w:ascii="Times New Roman" w:hAnsi="Times New Roman" w:eastAsia="宋体" w:cs="Times New Roman"/>
                      <w:b w:val="0"/>
                      <w:bCs w:val="0"/>
                      <w:color w:val="auto"/>
                      <w:kern w:val="2"/>
                      <w:sz w:val="21"/>
                      <w:szCs w:val="21"/>
                      <w:lang w:val="en-US" w:eastAsia="zh-CN" w:bidi="ar-SA"/>
                    </w:rPr>
                  </w:pPr>
                  <w:r>
                    <w:rPr>
                      <w:rFonts w:hint="eastAsia" w:cs="Times New Roman"/>
                      <w:b w:val="0"/>
                      <w:bCs w:val="0"/>
                      <w:color w:val="auto"/>
                      <w:kern w:val="2"/>
                      <w:sz w:val="21"/>
                      <w:szCs w:val="21"/>
                      <w:lang w:val="en-US" w:eastAsia="zh-CN" w:bidi="ar-SA"/>
                    </w:rPr>
                    <w:t>7.155</w:t>
                  </w:r>
                </w:p>
              </w:tc>
              <w:tc>
                <w:tcPr>
                  <w:tcW w:w="1687" w:type="dxa"/>
                  <w:noWrap w:val="0"/>
                  <w:vAlign w:val="center"/>
                </w:tcPr>
                <w:p w14:paraId="3FD72477">
                  <w:pPr>
                    <w:pStyle w:val="114"/>
                    <w:keepNext w:val="0"/>
                    <w:keepLines w:val="0"/>
                    <w:suppressLineNumbers w:val="0"/>
                    <w:bidi w:val="0"/>
                    <w:spacing w:before="0" w:beforeAutospacing="0" w:after="0" w:afterAutospacing="0"/>
                    <w:ind w:left="0" w:right="0"/>
                    <w:rPr>
                      <w:rFonts w:hint="eastAsia" w:cs="Times New Roman"/>
                      <w:b w:val="0"/>
                      <w:bCs w:val="0"/>
                      <w:color w:val="auto"/>
                      <w:kern w:val="2"/>
                      <w:sz w:val="21"/>
                      <w:szCs w:val="21"/>
                      <w:lang w:val="en-US" w:eastAsia="zh-CN" w:bidi="ar-SA"/>
                    </w:rPr>
                  </w:pPr>
                </w:p>
              </w:tc>
            </w:tr>
            <w:tr w14:paraId="276840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 w:hRule="atLeast"/>
                <w:jc w:val="center"/>
              </w:trPr>
              <w:tc>
                <w:tcPr>
                  <w:tcW w:w="2047" w:type="dxa"/>
                  <w:vMerge w:val="restart"/>
                  <w:shd w:val="clear" w:color="auto" w:fill="auto"/>
                  <w:noWrap w:val="0"/>
                  <w:vAlign w:val="center"/>
                </w:tcPr>
                <w:p w14:paraId="2F1F5FAB">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ascii="Times New Roman" w:hAnsi="Times New Roman" w:eastAsia="宋体" w:cs="Times New Roman"/>
                      <w:color w:val="auto"/>
                      <w:kern w:val="0"/>
                      <w:sz w:val="21"/>
                      <w:szCs w:val="21"/>
                      <w:u w:val="none"/>
                      <w:lang w:val="en-US" w:eastAsia="zh-CN"/>
                    </w:rPr>
                    <w:t>硬脂酸</w:t>
                  </w:r>
                </w:p>
              </w:tc>
              <w:tc>
                <w:tcPr>
                  <w:tcW w:w="1170" w:type="dxa"/>
                  <w:vMerge w:val="restart"/>
                  <w:shd w:val="clear" w:color="auto" w:fill="auto"/>
                  <w:noWrap w:val="0"/>
                  <w:vAlign w:val="center"/>
                </w:tcPr>
                <w:p w14:paraId="68C41E15">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8</w:t>
                  </w:r>
                </w:p>
              </w:tc>
              <w:tc>
                <w:tcPr>
                  <w:tcW w:w="1048" w:type="dxa"/>
                  <w:vMerge w:val="restart"/>
                  <w:noWrap w:val="0"/>
                  <w:vAlign w:val="center"/>
                </w:tcPr>
                <w:p w14:paraId="1F7B38DB">
                  <w:pPr>
                    <w:keepNext w:val="0"/>
                    <w:keepLines w:val="0"/>
                    <w:suppressLineNumbers w:val="0"/>
                    <w:tabs>
                      <w:tab w:val="left" w:pos="6096"/>
                    </w:tabs>
                    <w:spacing w:before="0" w:beforeAutospacing="0" w:after="0" w:afterAutospacing="0"/>
                    <w:ind w:left="0" w:right="0"/>
                    <w:jc w:val="center"/>
                    <w:rPr>
                      <w:rFonts w:hint="eastAsia" w:eastAsia="宋体" w:cs="Times New Roman"/>
                      <w:b w:val="0"/>
                      <w:bCs w:val="0"/>
                      <w:color w:val="auto"/>
                      <w:sz w:val="21"/>
                      <w:szCs w:val="21"/>
                      <w:lang w:val="en-US" w:eastAsia="zh-CN"/>
                    </w:rPr>
                  </w:pPr>
                  <w:r>
                    <w:rPr>
                      <w:rFonts w:hint="eastAsia"/>
                      <w:color w:val="auto"/>
                      <w:sz w:val="21"/>
                      <w:u w:val="none"/>
                      <w:shd w:val="clear" w:color="auto" w:fill="auto"/>
                    </w:rPr>
                    <w:t>无组织排放</w:t>
                  </w:r>
                  <w:r>
                    <w:rPr>
                      <w:rFonts w:hint="eastAsia"/>
                      <w:color w:val="auto"/>
                      <w:sz w:val="21"/>
                      <w:u w:val="none"/>
                      <w:shd w:val="clear" w:color="auto" w:fill="auto"/>
                      <w:lang w:val="en-US" w:eastAsia="zh-CN"/>
                    </w:rPr>
                    <w:t>废气</w:t>
                  </w:r>
                </w:p>
              </w:tc>
              <w:tc>
                <w:tcPr>
                  <w:tcW w:w="1090" w:type="dxa"/>
                  <w:noWrap w:val="0"/>
                  <w:vAlign w:val="center"/>
                </w:tcPr>
                <w:p w14:paraId="11DAE81B">
                  <w:pPr>
                    <w:keepNext w:val="0"/>
                    <w:keepLines w:val="0"/>
                    <w:suppressLineNumbers w:val="0"/>
                    <w:tabs>
                      <w:tab w:val="left" w:pos="6096"/>
                    </w:tabs>
                    <w:spacing w:before="0" w:beforeAutospacing="0" w:after="0" w:afterAutospacing="0"/>
                    <w:ind w:left="0" w:right="0"/>
                    <w:jc w:val="center"/>
                    <w:rPr>
                      <w:rFonts w:hint="eastAsia"/>
                      <w:color w:val="auto"/>
                      <w:sz w:val="21"/>
                      <w:u w:val="none"/>
                      <w:shd w:val="clear" w:color="auto" w:fill="auto"/>
                    </w:rPr>
                  </w:pPr>
                  <w:r>
                    <w:rPr>
                      <w:rFonts w:hint="eastAsia" w:cs="Times New Roman"/>
                      <w:b w:val="0"/>
                      <w:bCs w:val="0"/>
                      <w:color w:val="auto"/>
                      <w:sz w:val="21"/>
                      <w:szCs w:val="21"/>
                      <w:lang w:val="en-US" w:eastAsia="zh-CN"/>
                    </w:rPr>
                    <w:t>粉尘</w:t>
                  </w:r>
                </w:p>
              </w:tc>
              <w:tc>
                <w:tcPr>
                  <w:tcW w:w="869" w:type="dxa"/>
                  <w:noWrap w:val="0"/>
                  <w:vAlign w:val="center"/>
                </w:tcPr>
                <w:p w14:paraId="328185B1">
                  <w:pPr>
                    <w:keepNext w:val="0"/>
                    <w:keepLines w:val="0"/>
                    <w:suppressLineNumbers w:val="0"/>
                    <w:tabs>
                      <w:tab w:val="left" w:pos="6096"/>
                    </w:tabs>
                    <w:spacing w:before="0" w:beforeAutospacing="0" w:after="0" w:afterAutospacing="0"/>
                    <w:ind w:left="0" w:right="0"/>
                    <w:jc w:val="center"/>
                    <w:rPr>
                      <w:rFonts w:hint="default" w:ascii="Times New Roman" w:hAnsi="Times New Roman" w:eastAsia="宋体" w:cs="Times New Roman"/>
                      <w:b w:val="0"/>
                      <w:bCs w:val="0"/>
                      <w:color w:val="auto"/>
                      <w:kern w:val="2"/>
                      <w:sz w:val="21"/>
                      <w:szCs w:val="21"/>
                      <w:lang w:val="en-US" w:eastAsia="zh-CN" w:bidi="ar-SA"/>
                    </w:rPr>
                  </w:pPr>
                  <w:r>
                    <w:rPr>
                      <w:rFonts w:hint="eastAsia" w:cs="Times New Roman"/>
                      <w:b w:val="0"/>
                      <w:bCs w:val="0"/>
                      <w:color w:val="auto"/>
                      <w:kern w:val="2"/>
                      <w:sz w:val="21"/>
                      <w:szCs w:val="21"/>
                      <w:lang w:val="en-US" w:eastAsia="zh-CN" w:bidi="ar-SA"/>
                    </w:rPr>
                    <w:t>3.373</w:t>
                  </w:r>
                </w:p>
              </w:tc>
              <w:tc>
                <w:tcPr>
                  <w:tcW w:w="593" w:type="dxa"/>
                  <w:vMerge w:val="restart"/>
                  <w:noWrap w:val="0"/>
                  <w:vAlign w:val="center"/>
                </w:tcPr>
                <w:p w14:paraId="2B08648D">
                  <w:pPr>
                    <w:keepNext w:val="0"/>
                    <w:keepLines w:val="0"/>
                    <w:suppressLineNumbers w:val="0"/>
                    <w:tabs>
                      <w:tab w:val="left" w:pos="6096"/>
                    </w:tabs>
                    <w:spacing w:before="0" w:beforeAutospacing="0" w:after="0" w:afterAutospacing="0"/>
                    <w:ind w:left="0" w:right="0"/>
                    <w:jc w:val="center"/>
                    <w:rPr>
                      <w:rFonts w:hint="default" w:cs="Times New Roman"/>
                      <w:b w:val="0"/>
                      <w:bCs w:val="0"/>
                      <w:color w:val="auto"/>
                      <w:kern w:val="2"/>
                      <w:sz w:val="21"/>
                      <w:szCs w:val="21"/>
                      <w:lang w:val="en-US" w:eastAsia="zh-CN" w:bidi="ar-SA"/>
                    </w:rPr>
                  </w:pPr>
                  <w:r>
                    <w:rPr>
                      <w:rFonts w:hint="eastAsia" w:cs="Times New Roman"/>
                      <w:b w:val="0"/>
                      <w:bCs w:val="0"/>
                      <w:color w:val="auto"/>
                      <w:kern w:val="2"/>
                      <w:sz w:val="21"/>
                      <w:szCs w:val="21"/>
                      <w:lang w:val="en-US" w:eastAsia="zh-CN" w:bidi="ar-SA"/>
                    </w:rPr>
                    <w:t>8.0094</w:t>
                  </w:r>
                </w:p>
              </w:tc>
              <w:tc>
                <w:tcPr>
                  <w:tcW w:w="1687" w:type="dxa"/>
                  <w:vMerge w:val="restart"/>
                  <w:noWrap w:val="0"/>
                  <w:vAlign w:val="center"/>
                </w:tcPr>
                <w:p w14:paraId="4D560F0E">
                  <w:pPr>
                    <w:keepNext w:val="0"/>
                    <w:keepLines w:val="0"/>
                    <w:suppressLineNumbers w:val="0"/>
                    <w:tabs>
                      <w:tab w:val="left" w:pos="6096"/>
                    </w:tabs>
                    <w:spacing w:before="0" w:beforeAutospacing="0" w:after="0" w:afterAutospacing="0"/>
                    <w:ind w:left="0" w:right="0"/>
                    <w:jc w:val="center"/>
                    <w:rPr>
                      <w:rFonts w:hint="eastAsia" w:ascii="Times New Roman" w:hAnsi="Times New Roman" w:eastAsia="宋体" w:cs="Times New Roman"/>
                      <w:b w:val="0"/>
                      <w:bCs w:val="0"/>
                      <w:color w:val="auto"/>
                      <w:kern w:val="2"/>
                      <w:sz w:val="21"/>
                      <w:szCs w:val="21"/>
                      <w:lang w:val="en-US" w:eastAsia="zh-CN" w:bidi="ar-SA"/>
                    </w:rPr>
                  </w:pPr>
                </w:p>
              </w:tc>
            </w:tr>
            <w:tr w14:paraId="252539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 w:hRule="atLeast"/>
                <w:jc w:val="center"/>
              </w:trPr>
              <w:tc>
                <w:tcPr>
                  <w:tcW w:w="2047" w:type="dxa"/>
                  <w:vMerge w:val="continue"/>
                  <w:shd w:val="clear" w:color="auto" w:fill="auto"/>
                  <w:noWrap w:val="0"/>
                  <w:vAlign w:val="center"/>
                </w:tcPr>
                <w:p w14:paraId="7FC6F696">
                  <w:pPr>
                    <w:keepNext w:val="0"/>
                    <w:keepLines w:val="0"/>
                    <w:suppressLineNumbers w:val="0"/>
                    <w:tabs>
                      <w:tab w:val="left" w:pos="6096"/>
                    </w:tabs>
                    <w:spacing w:before="0" w:beforeAutospacing="0" w:after="0" w:afterAutospacing="0"/>
                    <w:ind w:left="0" w:right="0"/>
                    <w:jc w:val="center"/>
                    <w:rPr>
                      <w:rFonts w:hint="default"/>
                      <w:color w:val="auto"/>
                    </w:rPr>
                  </w:pPr>
                </w:p>
              </w:tc>
              <w:tc>
                <w:tcPr>
                  <w:tcW w:w="1170" w:type="dxa"/>
                  <w:vMerge w:val="continue"/>
                  <w:shd w:val="clear" w:color="auto" w:fill="auto"/>
                  <w:noWrap w:val="0"/>
                  <w:vAlign w:val="center"/>
                </w:tcPr>
                <w:p w14:paraId="37CDDB56">
                  <w:pPr>
                    <w:keepNext w:val="0"/>
                    <w:keepLines w:val="0"/>
                    <w:suppressLineNumbers w:val="0"/>
                    <w:tabs>
                      <w:tab w:val="left" w:pos="6096"/>
                    </w:tabs>
                    <w:spacing w:before="0" w:beforeAutospacing="0" w:after="0" w:afterAutospacing="0"/>
                    <w:ind w:left="0" w:right="0"/>
                    <w:jc w:val="center"/>
                    <w:rPr>
                      <w:rFonts w:hint="default"/>
                      <w:color w:val="auto"/>
                    </w:rPr>
                  </w:pPr>
                </w:p>
              </w:tc>
              <w:tc>
                <w:tcPr>
                  <w:tcW w:w="1048" w:type="dxa"/>
                  <w:vMerge w:val="continue"/>
                  <w:noWrap w:val="0"/>
                  <w:vAlign w:val="center"/>
                </w:tcPr>
                <w:p w14:paraId="28D7C127">
                  <w:pPr>
                    <w:keepNext w:val="0"/>
                    <w:keepLines w:val="0"/>
                    <w:suppressLineNumbers w:val="0"/>
                    <w:tabs>
                      <w:tab w:val="left" w:pos="6096"/>
                    </w:tabs>
                    <w:spacing w:before="0" w:beforeAutospacing="0" w:after="0" w:afterAutospacing="0"/>
                    <w:ind w:left="0" w:right="0"/>
                    <w:jc w:val="center"/>
                    <w:rPr>
                      <w:rFonts w:hint="default"/>
                      <w:color w:val="auto"/>
                    </w:rPr>
                  </w:pPr>
                </w:p>
              </w:tc>
              <w:tc>
                <w:tcPr>
                  <w:tcW w:w="1090" w:type="dxa"/>
                  <w:noWrap w:val="0"/>
                  <w:vAlign w:val="center"/>
                </w:tcPr>
                <w:p w14:paraId="6DF529DE">
                  <w:pPr>
                    <w:keepNext w:val="0"/>
                    <w:keepLines w:val="0"/>
                    <w:suppressLineNumbers w:val="0"/>
                    <w:tabs>
                      <w:tab w:val="left" w:pos="6096"/>
                    </w:tabs>
                    <w:spacing w:before="0" w:beforeAutospacing="0" w:after="0" w:afterAutospacing="0"/>
                    <w:ind w:left="0" w:right="0"/>
                    <w:jc w:val="center"/>
                    <w:rPr>
                      <w:rFonts w:hint="default"/>
                      <w:color w:val="auto"/>
                    </w:rPr>
                  </w:pPr>
                  <w:r>
                    <w:rPr>
                      <w:rFonts w:hint="eastAsia" w:cs="Times New Roman"/>
                      <w:b w:val="0"/>
                      <w:bCs w:val="0"/>
                      <w:color w:val="auto"/>
                      <w:sz w:val="21"/>
                      <w:szCs w:val="21"/>
                      <w:lang w:val="en-US" w:eastAsia="zh-CN"/>
                    </w:rPr>
                    <w:t>挥发性有机物</w:t>
                  </w:r>
                </w:p>
              </w:tc>
              <w:tc>
                <w:tcPr>
                  <w:tcW w:w="869" w:type="dxa"/>
                  <w:noWrap w:val="0"/>
                  <w:vAlign w:val="center"/>
                </w:tcPr>
                <w:p w14:paraId="525ED28A">
                  <w:pPr>
                    <w:keepNext w:val="0"/>
                    <w:keepLines w:val="0"/>
                    <w:suppressLineNumbers w:val="0"/>
                    <w:tabs>
                      <w:tab w:val="left" w:pos="6096"/>
                    </w:tabs>
                    <w:spacing w:before="0" w:beforeAutospacing="0" w:after="0" w:afterAutospacing="0"/>
                    <w:ind w:left="0" w:right="0"/>
                    <w:jc w:val="center"/>
                    <w:rPr>
                      <w:rFonts w:hint="default" w:eastAsia="宋体"/>
                      <w:color w:val="auto"/>
                      <w:lang w:val="en-US" w:eastAsia="zh-CN"/>
                    </w:rPr>
                  </w:pPr>
                  <w:r>
                    <w:rPr>
                      <w:rFonts w:hint="eastAsia"/>
                      <w:color w:val="auto"/>
                      <w:lang w:val="en-US" w:eastAsia="zh-CN"/>
                    </w:rPr>
                    <w:t>4.6358</w:t>
                  </w:r>
                </w:p>
              </w:tc>
              <w:tc>
                <w:tcPr>
                  <w:tcW w:w="593" w:type="dxa"/>
                  <w:vMerge w:val="continue"/>
                  <w:noWrap w:val="0"/>
                  <w:vAlign w:val="center"/>
                </w:tcPr>
                <w:p w14:paraId="56D517D1">
                  <w:pPr>
                    <w:keepNext w:val="0"/>
                    <w:keepLines w:val="0"/>
                    <w:suppressLineNumbers w:val="0"/>
                    <w:tabs>
                      <w:tab w:val="left" w:pos="6096"/>
                    </w:tabs>
                    <w:spacing w:before="0" w:beforeAutospacing="0" w:after="0" w:afterAutospacing="0"/>
                    <w:ind w:left="0" w:right="0"/>
                    <w:jc w:val="center"/>
                    <w:rPr>
                      <w:rFonts w:hint="default" w:cs="Times New Roman"/>
                      <w:b w:val="0"/>
                      <w:bCs w:val="0"/>
                      <w:color w:val="auto"/>
                      <w:kern w:val="2"/>
                      <w:sz w:val="21"/>
                      <w:szCs w:val="21"/>
                      <w:lang w:val="en-US" w:eastAsia="zh-CN" w:bidi="ar-SA"/>
                    </w:rPr>
                  </w:pPr>
                </w:p>
              </w:tc>
              <w:tc>
                <w:tcPr>
                  <w:tcW w:w="1687" w:type="dxa"/>
                  <w:vMerge w:val="continue"/>
                  <w:noWrap w:val="0"/>
                  <w:vAlign w:val="center"/>
                </w:tcPr>
                <w:p w14:paraId="21E2C75D">
                  <w:pPr>
                    <w:keepNext w:val="0"/>
                    <w:keepLines w:val="0"/>
                    <w:suppressLineNumbers w:val="0"/>
                    <w:tabs>
                      <w:tab w:val="left" w:pos="6096"/>
                    </w:tabs>
                    <w:spacing w:before="0" w:beforeAutospacing="0" w:after="0" w:afterAutospacing="0"/>
                    <w:ind w:left="0" w:right="0"/>
                    <w:jc w:val="center"/>
                    <w:rPr>
                      <w:rFonts w:hint="default"/>
                      <w:color w:val="auto"/>
                    </w:rPr>
                  </w:pPr>
                </w:p>
              </w:tc>
            </w:tr>
            <w:tr w14:paraId="61C104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00" w:hRule="atLeast"/>
                <w:jc w:val="center"/>
              </w:trPr>
              <w:tc>
                <w:tcPr>
                  <w:tcW w:w="2047" w:type="dxa"/>
                  <w:vMerge w:val="continue"/>
                  <w:shd w:val="clear" w:color="auto" w:fill="auto"/>
                  <w:noWrap w:val="0"/>
                  <w:vAlign w:val="center"/>
                </w:tcPr>
                <w:p w14:paraId="4C0BE12E">
                  <w:pPr>
                    <w:keepNext w:val="0"/>
                    <w:keepLines w:val="0"/>
                    <w:suppressLineNumbers w:val="0"/>
                    <w:tabs>
                      <w:tab w:val="left" w:pos="6096"/>
                    </w:tabs>
                    <w:spacing w:before="0" w:beforeAutospacing="0" w:after="0" w:afterAutospacing="0"/>
                    <w:ind w:left="0" w:right="0"/>
                    <w:jc w:val="center"/>
                    <w:rPr>
                      <w:rFonts w:hint="default"/>
                      <w:color w:val="auto"/>
                    </w:rPr>
                  </w:pPr>
                </w:p>
              </w:tc>
              <w:tc>
                <w:tcPr>
                  <w:tcW w:w="1170" w:type="dxa"/>
                  <w:vMerge w:val="continue"/>
                  <w:shd w:val="clear" w:color="auto" w:fill="auto"/>
                  <w:noWrap w:val="0"/>
                  <w:vAlign w:val="center"/>
                </w:tcPr>
                <w:p w14:paraId="453337F1">
                  <w:pPr>
                    <w:keepNext w:val="0"/>
                    <w:keepLines w:val="0"/>
                    <w:suppressLineNumbers w:val="0"/>
                    <w:tabs>
                      <w:tab w:val="left" w:pos="6096"/>
                    </w:tabs>
                    <w:spacing w:before="0" w:beforeAutospacing="0" w:after="0" w:afterAutospacing="0"/>
                    <w:ind w:left="0" w:right="0"/>
                    <w:jc w:val="center"/>
                    <w:rPr>
                      <w:rFonts w:hint="default"/>
                      <w:color w:val="auto"/>
                    </w:rPr>
                  </w:pPr>
                </w:p>
              </w:tc>
              <w:tc>
                <w:tcPr>
                  <w:tcW w:w="1048" w:type="dxa"/>
                  <w:vMerge w:val="continue"/>
                  <w:noWrap w:val="0"/>
                  <w:vAlign w:val="center"/>
                </w:tcPr>
                <w:p w14:paraId="31D158DD">
                  <w:pPr>
                    <w:keepNext w:val="0"/>
                    <w:keepLines w:val="0"/>
                    <w:suppressLineNumbers w:val="0"/>
                    <w:tabs>
                      <w:tab w:val="left" w:pos="6096"/>
                    </w:tabs>
                    <w:spacing w:before="0" w:beforeAutospacing="0" w:after="0" w:afterAutospacing="0"/>
                    <w:ind w:left="0" w:right="0"/>
                    <w:jc w:val="center"/>
                    <w:rPr>
                      <w:rFonts w:hint="default"/>
                      <w:color w:val="auto"/>
                    </w:rPr>
                  </w:pPr>
                </w:p>
              </w:tc>
              <w:tc>
                <w:tcPr>
                  <w:tcW w:w="1090" w:type="dxa"/>
                  <w:noWrap w:val="0"/>
                  <w:vAlign w:val="center"/>
                </w:tcPr>
                <w:p w14:paraId="2632E202">
                  <w:pPr>
                    <w:keepNext w:val="0"/>
                    <w:keepLines w:val="0"/>
                    <w:suppressLineNumbers w:val="0"/>
                    <w:tabs>
                      <w:tab w:val="left" w:pos="6096"/>
                    </w:tabs>
                    <w:spacing w:before="0" w:beforeAutospacing="0" w:after="0" w:afterAutospacing="0"/>
                    <w:ind w:left="0" w:right="0"/>
                    <w:jc w:val="center"/>
                    <w:rPr>
                      <w:rFonts w:hint="default"/>
                      <w:color w:val="auto"/>
                    </w:rPr>
                  </w:pPr>
                  <w:r>
                    <w:rPr>
                      <w:rFonts w:hint="eastAsia" w:cs="Times New Roman"/>
                      <w:b w:val="0"/>
                      <w:bCs w:val="0"/>
                      <w:color w:val="auto"/>
                      <w:sz w:val="21"/>
                      <w:szCs w:val="21"/>
                      <w:lang w:val="en-US" w:eastAsia="zh-CN"/>
                    </w:rPr>
                    <w:t>HCl</w:t>
                  </w:r>
                </w:p>
              </w:tc>
              <w:tc>
                <w:tcPr>
                  <w:tcW w:w="869" w:type="dxa"/>
                  <w:noWrap w:val="0"/>
                  <w:vAlign w:val="center"/>
                </w:tcPr>
                <w:p w14:paraId="4BB64172">
                  <w:pPr>
                    <w:keepNext w:val="0"/>
                    <w:keepLines w:val="0"/>
                    <w:suppressLineNumbers w:val="0"/>
                    <w:tabs>
                      <w:tab w:val="left" w:pos="6096"/>
                    </w:tabs>
                    <w:spacing w:before="0" w:beforeAutospacing="0" w:after="0" w:afterAutospacing="0"/>
                    <w:ind w:left="0" w:right="0"/>
                    <w:jc w:val="center"/>
                    <w:rPr>
                      <w:rFonts w:hint="default" w:eastAsia="宋体"/>
                      <w:color w:val="auto"/>
                      <w:lang w:val="en-US" w:eastAsia="zh-CN"/>
                    </w:rPr>
                  </w:pPr>
                  <w:r>
                    <w:rPr>
                      <w:rFonts w:hint="eastAsia"/>
                      <w:color w:val="auto"/>
                      <w:lang w:val="en-US" w:eastAsia="zh-CN"/>
                    </w:rPr>
                    <w:t>0.0006</w:t>
                  </w:r>
                </w:p>
              </w:tc>
              <w:tc>
                <w:tcPr>
                  <w:tcW w:w="593" w:type="dxa"/>
                  <w:vMerge w:val="continue"/>
                  <w:noWrap w:val="0"/>
                  <w:vAlign w:val="center"/>
                </w:tcPr>
                <w:p w14:paraId="7AC7BB67">
                  <w:pPr>
                    <w:keepNext w:val="0"/>
                    <w:keepLines w:val="0"/>
                    <w:suppressLineNumbers w:val="0"/>
                    <w:tabs>
                      <w:tab w:val="left" w:pos="6096"/>
                    </w:tabs>
                    <w:spacing w:before="0" w:beforeAutospacing="0" w:after="0" w:afterAutospacing="0"/>
                    <w:ind w:left="0" w:right="0"/>
                    <w:jc w:val="center"/>
                    <w:rPr>
                      <w:rFonts w:hint="default" w:cs="Times New Roman"/>
                      <w:b w:val="0"/>
                      <w:bCs w:val="0"/>
                      <w:color w:val="auto"/>
                      <w:kern w:val="2"/>
                      <w:sz w:val="21"/>
                      <w:szCs w:val="21"/>
                      <w:lang w:val="en-US" w:eastAsia="zh-CN" w:bidi="ar-SA"/>
                    </w:rPr>
                  </w:pPr>
                </w:p>
              </w:tc>
              <w:tc>
                <w:tcPr>
                  <w:tcW w:w="1687" w:type="dxa"/>
                  <w:vMerge w:val="continue"/>
                  <w:noWrap w:val="0"/>
                  <w:vAlign w:val="center"/>
                </w:tcPr>
                <w:p w14:paraId="3C337E9A">
                  <w:pPr>
                    <w:keepNext w:val="0"/>
                    <w:keepLines w:val="0"/>
                    <w:suppressLineNumbers w:val="0"/>
                    <w:tabs>
                      <w:tab w:val="left" w:pos="6096"/>
                    </w:tabs>
                    <w:spacing w:before="0" w:beforeAutospacing="0" w:after="0" w:afterAutospacing="0"/>
                    <w:ind w:left="0" w:right="0"/>
                    <w:jc w:val="center"/>
                    <w:rPr>
                      <w:rFonts w:hint="default"/>
                      <w:color w:val="auto"/>
                    </w:rPr>
                  </w:pPr>
                </w:p>
              </w:tc>
            </w:tr>
            <w:tr w14:paraId="76E7E1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 w:hRule="atLeast"/>
                <w:jc w:val="center"/>
              </w:trPr>
              <w:tc>
                <w:tcPr>
                  <w:tcW w:w="2047" w:type="dxa"/>
                  <w:shd w:val="clear" w:color="auto" w:fill="auto"/>
                  <w:noWrap w:val="0"/>
                  <w:vAlign w:val="center"/>
                </w:tcPr>
                <w:p w14:paraId="4C98E530">
                  <w:pPr>
                    <w:keepNext w:val="0"/>
                    <w:keepLines w:val="0"/>
                    <w:widowControl/>
                    <w:suppressLineNumbers w:val="0"/>
                    <w:spacing w:before="0" w:beforeAutospacing="0" w:after="0" w:afterAutospacing="0"/>
                    <w:ind w:left="0" w:right="0"/>
                    <w:jc w:val="center"/>
                    <w:rPr>
                      <w:rFonts w:hint="default"/>
                      <w:color w:val="auto"/>
                    </w:rPr>
                  </w:pPr>
                  <w:r>
                    <w:rPr>
                      <w:rFonts w:hint="eastAsia"/>
                      <w:color w:val="auto"/>
                      <w:kern w:val="0"/>
                      <w:sz w:val="21"/>
                      <w:szCs w:val="21"/>
                      <w:u w:val="none"/>
                      <w:lang w:val="en-US" w:eastAsia="zh-CN"/>
                    </w:rPr>
                    <w:t>聚醚多元醇组合料</w:t>
                  </w:r>
                </w:p>
              </w:tc>
              <w:tc>
                <w:tcPr>
                  <w:tcW w:w="1170" w:type="dxa"/>
                  <w:shd w:val="clear" w:color="auto" w:fill="auto"/>
                  <w:noWrap w:val="0"/>
                  <w:vAlign w:val="center"/>
                </w:tcPr>
                <w:p w14:paraId="586772CD">
                  <w:pPr>
                    <w:keepNext w:val="0"/>
                    <w:keepLines w:val="0"/>
                    <w:widowControl/>
                    <w:suppressLineNumbers w:val="0"/>
                    <w:spacing w:before="0" w:beforeAutospacing="0" w:after="0" w:afterAutospacing="0" w:line="240" w:lineRule="auto"/>
                    <w:ind w:left="0" w:right="0" w:firstLine="0" w:firstLineChars="0"/>
                    <w:jc w:val="center"/>
                    <w:rPr>
                      <w:rFonts w:hint="default"/>
                      <w:color w:val="auto"/>
                      <w:lang w:val="en-US"/>
                    </w:rPr>
                  </w:pPr>
                  <w:r>
                    <w:rPr>
                      <w:rFonts w:hint="eastAsia"/>
                      <w:color w:val="auto"/>
                      <w:kern w:val="0"/>
                      <w:sz w:val="21"/>
                      <w:szCs w:val="21"/>
                      <w:u w:val="none"/>
                      <w:lang w:val="en-US" w:eastAsia="zh-CN"/>
                    </w:rPr>
                    <w:t>52</w:t>
                  </w:r>
                </w:p>
              </w:tc>
              <w:tc>
                <w:tcPr>
                  <w:tcW w:w="1048" w:type="dxa"/>
                  <w:vMerge w:val="continue"/>
                  <w:noWrap w:val="0"/>
                  <w:vAlign w:val="center"/>
                </w:tcPr>
                <w:p w14:paraId="5064405A">
                  <w:pPr>
                    <w:keepNext w:val="0"/>
                    <w:keepLines w:val="0"/>
                    <w:suppressLineNumbers w:val="0"/>
                    <w:tabs>
                      <w:tab w:val="left" w:pos="6096"/>
                    </w:tabs>
                    <w:spacing w:before="0" w:beforeAutospacing="0" w:after="0" w:afterAutospacing="0"/>
                    <w:ind w:left="0" w:right="0"/>
                    <w:jc w:val="center"/>
                    <w:rPr>
                      <w:rFonts w:hint="default"/>
                      <w:color w:val="auto"/>
                    </w:rPr>
                  </w:pPr>
                </w:p>
              </w:tc>
              <w:tc>
                <w:tcPr>
                  <w:tcW w:w="1090" w:type="dxa"/>
                  <w:noWrap w:val="0"/>
                  <w:vAlign w:val="center"/>
                </w:tcPr>
                <w:p w14:paraId="7B2EB849">
                  <w:pPr>
                    <w:keepNext w:val="0"/>
                    <w:keepLines w:val="0"/>
                    <w:suppressLineNumbers w:val="0"/>
                    <w:tabs>
                      <w:tab w:val="left" w:pos="6096"/>
                    </w:tabs>
                    <w:spacing w:before="0" w:beforeAutospacing="0" w:after="0" w:afterAutospacing="0"/>
                    <w:ind w:left="0" w:right="0"/>
                    <w:jc w:val="center"/>
                    <w:rPr>
                      <w:rFonts w:hint="default" w:cs="Times New Roman"/>
                      <w:b w:val="0"/>
                      <w:bCs w:val="0"/>
                      <w:color w:val="auto"/>
                      <w:sz w:val="21"/>
                      <w:szCs w:val="21"/>
                      <w:lang w:val="en-US" w:eastAsia="zh-CN"/>
                    </w:rPr>
                  </w:pPr>
                  <w:r>
                    <w:rPr>
                      <w:rFonts w:hint="eastAsia" w:cs="Times New Roman"/>
                      <w:b w:val="0"/>
                      <w:bCs w:val="0"/>
                      <w:color w:val="auto"/>
                      <w:sz w:val="21"/>
                      <w:szCs w:val="21"/>
                      <w:lang w:val="en-US" w:eastAsia="zh-CN"/>
                    </w:rPr>
                    <w:t>臭气浓度</w:t>
                  </w:r>
                </w:p>
              </w:tc>
              <w:tc>
                <w:tcPr>
                  <w:tcW w:w="869" w:type="dxa"/>
                  <w:noWrap w:val="0"/>
                  <w:vAlign w:val="center"/>
                </w:tcPr>
                <w:p w14:paraId="1F186E80">
                  <w:pPr>
                    <w:keepNext w:val="0"/>
                    <w:keepLines w:val="0"/>
                    <w:suppressLineNumbers w:val="0"/>
                    <w:tabs>
                      <w:tab w:val="left" w:pos="6096"/>
                    </w:tabs>
                    <w:spacing w:before="0" w:beforeAutospacing="0" w:after="0" w:afterAutospacing="0"/>
                    <w:ind w:left="0" w:right="0"/>
                    <w:jc w:val="center"/>
                    <w:rPr>
                      <w:rFonts w:hint="default"/>
                      <w:color w:val="auto"/>
                      <w:lang w:val="en-US" w:eastAsia="zh-CN"/>
                    </w:rPr>
                  </w:pPr>
                  <w:r>
                    <w:rPr>
                      <w:rFonts w:hint="eastAsia"/>
                      <w:color w:val="auto"/>
                      <w:lang w:val="en-US" w:eastAsia="zh-CN"/>
                    </w:rPr>
                    <w:t>16（无量纲）</w:t>
                  </w:r>
                </w:p>
              </w:tc>
              <w:tc>
                <w:tcPr>
                  <w:tcW w:w="593" w:type="dxa"/>
                  <w:vMerge w:val="continue"/>
                  <w:noWrap w:val="0"/>
                  <w:vAlign w:val="center"/>
                </w:tcPr>
                <w:p w14:paraId="3EC3DD8D">
                  <w:pPr>
                    <w:keepNext w:val="0"/>
                    <w:keepLines w:val="0"/>
                    <w:suppressLineNumbers w:val="0"/>
                    <w:tabs>
                      <w:tab w:val="left" w:pos="6096"/>
                    </w:tabs>
                    <w:spacing w:before="0" w:beforeAutospacing="0" w:after="0" w:afterAutospacing="0"/>
                    <w:ind w:left="0" w:right="0"/>
                    <w:jc w:val="center"/>
                    <w:rPr>
                      <w:rFonts w:hint="default" w:cs="Times New Roman"/>
                      <w:b w:val="0"/>
                      <w:bCs w:val="0"/>
                      <w:color w:val="auto"/>
                      <w:kern w:val="2"/>
                      <w:sz w:val="21"/>
                      <w:szCs w:val="21"/>
                      <w:lang w:val="en-US" w:eastAsia="zh-CN" w:bidi="ar-SA"/>
                    </w:rPr>
                  </w:pPr>
                </w:p>
              </w:tc>
              <w:tc>
                <w:tcPr>
                  <w:tcW w:w="1687" w:type="dxa"/>
                  <w:noWrap w:val="0"/>
                  <w:vAlign w:val="center"/>
                </w:tcPr>
                <w:p w14:paraId="5B261B8D">
                  <w:pPr>
                    <w:keepNext w:val="0"/>
                    <w:keepLines w:val="0"/>
                    <w:suppressLineNumbers w:val="0"/>
                    <w:tabs>
                      <w:tab w:val="left" w:pos="6096"/>
                    </w:tabs>
                    <w:spacing w:before="0" w:beforeAutospacing="0" w:after="0" w:afterAutospacing="0"/>
                    <w:ind w:left="0" w:right="0"/>
                    <w:jc w:val="center"/>
                    <w:rPr>
                      <w:rFonts w:hint="default"/>
                      <w:color w:val="auto"/>
                    </w:rPr>
                  </w:pPr>
                </w:p>
              </w:tc>
            </w:tr>
            <w:tr w14:paraId="45386C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3" w:hRule="atLeast"/>
                <w:jc w:val="center"/>
              </w:trPr>
              <w:tc>
                <w:tcPr>
                  <w:tcW w:w="2047" w:type="dxa"/>
                  <w:shd w:val="clear" w:color="auto" w:fill="auto"/>
                  <w:noWrap w:val="0"/>
                  <w:vAlign w:val="center"/>
                </w:tcPr>
                <w:p w14:paraId="2604AFC3">
                  <w:pPr>
                    <w:keepNext w:val="0"/>
                    <w:keepLines w:val="0"/>
                    <w:widowControl/>
                    <w:suppressLineNumbers w:val="0"/>
                    <w:spacing w:before="0" w:beforeAutospacing="0" w:after="0" w:afterAutospacing="0"/>
                    <w:ind w:left="0" w:right="0"/>
                    <w:jc w:val="center"/>
                    <w:rPr>
                      <w:rFonts w:hint="eastAsia" w:ascii="Times New Roman" w:hAnsi="Times New Roman" w:eastAsia="宋体" w:cs="Times New Roman"/>
                      <w:color w:val="auto"/>
                      <w:kern w:val="0"/>
                      <w:sz w:val="21"/>
                      <w:szCs w:val="21"/>
                      <w:u w:val="none"/>
                      <w:lang w:val="en-US" w:eastAsia="zh-CN" w:bidi="ar-SA"/>
                    </w:rPr>
                  </w:pPr>
                  <w:r>
                    <w:rPr>
                      <w:rFonts w:hint="eastAsia" w:ascii="宋体" w:hAnsi="宋体" w:eastAsia="宋体" w:cs="宋体"/>
                      <w:color w:val="auto"/>
                      <w:kern w:val="0"/>
                      <w:sz w:val="21"/>
                      <w:szCs w:val="21"/>
                      <w:lang w:val="en-US" w:eastAsia="zh-CN" w:bidi="ar"/>
                    </w:rPr>
                    <w:t>改性</w:t>
                  </w:r>
                  <w:r>
                    <w:rPr>
                      <w:rFonts w:hint="default" w:ascii="Times New Roman" w:hAnsi="Times New Roman" w:eastAsia="宋体" w:cs="Times New Roman"/>
                      <w:color w:val="auto"/>
                      <w:kern w:val="0"/>
                      <w:sz w:val="21"/>
                      <w:szCs w:val="21"/>
                      <w:lang w:val="en-US" w:eastAsia="zh-CN" w:bidi="ar"/>
                    </w:rPr>
                    <w:t>MDI</w:t>
                  </w:r>
                </w:p>
              </w:tc>
              <w:tc>
                <w:tcPr>
                  <w:tcW w:w="1170" w:type="dxa"/>
                  <w:shd w:val="clear" w:color="auto" w:fill="auto"/>
                  <w:noWrap w:val="0"/>
                  <w:vAlign w:val="center"/>
                </w:tcPr>
                <w:p w14:paraId="03CB38FF">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23</w:t>
                  </w:r>
                </w:p>
              </w:tc>
              <w:tc>
                <w:tcPr>
                  <w:tcW w:w="1048" w:type="dxa"/>
                  <w:vMerge w:val="restart"/>
                  <w:noWrap w:val="0"/>
                  <w:vAlign w:val="center"/>
                </w:tcPr>
                <w:p w14:paraId="5F16A6A9">
                  <w:pPr>
                    <w:keepNext w:val="0"/>
                    <w:keepLines w:val="0"/>
                    <w:suppressLineNumbers w:val="0"/>
                    <w:tabs>
                      <w:tab w:val="left" w:pos="6096"/>
                    </w:tabs>
                    <w:spacing w:before="0" w:beforeAutospacing="0" w:after="0" w:afterAutospacing="0"/>
                    <w:ind w:left="0" w:right="0"/>
                    <w:jc w:val="center"/>
                    <w:rPr>
                      <w:rFonts w:hint="default" w:cs="Times New Roman"/>
                      <w:b w:val="0"/>
                      <w:bCs w:val="0"/>
                      <w:color w:val="auto"/>
                      <w:sz w:val="21"/>
                      <w:szCs w:val="21"/>
                      <w:lang w:val="en-US" w:eastAsia="zh-CN"/>
                    </w:rPr>
                  </w:pPr>
                  <w:r>
                    <w:rPr>
                      <w:rFonts w:hint="eastAsia" w:cs="Times New Roman"/>
                      <w:b w:val="0"/>
                      <w:bCs w:val="0"/>
                      <w:color w:val="auto"/>
                      <w:sz w:val="21"/>
                      <w:szCs w:val="21"/>
                      <w:lang w:val="en-US" w:eastAsia="zh-CN"/>
                    </w:rPr>
                    <w:t>有组织排放废气</w:t>
                  </w:r>
                </w:p>
              </w:tc>
              <w:tc>
                <w:tcPr>
                  <w:tcW w:w="1090" w:type="dxa"/>
                  <w:noWrap w:val="0"/>
                  <w:vAlign w:val="center"/>
                </w:tcPr>
                <w:p w14:paraId="634C078F">
                  <w:pPr>
                    <w:keepNext w:val="0"/>
                    <w:keepLines w:val="0"/>
                    <w:suppressLineNumbers w:val="0"/>
                    <w:tabs>
                      <w:tab w:val="left" w:pos="6096"/>
                    </w:tabs>
                    <w:spacing w:before="0" w:beforeAutospacing="0" w:after="0" w:afterAutospacing="0"/>
                    <w:ind w:left="0" w:right="0"/>
                    <w:jc w:val="center"/>
                    <w:rPr>
                      <w:rFonts w:hint="default"/>
                      <w:color w:val="auto"/>
                    </w:rPr>
                  </w:pPr>
                  <w:r>
                    <w:rPr>
                      <w:rFonts w:hint="eastAsia" w:cs="Times New Roman"/>
                      <w:b w:val="0"/>
                      <w:bCs w:val="0"/>
                      <w:color w:val="auto"/>
                      <w:sz w:val="21"/>
                      <w:szCs w:val="21"/>
                      <w:lang w:val="en-US" w:eastAsia="zh-CN"/>
                    </w:rPr>
                    <w:t>粉尘</w:t>
                  </w:r>
                </w:p>
              </w:tc>
              <w:tc>
                <w:tcPr>
                  <w:tcW w:w="869" w:type="dxa"/>
                  <w:noWrap w:val="0"/>
                  <w:vAlign w:val="center"/>
                </w:tcPr>
                <w:p w14:paraId="7A939882">
                  <w:pPr>
                    <w:keepNext w:val="0"/>
                    <w:keepLines w:val="0"/>
                    <w:suppressLineNumbers w:val="0"/>
                    <w:tabs>
                      <w:tab w:val="left" w:pos="6096"/>
                    </w:tabs>
                    <w:spacing w:before="0" w:beforeAutospacing="0" w:after="0" w:afterAutospacing="0"/>
                    <w:ind w:left="0" w:right="0"/>
                    <w:jc w:val="center"/>
                    <w:rPr>
                      <w:rFonts w:hint="default" w:cs="Times New Roman"/>
                      <w:b w:val="0"/>
                      <w:bCs w:val="0"/>
                      <w:color w:val="auto"/>
                      <w:kern w:val="2"/>
                      <w:sz w:val="21"/>
                      <w:szCs w:val="21"/>
                      <w:lang w:val="en-US" w:eastAsia="zh-CN" w:bidi="ar-SA"/>
                    </w:rPr>
                  </w:pPr>
                  <w:r>
                    <w:rPr>
                      <w:rFonts w:hint="eastAsia" w:cs="Times New Roman"/>
                      <w:b w:val="0"/>
                      <w:bCs w:val="0"/>
                      <w:color w:val="auto"/>
                      <w:kern w:val="2"/>
                      <w:sz w:val="21"/>
                      <w:szCs w:val="21"/>
                      <w:lang w:val="en-US" w:eastAsia="zh-CN" w:bidi="ar-SA"/>
                    </w:rPr>
                    <w:t>0.313</w:t>
                  </w:r>
                </w:p>
              </w:tc>
              <w:tc>
                <w:tcPr>
                  <w:tcW w:w="593" w:type="dxa"/>
                  <w:vMerge w:val="restart"/>
                  <w:noWrap w:val="0"/>
                  <w:vAlign w:val="center"/>
                </w:tcPr>
                <w:p w14:paraId="49B1893D">
                  <w:pPr>
                    <w:keepNext w:val="0"/>
                    <w:keepLines w:val="0"/>
                    <w:suppressLineNumbers w:val="0"/>
                    <w:tabs>
                      <w:tab w:val="left" w:pos="6096"/>
                    </w:tabs>
                    <w:spacing w:before="0" w:beforeAutospacing="0" w:after="0" w:afterAutospacing="0"/>
                    <w:ind w:left="0" w:right="0"/>
                    <w:jc w:val="center"/>
                    <w:rPr>
                      <w:rFonts w:hint="default" w:cs="Times New Roman"/>
                      <w:b w:val="0"/>
                      <w:bCs w:val="0"/>
                      <w:color w:val="auto"/>
                      <w:kern w:val="2"/>
                      <w:sz w:val="21"/>
                      <w:szCs w:val="21"/>
                      <w:lang w:val="en-US" w:eastAsia="zh-CN" w:bidi="ar-SA"/>
                    </w:rPr>
                  </w:pPr>
                  <w:r>
                    <w:rPr>
                      <w:rFonts w:hint="eastAsia" w:cs="Times New Roman"/>
                      <w:b w:val="0"/>
                      <w:bCs w:val="0"/>
                      <w:color w:val="auto"/>
                      <w:kern w:val="2"/>
                      <w:sz w:val="21"/>
                      <w:szCs w:val="21"/>
                      <w:lang w:val="en-US" w:eastAsia="zh-CN" w:bidi="ar-SA"/>
                    </w:rPr>
                    <w:t>1.7604</w:t>
                  </w:r>
                </w:p>
              </w:tc>
              <w:tc>
                <w:tcPr>
                  <w:tcW w:w="1687" w:type="dxa"/>
                  <w:noWrap w:val="0"/>
                  <w:vAlign w:val="center"/>
                </w:tcPr>
                <w:p w14:paraId="382C16C7">
                  <w:pPr>
                    <w:keepNext w:val="0"/>
                    <w:keepLines w:val="0"/>
                    <w:suppressLineNumbers w:val="0"/>
                    <w:tabs>
                      <w:tab w:val="left" w:pos="6096"/>
                    </w:tabs>
                    <w:spacing w:before="0" w:beforeAutospacing="0" w:after="0" w:afterAutospacing="0"/>
                    <w:ind w:left="0" w:right="0"/>
                    <w:jc w:val="center"/>
                    <w:rPr>
                      <w:rFonts w:hint="eastAsia" w:cs="Times New Roman"/>
                      <w:b w:val="0"/>
                      <w:bCs w:val="0"/>
                      <w:color w:val="auto"/>
                      <w:kern w:val="2"/>
                      <w:sz w:val="21"/>
                      <w:szCs w:val="21"/>
                      <w:lang w:val="en-US" w:eastAsia="zh-CN" w:bidi="ar-SA"/>
                    </w:rPr>
                  </w:pPr>
                </w:p>
              </w:tc>
            </w:tr>
            <w:tr w14:paraId="2D3A6C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2047" w:type="dxa"/>
                  <w:shd w:val="clear" w:color="auto" w:fill="auto"/>
                  <w:noWrap w:val="0"/>
                  <w:vAlign w:val="center"/>
                </w:tcPr>
                <w:p w14:paraId="454E6FE7">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色浆</w:t>
                  </w:r>
                </w:p>
              </w:tc>
              <w:tc>
                <w:tcPr>
                  <w:tcW w:w="1170" w:type="dxa"/>
                  <w:shd w:val="clear" w:color="auto" w:fill="auto"/>
                  <w:noWrap w:val="0"/>
                  <w:vAlign w:val="center"/>
                </w:tcPr>
                <w:p w14:paraId="67A7CDCE">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0.8</w:t>
                  </w:r>
                </w:p>
              </w:tc>
              <w:tc>
                <w:tcPr>
                  <w:tcW w:w="1048" w:type="dxa"/>
                  <w:vMerge w:val="continue"/>
                  <w:noWrap w:val="0"/>
                  <w:vAlign w:val="center"/>
                </w:tcPr>
                <w:p w14:paraId="0E292214">
                  <w:pPr>
                    <w:keepNext w:val="0"/>
                    <w:keepLines w:val="0"/>
                    <w:suppressLineNumbers w:val="0"/>
                    <w:tabs>
                      <w:tab w:val="left" w:pos="6096"/>
                    </w:tabs>
                    <w:spacing w:before="0" w:beforeAutospacing="0" w:after="0" w:afterAutospacing="0"/>
                    <w:ind w:left="0" w:right="0"/>
                    <w:jc w:val="center"/>
                    <w:rPr>
                      <w:rFonts w:hint="eastAsia" w:cs="Times New Roman"/>
                      <w:b w:val="0"/>
                      <w:bCs w:val="0"/>
                      <w:color w:val="auto"/>
                      <w:sz w:val="21"/>
                      <w:szCs w:val="21"/>
                      <w:lang w:val="en-US" w:eastAsia="zh-CN"/>
                    </w:rPr>
                  </w:pPr>
                </w:p>
              </w:tc>
              <w:tc>
                <w:tcPr>
                  <w:tcW w:w="1090" w:type="dxa"/>
                  <w:noWrap w:val="0"/>
                  <w:vAlign w:val="center"/>
                </w:tcPr>
                <w:p w14:paraId="2F53EB71">
                  <w:pPr>
                    <w:keepNext w:val="0"/>
                    <w:keepLines w:val="0"/>
                    <w:suppressLineNumbers w:val="0"/>
                    <w:tabs>
                      <w:tab w:val="left" w:pos="6096"/>
                    </w:tabs>
                    <w:spacing w:before="0" w:beforeAutospacing="0" w:after="0" w:afterAutospacing="0"/>
                    <w:ind w:left="0" w:right="0"/>
                    <w:jc w:val="center"/>
                    <w:rPr>
                      <w:rFonts w:hint="default" w:cs="Times New Roman"/>
                      <w:b w:val="0"/>
                      <w:bCs w:val="0"/>
                      <w:color w:val="auto"/>
                      <w:sz w:val="21"/>
                      <w:szCs w:val="21"/>
                      <w:lang w:val="en-US" w:eastAsia="zh-CN"/>
                    </w:rPr>
                  </w:pPr>
                  <w:r>
                    <w:rPr>
                      <w:rFonts w:hint="eastAsia" w:cs="Times New Roman"/>
                      <w:b w:val="0"/>
                      <w:bCs w:val="0"/>
                      <w:color w:val="auto"/>
                      <w:sz w:val="21"/>
                      <w:szCs w:val="21"/>
                      <w:lang w:val="en-US" w:eastAsia="zh-CN"/>
                    </w:rPr>
                    <w:t>挥发性有机物</w:t>
                  </w:r>
                </w:p>
              </w:tc>
              <w:tc>
                <w:tcPr>
                  <w:tcW w:w="869" w:type="dxa"/>
                  <w:noWrap w:val="0"/>
                  <w:vAlign w:val="center"/>
                </w:tcPr>
                <w:p w14:paraId="1A122E16">
                  <w:pPr>
                    <w:keepNext w:val="0"/>
                    <w:keepLines w:val="0"/>
                    <w:suppressLineNumbers w:val="0"/>
                    <w:tabs>
                      <w:tab w:val="left" w:pos="6096"/>
                    </w:tabs>
                    <w:spacing w:before="0" w:beforeAutospacing="0" w:after="0" w:afterAutospacing="0"/>
                    <w:ind w:left="0" w:right="0"/>
                    <w:jc w:val="center"/>
                    <w:rPr>
                      <w:rFonts w:hint="default" w:cs="Times New Roman"/>
                      <w:b w:val="0"/>
                      <w:bCs w:val="0"/>
                      <w:color w:val="auto"/>
                      <w:kern w:val="2"/>
                      <w:sz w:val="21"/>
                      <w:szCs w:val="21"/>
                      <w:lang w:val="en-US" w:eastAsia="zh-CN" w:bidi="ar-SA"/>
                    </w:rPr>
                  </w:pPr>
                  <w:r>
                    <w:rPr>
                      <w:rFonts w:hint="eastAsia" w:cs="Times New Roman"/>
                      <w:b w:val="0"/>
                      <w:bCs w:val="0"/>
                      <w:color w:val="auto"/>
                      <w:kern w:val="2"/>
                      <w:sz w:val="21"/>
                      <w:szCs w:val="21"/>
                      <w:lang w:val="en-US" w:eastAsia="zh-CN" w:bidi="ar-SA"/>
                    </w:rPr>
                    <w:t>1.445</w:t>
                  </w:r>
                </w:p>
              </w:tc>
              <w:tc>
                <w:tcPr>
                  <w:tcW w:w="593" w:type="dxa"/>
                  <w:vMerge w:val="continue"/>
                  <w:noWrap w:val="0"/>
                  <w:vAlign w:val="center"/>
                </w:tcPr>
                <w:p w14:paraId="095A64D4">
                  <w:pPr>
                    <w:keepNext w:val="0"/>
                    <w:keepLines w:val="0"/>
                    <w:suppressLineNumbers w:val="0"/>
                    <w:tabs>
                      <w:tab w:val="left" w:pos="6096"/>
                    </w:tabs>
                    <w:spacing w:before="0" w:beforeAutospacing="0" w:after="0" w:afterAutospacing="0"/>
                    <w:ind w:left="0" w:right="0"/>
                    <w:jc w:val="center"/>
                    <w:rPr>
                      <w:rFonts w:hint="eastAsia" w:cs="Times New Roman"/>
                      <w:b w:val="0"/>
                      <w:bCs w:val="0"/>
                      <w:color w:val="auto"/>
                      <w:kern w:val="2"/>
                      <w:sz w:val="21"/>
                      <w:szCs w:val="21"/>
                      <w:lang w:val="en-US" w:eastAsia="zh-CN" w:bidi="ar-SA"/>
                    </w:rPr>
                  </w:pPr>
                </w:p>
              </w:tc>
              <w:tc>
                <w:tcPr>
                  <w:tcW w:w="1687" w:type="dxa"/>
                  <w:noWrap w:val="0"/>
                  <w:vAlign w:val="center"/>
                </w:tcPr>
                <w:p w14:paraId="02A2ACAA">
                  <w:pPr>
                    <w:keepNext w:val="0"/>
                    <w:keepLines w:val="0"/>
                    <w:suppressLineNumbers w:val="0"/>
                    <w:tabs>
                      <w:tab w:val="left" w:pos="6096"/>
                    </w:tabs>
                    <w:spacing w:before="0" w:beforeAutospacing="0" w:after="0" w:afterAutospacing="0"/>
                    <w:ind w:left="0" w:right="0"/>
                    <w:jc w:val="center"/>
                    <w:rPr>
                      <w:rFonts w:hint="eastAsia" w:cs="Times New Roman"/>
                      <w:b w:val="0"/>
                      <w:bCs w:val="0"/>
                      <w:color w:val="auto"/>
                      <w:kern w:val="2"/>
                      <w:sz w:val="21"/>
                      <w:szCs w:val="21"/>
                      <w:lang w:val="en-US" w:eastAsia="zh-CN" w:bidi="ar-SA"/>
                    </w:rPr>
                  </w:pPr>
                </w:p>
              </w:tc>
            </w:tr>
            <w:tr w14:paraId="561CA9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047" w:type="dxa"/>
                  <w:vMerge w:val="restart"/>
                  <w:shd w:val="clear" w:color="auto" w:fill="auto"/>
                  <w:noWrap w:val="0"/>
                  <w:vAlign w:val="center"/>
                </w:tcPr>
                <w:p w14:paraId="02952002">
                  <w:pPr>
                    <w:keepNext w:val="0"/>
                    <w:keepLines w:val="0"/>
                    <w:widowControl/>
                    <w:suppressLineNumbers w:val="0"/>
                    <w:spacing w:before="0" w:beforeAutospacing="0" w:after="0" w:afterAutospacing="0"/>
                    <w:ind w:left="0" w:right="0"/>
                    <w:jc w:val="center"/>
                    <w:rPr>
                      <w:rFonts w:hint="eastAsia" w:ascii="Times New Roman" w:hAnsi="Times New Roman" w:eastAsia="宋体" w:cs="Times New Roman"/>
                      <w:color w:val="auto"/>
                      <w:kern w:val="0"/>
                      <w:sz w:val="21"/>
                      <w:szCs w:val="21"/>
                      <w:u w:val="none"/>
                      <w:lang w:val="en-US" w:eastAsia="zh-CN" w:bidi="ar-SA"/>
                    </w:rPr>
                  </w:pPr>
                  <w:r>
                    <w:rPr>
                      <w:rFonts w:hint="eastAsia" w:ascii="宋体" w:hAnsi="宋体" w:eastAsia="宋体" w:cs="宋体"/>
                      <w:color w:val="auto"/>
                      <w:kern w:val="0"/>
                      <w:sz w:val="21"/>
                      <w:szCs w:val="21"/>
                      <w:lang w:val="en-US" w:eastAsia="zh-CN" w:bidi="ar"/>
                    </w:rPr>
                    <w:t>脱模剂</w:t>
                  </w:r>
                </w:p>
              </w:tc>
              <w:tc>
                <w:tcPr>
                  <w:tcW w:w="1170" w:type="dxa"/>
                  <w:vMerge w:val="restart"/>
                  <w:shd w:val="clear" w:color="auto" w:fill="auto"/>
                  <w:noWrap w:val="0"/>
                  <w:vAlign w:val="center"/>
                </w:tcPr>
                <w:p w14:paraId="69E48331">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1.2</w:t>
                  </w:r>
                </w:p>
              </w:tc>
              <w:tc>
                <w:tcPr>
                  <w:tcW w:w="1048" w:type="dxa"/>
                  <w:vMerge w:val="continue"/>
                  <w:noWrap w:val="0"/>
                  <w:vAlign w:val="center"/>
                </w:tcPr>
                <w:p w14:paraId="4C2B2E0E">
                  <w:pPr>
                    <w:keepNext w:val="0"/>
                    <w:keepLines w:val="0"/>
                    <w:suppressLineNumbers w:val="0"/>
                    <w:tabs>
                      <w:tab w:val="left" w:pos="6096"/>
                    </w:tabs>
                    <w:spacing w:before="0" w:beforeAutospacing="0" w:after="0" w:afterAutospacing="0"/>
                    <w:ind w:left="0" w:right="0"/>
                    <w:jc w:val="center"/>
                    <w:rPr>
                      <w:rFonts w:hint="eastAsia" w:cs="Times New Roman"/>
                      <w:b w:val="0"/>
                      <w:bCs w:val="0"/>
                      <w:color w:val="auto"/>
                      <w:sz w:val="21"/>
                      <w:szCs w:val="21"/>
                      <w:lang w:val="en-US" w:eastAsia="zh-CN"/>
                    </w:rPr>
                  </w:pPr>
                </w:p>
              </w:tc>
              <w:tc>
                <w:tcPr>
                  <w:tcW w:w="1090" w:type="dxa"/>
                  <w:noWrap w:val="0"/>
                  <w:vAlign w:val="center"/>
                </w:tcPr>
                <w:p w14:paraId="5202E46C">
                  <w:pPr>
                    <w:keepNext w:val="0"/>
                    <w:keepLines w:val="0"/>
                    <w:suppressLineNumbers w:val="0"/>
                    <w:tabs>
                      <w:tab w:val="left" w:pos="6096"/>
                    </w:tabs>
                    <w:spacing w:before="0" w:beforeAutospacing="0" w:after="0" w:afterAutospacing="0"/>
                    <w:ind w:left="0" w:right="0"/>
                    <w:jc w:val="center"/>
                    <w:rPr>
                      <w:rFonts w:hint="default" w:cs="Times New Roman"/>
                      <w:b w:val="0"/>
                      <w:bCs w:val="0"/>
                      <w:color w:val="auto"/>
                      <w:sz w:val="21"/>
                      <w:szCs w:val="21"/>
                      <w:lang w:val="en-US" w:eastAsia="zh-CN"/>
                    </w:rPr>
                  </w:pPr>
                  <w:r>
                    <w:rPr>
                      <w:rFonts w:hint="eastAsia" w:cs="Times New Roman"/>
                      <w:b w:val="0"/>
                      <w:bCs w:val="0"/>
                      <w:color w:val="auto"/>
                      <w:sz w:val="21"/>
                      <w:szCs w:val="21"/>
                      <w:lang w:val="en-US" w:eastAsia="zh-CN"/>
                    </w:rPr>
                    <w:t>HCl</w:t>
                  </w:r>
                </w:p>
              </w:tc>
              <w:tc>
                <w:tcPr>
                  <w:tcW w:w="869" w:type="dxa"/>
                  <w:noWrap w:val="0"/>
                  <w:vAlign w:val="center"/>
                </w:tcPr>
                <w:p w14:paraId="49FF27F0">
                  <w:pPr>
                    <w:keepNext w:val="0"/>
                    <w:keepLines w:val="0"/>
                    <w:suppressLineNumbers w:val="0"/>
                    <w:tabs>
                      <w:tab w:val="left" w:pos="6096"/>
                    </w:tabs>
                    <w:spacing w:before="0" w:beforeAutospacing="0" w:after="0" w:afterAutospacing="0"/>
                    <w:ind w:left="0" w:right="0"/>
                    <w:jc w:val="center"/>
                    <w:rPr>
                      <w:rFonts w:hint="default" w:cs="Times New Roman"/>
                      <w:b w:val="0"/>
                      <w:bCs w:val="0"/>
                      <w:color w:val="auto"/>
                      <w:kern w:val="2"/>
                      <w:sz w:val="21"/>
                      <w:szCs w:val="21"/>
                      <w:lang w:val="en-US" w:eastAsia="zh-CN" w:bidi="ar-SA"/>
                    </w:rPr>
                  </w:pPr>
                  <w:r>
                    <w:rPr>
                      <w:rFonts w:hint="eastAsia" w:cs="Times New Roman"/>
                      <w:b w:val="0"/>
                      <w:bCs w:val="0"/>
                      <w:color w:val="auto"/>
                      <w:kern w:val="2"/>
                      <w:sz w:val="21"/>
                      <w:szCs w:val="21"/>
                      <w:lang w:val="en-US" w:eastAsia="zh-CN" w:bidi="ar-SA"/>
                    </w:rPr>
                    <w:t>0.0024</w:t>
                  </w:r>
                </w:p>
              </w:tc>
              <w:tc>
                <w:tcPr>
                  <w:tcW w:w="593" w:type="dxa"/>
                  <w:vMerge w:val="continue"/>
                  <w:noWrap w:val="0"/>
                  <w:vAlign w:val="center"/>
                </w:tcPr>
                <w:p w14:paraId="6DAA0D02">
                  <w:pPr>
                    <w:keepNext w:val="0"/>
                    <w:keepLines w:val="0"/>
                    <w:suppressLineNumbers w:val="0"/>
                    <w:tabs>
                      <w:tab w:val="left" w:pos="6096"/>
                    </w:tabs>
                    <w:spacing w:before="0" w:beforeAutospacing="0" w:after="0" w:afterAutospacing="0"/>
                    <w:ind w:left="0" w:right="0"/>
                    <w:jc w:val="center"/>
                    <w:rPr>
                      <w:rFonts w:hint="eastAsia" w:cs="Times New Roman"/>
                      <w:b w:val="0"/>
                      <w:bCs w:val="0"/>
                      <w:color w:val="auto"/>
                      <w:kern w:val="2"/>
                      <w:sz w:val="21"/>
                      <w:szCs w:val="21"/>
                      <w:lang w:val="en-US" w:eastAsia="zh-CN" w:bidi="ar-SA"/>
                    </w:rPr>
                  </w:pPr>
                </w:p>
              </w:tc>
              <w:tc>
                <w:tcPr>
                  <w:tcW w:w="1687" w:type="dxa"/>
                  <w:noWrap w:val="0"/>
                  <w:vAlign w:val="center"/>
                </w:tcPr>
                <w:p w14:paraId="7B22512D">
                  <w:pPr>
                    <w:keepNext w:val="0"/>
                    <w:keepLines w:val="0"/>
                    <w:suppressLineNumbers w:val="0"/>
                    <w:tabs>
                      <w:tab w:val="left" w:pos="6096"/>
                    </w:tabs>
                    <w:spacing w:before="0" w:beforeAutospacing="0" w:after="0" w:afterAutospacing="0"/>
                    <w:ind w:left="0" w:right="0"/>
                    <w:jc w:val="center"/>
                    <w:rPr>
                      <w:rFonts w:hint="eastAsia" w:cs="Times New Roman"/>
                      <w:b w:val="0"/>
                      <w:bCs w:val="0"/>
                      <w:color w:val="auto"/>
                      <w:kern w:val="2"/>
                      <w:sz w:val="21"/>
                      <w:szCs w:val="21"/>
                      <w:lang w:val="en-US" w:eastAsia="zh-CN" w:bidi="ar-SA"/>
                    </w:rPr>
                  </w:pPr>
                </w:p>
              </w:tc>
            </w:tr>
            <w:tr w14:paraId="3EEAF5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047" w:type="dxa"/>
                  <w:vMerge w:val="continue"/>
                  <w:shd w:val="clear" w:color="auto" w:fill="auto"/>
                  <w:noWrap w:val="0"/>
                  <w:vAlign w:val="center"/>
                </w:tcPr>
                <w:p w14:paraId="79F4AD69">
                  <w:pPr>
                    <w:keepNext w:val="0"/>
                    <w:keepLines w:val="0"/>
                    <w:widowControl/>
                    <w:suppressLineNumbers w:val="0"/>
                    <w:spacing w:before="0" w:beforeAutospacing="0" w:after="0" w:afterAutospacing="0"/>
                    <w:ind w:left="0" w:right="0"/>
                    <w:jc w:val="center"/>
                    <w:rPr>
                      <w:rFonts w:hint="eastAsia" w:ascii="Times New Roman" w:hAnsi="Times New Roman" w:eastAsia="宋体" w:cs="Times New Roman"/>
                      <w:color w:val="auto"/>
                      <w:kern w:val="0"/>
                      <w:sz w:val="21"/>
                      <w:szCs w:val="21"/>
                      <w:u w:val="none"/>
                      <w:lang w:val="en-US" w:eastAsia="zh-CN" w:bidi="ar-SA"/>
                    </w:rPr>
                  </w:pPr>
                </w:p>
              </w:tc>
              <w:tc>
                <w:tcPr>
                  <w:tcW w:w="1170" w:type="dxa"/>
                  <w:vMerge w:val="continue"/>
                  <w:shd w:val="clear" w:color="auto" w:fill="auto"/>
                  <w:noWrap w:val="0"/>
                  <w:vAlign w:val="center"/>
                </w:tcPr>
                <w:p w14:paraId="66E91589">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p>
              </w:tc>
              <w:tc>
                <w:tcPr>
                  <w:tcW w:w="1048" w:type="dxa"/>
                  <w:vMerge w:val="continue"/>
                  <w:noWrap w:val="0"/>
                  <w:vAlign w:val="center"/>
                </w:tcPr>
                <w:p w14:paraId="6E9AE867">
                  <w:pPr>
                    <w:keepNext w:val="0"/>
                    <w:keepLines w:val="0"/>
                    <w:suppressLineNumbers w:val="0"/>
                    <w:tabs>
                      <w:tab w:val="left" w:pos="6096"/>
                    </w:tabs>
                    <w:spacing w:before="0" w:beforeAutospacing="0" w:after="0" w:afterAutospacing="0"/>
                    <w:ind w:left="0" w:right="0"/>
                    <w:jc w:val="center"/>
                    <w:rPr>
                      <w:rFonts w:hint="eastAsia" w:cs="Times New Roman"/>
                      <w:b w:val="0"/>
                      <w:bCs w:val="0"/>
                      <w:color w:val="auto"/>
                      <w:sz w:val="21"/>
                      <w:szCs w:val="21"/>
                      <w:lang w:val="en-US" w:eastAsia="zh-CN"/>
                    </w:rPr>
                  </w:pPr>
                </w:p>
              </w:tc>
              <w:tc>
                <w:tcPr>
                  <w:tcW w:w="1090" w:type="dxa"/>
                  <w:noWrap w:val="0"/>
                  <w:vAlign w:val="center"/>
                </w:tcPr>
                <w:p w14:paraId="7583D7C5">
                  <w:pPr>
                    <w:keepNext w:val="0"/>
                    <w:keepLines w:val="0"/>
                    <w:suppressLineNumbers w:val="0"/>
                    <w:tabs>
                      <w:tab w:val="left" w:pos="6096"/>
                    </w:tabs>
                    <w:spacing w:before="0" w:beforeAutospacing="0" w:after="0" w:afterAutospacing="0"/>
                    <w:ind w:left="0" w:right="0"/>
                    <w:jc w:val="center"/>
                    <w:rPr>
                      <w:rFonts w:hint="eastAsia" w:cs="Times New Roman"/>
                      <w:b w:val="0"/>
                      <w:bCs w:val="0"/>
                      <w:color w:val="auto"/>
                      <w:sz w:val="21"/>
                      <w:szCs w:val="21"/>
                      <w:lang w:val="en-US" w:eastAsia="zh-CN"/>
                    </w:rPr>
                  </w:pPr>
                  <w:r>
                    <w:rPr>
                      <w:rFonts w:hint="eastAsia" w:cs="Times New Roman"/>
                      <w:b w:val="0"/>
                      <w:bCs w:val="0"/>
                      <w:color w:val="auto"/>
                      <w:sz w:val="21"/>
                      <w:szCs w:val="21"/>
                      <w:lang w:val="en-US" w:eastAsia="zh-CN"/>
                    </w:rPr>
                    <w:t>臭气浓度</w:t>
                  </w:r>
                </w:p>
              </w:tc>
              <w:tc>
                <w:tcPr>
                  <w:tcW w:w="869" w:type="dxa"/>
                  <w:noWrap w:val="0"/>
                  <w:vAlign w:val="center"/>
                </w:tcPr>
                <w:p w14:paraId="344D056A">
                  <w:pPr>
                    <w:keepNext w:val="0"/>
                    <w:keepLines w:val="0"/>
                    <w:suppressLineNumbers w:val="0"/>
                    <w:tabs>
                      <w:tab w:val="left" w:pos="6096"/>
                    </w:tabs>
                    <w:spacing w:before="0" w:beforeAutospacing="0" w:after="0" w:afterAutospacing="0"/>
                    <w:ind w:left="0" w:right="0"/>
                    <w:jc w:val="center"/>
                    <w:rPr>
                      <w:rFonts w:hint="eastAsia" w:cs="Times New Roman"/>
                      <w:b w:val="0"/>
                      <w:bCs w:val="0"/>
                      <w:color w:val="auto"/>
                      <w:kern w:val="2"/>
                      <w:sz w:val="21"/>
                      <w:szCs w:val="21"/>
                      <w:lang w:val="en-US" w:eastAsia="zh-CN" w:bidi="ar-SA"/>
                    </w:rPr>
                  </w:pPr>
                  <w:r>
                    <w:rPr>
                      <w:rFonts w:hint="eastAsia"/>
                      <w:color w:val="auto"/>
                      <w:lang w:val="en-US" w:eastAsia="zh-CN"/>
                    </w:rPr>
                    <w:t>32（无量纲）</w:t>
                  </w:r>
                </w:p>
              </w:tc>
              <w:tc>
                <w:tcPr>
                  <w:tcW w:w="593" w:type="dxa"/>
                  <w:vMerge w:val="continue"/>
                  <w:noWrap w:val="0"/>
                  <w:vAlign w:val="center"/>
                </w:tcPr>
                <w:p w14:paraId="3C247AFE">
                  <w:pPr>
                    <w:keepNext w:val="0"/>
                    <w:keepLines w:val="0"/>
                    <w:suppressLineNumbers w:val="0"/>
                    <w:tabs>
                      <w:tab w:val="left" w:pos="6096"/>
                    </w:tabs>
                    <w:spacing w:before="0" w:beforeAutospacing="0" w:after="0" w:afterAutospacing="0"/>
                    <w:ind w:left="0" w:right="0"/>
                    <w:jc w:val="center"/>
                    <w:rPr>
                      <w:rFonts w:hint="eastAsia" w:cs="Times New Roman"/>
                      <w:b w:val="0"/>
                      <w:bCs w:val="0"/>
                      <w:color w:val="auto"/>
                      <w:kern w:val="2"/>
                      <w:sz w:val="21"/>
                      <w:szCs w:val="21"/>
                      <w:lang w:val="en-US" w:eastAsia="zh-CN" w:bidi="ar-SA"/>
                    </w:rPr>
                  </w:pPr>
                </w:p>
              </w:tc>
              <w:tc>
                <w:tcPr>
                  <w:tcW w:w="1687" w:type="dxa"/>
                  <w:noWrap w:val="0"/>
                  <w:vAlign w:val="center"/>
                </w:tcPr>
                <w:p w14:paraId="4A171A25">
                  <w:pPr>
                    <w:keepNext w:val="0"/>
                    <w:keepLines w:val="0"/>
                    <w:suppressLineNumbers w:val="0"/>
                    <w:tabs>
                      <w:tab w:val="left" w:pos="6096"/>
                    </w:tabs>
                    <w:spacing w:before="0" w:beforeAutospacing="0" w:after="0" w:afterAutospacing="0"/>
                    <w:ind w:left="0" w:right="0"/>
                    <w:jc w:val="center"/>
                    <w:rPr>
                      <w:rFonts w:hint="eastAsia" w:cs="Times New Roman"/>
                      <w:b w:val="0"/>
                      <w:bCs w:val="0"/>
                      <w:color w:val="auto"/>
                      <w:kern w:val="2"/>
                      <w:sz w:val="21"/>
                      <w:szCs w:val="21"/>
                      <w:lang w:val="en-US" w:eastAsia="zh-CN" w:bidi="ar-SA"/>
                    </w:rPr>
                  </w:pPr>
                </w:p>
              </w:tc>
            </w:tr>
            <w:tr w14:paraId="18DFF6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047" w:type="dxa"/>
                  <w:shd w:val="clear" w:color="auto" w:fill="auto"/>
                  <w:noWrap w:val="0"/>
                  <w:vAlign w:val="center"/>
                </w:tcPr>
                <w:p w14:paraId="5ADFED80">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人造革</w:t>
                  </w:r>
                  <w:r>
                    <w:rPr>
                      <w:rFonts w:hint="eastAsia"/>
                      <w:color w:val="auto"/>
                      <w:kern w:val="0"/>
                      <w:sz w:val="21"/>
                      <w:szCs w:val="21"/>
                      <w:u w:val="none"/>
                      <w:lang w:val="en-US" w:eastAsia="zh-CN"/>
                    </w:rPr>
                    <w:t>料</w:t>
                  </w:r>
                  <w:r>
                    <w:rPr>
                      <w:rFonts w:hint="eastAsia"/>
                      <w:color w:val="auto"/>
                      <w:kern w:val="0"/>
                      <w:sz w:val="21"/>
                      <w:szCs w:val="21"/>
                      <w:u w:val="none"/>
                      <w:lang w:eastAsia="zh-CN"/>
                    </w:rPr>
                    <w:t>（</w:t>
                  </w:r>
                  <w:r>
                    <w:rPr>
                      <w:rFonts w:hint="eastAsia"/>
                      <w:color w:val="auto"/>
                      <w:kern w:val="0"/>
                      <w:sz w:val="21"/>
                      <w:szCs w:val="21"/>
                      <w:u w:val="none"/>
                      <w:lang w:val="en-US" w:eastAsia="zh-CN"/>
                    </w:rPr>
                    <w:t>面料</w:t>
                  </w:r>
                  <w:r>
                    <w:rPr>
                      <w:rFonts w:hint="eastAsia"/>
                      <w:color w:val="auto"/>
                      <w:kern w:val="0"/>
                      <w:sz w:val="21"/>
                      <w:szCs w:val="21"/>
                      <w:u w:val="none"/>
                      <w:lang w:eastAsia="zh-CN"/>
                    </w:rPr>
                    <w:t>）</w:t>
                  </w:r>
                </w:p>
              </w:tc>
              <w:tc>
                <w:tcPr>
                  <w:tcW w:w="1170" w:type="dxa"/>
                  <w:shd w:val="clear" w:color="auto" w:fill="auto"/>
                  <w:noWrap w:val="0"/>
                  <w:vAlign w:val="center"/>
                </w:tcPr>
                <w:p w14:paraId="4A04D421">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185.166</w:t>
                  </w:r>
                </w:p>
              </w:tc>
              <w:tc>
                <w:tcPr>
                  <w:tcW w:w="2138" w:type="dxa"/>
                  <w:gridSpan w:val="2"/>
                  <w:noWrap w:val="0"/>
                  <w:vAlign w:val="center"/>
                </w:tcPr>
                <w:p w14:paraId="5E8C60C3">
                  <w:pPr>
                    <w:keepNext w:val="0"/>
                    <w:keepLines w:val="0"/>
                    <w:widowControl/>
                    <w:suppressLineNumbers w:val="0"/>
                    <w:spacing w:before="0" w:beforeAutospacing="0" w:after="0" w:afterAutospacing="0"/>
                    <w:ind w:left="0" w:right="0"/>
                    <w:jc w:val="center"/>
                    <w:rPr>
                      <w:rFonts w:hint="default" w:cs="Times New Roman"/>
                      <w:b w:val="0"/>
                      <w:bCs w:val="0"/>
                      <w:color w:val="auto"/>
                      <w:sz w:val="21"/>
                      <w:szCs w:val="21"/>
                      <w:lang w:val="en-US" w:eastAsia="zh-CN"/>
                    </w:rPr>
                  </w:pPr>
                  <w:r>
                    <w:rPr>
                      <w:rFonts w:hint="eastAsia" w:cs="Times New Roman"/>
                      <w:b w:val="0"/>
                      <w:bCs w:val="0"/>
                      <w:color w:val="auto"/>
                      <w:sz w:val="21"/>
                      <w:szCs w:val="21"/>
                      <w:lang w:val="en-US" w:eastAsia="zh-CN"/>
                    </w:rPr>
                    <w:t>布袋收集粉尘</w:t>
                  </w:r>
                </w:p>
              </w:tc>
              <w:tc>
                <w:tcPr>
                  <w:tcW w:w="1462" w:type="dxa"/>
                  <w:gridSpan w:val="2"/>
                  <w:noWrap w:val="0"/>
                  <w:vAlign w:val="center"/>
                </w:tcPr>
                <w:p w14:paraId="59983CDE">
                  <w:pPr>
                    <w:keepNext w:val="0"/>
                    <w:keepLines w:val="0"/>
                    <w:suppressLineNumbers w:val="0"/>
                    <w:tabs>
                      <w:tab w:val="left" w:pos="6096"/>
                    </w:tabs>
                    <w:spacing w:before="0" w:beforeAutospacing="0" w:after="0" w:afterAutospacing="0"/>
                    <w:ind w:left="0" w:right="0"/>
                    <w:jc w:val="center"/>
                    <w:rPr>
                      <w:rFonts w:hint="default" w:cs="Times New Roman"/>
                      <w:b w:val="0"/>
                      <w:bCs w:val="0"/>
                      <w:color w:val="auto"/>
                      <w:kern w:val="2"/>
                      <w:sz w:val="21"/>
                      <w:szCs w:val="21"/>
                      <w:lang w:val="en-US" w:eastAsia="zh-CN" w:bidi="ar-SA"/>
                    </w:rPr>
                  </w:pPr>
                  <w:r>
                    <w:rPr>
                      <w:rFonts w:hint="eastAsia" w:cs="Times New Roman"/>
                      <w:b w:val="0"/>
                      <w:bCs w:val="0"/>
                      <w:color w:val="auto"/>
                      <w:kern w:val="2"/>
                      <w:sz w:val="21"/>
                      <w:szCs w:val="21"/>
                      <w:lang w:val="en-US" w:eastAsia="zh-CN" w:bidi="ar-SA"/>
                    </w:rPr>
                    <w:t>5.95</w:t>
                  </w:r>
                </w:p>
              </w:tc>
              <w:tc>
                <w:tcPr>
                  <w:tcW w:w="1687" w:type="dxa"/>
                  <w:noWrap w:val="0"/>
                  <w:vAlign w:val="center"/>
                </w:tcPr>
                <w:p w14:paraId="28C5A206">
                  <w:pPr>
                    <w:keepNext w:val="0"/>
                    <w:keepLines w:val="0"/>
                    <w:suppressLineNumbers w:val="0"/>
                    <w:tabs>
                      <w:tab w:val="left" w:pos="6096"/>
                    </w:tabs>
                    <w:spacing w:before="0" w:beforeAutospacing="0" w:after="0" w:afterAutospacing="0"/>
                    <w:ind w:left="0" w:right="0"/>
                    <w:jc w:val="center"/>
                    <w:rPr>
                      <w:rFonts w:hint="eastAsia" w:cs="Times New Roman"/>
                      <w:b w:val="0"/>
                      <w:bCs w:val="0"/>
                      <w:color w:val="auto"/>
                      <w:kern w:val="2"/>
                      <w:sz w:val="21"/>
                      <w:szCs w:val="21"/>
                      <w:lang w:val="en-US" w:eastAsia="zh-CN" w:bidi="ar-SA"/>
                    </w:rPr>
                  </w:pPr>
                </w:p>
              </w:tc>
            </w:tr>
            <w:tr w14:paraId="0149D5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047" w:type="dxa"/>
                  <w:shd w:val="clear" w:color="auto" w:fill="auto"/>
                  <w:noWrap w:val="0"/>
                  <w:vAlign w:val="center"/>
                </w:tcPr>
                <w:p w14:paraId="0072D693">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帆布料</w:t>
                  </w:r>
                </w:p>
              </w:tc>
              <w:tc>
                <w:tcPr>
                  <w:tcW w:w="1170" w:type="dxa"/>
                  <w:shd w:val="clear" w:color="auto" w:fill="auto"/>
                  <w:noWrap w:val="0"/>
                  <w:vAlign w:val="center"/>
                </w:tcPr>
                <w:p w14:paraId="09D5D612">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s="Times New Roman"/>
                      <w:b w:val="0"/>
                      <w:bCs w:val="0"/>
                      <w:color w:val="auto"/>
                      <w:kern w:val="2"/>
                      <w:sz w:val="21"/>
                      <w:szCs w:val="21"/>
                      <w:lang w:val="en-US" w:eastAsia="zh-CN" w:bidi="ar-SA"/>
                    </w:rPr>
                    <w:t>657.957</w:t>
                  </w:r>
                </w:p>
              </w:tc>
              <w:tc>
                <w:tcPr>
                  <w:tcW w:w="2138" w:type="dxa"/>
                  <w:gridSpan w:val="2"/>
                  <w:noWrap w:val="0"/>
                  <w:vAlign w:val="center"/>
                </w:tcPr>
                <w:p w14:paraId="39FBAF4F">
                  <w:pPr>
                    <w:keepNext w:val="0"/>
                    <w:keepLines w:val="0"/>
                    <w:suppressLineNumbers w:val="0"/>
                    <w:tabs>
                      <w:tab w:val="left" w:pos="6096"/>
                    </w:tabs>
                    <w:spacing w:before="0" w:beforeAutospacing="0" w:after="0" w:afterAutospacing="0"/>
                    <w:ind w:left="0" w:right="0"/>
                    <w:jc w:val="center"/>
                    <w:rPr>
                      <w:rFonts w:hint="default" w:cs="Times New Roman"/>
                      <w:b w:val="0"/>
                      <w:bCs w:val="0"/>
                      <w:color w:val="auto"/>
                      <w:sz w:val="21"/>
                      <w:szCs w:val="21"/>
                      <w:lang w:val="en-US" w:eastAsia="zh-CN"/>
                    </w:rPr>
                  </w:pPr>
                  <w:r>
                    <w:rPr>
                      <w:rFonts w:hint="eastAsia"/>
                      <w:color w:val="auto"/>
                      <w:sz w:val="21"/>
                      <w:u w:val="none"/>
                      <w:shd w:val="clear" w:color="auto" w:fill="auto"/>
                    </w:rPr>
                    <w:t>残留在</w:t>
                  </w:r>
                  <w:r>
                    <w:rPr>
                      <w:rFonts w:hint="eastAsia"/>
                      <w:color w:val="auto"/>
                      <w:sz w:val="21"/>
                      <w:u w:val="none"/>
                      <w:shd w:val="clear" w:color="auto" w:fill="auto"/>
                      <w:lang w:val="en-US" w:eastAsia="zh-CN"/>
                    </w:rPr>
                    <w:t>休闲鞋</w:t>
                  </w:r>
                  <w:r>
                    <w:rPr>
                      <w:rFonts w:hint="eastAsia"/>
                      <w:color w:val="auto"/>
                      <w:sz w:val="21"/>
                      <w:u w:val="none"/>
                      <w:shd w:val="clear" w:color="auto" w:fill="auto"/>
                    </w:rPr>
                    <w:t>表面</w:t>
                  </w:r>
                </w:p>
              </w:tc>
              <w:tc>
                <w:tcPr>
                  <w:tcW w:w="1462" w:type="dxa"/>
                  <w:gridSpan w:val="2"/>
                  <w:noWrap w:val="0"/>
                  <w:vAlign w:val="center"/>
                </w:tcPr>
                <w:p w14:paraId="663477A2">
                  <w:pPr>
                    <w:keepNext w:val="0"/>
                    <w:keepLines w:val="0"/>
                    <w:suppressLineNumbers w:val="0"/>
                    <w:tabs>
                      <w:tab w:val="left" w:pos="6096"/>
                    </w:tabs>
                    <w:spacing w:before="0" w:beforeAutospacing="0" w:after="0" w:afterAutospacing="0"/>
                    <w:ind w:left="0" w:right="0"/>
                    <w:jc w:val="center"/>
                    <w:rPr>
                      <w:rFonts w:hint="default" w:cs="Times New Roman"/>
                      <w:b w:val="0"/>
                      <w:bCs w:val="0"/>
                      <w:color w:val="auto"/>
                      <w:kern w:val="2"/>
                      <w:sz w:val="21"/>
                      <w:szCs w:val="21"/>
                      <w:lang w:val="en-US" w:eastAsia="zh-CN" w:bidi="ar-SA"/>
                    </w:rPr>
                  </w:pPr>
                  <w:r>
                    <w:rPr>
                      <w:rFonts w:hint="eastAsia" w:cs="Times New Roman"/>
                      <w:b w:val="0"/>
                      <w:bCs w:val="0"/>
                      <w:color w:val="auto"/>
                      <w:kern w:val="2"/>
                      <w:sz w:val="21"/>
                      <w:szCs w:val="21"/>
                      <w:lang w:val="en-US" w:eastAsia="zh-CN" w:bidi="ar-SA"/>
                    </w:rPr>
                    <w:t>2.33</w:t>
                  </w:r>
                </w:p>
              </w:tc>
              <w:tc>
                <w:tcPr>
                  <w:tcW w:w="1687" w:type="dxa"/>
                  <w:noWrap w:val="0"/>
                  <w:vAlign w:val="center"/>
                </w:tcPr>
                <w:p w14:paraId="3F48F50B">
                  <w:pPr>
                    <w:keepNext w:val="0"/>
                    <w:keepLines w:val="0"/>
                    <w:suppressLineNumbers w:val="0"/>
                    <w:tabs>
                      <w:tab w:val="left" w:pos="6096"/>
                    </w:tabs>
                    <w:spacing w:before="0" w:beforeAutospacing="0" w:after="0" w:afterAutospacing="0"/>
                    <w:ind w:left="0" w:right="0"/>
                    <w:jc w:val="center"/>
                    <w:rPr>
                      <w:rFonts w:hint="eastAsia" w:cs="Times New Roman"/>
                      <w:b w:val="0"/>
                      <w:bCs w:val="0"/>
                      <w:color w:val="auto"/>
                      <w:kern w:val="2"/>
                      <w:sz w:val="21"/>
                      <w:szCs w:val="21"/>
                      <w:lang w:val="en-US" w:eastAsia="zh-CN" w:bidi="ar-SA"/>
                    </w:rPr>
                  </w:pPr>
                </w:p>
              </w:tc>
            </w:tr>
            <w:tr w14:paraId="71C4F3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047" w:type="dxa"/>
                  <w:shd w:val="clear" w:color="auto" w:fill="auto"/>
                  <w:noWrap w:val="0"/>
                  <w:vAlign w:val="center"/>
                </w:tcPr>
                <w:p w14:paraId="4795E6CB">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贴合类网布</w:t>
                  </w:r>
                </w:p>
              </w:tc>
              <w:tc>
                <w:tcPr>
                  <w:tcW w:w="1170" w:type="dxa"/>
                  <w:shd w:val="clear" w:color="auto" w:fill="auto"/>
                  <w:noWrap w:val="0"/>
                  <w:vAlign w:val="center"/>
                </w:tcPr>
                <w:p w14:paraId="072CF3DE">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197.378</w:t>
                  </w:r>
                </w:p>
              </w:tc>
              <w:tc>
                <w:tcPr>
                  <w:tcW w:w="2138" w:type="dxa"/>
                  <w:gridSpan w:val="2"/>
                  <w:noWrap w:val="0"/>
                  <w:vAlign w:val="center"/>
                </w:tcPr>
                <w:p w14:paraId="18422A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eastAsia" w:ascii="Times New Roman" w:hAnsi="Times New Roman" w:cs="Times New Roman"/>
                      <w:b w:val="0"/>
                      <w:bCs w:val="0"/>
                      <w:color w:val="auto"/>
                      <w:sz w:val="21"/>
                      <w:szCs w:val="21"/>
                      <w:lang w:eastAsia="zh-CN"/>
                    </w:rPr>
                  </w:pPr>
                  <w:r>
                    <w:rPr>
                      <w:rFonts w:hint="eastAsia" w:eastAsia="宋体" w:cs="Times New Roman"/>
                      <w:color w:val="auto"/>
                      <w:kern w:val="2"/>
                      <w:sz w:val="21"/>
                      <w:szCs w:val="21"/>
                      <w:highlight w:val="none"/>
                      <w:lang w:val="en-US" w:eastAsia="zh-CN" w:bidi="ar-SA"/>
                    </w:rPr>
                    <w:t>网版清洗水</w:t>
                  </w:r>
                </w:p>
              </w:tc>
              <w:tc>
                <w:tcPr>
                  <w:tcW w:w="1462" w:type="dxa"/>
                  <w:gridSpan w:val="2"/>
                  <w:noWrap w:val="0"/>
                  <w:vAlign w:val="center"/>
                </w:tcPr>
                <w:p w14:paraId="09E6B3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default" w:ascii="Times New Roman" w:hAnsi="Times New Roman" w:cs="Times New Roman"/>
                      <w:b w:val="0"/>
                      <w:bCs w:val="0"/>
                      <w:color w:val="auto"/>
                      <w:sz w:val="21"/>
                      <w:szCs w:val="21"/>
                      <w:lang w:val="en-US" w:eastAsia="zh-CN"/>
                    </w:rPr>
                  </w:pPr>
                  <w:r>
                    <w:rPr>
                      <w:rFonts w:hint="eastAsia" w:ascii="Times New Roman" w:hAnsi="Times New Roman" w:cs="Times New Roman"/>
                      <w:b w:val="0"/>
                      <w:bCs w:val="0"/>
                      <w:color w:val="auto"/>
                      <w:sz w:val="21"/>
                      <w:szCs w:val="21"/>
                      <w:lang w:val="en-US" w:eastAsia="zh-CN"/>
                    </w:rPr>
                    <w:t>6</w:t>
                  </w:r>
                </w:p>
              </w:tc>
              <w:tc>
                <w:tcPr>
                  <w:tcW w:w="1687" w:type="dxa"/>
                  <w:noWrap w:val="0"/>
                  <w:vAlign w:val="center"/>
                </w:tcPr>
                <w:p w14:paraId="478EBB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eastAsia" w:ascii="Times New Roman" w:hAnsi="Times New Roman" w:cs="Times New Roman"/>
                      <w:b w:val="0"/>
                      <w:bCs w:val="0"/>
                      <w:color w:val="auto"/>
                      <w:sz w:val="21"/>
                      <w:szCs w:val="21"/>
                      <w:lang w:val="en-US" w:eastAsia="zh-CN"/>
                    </w:rPr>
                  </w:pPr>
                </w:p>
              </w:tc>
            </w:tr>
            <w:tr w14:paraId="14B783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047" w:type="dxa"/>
                  <w:shd w:val="clear" w:color="auto" w:fill="auto"/>
                  <w:noWrap w:val="0"/>
                  <w:vAlign w:val="center"/>
                </w:tcPr>
                <w:p w14:paraId="30A97423">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rPr>
                    <w:t>海绵</w:t>
                  </w:r>
                </w:p>
              </w:tc>
              <w:tc>
                <w:tcPr>
                  <w:tcW w:w="1170" w:type="dxa"/>
                  <w:shd w:val="clear" w:color="auto" w:fill="auto"/>
                  <w:noWrap w:val="0"/>
                  <w:vAlign w:val="center"/>
                </w:tcPr>
                <w:p w14:paraId="663FFCDF">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29.625</w:t>
                  </w:r>
                </w:p>
              </w:tc>
              <w:tc>
                <w:tcPr>
                  <w:tcW w:w="2138" w:type="dxa"/>
                  <w:gridSpan w:val="2"/>
                  <w:noWrap w:val="0"/>
                  <w:vAlign w:val="center"/>
                </w:tcPr>
                <w:p w14:paraId="461B5B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eastAsia" w:ascii="Times New Roman" w:hAnsi="Times New Roman" w:cs="Times New Roman"/>
                      <w:b w:val="0"/>
                      <w:bCs w:val="0"/>
                      <w:color w:val="auto"/>
                      <w:sz w:val="21"/>
                      <w:szCs w:val="21"/>
                      <w:lang w:val="en-US" w:eastAsia="zh-CN"/>
                    </w:rPr>
                  </w:pPr>
                  <w:r>
                    <w:rPr>
                      <w:rFonts w:hint="eastAsia" w:ascii="Times New Roman" w:hAnsi="Times New Roman" w:cs="Times New Roman"/>
                      <w:b w:val="0"/>
                      <w:bCs w:val="0"/>
                      <w:color w:val="auto"/>
                      <w:sz w:val="21"/>
                      <w:szCs w:val="21"/>
                      <w:lang w:val="en-US" w:eastAsia="zh-CN"/>
                    </w:rPr>
                    <w:t>废边角料</w:t>
                  </w:r>
                </w:p>
              </w:tc>
              <w:tc>
                <w:tcPr>
                  <w:tcW w:w="1462" w:type="dxa"/>
                  <w:gridSpan w:val="2"/>
                  <w:noWrap w:val="0"/>
                  <w:vAlign w:val="center"/>
                </w:tcPr>
                <w:p w14:paraId="6C96F1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default" w:ascii="Times New Roman" w:hAnsi="Times New Roman" w:cs="Times New Roman"/>
                      <w:b w:val="0"/>
                      <w:bCs w:val="0"/>
                      <w:color w:val="auto"/>
                      <w:sz w:val="21"/>
                      <w:szCs w:val="21"/>
                      <w:lang w:val="en-US" w:eastAsia="zh-CN"/>
                    </w:rPr>
                  </w:pPr>
                  <w:r>
                    <w:rPr>
                      <w:rFonts w:hint="eastAsia" w:ascii="Times New Roman" w:hAnsi="Times New Roman" w:cs="Times New Roman"/>
                      <w:b w:val="0"/>
                      <w:bCs w:val="0"/>
                      <w:color w:val="auto"/>
                      <w:sz w:val="21"/>
                      <w:szCs w:val="21"/>
                      <w:lang w:val="en-US" w:eastAsia="zh-CN"/>
                    </w:rPr>
                    <w:t>14</w:t>
                  </w:r>
                </w:p>
              </w:tc>
              <w:tc>
                <w:tcPr>
                  <w:tcW w:w="1687" w:type="dxa"/>
                  <w:noWrap w:val="0"/>
                  <w:vAlign w:val="center"/>
                </w:tcPr>
                <w:p w14:paraId="39887B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eastAsia" w:ascii="Times New Roman" w:hAnsi="Times New Roman" w:cs="Times New Roman"/>
                      <w:b w:val="0"/>
                      <w:bCs w:val="0"/>
                      <w:color w:val="auto"/>
                      <w:sz w:val="21"/>
                      <w:szCs w:val="21"/>
                      <w:lang w:val="en-US" w:eastAsia="zh-CN"/>
                    </w:rPr>
                  </w:pPr>
                </w:p>
              </w:tc>
            </w:tr>
            <w:tr w14:paraId="4EEFFF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047" w:type="dxa"/>
                  <w:shd w:val="clear" w:color="auto" w:fill="auto"/>
                  <w:noWrap w:val="0"/>
                  <w:vAlign w:val="center"/>
                </w:tcPr>
                <w:p w14:paraId="4AA33FC7">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s="Times New Roman"/>
                      <w:color w:val="auto"/>
                      <w:kern w:val="0"/>
                      <w:sz w:val="21"/>
                      <w:szCs w:val="21"/>
                      <w:u w:val="none"/>
                      <w:lang w:val="en-US" w:eastAsia="zh-CN" w:bidi="ar-SA"/>
                    </w:rPr>
                    <w:t>高跟鞋底中㡳</w:t>
                  </w:r>
                </w:p>
              </w:tc>
              <w:tc>
                <w:tcPr>
                  <w:tcW w:w="1170" w:type="dxa"/>
                  <w:shd w:val="clear" w:color="auto" w:fill="auto"/>
                  <w:noWrap w:val="0"/>
                  <w:vAlign w:val="center"/>
                </w:tcPr>
                <w:p w14:paraId="178F6440">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24</w:t>
                  </w:r>
                </w:p>
              </w:tc>
              <w:tc>
                <w:tcPr>
                  <w:tcW w:w="2138" w:type="dxa"/>
                  <w:gridSpan w:val="2"/>
                  <w:noWrap w:val="0"/>
                  <w:vAlign w:val="center"/>
                </w:tcPr>
                <w:p w14:paraId="51D73D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eastAsia" w:ascii="Times New Roman" w:hAnsi="Times New Roman" w:cs="Times New Roman"/>
                      <w:b w:val="0"/>
                      <w:bCs w:val="0"/>
                      <w:color w:val="auto"/>
                      <w:sz w:val="21"/>
                      <w:szCs w:val="21"/>
                      <w:lang w:val="en-US" w:eastAsia="zh-CN"/>
                    </w:rPr>
                  </w:pPr>
                  <w:r>
                    <w:rPr>
                      <w:rFonts w:hint="eastAsia" w:ascii="Times New Roman" w:hAnsi="Times New Roman" w:cs="Times New Roman"/>
                      <w:b w:val="0"/>
                      <w:bCs w:val="0"/>
                      <w:color w:val="auto"/>
                      <w:sz w:val="21"/>
                      <w:szCs w:val="21"/>
                      <w:lang w:val="en-US" w:eastAsia="zh-CN"/>
                    </w:rPr>
                    <w:t>注塑废边角料</w:t>
                  </w:r>
                </w:p>
              </w:tc>
              <w:tc>
                <w:tcPr>
                  <w:tcW w:w="1462" w:type="dxa"/>
                  <w:gridSpan w:val="2"/>
                  <w:noWrap w:val="0"/>
                  <w:vAlign w:val="center"/>
                </w:tcPr>
                <w:p w14:paraId="05A326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default" w:ascii="Times New Roman" w:hAnsi="Times New Roman" w:cs="Times New Roman"/>
                      <w:b w:val="0"/>
                      <w:bCs w:val="0"/>
                      <w:color w:val="auto"/>
                      <w:sz w:val="21"/>
                      <w:szCs w:val="21"/>
                      <w:lang w:val="en-US" w:eastAsia="zh-CN"/>
                    </w:rPr>
                  </w:pPr>
                  <w:r>
                    <w:rPr>
                      <w:rFonts w:hint="eastAsia" w:ascii="Times New Roman" w:hAnsi="Times New Roman" w:cs="Times New Roman"/>
                      <w:b w:val="0"/>
                      <w:bCs w:val="0"/>
                      <w:color w:val="auto"/>
                      <w:sz w:val="21"/>
                      <w:szCs w:val="21"/>
                      <w:lang w:val="en-US" w:eastAsia="zh-CN"/>
                    </w:rPr>
                    <w:t>24.8</w:t>
                  </w:r>
                </w:p>
              </w:tc>
              <w:tc>
                <w:tcPr>
                  <w:tcW w:w="1687" w:type="dxa"/>
                  <w:noWrap w:val="0"/>
                  <w:vAlign w:val="center"/>
                </w:tcPr>
                <w:p w14:paraId="6E6E76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eastAsia" w:ascii="Times New Roman" w:hAnsi="Times New Roman" w:cs="Times New Roman"/>
                      <w:b w:val="0"/>
                      <w:bCs w:val="0"/>
                      <w:color w:val="auto"/>
                      <w:sz w:val="21"/>
                      <w:szCs w:val="21"/>
                      <w:lang w:val="en-US" w:eastAsia="zh-CN"/>
                    </w:rPr>
                  </w:pPr>
                </w:p>
              </w:tc>
            </w:tr>
            <w:tr w14:paraId="76287B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047" w:type="dxa"/>
                  <w:shd w:val="clear" w:color="auto" w:fill="auto"/>
                  <w:noWrap w:val="0"/>
                  <w:vAlign w:val="center"/>
                </w:tcPr>
                <w:p w14:paraId="6F7F33DE">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s="Times New Roman"/>
                      <w:color w:val="auto"/>
                      <w:kern w:val="0"/>
                      <w:sz w:val="21"/>
                      <w:szCs w:val="21"/>
                      <w:u w:val="none"/>
                      <w:lang w:val="en-US" w:eastAsia="zh-CN" w:bidi="ar-SA"/>
                    </w:rPr>
                    <w:t>高跟鞋底大㡳</w:t>
                  </w:r>
                </w:p>
              </w:tc>
              <w:tc>
                <w:tcPr>
                  <w:tcW w:w="1170" w:type="dxa"/>
                  <w:shd w:val="clear" w:color="auto" w:fill="auto"/>
                  <w:noWrap w:val="0"/>
                  <w:vAlign w:val="center"/>
                </w:tcPr>
                <w:p w14:paraId="06BE9F20">
                  <w:pPr>
                    <w:keepNext w:val="0"/>
                    <w:keepLines w:val="0"/>
                    <w:widowControl/>
                    <w:suppressLineNumbers w:val="0"/>
                    <w:tabs>
                      <w:tab w:val="left" w:pos="276"/>
                    </w:tabs>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40</w:t>
                  </w:r>
                </w:p>
              </w:tc>
              <w:tc>
                <w:tcPr>
                  <w:tcW w:w="2138" w:type="dxa"/>
                  <w:gridSpan w:val="2"/>
                  <w:noWrap w:val="0"/>
                  <w:vAlign w:val="center"/>
                </w:tcPr>
                <w:p w14:paraId="73EE25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default" w:ascii="Times New Roman" w:hAnsi="Times New Roman" w:cs="Times New Roman"/>
                      <w:b w:val="0"/>
                      <w:bCs w:val="0"/>
                      <w:color w:val="auto"/>
                      <w:sz w:val="21"/>
                      <w:szCs w:val="21"/>
                      <w:lang w:val="en-US" w:eastAsia="zh-CN"/>
                    </w:rPr>
                  </w:pPr>
                  <w:r>
                    <w:rPr>
                      <w:rFonts w:hint="eastAsia" w:ascii="Times New Roman" w:hAnsi="Times New Roman" w:cs="Times New Roman"/>
                      <w:b w:val="0"/>
                      <w:bCs w:val="0"/>
                      <w:color w:val="auto"/>
                      <w:sz w:val="21"/>
                      <w:szCs w:val="21"/>
                      <w:lang w:val="en-US" w:eastAsia="zh-CN"/>
                    </w:rPr>
                    <w:t>不合格品</w:t>
                  </w:r>
                </w:p>
              </w:tc>
              <w:tc>
                <w:tcPr>
                  <w:tcW w:w="1462" w:type="dxa"/>
                  <w:gridSpan w:val="2"/>
                  <w:noWrap w:val="0"/>
                  <w:vAlign w:val="center"/>
                </w:tcPr>
                <w:p w14:paraId="4082F4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default" w:ascii="Times New Roman" w:hAnsi="Times New Roman" w:cs="Times New Roman"/>
                      <w:b w:val="0"/>
                      <w:bCs w:val="0"/>
                      <w:color w:val="auto"/>
                      <w:sz w:val="21"/>
                      <w:szCs w:val="21"/>
                      <w:lang w:val="en-US" w:eastAsia="zh-CN"/>
                    </w:rPr>
                  </w:pPr>
                  <w:r>
                    <w:rPr>
                      <w:rFonts w:hint="eastAsia" w:ascii="Times New Roman" w:hAnsi="Times New Roman" w:cs="Times New Roman"/>
                      <w:b w:val="0"/>
                      <w:bCs w:val="0"/>
                      <w:color w:val="auto"/>
                      <w:sz w:val="21"/>
                      <w:szCs w:val="21"/>
                      <w:lang w:val="en-US" w:eastAsia="zh-CN"/>
                    </w:rPr>
                    <w:t>0.91</w:t>
                  </w:r>
                </w:p>
              </w:tc>
              <w:tc>
                <w:tcPr>
                  <w:tcW w:w="1687" w:type="dxa"/>
                  <w:noWrap w:val="0"/>
                  <w:vAlign w:val="center"/>
                </w:tcPr>
                <w:p w14:paraId="479DB6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eastAsia" w:ascii="Times New Roman" w:hAnsi="Times New Roman" w:cs="Times New Roman"/>
                      <w:b w:val="0"/>
                      <w:bCs w:val="0"/>
                      <w:color w:val="auto"/>
                      <w:sz w:val="21"/>
                      <w:szCs w:val="21"/>
                      <w:lang w:val="en-US" w:eastAsia="zh-CN"/>
                    </w:rPr>
                  </w:pPr>
                </w:p>
              </w:tc>
            </w:tr>
            <w:tr w14:paraId="140D48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047" w:type="dxa"/>
                  <w:shd w:val="clear" w:color="auto" w:fill="auto"/>
                  <w:noWrap w:val="0"/>
                  <w:vAlign w:val="center"/>
                </w:tcPr>
                <w:p w14:paraId="3C307F6B">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s="Times New Roman"/>
                      <w:color w:val="auto"/>
                      <w:kern w:val="0"/>
                      <w:sz w:val="21"/>
                      <w:szCs w:val="21"/>
                      <w:u w:val="none"/>
                      <w:lang w:val="en-US" w:eastAsia="zh-CN" w:bidi="ar-SA"/>
                    </w:rPr>
                    <w:t>高跟鞋鞋垫</w:t>
                  </w:r>
                </w:p>
              </w:tc>
              <w:tc>
                <w:tcPr>
                  <w:tcW w:w="1170" w:type="dxa"/>
                  <w:shd w:val="clear" w:color="auto" w:fill="auto"/>
                  <w:noWrap w:val="0"/>
                  <w:vAlign w:val="center"/>
                </w:tcPr>
                <w:p w14:paraId="74C8EC3E">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8</w:t>
                  </w:r>
                </w:p>
              </w:tc>
              <w:tc>
                <w:tcPr>
                  <w:tcW w:w="2138" w:type="dxa"/>
                  <w:gridSpan w:val="2"/>
                  <w:shd w:val="clear" w:color="auto" w:fill="auto"/>
                  <w:noWrap w:val="0"/>
                  <w:vAlign w:val="center"/>
                </w:tcPr>
                <w:p w14:paraId="3727E56A">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eastAsia="宋体" w:cs="Times New Roman"/>
                      <w:color w:val="auto"/>
                      <w:kern w:val="2"/>
                      <w:sz w:val="21"/>
                      <w:szCs w:val="21"/>
                      <w:highlight w:val="none"/>
                      <w:lang w:val="en-US" w:eastAsia="zh-CN" w:bidi="ar-SA"/>
                    </w:rPr>
                    <w:t>蒸发水量</w:t>
                  </w:r>
                </w:p>
              </w:tc>
              <w:tc>
                <w:tcPr>
                  <w:tcW w:w="1462" w:type="dxa"/>
                  <w:gridSpan w:val="2"/>
                  <w:noWrap w:val="0"/>
                  <w:vAlign w:val="center"/>
                </w:tcPr>
                <w:p w14:paraId="23BE07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default" w:ascii="Times New Roman" w:hAnsi="Times New Roman" w:cs="Times New Roman"/>
                      <w:b w:val="0"/>
                      <w:bCs w:val="0"/>
                      <w:color w:val="auto"/>
                      <w:sz w:val="21"/>
                      <w:szCs w:val="21"/>
                      <w:lang w:val="en-US" w:eastAsia="zh-CN"/>
                    </w:rPr>
                  </w:pPr>
                  <w:r>
                    <w:rPr>
                      <w:rFonts w:hint="eastAsia" w:ascii="Times New Roman" w:hAnsi="Times New Roman" w:cs="Times New Roman"/>
                      <w:b w:val="0"/>
                      <w:bCs w:val="0"/>
                      <w:color w:val="auto"/>
                      <w:sz w:val="21"/>
                      <w:szCs w:val="21"/>
                      <w:lang w:val="en-US" w:eastAsia="zh-CN"/>
                    </w:rPr>
                    <w:t>6</w:t>
                  </w:r>
                </w:p>
              </w:tc>
              <w:tc>
                <w:tcPr>
                  <w:tcW w:w="1687" w:type="dxa"/>
                  <w:noWrap w:val="0"/>
                  <w:vAlign w:val="center"/>
                </w:tcPr>
                <w:p w14:paraId="002C38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eastAsia" w:ascii="Times New Roman" w:hAnsi="Times New Roman" w:cs="Times New Roman"/>
                      <w:b w:val="0"/>
                      <w:bCs w:val="0"/>
                      <w:color w:val="auto"/>
                      <w:sz w:val="21"/>
                      <w:szCs w:val="21"/>
                      <w:lang w:val="en-US" w:eastAsia="zh-CN"/>
                    </w:rPr>
                  </w:pPr>
                </w:p>
              </w:tc>
            </w:tr>
            <w:tr w14:paraId="19CB47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2" w:hRule="atLeast"/>
                <w:jc w:val="center"/>
              </w:trPr>
              <w:tc>
                <w:tcPr>
                  <w:tcW w:w="2047" w:type="dxa"/>
                  <w:shd w:val="clear" w:color="auto" w:fill="auto"/>
                  <w:noWrap w:val="0"/>
                  <w:vAlign w:val="center"/>
                </w:tcPr>
                <w:p w14:paraId="397F9F84">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s="Times New Roman"/>
                      <w:color w:val="auto"/>
                      <w:kern w:val="0"/>
                      <w:sz w:val="21"/>
                      <w:szCs w:val="21"/>
                      <w:u w:val="none"/>
                      <w:lang w:val="en-US" w:eastAsia="zh-CN" w:bidi="ar-SA"/>
                    </w:rPr>
                    <w:t>鞋带</w:t>
                  </w:r>
                </w:p>
              </w:tc>
              <w:tc>
                <w:tcPr>
                  <w:tcW w:w="1170" w:type="dxa"/>
                  <w:shd w:val="clear" w:color="auto" w:fill="auto"/>
                  <w:noWrap w:val="0"/>
                  <w:vAlign w:val="center"/>
                </w:tcPr>
                <w:p w14:paraId="59A0E675">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2.16</w:t>
                  </w:r>
                </w:p>
              </w:tc>
              <w:tc>
                <w:tcPr>
                  <w:tcW w:w="2138" w:type="dxa"/>
                  <w:gridSpan w:val="2"/>
                  <w:shd w:val="clear" w:color="auto" w:fill="auto"/>
                  <w:noWrap w:val="0"/>
                  <w:vAlign w:val="center"/>
                </w:tcPr>
                <w:p w14:paraId="698A3693">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462" w:type="dxa"/>
                  <w:gridSpan w:val="2"/>
                  <w:noWrap w:val="0"/>
                  <w:vAlign w:val="center"/>
                </w:tcPr>
                <w:p w14:paraId="6B224A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eastAsia" w:ascii="Times New Roman" w:hAnsi="Times New Roman" w:cs="Times New Roman"/>
                      <w:b w:val="0"/>
                      <w:bCs w:val="0"/>
                      <w:color w:val="auto"/>
                      <w:sz w:val="21"/>
                      <w:szCs w:val="21"/>
                      <w:lang w:val="en-US" w:eastAsia="zh-CN"/>
                    </w:rPr>
                  </w:pPr>
                </w:p>
              </w:tc>
              <w:tc>
                <w:tcPr>
                  <w:tcW w:w="1687" w:type="dxa"/>
                  <w:noWrap w:val="0"/>
                  <w:vAlign w:val="center"/>
                </w:tcPr>
                <w:p w14:paraId="10A13D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eastAsia" w:ascii="Times New Roman" w:hAnsi="Times New Roman" w:cs="Times New Roman"/>
                      <w:b w:val="0"/>
                      <w:bCs w:val="0"/>
                      <w:color w:val="auto"/>
                      <w:sz w:val="21"/>
                      <w:szCs w:val="21"/>
                      <w:lang w:val="en-US" w:eastAsia="zh-CN"/>
                    </w:rPr>
                  </w:pPr>
                </w:p>
              </w:tc>
            </w:tr>
            <w:tr w14:paraId="28B6F6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047" w:type="dxa"/>
                  <w:shd w:val="clear" w:color="auto" w:fill="auto"/>
                  <w:noWrap w:val="0"/>
                  <w:vAlign w:val="center"/>
                </w:tcPr>
                <w:p w14:paraId="23D8A407">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鞋配饰</w:t>
                  </w:r>
                </w:p>
              </w:tc>
              <w:tc>
                <w:tcPr>
                  <w:tcW w:w="1170" w:type="dxa"/>
                  <w:shd w:val="clear" w:color="auto" w:fill="auto"/>
                  <w:noWrap w:val="0"/>
                  <w:vAlign w:val="center"/>
                </w:tcPr>
                <w:p w14:paraId="7D3837D1">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11.2</w:t>
                  </w:r>
                </w:p>
              </w:tc>
              <w:tc>
                <w:tcPr>
                  <w:tcW w:w="2138" w:type="dxa"/>
                  <w:gridSpan w:val="2"/>
                  <w:noWrap w:val="0"/>
                  <w:vAlign w:val="center"/>
                </w:tcPr>
                <w:p w14:paraId="6AFD99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eastAsia" w:ascii="Times New Roman" w:hAnsi="Times New Roman" w:cs="Times New Roman"/>
                      <w:b w:val="0"/>
                      <w:bCs w:val="0"/>
                      <w:color w:val="auto"/>
                      <w:sz w:val="21"/>
                      <w:szCs w:val="21"/>
                      <w:lang w:val="en-US" w:eastAsia="zh-CN"/>
                    </w:rPr>
                  </w:pPr>
                </w:p>
              </w:tc>
              <w:tc>
                <w:tcPr>
                  <w:tcW w:w="1462" w:type="dxa"/>
                  <w:gridSpan w:val="2"/>
                  <w:noWrap w:val="0"/>
                  <w:vAlign w:val="center"/>
                </w:tcPr>
                <w:p w14:paraId="642975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eastAsia" w:ascii="Times New Roman" w:hAnsi="Times New Roman" w:cs="Times New Roman"/>
                      <w:b w:val="0"/>
                      <w:bCs w:val="0"/>
                      <w:color w:val="auto"/>
                      <w:sz w:val="21"/>
                      <w:szCs w:val="21"/>
                      <w:lang w:val="en-US" w:eastAsia="zh-CN"/>
                    </w:rPr>
                  </w:pPr>
                </w:p>
              </w:tc>
              <w:tc>
                <w:tcPr>
                  <w:tcW w:w="1687" w:type="dxa"/>
                  <w:noWrap w:val="0"/>
                  <w:vAlign w:val="center"/>
                </w:tcPr>
                <w:p w14:paraId="42235D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eastAsia" w:ascii="Times New Roman" w:hAnsi="Times New Roman" w:cs="Times New Roman"/>
                      <w:b w:val="0"/>
                      <w:bCs w:val="0"/>
                      <w:color w:val="auto"/>
                      <w:sz w:val="21"/>
                      <w:szCs w:val="21"/>
                      <w:lang w:val="en-US" w:eastAsia="zh-CN"/>
                    </w:rPr>
                  </w:pPr>
                </w:p>
              </w:tc>
            </w:tr>
            <w:tr w14:paraId="3E9F7A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047" w:type="dxa"/>
                  <w:shd w:val="clear" w:color="auto" w:fill="auto"/>
                  <w:noWrap w:val="0"/>
                  <w:vAlign w:val="center"/>
                </w:tcPr>
                <w:p w14:paraId="67B44868">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鞋头片</w:t>
                  </w:r>
                </w:p>
              </w:tc>
              <w:tc>
                <w:tcPr>
                  <w:tcW w:w="1170" w:type="dxa"/>
                  <w:shd w:val="clear" w:color="auto" w:fill="auto"/>
                  <w:noWrap w:val="0"/>
                  <w:vAlign w:val="center"/>
                </w:tcPr>
                <w:p w14:paraId="7828D50D">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3.92</w:t>
                  </w:r>
                </w:p>
              </w:tc>
              <w:tc>
                <w:tcPr>
                  <w:tcW w:w="2138" w:type="dxa"/>
                  <w:gridSpan w:val="2"/>
                  <w:noWrap w:val="0"/>
                  <w:vAlign w:val="center"/>
                </w:tcPr>
                <w:p w14:paraId="372E4F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eastAsia" w:ascii="Times New Roman" w:hAnsi="Times New Roman" w:cs="Times New Roman"/>
                      <w:b w:val="0"/>
                      <w:bCs w:val="0"/>
                      <w:color w:val="auto"/>
                      <w:sz w:val="21"/>
                      <w:szCs w:val="21"/>
                      <w:lang w:val="en-US" w:eastAsia="zh-CN"/>
                    </w:rPr>
                  </w:pPr>
                </w:p>
              </w:tc>
              <w:tc>
                <w:tcPr>
                  <w:tcW w:w="1462" w:type="dxa"/>
                  <w:gridSpan w:val="2"/>
                  <w:noWrap w:val="0"/>
                  <w:vAlign w:val="center"/>
                </w:tcPr>
                <w:p w14:paraId="062645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eastAsia" w:ascii="Times New Roman" w:hAnsi="Times New Roman" w:cs="Times New Roman"/>
                      <w:b w:val="0"/>
                      <w:bCs w:val="0"/>
                      <w:color w:val="auto"/>
                      <w:sz w:val="21"/>
                      <w:szCs w:val="21"/>
                      <w:lang w:val="en-US" w:eastAsia="zh-CN"/>
                    </w:rPr>
                  </w:pPr>
                </w:p>
              </w:tc>
              <w:tc>
                <w:tcPr>
                  <w:tcW w:w="1687" w:type="dxa"/>
                  <w:noWrap w:val="0"/>
                  <w:vAlign w:val="center"/>
                </w:tcPr>
                <w:p w14:paraId="3B11A9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eastAsia" w:ascii="Times New Roman" w:hAnsi="Times New Roman" w:cs="Times New Roman"/>
                      <w:b w:val="0"/>
                      <w:bCs w:val="0"/>
                      <w:color w:val="auto"/>
                      <w:sz w:val="21"/>
                      <w:szCs w:val="21"/>
                      <w:lang w:val="en-US" w:eastAsia="zh-CN"/>
                    </w:rPr>
                  </w:pPr>
                </w:p>
              </w:tc>
            </w:tr>
            <w:tr w14:paraId="5335C2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047" w:type="dxa"/>
                  <w:shd w:val="clear" w:color="auto" w:fill="auto"/>
                  <w:noWrap w:val="0"/>
                  <w:vAlign w:val="center"/>
                </w:tcPr>
                <w:p w14:paraId="0AE10148">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鞋身侧片</w:t>
                  </w:r>
                </w:p>
              </w:tc>
              <w:tc>
                <w:tcPr>
                  <w:tcW w:w="1170" w:type="dxa"/>
                  <w:shd w:val="clear" w:color="auto" w:fill="auto"/>
                  <w:noWrap w:val="0"/>
                  <w:vAlign w:val="center"/>
                </w:tcPr>
                <w:p w14:paraId="4756224F">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308</w:t>
                  </w:r>
                </w:p>
              </w:tc>
              <w:tc>
                <w:tcPr>
                  <w:tcW w:w="2138" w:type="dxa"/>
                  <w:gridSpan w:val="2"/>
                  <w:noWrap w:val="0"/>
                  <w:vAlign w:val="center"/>
                </w:tcPr>
                <w:p w14:paraId="15DB80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eastAsia" w:ascii="Times New Roman" w:hAnsi="Times New Roman" w:cs="Times New Roman"/>
                      <w:b w:val="0"/>
                      <w:bCs w:val="0"/>
                      <w:color w:val="auto"/>
                      <w:sz w:val="21"/>
                      <w:szCs w:val="21"/>
                      <w:lang w:val="en-US" w:eastAsia="zh-CN"/>
                    </w:rPr>
                  </w:pPr>
                </w:p>
              </w:tc>
              <w:tc>
                <w:tcPr>
                  <w:tcW w:w="1462" w:type="dxa"/>
                  <w:gridSpan w:val="2"/>
                  <w:noWrap w:val="0"/>
                  <w:vAlign w:val="center"/>
                </w:tcPr>
                <w:p w14:paraId="196BBC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eastAsia" w:ascii="Times New Roman" w:hAnsi="Times New Roman" w:cs="Times New Roman"/>
                      <w:b w:val="0"/>
                      <w:bCs w:val="0"/>
                      <w:color w:val="auto"/>
                      <w:sz w:val="21"/>
                      <w:szCs w:val="21"/>
                      <w:lang w:val="en-US" w:eastAsia="zh-CN"/>
                    </w:rPr>
                  </w:pPr>
                </w:p>
              </w:tc>
              <w:tc>
                <w:tcPr>
                  <w:tcW w:w="1687" w:type="dxa"/>
                  <w:noWrap w:val="0"/>
                  <w:vAlign w:val="center"/>
                </w:tcPr>
                <w:p w14:paraId="58FB75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eastAsia" w:ascii="Times New Roman" w:hAnsi="Times New Roman" w:cs="Times New Roman"/>
                      <w:b w:val="0"/>
                      <w:bCs w:val="0"/>
                      <w:color w:val="auto"/>
                      <w:sz w:val="21"/>
                      <w:szCs w:val="21"/>
                      <w:lang w:val="en-US" w:eastAsia="zh-CN"/>
                    </w:rPr>
                  </w:pPr>
                </w:p>
              </w:tc>
            </w:tr>
            <w:tr w14:paraId="47E7F2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047" w:type="dxa"/>
                  <w:shd w:val="clear" w:color="auto" w:fill="auto"/>
                  <w:noWrap w:val="0"/>
                  <w:vAlign w:val="center"/>
                </w:tcPr>
                <w:p w14:paraId="5B560BD2">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鞋跟</w:t>
                  </w:r>
                </w:p>
              </w:tc>
              <w:tc>
                <w:tcPr>
                  <w:tcW w:w="1170" w:type="dxa"/>
                  <w:shd w:val="clear" w:color="auto" w:fill="auto"/>
                  <w:noWrap w:val="0"/>
                  <w:vAlign w:val="center"/>
                </w:tcPr>
                <w:p w14:paraId="181A64E7">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40</w:t>
                  </w:r>
                </w:p>
              </w:tc>
              <w:tc>
                <w:tcPr>
                  <w:tcW w:w="2138" w:type="dxa"/>
                  <w:gridSpan w:val="2"/>
                  <w:noWrap w:val="0"/>
                  <w:vAlign w:val="center"/>
                </w:tcPr>
                <w:p w14:paraId="7C395D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eastAsia" w:ascii="Times New Roman" w:hAnsi="Times New Roman" w:cs="Times New Roman"/>
                      <w:b w:val="0"/>
                      <w:bCs w:val="0"/>
                      <w:color w:val="auto"/>
                      <w:sz w:val="21"/>
                      <w:szCs w:val="21"/>
                      <w:lang w:val="en-US" w:eastAsia="zh-CN"/>
                    </w:rPr>
                  </w:pPr>
                </w:p>
              </w:tc>
              <w:tc>
                <w:tcPr>
                  <w:tcW w:w="1462" w:type="dxa"/>
                  <w:gridSpan w:val="2"/>
                  <w:noWrap w:val="0"/>
                  <w:vAlign w:val="center"/>
                </w:tcPr>
                <w:p w14:paraId="629BB8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eastAsia" w:ascii="Times New Roman" w:hAnsi="Times New Roman" w:cs="Times New Roman"/>
                      <w:b w:val="0"/>
                      <w:bCs w:val="0"/>
                      <w:color w:val="auto"/>
                      <w:sz w:val="21"/>
                      <w:szCs w:val="21"/>
                      <w:lang w:val="en-US" w:eastAsia="zh-CN"/>
                    </w:rPr>
                  </w:pPr>
                </w:p>
              </w:tc>
              <w:tc>
                <w:tcPr>
                  <w:tcW w:w="1687" w:type="dxa"/>
                  <w:noWrap w:val="0"/>
                  <w:vAlign w:val="center"/>
                </w:tcPr>
                <w:p w14:paraId="198531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eastAsia" w:ascii="Times New Roman" w:hAnsi="Times New Roman" w:cs="Times New Roman"/>
                      <w:b w:val="0"/>
                      <w:bCs w:val="0"/>
                      <w:color w:val="auto"/>
                      <w:sz w:val="21"/>
                      <w:szCs w:val="21"/>
                      <w:lang w:val="en-US" w:eastAsia="zh-CN"/>
                    </w:rPr>
                  </w:pPr>
                </w:p>
              </w:tc>
            </w:tr>
            <w:tr w14:paraId="0A38FB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047" w:type="dxa"/>
                  <w:shd w:val="clear" w:color="auto" w:fill="auto"/>
                  <w:noWrap w:val="0"/>
                  <w:vAlign w:val="center"/>
                </w:tcPr>
                <w:p w14:paraId="52A5BA8E">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垫片</w:t>
                  </w:r>
                </w:p>
              </w:tc>
              <w:tc>
                <w:tcPr>
                  <w:tcW w:w="1170" w:type="dxa"/>
                  <w:shd w:val="clear" w:color="auto" w:fill="auto"/>
                  <w:noWrap w:val="0"/>
                  <w:vAlign w:val="center"/>
                </w:tcPr>
                <w:p w14:paraId="512A8B7E">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2.8</w:t>
                  </w:r>
                </w:p>
              </w:tc>
              <w:tc>
                <w:tcPr>
                  <w:tcW w:w="2138" w:type="dxa"/>
                  <w:gridSpan w:val="2"/>
                  <w:noWrap w:val="0"/>
                  <w:vAlign w:val="center"/>
                </w:tcPr>
                <w:p w14:paraId="1DE80A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eastAsia" w:ascii="Times New Roman" w:hAnsi="Times New Roman" w:cs="Times New Roman"/>
                      <w:b w:val="0"/>
                      <w:bCs w:val="0"/>
                      <w:color w:val="auto"/>
                      <w:sz w:val="21"/>
                      <w:szCs w:val="21"/>
                      <w:lang w:val="en-US" w:eastAsia="zh-CN"/>
                    </w:rPr>
                  </w:pPr>
                </w:p>
              </w:tc>
              <w:tc>
                <w:tcPr>
                  <w:tcW w:w="1462" w:type="dxa"/>
                  <w:gridSpan w:val="2"/>
                  <w:noWrap w:val="0"/>
                  <w:vAlign w:val="center"/>
                </w:tcPr>
                <w:p w14:paraId="5372FC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eastAsia" w:ascii="Times New Roman" w:hAnsi="Times New Roman" w:cs="Times New Roman"/>
                      <w:b w:val="0"/>
                      <w:bCs w:val="0"/>
                      <w:color w:val="auto"/>
                      <w:sz w:val="21"/>
                      <w:szCs w:val="21"/>
                      <w:lang w:val="en-US" w:eastAsia="zh-CN"/>
                    </w:rPr>
                  </w:pPr>
                </w:p>
              </w:tc>
              <w:tc>
                <w:tcPr>
                  <w:tcW w:w="1687" w:type="dxa"/>
                  <w:noWrap w:val="0"/>
                  <w:vAlign w:val="center"/>
                </w:tcPr>
                <w:p w14:paraId="7FA9D1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eastAsia" w:ascii="Times New Roman" w:hAnsi="Times New Roman" w:cs="Times New Roman"/>
                      <w:b w:val="0"/>
                      <w:bCs w:val="0"/>
                      <w:color w:val="auto"/>
                      <w:sz w:val="21"/>
                      <w:szCs w:val="21"/>
                      <w:lang w:val="en-US" w:eastAsia="zh-CN"/>
                    </w:rPr>
                  </w:pPr>
                </w:p>
              </w:tc>
            </w:tr>
            <w:tr w14:paraId="664EB3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047" w:type="dxa"/>
                  <w:shd w:val="clear" w:color="auto" w:fill="auto"/>
                  <w:noWrap w:val="0"/>
                  <w:vAlign w:val="center"/>
                </w:tcPr>
                <w:p w14:paraId="10E4C96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宋体" w:cs="Times New Roman"/>
                      <w:snapToGrid w:val="0"/>
                      <w:color w:val="auto"/>
                      <w:spacing w:val="0"/>
                      <w:kern w:val="2"/>
                      <w:sz w:val="21"/>
                      <w:szCs w:val="21"/>
                      <w:highlight w:val="none"/>
                      <w:lang w:val="en-US" w:eastAsia="zh-CN" w:bidi="ar-SA"/>
                    </w:rPr>
                  </w:pPr>
                  <w:r>
                    <w:rPr>
                      <w:rFonts w:hint="eastAsia"/>
                      <w:snapToGrid w:val="0"/>
                      <w:color w:val="auto"/>
                      <w:spacing w:val="0"/>
                      <w:sz w:val="21"/>
                      <w:szCs w:val="21"/>
                      <w:highlight w:val="none"/>
                      <w:lang w:val="en-US" w:eastAsia="zh-CN"/>
                    </w:rPr>
                    <w:t>水性印花油墨</w:t>
                  </w:r>
                </w:p>
              </w:tc>
              <w:tc>
                <w:tcPr>
                  <w:tcW w:w="1170" w:type="dxa"/>
                  <w:shd w:val="clear" w:color="auto" w:fill="auto"/>
                  <w:noWrap w:val="0"/>
                  <w:vAlign w:val="center"/>
                </w:tcPr>
                <w:p w14:paraId="692D266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snapToGrid w:val="0"/>
                      <w:color w:val="auto"/>
                      <w:spacing w:val="0"/>
                      <w:kern w:val="2"/>
                      <w:sz w:val="21"/>
                      <w:szCs w:val="21"/>
                      <w:highlight w:val="none"/>
                      <w:lang w:val="en-US" w:eastAsia="zh-CN" w:bidi="ar-SA"/>
                    </w:rPr>
                  </w:pPr>
                  <w:r>
                    <w:rPr>
                      <w:rFonts w:hint="eastAsia"/>
                      <w:snapToGrid w:val="0"/>
                      <w:color w:val="auto"/>
                      <w:spacing w:val="0"/>
                      <w:sz w:val="21"/>
                      <w:szCs w:val="21"/>
                      <w:highlight w:val="none"/>
                      <w:lang w:val="en-US" w:eastAsia="zh-CN"/>
                    </w:rPr>
                    <w:t>1</w:t>
                  </w:r>
                </w:p>
              </w:tc>
              <w:tc>
                <w:tcPr>
                  <w:tcW w:w="2138" w:type="dxa"/>
                  <w:gridSpan w:val="2"/>
                  <w:noWrap w:val="0"/>
                  <w:vAlign w:val="center"/>
                </w:tcPr>
                <w:p w14:paraId="65E944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eastAsia" w:ascii="Times New Roman" w:hAnsi="Times New Roman" w:cs="Times New Roman"/>
                      <w:b w:val="0"/>
                      <w:bCs w:val="0"/>
                      <w:color w:val="auto"/>
                      <w:sz w:val="21"/>
                      <w:szCs w:val="21"/>
                      <w:lang w:val="en-US" w:eastAsia="zh-CN"/>
                    </w:rPr>
                  </w:pPr>
                </w:p>
              </w:tc>
              <w:tc>
                <w:tcPr>
                  <w:tcW w:w="1462" w:type="dxa"/>
                  <w:gridSpan w:val="2"/>
                  <w:noWrap w:val="0"/>
                  <w:vAlign w:val="center"/>
                </w:tcPr>
                <w:p w14:paraId="00CC5D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eastAsia" w:ascii="Times New Roman" w:hAnsi="Times New Roman" w:cs="Times New Roman"/>
                      <w:b w:val="0"/>
                      <w:bCs w:val="0"/>
                      <w:color w:val="auto"/>
                      <w:sz w:val="21"/>
                      <w:szCs w:val="21"/>
                      <w:lang w:val="en-US" w:eastAsia="zh-CN"/>
                    </w:rPr>
                  </w:pPr>
                </w:p>
              </w:tc>
              <w:tc>
                <w:tcPr>
                  <w:tcW w:w="1687" w:type="dxa"/>
                  <w:noWrap w:val="0"/>
                  <w:vAlign w:val="center"/>
                </w:tcPr>
                <w:p w14:paraId="1D738D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eastAsia" w:ascii="Times New Roman" w:hAnsi="Times New Roman" w:cs="Times New Roman"/>
                      <w:b w:val="0"/>
                      <w:bCs w:val="0"/>
                      <w:color w:val="auto"/>
                      <w:sz w:val="21"/>
                      <w:szCs w:val="21"/>
                      <w:lang w:val="en-US" w:eastAsia="zh-CN"/>
                    </w:rPr>
                  </w:pPr>
                </w:p>
              </w:tc>
            </w:tr>
            <w:tr w14:paraId="415B4A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047" w:type="dxa"/>
                  <w:shd w:val="clear" w:color="auto" w:fill="auto"/>
                  <w:noWrap w:val="0"/>
                  <w:vAlign w:val="center"/>
                </w:tcPr>
                <w:p w14:paraId="78E1F2C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宋体" w:cs="Times New Roman"/>
                      <w:snapToGrid w:val="0"/>
                      <w:color w:val="auto"/>
                      <w:spacing w:val="0"/>
                      <w:kern w:val="2"/>
                      <w:sz w:val="21"/>
                      <w:szCs w:val="21"/>
                      <w:highlight w:val="none"/>
                      <w:lang w:val="en-US" w:eastAsia="zh-CN" w:bidi="ar-SA"/>
                    </w:rPr>
                  </w:pPr>
                  <w:r>
                    <w:rPr>
                      <w:rFonts w:hint="eastAsia" w:cs="Times New Roman"/>
                      <w:snapToGrid w:val="0"/>
                      <w:color w:val="auto"/>
                      <w:spacing w:val="0"/>
                      <w:kern w:val="2"/>
                      <w:sz w:val="21"/>
                      <w:szCs w:val="21"/>
                      <w:highlight w:val="none"/>
                      <w:lang w:val="en-US" w:eastAsia="zh-CN" w:bidi="ar-SA"/>
                    </w:rPr>
                    <w:t>台面胶</w:t>
                  </w:r>
                </w:p>
              </w:tc>
              <w:tc>
                <w:tcPr>
                  <w:tcW w:w="1170" w:type="dxa"/>
                  <w:shd w:val="clear" w:color="auto" w:fill="auto"/>
                  <w:noWrap w:val="0"/>
                  <w:vAlign w:val="center"/>
                </w:tcPr>
                <w:p w14:paraId="02069EF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snapToGrid w:val="0"/>
                      <w:color w:val="auto"/>
                      <w:spacing w:val="0"/>
                      <w:kern w:val="2"/>
                      <w:sz w:val="21"/>
                      <w:szCs w:val="21"/>
                      <w:highlight w:val="none"/>
                      <w:lang w:val="en-US" w:eastAsia="zh-CN" w:bidi="ar-SA"/>
                    </w:rPr>
                  </w:pPr>
                  <w:r>
                    <w:rPr>
                      <w:rFonts w:hint="eastAsia" w:cs="Times New Roman"/>
                      <w:snapToGrid w:val="0"/>
                      <w:color w:val="auto"/>
                      <w:spacing w:val="0"/>
                      <w:kern w:val="2"/>
                      <w:sz w:val="21"/>
                      <w:szCs w:val="21"/>
                      <w:highlight w:val="none"/>
                      <w:lang w:val="en-US" w:eastAsia="zh-CN" w:bidi="ar-SA"/>
                    </w:rPr>
                    <w:t>0.1</w:t>
                  </w:r>
                </w:p>
              </w:tc>
              <w:tc>
                <w:tcPr>
                  <w:tcW w:w="2138" w:type="dxa"/>
                  <w:gridSpan w:val="2"/>
                  <w:noWrap w:val="0"/>
                  <w:vAlign w:val="center"/>
                </w:tcPr>
                <w:p w14:paraId="65CE92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eastAsia" w:ascii="Times New Roman" w:hAnsi="Times New Roman" w:cs="Times New Roman"/>
                      <w:b w:val="0"/>
                      <w:bCs w:val="0"/>
                      <w:color w:val="auto"/>
                      <w:sz w:val="21"/>
                      <w:szCs w:val="21"/>
                      <w:lang w:val="en-US" w:eastAsia="zh-CN"/>
                    </w:rPr>
                  </w:pPr>
                </w:p>
              </w:tc>
              <w:tc>
                <w:tcPr>
                  <w:tcW w:w="1462" w:type="dxa"/>
                  <w:gridSpan w:val="2"/>
                  <w:noWrap w:val="0"/>
                  <w:vAlign w:val="center"/>
                </w:tcPr>
                <w:p w14:paraId="05E568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eastAsia" w:ascii="Times New Roman" w:hAnsi="Times New Roman" w:cs="Times New Roman"/>
                      <w:b w:val="0"/>
                      <w:bCs w:val="0"/>
                      <w:color w:val="auto"/>
                      <w:sz w:val="21"/>
                      <w:szCs w:val="21"/>
                      <w:lang w:val="en-US" w:eastAsia="zh-CN"/>
                    </w:rPr>
                  </w:pPr>
                </w:p>
              </w:tc>
              <w:tc>
                <w:tcPr>
                  <w:tcW w:w="1687" w:type="dxa"/>
                  <w:noWrap w:val="0"/>
                  <w:vAlign w:val="center"/>
                </w:tcPr>
                <w:p w14:paraId="248E13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eastAsia" w:ascii="Times New Roman" w:hAnsi="Times New Roman" w:cs="Times New Roman"/>
                      <w:b w:val="0"/>
                      <w:bCs w:val="0"/>
                      <w:color w:val="auto"/>
                      <w:sz w:val="21"/>
                      <w:szCs w:val="21"/>
                      <w:lang w:val="en-US" w:eastAsia="zh-CN"/>
                    </w:rPr>
                  </w:pPr>
                </w:p>
              </w:tc>
            </w:tr>
            <w:tr w14:paraId="55F591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047" w:type="dxa"/>
                  <w:shd w:val="clear" w:color="auto" w:fill="FFFFFF" w:themeFill="background1"/>
                  <w:noWrap w:val="0"/>
                  <w:vAlign w:val="center"/>
                </w:tcPr>
                <w:p w14:paraId="40B3900A">
                  <w:pPr>
                    <w:keepNext w:val="0"/>
                    <w:keepLines w:val="0"/>
                    <w:widowControl/>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color w:val="auto"/>
                      <w:kern w:val="2"/>
                      <w:sz w:val="21"/>
                      <w:szCs w:val="24"/>
                      <w:u w:val="none"/>
                      <w:shd w:val="clear" w:color="auto" w:fill="auto"/>
                      <w:lang w:val="en-US" w:eastAsia="zh-CN" w:bidi="ar-SA"/>
                    </w:rPr>
                  </w:pPr>
                  <w:r>
                    <w:rPr>
                      <w:rFonts w:hint="eastAsia" w:ascii="Times New Roman" w:hAnsi="Times New Roman" w:eastAsia="宋体"/>
                      <w:color w:val="auto"/>
                      <w:kern w:val="0"/>
                      <w:sz w:val="21"/>
                      <w:szCs w:val="21"/>
                      <w:u w:val="none"/>
                      <w:shd w:val="clear" w:color="auto" w:fill="auto"/>
                      <w:lang w:eastAsia="zh-CN"/>
                    </w:rPr>
                    <w:t>PU胶</w:t>
                  </w:r>
                  <w:r>
                    <w:rPr>
                      <w:rFonts w:hint="eastAsia" w:ascii="Times New Roman" w:hAnsi="Times New Roman" w:eastAsia="宋体"/>
                      <w:color w:val="auto"/>
                      <w:kern w:val="0"/>
                      <w:sz w:val="21"/>
                      <w:szCs w:val="21"/>
                      <w:u w:val="none"/>
                      <w:shd w:val="clear" w:color="auto" w:fill="auto"/>
                      <w:lang w:val="en-US" w:eastAsia="zh-CN"/>
                    </w:rPr>
                    <w:t>聚氨酯胶粘剂</w:t>
                  </w:r>
                </w:p>
              </w:tc>
              <w:tc>
                <w:tcPr>
                  <w:tcW w:w="1170" w:type="dxa"/>
                  <w:shd w:val="clear" w:color="auto" w:fill="FFFFFF" w:themeFill="background1"/>
                  <w:noWrap w:val="0"/>
                  <w:vAlign w:val="center"/>
                </w:tcPr>
                <w:p w14:paraId="74B77476">
                  <w:pPr>
                    <w:keepNext w:val="0"/>
                    <w:keepLines w:val="0"/>
                    <w:widowControl/>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color w:val="auto"/>
                      <w:kern w:val="2"/>
                      <w:sz w:val="21"/>
                      <w:szCs w:val="24"/>
                      <w:u w:val="none"/>
                      <w:shd w:val="clear" w:color="auto" w:fill="auto"/>
                      <w:lang w:val="en-US" w:eastAsia="zh-CN" w:bidi="ar-SA"/>
                    </w:rPr>
                  </w:pPr>
                  <w:r>
                    <w:rPr>
                      <w:rFonts w:hint="eastAsia"/>
                      <w:color w:val="auto"/>
                      <w:kern w:val="0"/>
                      <w:sz w:val="21"/>
                      <w:szCs w:val="21"/>
                      <w:u w:val="none"/>
                      <w:shd w:val="clear" w:color="auto" w:fill="auto"/>
                      <w:lang w:val="en-US" w:eastAsia="zh-CN"/>
                    </w:rPr>
                    <w:t>10.36</w:t>
                  </w:r>
                </w:p>
              </w:tc>
              <w:tc>
                <w:tcPr>
                  <w:tcW w:w="2138" w:type="dxa"/>
                  <w:gridSpan w:val="2"/>
                  <w:noWrap w:val="0"/>
                  <w:vAlign w:val="center"/>
                </w:tcPr>
                <w:p w14:paraId="210D95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eastAsia" w:ascii="Times New Roman" w:hAnsi="Times New Roman" w:cs="Times New Roman"/>
                      <w:b w:val="0"/>
                      <w:bCs w:val="0"/>
                      <w:color w:val="auto"/>
                      <w:sz w:val="21"/>
                      <w:szCs w:val="21"/>
                      <w:lang w:val="en-US" w:eastAsia="zh-CN"/>
                    </w:rPr>
                  </w:pPr>
                </w:p>
              </w:tc>
              <w:tc>
                <w:tcPr>
                  <w:tcW w:w="1462" w:type="dxa"/>
                  <w:gridSpan w:val="2"/>
                  <w:noWrap w:val="0"/>
                  <w:vAlign w:val="center"/>
                </w:tcPr>
                <w:p w14:paraId="1001C6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eastAsia" w:ascii="Times New Roman" w:hAnsi="Times New Roman" w:cs="Times New Roman"/>
                      <w:b w:val="0"/>
                      <w:bCs w:val="0"/>
                      <w:color w:val="auto"/>
                      <w:sz w:val="21"/>
                      <w:szCs w:val="21"/>
                      <w:lang w:val="en-US" w:eastAsia="zh-CN"/>
                    </w:rPr>
                  </w:pPr>
                </w:p>
              </w:tc>
              <w:tc>
                <w:tcPr>
                  <w:tcW w:w="1687" w:type="dxa"/>
                  <w:noWrap w:val="0"/>
                  <w:vAlign w:val="center"/>
                </w:tcPr>
                <w:p w14:paraId="1CC299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eastAsia" w:ascii="Times New Roman" w:hAnsi="Times New Roman" w:cs="Times New Roman"/>
                      <w:b w:val="0"/>
                      <w:bCs w:val="0"/>
                      <w:color w:val="auto"/>
                      <w:sz w:val="21"/>
                      <w:szCs w:val="21"/>
                      <w:lang w:val="en-US" w:eastAsia="zh-CN"/>
                    </w:rPr>
                  </w:pPr>
                </w:p>
              </w:tc>
            </w:tr>
            <w:tr w14:paraId="571E75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2" w:hRule="atLeast"/>
                <w:jc w:val="center"/>
              </w:trPr>
              <w:tc>
                <w:tcPr>
                  <w:tcW w:w="2047" w:type="dxa"/>
                  <w:shd w:val="clear" w:color="auto" w:fill="FFFFFF" w:themeFill="background1"/>
                  <w:noWrap w:val="0"/>
                  <w:vAlign w:val="center"/>
                </w:tcPr>
                <w:p w14:paraId="67BF65F5">
                  <w:pPr>
                    <w:keepNext w:val="0"/>
                    <w:keepLines w:val="0"/>
                    <w:widowControl/>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color w:val="auto"/>
                      <w:kern w:val="2"/>
                      <w:sz w:val="21"/>
                      <w:szCs w:val="24"/>
                      <w:u w:val="none"/>
                      <w:shd w:val="clear" w:color="auto" w:fill="auto"/>
                      <w:lang w:val="en-US" w:eastAsia="zh-CN" w:bidi="ar-SA"/>
                    </w:rPr>
                  </w:pPr>
                  <w:r>
                    <w:rPr>
                      <w:rFonts w:hint="eastAsia" w:ascii="Times New Roman" w:hAnsi="Times New Roman" w:eastAsia="宋体"/>
                      <w:color w:val="auto"/>
                      <w:kern w:val="0"/>
                      <w:sz w:val="21"/>
                      <w:szCs w:val="21"/>
                      <w:u w:val="none"/>
                      <w:shd w:val="clear" w:color="auto" w:fill="auto"/>
                      <w:lang w:val="en-US" w:eastAsia="zh-CN"/>
                    </w:rPr>
                    <w:t>EVA</w:t>
                  </w:r>
                  <w:r>
                    <w:rPr>
                      <w:rFonts w:hint="eastAsia" w:ascii="Times New Roman" w:hAnsi="Times New Roman" w:eastAsia="宋体"/>
                      <w:color w:val="auto"/>
                      <w:kern w:val="0"/>
                      <w:sz w:val="21"/>
                      <w:szCs w:val="21"/>
                      <w:u w:val="none"/>
                      <w:shd w:val="clear" w:color="auto" w:fill="auto"/>
                    </w:rPr>
                    <w:t>处理剂</w:t>
                  </w:r>
                </w:p>
              </w:tc>
              <w:tc>
                <w:tcPr>
                  <w:tcW w:w="1170" w:type="dxa"/>
                  <w:shd w:val="clear" w:color="auto" w:fill="FFFFFF" w:themeFill="background1"/>
                  <w:noWrap w:val="0"/>
                  <w:vAlign w:val="center"/>
                </w:tcPr>
                <w:p w14:paraId="3DE96D4B">
                  <w:pPr>
                    <w:keepNext w:val="0"/>
                    <w:keepLines w:val="0"/>
                    <w:widowControl/>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color w:val="auto"/>
                      <w:kern w:val="2"/>
                      <w:sz w:val="21"/>
                      <w:szCs w:val="24"/>
                      <w:u w:val="none"/>
                      <w:shd w:val="clear" w:color="auto" w:fill="auto"/>
                      <w:lang w:val="en-US" w:eastAsia="zh-CN" w:bidi="ar-SA"/>
                    </w:rPr>
                  </w:pPr>
                  <w:r>
                    <w:rPr>
                      <w:rFonts w:hint="eastAsia" w:ascii="Times New Roman" w:hAnsi="Times New Roman" w:eastAsia="宋体"/>
                      <w:color w:val="auto"/>
                      <w:kern w:val="0"/>
                      <w:sz w:val="21"/>
                      <w:szCs w:val="21"/>
                      <w:u w:val="none"/>
                      <w:shd w:val="clear" w:color="auto" w:fill="auto"/>
                      <w:lang w:val="en-US" w:eastAsia="zh-CN"/>
                    </w:rPr>
                    <w:t>0.</w:t>
                  </w:r>
                  <w:r>
                    <w:rPr>
                      <w:rFonts w:hint="eastAsia"/>
                      <w:color w:val="auto"/>
                      <w:kern w:val="0"/>
                      <w:sz w:val="21"/>
                      <w:szCs w:val="21"/>
                      <w:u w:val="none"/>
                      <w:shd w:val="clear" w:color="auto" w:fill="auto"/>
                      <w:lang w:val="en-US" w:eastAsia="zh-CN"/>
                    </w:rPr>
                    <w:t>518</w:t>
                  </w:r>
                </w:p>
              </w:tc>
              <w:tc>
                <w:tcPr>
                  <w:tcW w:w="2138" w:type="dxa"/>
                  <w:gridSpan w:val="2"/>
                  <w:noWrap w:val="0"/>
                  <w:vAlign w:val="center"/>
                </w:tcPr>
                <w:p w14:paraId="3CAF85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eastAsia" w:ascii="Times New Roman" w:hAnsi="Times New Roman" w:cs="Times New Roman"/>
                      <w:b w:val="0"/>
                      <w:bCs w:val="0"/>
                      <w:color w:val="auto"/>
                      <w:sz w:val="21"/>
                      <w:szCs w:val="21"/>
                      <w:lang w:val="en-US" w:eastAsia="zh-CN"/>
                    </w:rPr>
                  </w:pPr>
                </w:p>
              </w:tc>
              <w:tc>
                <w:tcPr>
                  <w:tcW w:w="1462" w:type="dxa"/>
                  <w:gridSpan w:val="2"/>
                  <w:noWrap w:val="0"/>
                  <w:vAlign w:val="center"/>
                </w:tcPr>
                <w:p w14:paraId="08F8F5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eastAsia" w:ascii="Times New Roman" w:hAnsi="Times New Roman" w:cs="Times New Roman"/>
                      <w:b w:val="0"/>
                      <w:bCs w:val="0"/>
                      <w:color w:val="auto"/>
                      <w:sz w:val="21"/>
                      <w:szCs w:val="21"/>
                      <w:lang w:val="en-US" w:eastAsia="zh-CN"/>
                    </w:rPr>
                  </w:pPr>
                </w:p>
              </w:tc>
              <w:tc>
                <w:tcPr>
                  <w:tcW w:w="1687" w:type="dxa"/>
                  <w:noWrap w:val="0"/>
                  <w:vAlign w:val="center"/>
                </w:tcPr>
                <w:p w14:paraId="2F5897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eastAsia" w:ascii="Times New Roman" w:hAnsi="Times New Roman" w:cs="Times New Roman"/>
                      <w:b w:val="0"/>
                      <w:bCs w:val="0"/>
                      <w:color w:val="auto"/>
                      <w:sz w:val="21"/>
                      <w:szCs w:val="21"/>
                      <w:lang w:val="en-US" w:eastAsia="zh-CN"/>
                    </w:rPr>
                  </w:pPr>
                </w:p>
              </w:tc>
            </w:tr>
            <w:tr w14:paraId="10759B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2" w:hRule="atLeast"/>
                <w:jc w:val="center"/>
              </w:trPr>
              <w:tc>
                <w:tcPr>
                  <w:tcW w:w="2047" w:type="dxa"/>
                  <w:shd w:val="clear" w:color="auto" w:fill="FFFFFF" w:themeFill="background1"/>
                  <w:noWrap w:val="0"/>
                  <w:vAlign w:val="center"/>
                </w:tcPr>
                <w:p w14:paraId="6EB33F8A">
                  <w:pPr>
                    <w:keepNext w:val="0"/>
                    <w:keepLines w:val="0"/>
                    <w:widowControl/>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color w:val="auto"/>
                      <w:kern w:val="2"/>
                      <w:sz w:val="21"/>
                      <w:szCs w:val="24"/>
                      <w:u w:val="none"/>
                      <w:shd w:val="clear" w:color="auto" w:fill="auto"/>
                      <w:lang w:val="en-US" w:eastAsia="zh-CN" w:bidi="ar-SA"/>
                    </w:rPr>
                  </w:pPr>
                  <w:r>
                    <w:rPr>
                      <w:rFonts w:hint="eastAsia" w:ascii="Times New Roman" w:hAnsi="Times New Roman" w:eastAsia="宋体"/>
                      <w:color w:val="auto"/>
                      <w:kern w:val="0"/>
                      <w:sz w:val="21"/>
                      <w:szCs w:val="21"/>
                      <w:u w:val="none"/>
                      <w:shd w:val="clear" w:color="auto" w:fill="auto"/>
                      <w:lang w:val="en-US" w:eastAsia="zh-CN"/>
                    </w:rPr>
                    <w:t>TPR</w:t>
                  </w:r>
                  <w:r>
                    <w:rPr>
                      <w:rFonts w:hint="eastAsia" w:ascii="Times New Roman" w:hAnsi="Times New Roman" w:eastAsia="宋体"/>
                      <w:color w:val="auto"/>
                      <w:kern w:val="0"/>
                      <w:sz w:val="21"/>
                      <w:szCs w:val="21"/>
                      <w:u w:val="none"/>
                      <w:shd w:val="clear" w:color="auto" w:fill="auto"/>
                    </w:rPr>
                    <w:t>处理剂</w:t>
                  </w:r>
                </w:p>
              </w:tc>
              <w:tc>
                <w:tcPr>
                  <w:tcW w:w="1170" w:type="dxa"/>
                  <w:shd w:val="clear" w:color="auto" w:fill="FFFFFF" w:themeFill="background1"/>
                  <w:noWrap w:val="0"/>
                  <w:vAlign w:val="center"/>
                </w:tcPr>
                <w:p w14:paraId="59C03B75">
                  <w:pPr>
                    <w:keepNext w:val="0"/>
                    <w:keepLines w:val="0"/>
                    <w:widowControl/>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color w:val="auto"/>
                      <w:kern w:val="2"/>
                      <w:sz w:val="21"/>
                      <w:szCs w:val="24"/>
                      <w:u w:val="none"/>
                      <w:shd w:val="clear" w:color="auto" w:fill="auto"/>
                      <w:lang w:val="en-US" w:eastAsia="zh-CN" w:bidi="ar-SA"/>
                    </w:rPr>
                  </w:pPr>
                  <w:r>
                    <w:rPr>
                      <w:rFonts w:hint="eastAsia"/>
                      <w:color w:val="auto"/>
                      <w:kern w:val="0"/>
                      <w:sz w:val="21"/>
                      <w:szCs w:val="21"/>
                      <w:u w:val="none"/>
                      <w:shd w:val="clear" w:color="auto" w:fill="auto"/>
                      <w:lang w:val="en-US" w:eastAsia="zh-CN"/>
                    </w:rPr>
                    <w:t>1.036</w:t>
                  </w:r>
                </w:p>
              </w:tc>
              <w:tc>
                <w:tcPr>
                  <w:tcW w:w="2138" w:type="dxa"/>
                  <w:gridSpan w:val="2"/>
                  <w:noWrap w:val="0"/>
                  <w:vAlign w:val="center"/>
                </w:tcPr>
                <w:p w14:paraId="6163CE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eastAsia" w:ascii="Times New Roman" w:hAnsi="Times New Roman" w:cs="Times New Roman"/>
                      <w:b w:val="0"/>
                      <w:bCs w:val="0"/>
                      <w:color w:val="auto"/>
                      <w:sz w:val="21"/>
                      <w:szCs w:val="21"/>
                      <w:lang w:val="en-US" w:eastAsia="zh-CN"/>
                    </w:rPr>
                  </w:pPr>
                </w:p>
              </w:tc>
              <w:tc>
                <w:tcPr>
                  <w:tcW w:w="1462" w:type="dxa"/>
                  <w:gridSpan w:val="2"/>
                  <w:noWrap w:val="0"/>
                  <w:vAlign w:val="center"/>
                </w:tcPr>
                <w:p w14:paraId="08F71F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eastAsia" w:ascii="Times New Roman" w:hAnsi="Times New Roman" w:cs="Times New Roman"/>
                      <w:b w:val="0"/>
                      <w:bCs w:val="0"/>
                      <w:color w:val="auto"/>
                      <w:sz w:val="21"/>
                      <w:szCs w:val="21"/>
                      <w:lang w:val="en-US" w:eastAsia="zh-CN"/>
                    </w:rPr>
                  </w:pPr>
                </w:p>
              </w:tc>
              <w:tc>
                <w:tcPr>
                  <w:tcW w:w="1687" w:type="dxa"/>
                  <w:noWrap w:val="0"/>
                  <w:vAlign w:val="center"/>
                </w:tcPr>
                <w:p w14:paraId="786836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eastAsia" w:ascii="Times New Roman" w:hAnsi="Times New Roman" w:cs="Times New Roman"/>
                      <w:b w:val="0"/>
                      <w:bCs w:val="0"/>
                      <w:color w:val="auto"/>
                      <w:sz w:val="21"/>
                      <w:szCs w:val="21"/>
                      <w:lang w:val="en-US" w:eastAsia="zh-CN"/>
                    </w:rPr>
                  </w:pPr>
                </w:p>
              </w:tc>
            </w:tr>
            <w:tr w14:paraId="1E16FB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047" w:type="dxa"/>
                  <w:shd w:val="clear" w:color="auto" w:fill="auto"/>
                  <w:noWrap w:val="0"/>
                  <w:vAlign w:val="center"/>
                </w:tcPr>
                <w:p w14:paraId="52A64E73">
                  <w:pPr>
                    <w:keepNext w:val="0"/>
                    <w:keepLines w:val="0"/>
                    <w:widowControl/>
                    <w:suppressLineNumbers w:val="0"/>
                    <w:spacing w:before="0" w:beforeAutospacing="0" w:after="0" w:afterAutospacing="0"/>
                    <w:ind w:left="0" w:right="0"/>
                    <w:jc w:val="center"/>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网板清洗用水</w:t>
                  </w:r>
                </w:p>
              </w:tc>
              <w:tc>
                <w:tcPr>
                  <w:tcW w:w="1170" w:type="dxa"/>
                  <w:shd w:val="clear" w:color="auto" w:fill="auto"/>
                  <w:noWrap w:val="0"/>
                  <w:vAlign w:val="center"/>
                </w:tcPr>
                <w:p w14:paraId="0A1A5C6B">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12</w:t>
                  </w:r>
                </w:p>
              </w:tc>
              <w:tc>
                <w:tcPr>
                  <w:tcW w:w="2138" w:type="dxa"/>
                  <w:gridSpan w:val="2"/>
                  <w:noWrap w:val="0"/>
                  <w:vAlign w:val="center"/>
                </w:tcPr>
                <w:p w14:paraId="027F02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eastAsia" w:ascii="Times New Roman" w:hAnsi="Times New Roman" w:cs="Times New Roman"/>
                      <w:b w:val="0"/>
                      <w:bCs w:val="0"/>
                      <w:color w:val="auto"/>
                      <w:sz w:val="21"/>
                      <w:szCs w:val="21"/>
                      <w:lang w:val="en-US" w:eastAsia="zh-CN"/>
                    </w:rPr>
                  </w:pPr>
                </w:p>
              </w:tc>
              <w:tc>
                <w:tcPr>
                  <w:tcW w:w="1462" w:type="dxa"/>
                  <w:gridSpan w:val="2"/>
                  <w:noWrap w:val="0"/>
                  <w:vAlign w:val="center"/>
                </w:tcPr>
                <w:p w14:paraId="2FD424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eastAsia" w:ascii="Times New Roman" w:hAnsi="Times New Roman" w:cs="Times New Roman"/>
                      <w:b w:val="0"/>
                      <w:bCs w:val="0"/>
                      <w:color w:val="auto"/>
                      <w:sz w:val="21"/>
                      <w:szCs w:val="21"/>
                      <w:lang w:val="en-US" w:eastAsia="zh-CN"/>
                    </w:rPr>
                  </w:pPr>
                </w:p>
              </w:tc>
              <w:tc>
                <w:tcPr>
                  <w:tcW w:w="1687" w:type="dxa"/>
                  <w:noWrap w:val="0"/>
                  <w:vAlign w:val="center"/>
                </w:tcPr>
                <w:p w14:paraId="5CFC10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eastAsia" w:ascii="Times New Roman" w:hAnsi="Times New Roman" w:cs="Times New Roman"/>
                      <w:b w:val="0"/>
                      <w:bCs w:val="0"/>
                      <w:color w:val="auto"/>
                      <w:sz w:val="21"/>
                      <w:szCs w:val="21"/>
                      <w:lang w:val="en-US" w:eastAsia="zh-CN"/>
                    </w:rPr>
                  </w:pPr>
                </w:p>
              </w:tc>
            </w:tr>
            <w:tr w14:paraId="11D08D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047" w:type="dxa"/>
                  <w:shd w:val="clear" w:color="auto" w:fill="auto"/>
                  <w:noWrap w:val="0"/>
                  <w:vAlign w:val="center"/>
                </w:tcPr>
                <w:p w14:paraId="6AA1BD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eastAsia" w:ascii="Times New Roman" w:hAnsi="Times New Roman" w:eastAsia="宋体" w:cs="Times New Roman"/>
                      <w:b w:val="0"/>
                      <w:bCs w:val="0"/>
                      <w:color w:val="auto"/>
                      <w:kern w:val="2"/>
                      <w:sz w:val="21"/>
                      <w:szCs w:val="21"/>
                      <w:lang w:val="en-US" w:eastAsia="zh-CN" w:bidi="ar-SA"/>
                    </w:rPr>
                  </w:pPr>
                  <w:r>
                    <w:rPr>
                      <w:rFonts w:hint="eastAsia" w:ascii="Times New Roman" w:hAnsi="Times New Roman" w:cs="Times New Roman"/>
                      <w:b w:val="0"/>
                      <w:bCs w:val="0"/>
                      <w:color w:val="auto"/>
                      <w:sz w:val="21"/>
                      <w:szCs w:val="21"/>
                      <w:lang w:val="en-US" w:eastAsia="zh-CN"/>
                    </w:rPr>
                    <w:t>合计</w:t>
                  </w:r>
                </w:p>
              </w:tc>
              <w:tc>
                <w:tcPr>
                  <w:tcW w:w="1170" w:type="dxa"/>
                  <w:shd w:val="clear" w:color="auto" w:fill="auto"/>
                  <w:noWrap w:val="0"/>
                  <w:vAlign w:val="center"/>
                </w:tcPr>
                <w:p w14:paraId="3492E8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default" w:ascii="Times New Roman" w:hAnsi="Times New Roman" w:eastAsia="宋体" w:cs="Times New Roman"/>
                      <w:b w:val="0"/>
                      <w:bCs w:val="0"/>
                      <w:color w:val="auto"/>
                      <w:kern w:val="2"/>
                      <w:sz w:val="21"/>
                      <w:szCs w:val="21"/>
                      <w:lang w:val="en-US" w:eastAsia="zh-CN" w:bidi="ar-SA"/>
                    </w:rPr>
                  </w:pPr>
                  <w:r>
                    <w:rPr>
                      <w:rFonts w:hint="eastAsia" w:cs="Times New Roman"/>
                      <w:b w:val="0"/>
                      <w:bCs w:val="0"/>
                      <w:color w:val="auto"/>
                      <w:sz w:val="21"/>
                      <w:szCs w:val="21"/>
                      <w:lang w:val="en-US" w:eastAsia="zh-CN"/>
                    </w:rPr>
                    <w:t>2108.22</w:t>
                  </w:r>
                </w:p>
              </w:tc>
              <w:tc>
                <w:tcPr>
                  <w:tcW w:w="2138" w:type="dxa"/>
                  <w:gridSpan w:val="2"/>
                  <w:shd w:val="clear" w:color="auto" w:fill="auto"/>
                  <w:noWrap w:val="0"/>
                  <w:vAlign w:val="center"/>
                </w:tcPr>
                <w:p w14:paraId="1ACDA5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eastAsia" w:ascii="Times New Roman" w:hAnsi="Times New Roman" w:eastAsia="宋体" w:cs="Times New Roman"/>
                      <w:b w:val="0"/>
                      <w:bCs w:val="0"/>
                      <w:color w:val="auto"/>
                      <w:kern w:val="2"/>
                      <w:sz w:val="21"/>
                      <w:szCs w:val="21"/>
                      <w:lang w:val="en-US" w:eastAsia="zh-CN" w:bidi="ar-SA"/>
                    </w:rPr>
                  </w:pPr>
                  <w:r>
                    <w:rPr>
                      <w:rFonts w:hint="eastAsia" w:ascii="Times New Roman" w:hAnsi="Times New Roman" w:cs="Times New Roman"/>
                      <w:b w:val="0"/>
                      <w:bCs w:val="0"/>
                      <w:color w:val="auto"/>
                      <w:sz w:val="21"/>
                      <w:szCs w:val="21"/>
                      <w:lang w:val="en-US" w:eastAsia="zh-CN"/>
                    </w:rPr>
                    <w:t>合计</w:t>
                  </w:r>
                </w:p>
              </w:tc>
              <w:tc>
                <w:tcPr>
                  <w:tcW w:w="1462" w:type="dxa"/>
                  <w:gridSpan w:val="2"/>
                  <w:shd w:val="clear" w:color="auto" w:fill="auto"/>
                  <w:noWrap w:val="0"/>
                  <w:vAlign w:val="center"/>
                </w:tcPr>
                <w:p w14:paraId="5620E1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eastAsia" w:ascii="Times New Roman" w:hAnsi="Times New Roman" w:eastAsia="宋体" w:cs="Times New Roman"/>
                      <w:b w:val="0"/>
                      <w:bCs w:val="0"/>
                      <w:color w:val="auto"/>
                      <w:kern w:val="2"/>
                      <w:sz w:val="21"/>
                      <w:szCs w:val="21"/>
                      <w:lang w:val="en-US" w:eastAsia="zh-CN" w:bidi="ar-SA"/>
                    </w:rPr>
                  </w:pPr>
                  <w:r>
                    <w:rPr>
                      <w:rFonts w:hint="eastAsia" w:cs="Times New Roman"/>
                      <w:b w:val="0"/>
                      <w:bCs w:val="0"/>
                      <w:color w:val="auto"/>
                      <w:sz w:val="21"/>
                      <w:szCs w:val="21"/>
                      <w:lang w:val="en-US" w:eastAsia="zh-CN"/>
                    </w:rPr>
                    <w:t>2108.22</w:t>
                  </w:r>
                </w:p>
              </w:tc>
              <w:tc>
                <w:tcPr>
                  <w:tcW w:w="1687" w:type="dxa"/>
                  <w:noWrap w:val="0"/>
                  <w:vAlign w:val="center"/>
                </w:tcPr>
                <w:p w14:paraId="0B7D96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eastAsia" w:ascii="Times New Roman" w:hAnsi="Times New Roman" w:cs="Times New Roman"/>
                      <w:b w:val="0"/>
                      <w:bCs w:val="0"/>
                      <w:color w:val="auto"/>
                      <w:sz w:val="21"/>
                      <w:szCs w:val="21"/>
                      <w:lang w:val="en-US" w:eastAsia="zh-CN"/>
                    </w:rPr>
                  </w:pPr>
                </w:p>
              </w:tc>
            </w:tr>
          </w:tbl>
          <w:p w14:paraId="21BF59C7">
            <w:pPr>
              <w:keepNext w:val="0"/>
              <w:keepLines w:val="0"/>
              <w:suppressLineNumbers w:val="0"/>
              <w:spacing w:before="0" w:beforeAutospacing="0" w:after="0" w:afterAutospacing="0" w:line="360" w:lineRule="auto"/>
              <w:ind w:left="0" w:right="0" w:firstLine="482" w:firstLineChars="200"/>
              <w:rPr>
                <w:rFonts w:hint="default" w:ascii="Times New Roman" w:hAnsi="Times New Roman" w:eastAsia="宋体" w:cs="Times New Roman"/>
                <w:b/>
                <w:bCs/>
                <w:color w:val="auto"/>
                <w:sz w:val="24"/>
                <w:highlight w:val="none"/>
                <w:shd w:val="clear" w:color="auto" w:fill="auto"/>
                <w:lang w:val="en-US" w:eastAsia="zh-CN"/>
              </w:rPr>
            </w:pPr>
            <w:r>
              <w:rPr>
                <w:rFonts w:hint="eastAsia" w:cs="Times New Roman"/>
                <w:b/>
                <w:bCs/>
                <w:color w:val="auto"/>
                <w:sz w:val="24"/>
                <w:highlight w:val="none"/>
                <w:shd w:val="clear" w:color="auto" w:fill="auto"/>
                <w:lang w:val="en-US" w:eastAsia="zh-CN"/>
              </w:rPr>
              <w:t>7</w:t>
            </w:r>
            <w:r>
              <w:rPr>
                <w:rFonts w:hint="eastAsia" w:ascii="Times New Roman" w:hAnsi="Times New Roman" w:eastAsia="宋体" w:cs="Times New Roman"/>
                <w:b/>
                <w:bCs/>
                <w:color w:val="auto"/>
                <w:sz w:val="24"/>
                <w:highlight w:val="none"/>
                <w:shd w:val="clear" w:color="auto" w:fill="auto"/>
                <w:lang w:val="en-US" w:eastAsia="zh-CN"/>
              </w:rPr>
              <w:t>、有机废气平衡</w:t>
            </w:r>
          </w:p>
          <w:p w14:paraId="71459611">
            <w:pPr>
              <w:keepNext w:val="0"/>
              <w:keepLines w:val="0"/>
              <w:suppressLineNumbers w:val="0"/>
              <w:spacing w:before="0" w:beforeAutospacing="0" w:after="0" w:afterAutospacing="0" w:line="360" w:lineRule="auto"/>
              <w:ind w:left="0" w:right="0"/>
              <w:jc w:val="center"/>
              <w:rPr>
                <w:rFonts w:hint="eastAsia" w:ascii="Times New Roman" w:hAnsi="Times New Roman" w:eastAsia="宋体" w:cs="Times New Roman"/>
                <w:b/>
                <w:color w:val="auto"/>
                <w:sz w:val="21"/>
                <w:szCs w:val="21"/>
                <w:lang w:val="en-US" w:eastAsia="zh-CN"/>
              </w:rPr>
            </w:pPr>
            <w:r>
              <w:rPr>
                <w:rFonts w:hint="eastAsia" w:ascii="Times New Roman" w:hAnsi="Times New Roman" w:eastAsia="宋体" w:cs="Times New Roman"/>
                <w:b/>
                <w:color w:val="auto"/>
                <w:sz w:val="21"/>
                <w:szCs w:val="21"/>
                <w:lang w:val="en-US" w:eastAsia="zh-CN"/>
              </w:rPr>
              <w:t>表2-7   项目VOCs平衡表</w:t>
            </w:r>
          </w:p>
          <w:tbl>
            <w:tblPr>
              <w:tblStyle w:val="26"/>
              <w:tblW w:w="493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80"/>
              <w:gridCol w:w="688"/>
              <w:gridCol w:w="777"/>
              <w:gridCol w:w="785"/>
              <w:gridCol w:w="431"/>
              <w:gridCol w:w="557"/>
              <w:gridCol w:w="310"/>
              <w:gridCol w:w="18"/>
              <w:gridCol w:w="1289"/>
              <w:gridCol w:w="1076"/>
              <w:gridCol w:w="973"/>
            </w:tblGrid>
            <w:tr w14:paraId="2CDF03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90" w:type="pct"/>
                  <w:gridSpan w:val="4"/>
                  <w:shd w:val="clear" w:color="auto" w:fill="FFFFFF" w:themeFill="background1"/>
                  <w:noWrap w:val="0"/>
                  <w:vAlign w:val="center"/>
                </w:tcPr>
                <w:p w14:paraId="61DCE1E8">
                  <w:pPr>
                    <w:pStyle w:val="107"/>
                    <w:keepNext w:val="0"/>
                    <w:keepLines w:val="0"/>
                    <w:suppressLineNumbers w:val="0"/>
                    <w:spacing w:before="0" w:beforeAutospacing="0" w:after="0" w:afterAutospacing="0" w:line="240" w:lineRule="auto"/>
                    <w:ind w:left="0" w:right="0" w:firstLine="0" w:firstLineChars="0"/>
                    <w:jc w:val="center"/>
                    <w:rPr>
                      <w:rFonts w:hint="default"/>
                      <w:b/>
                      <w:bCs/>
                      <w:color w:val="auto"/>
                      <w:sz w:val="21"/>
                      <w:u w:val="none"/>
                    </w:rPr>
                  </w:pPr>
                  <w:r>
                    <w:rPr>
                      <w:rFonts w:hint="default"/>
                      <w:b/>
                      <w:bCs/>
                      <w:color w:val="auto"/>
                      <w:sz w:val="21"/>
                      <w:u w:val="none"/>
                    </w:rPr>
                    <w:t>投入（t/a）</w:t>
                  </w:r>
                </w:p>
              </w:tc>
              <w:tc>
                <w:tcPr>
                  <w:tcW w:w="2809" w:type="pct"/>
                  <w:gridSpan w:val="7"/>
                  <w:shd w:val="clear" w:color="auto" w:fill="FFFFFF" w:themeFill="background1"/>
                  <w:noWrap w:val="0"/>
                  <w:vAlign w:val="top"/>
                </w:tcPr>
                <w:p w14:paraId="2F846305">
                  <w:pPr>
                    <w:pStyle w:val="107"/>
                    <w:keepNext w:val="0"/>
                    <w:keepLines w:val="0"/>
                    <w:suppressLineNumbers w:val="0"/>
                    <w:spacing w:before="0" w:beforeAutospacing="0" w:after="0" w:afterAutospacing="0" w:line="240" w:lineRule="auto"/>
                    <w:ind w:left="0" w:right="0" w:firstLine="0" w:firstLineChars="0"/>
                    <w:jc w:val="center"/>
                    <w:rPr>
                      <w:rFonts w:hint="default"/>
                      <w:b/>
                      <w:bCs/>
                      <w:color w:val="auto"/>
                      <w:sz w:val="21"/>
                      <w:u w:val="none"/>
                    </w:rPr>
                  </w:pPr>
                  <w:r>
                    <w:rPr>
                      <w:rFonts w:hint="default"/>
                      <w:b/>
                      <w:bCs/>
                      <w:color w:val="auto"/>
                      <w:sz w:val="21"/>
                      <w:u w:val="none"/>
                    </w:rPr>
                    <w:t>产出（t/a）</w:t>
                  </w:r>
                </w:p>
              </w:tc>
            </w:tr>
            <w:tr w14:paraId="2AD9AB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 w:hRule="atLeast"/>
              </w:trPr>
              <w:tc>
                <w:tcPr>
                  <w:tcW w:w="832" w:type="pct"/>
                  <w:vMerge w:val="restart"/>
                  <w:shd w:val="clear" w:color="auto" w:fill="FFFFFF" w:themeFill="background1"/>
                  <w:noWrap w:val="0"/>
                  <w:vAlign w:val="center"/>
                </w:tcPr>
                <w:p w14:paraId="42A4277F">
                  <w:pPr>
                    <w:pStyle w:val="107"/>
                    <w:keepNext w:val="0"/>
                    <w:keepLines w:val="0"/>
                    <w:suppressLineNumbers w:val="0"/>
                    <w:spacing w:before="0" w:beforeAutospacing="0" w:after="0" w:afterAutospacing="0" w:line="240" w:lineRule="auto"/>
                    <w:ind w:left="0" w:right="0" w:firstLine="0" w:firstLineChars="0"/>
                    <w:jc w:val="center"/>
                    <w:rPr>
                      <w:rFonts w:hint="eastAsia"/>
                      <w:b/>
                      <w:bCs/>
                      <w:color w:val="auto"/>
                      <w:sz w:val="21"/>
                      <w:u w:val="none"/>
                    </w:rPr>
                  </w:pPr>
                  <w:r>
                    <w:rPr>
                      <w:rFonts w:hint="eastAsia"/>
                      <w:b/>
                      <w:bCs/>
                      <w:color w:val="auto"/>
                      <w:sz w:val="21"/>
                      <w:u w:val="none"/>
                    </w:rPr>
                    <w:t>物料名称</w:t>
                  </w:r>
                </w:p>
              </w:tc>
              <w:tc>
                <w:tcPr>
                  <w:tcW w:w="415" w:type="pct"/>
                  <w:vMerge w:val="restart"/>
                  <w:shd w:val="clear" w:color="auto" w:fill="FFFFFF" w:themeFill="background1"/>
                  <w:noWrap w:val="0"/>
                  <w:vAlign w:val="center"/>
                </w:tcPr>
                <w:p w14:paraId="213A08DA">
                  <w:pPr>
                    <w:pStyle w:val="107"/>
                    <w:keepNext w:val="0"/>
                    <w:keepLines w:val="0"/>
                    <w:suppressLineNumbers w:val="0"/>
                    <w:spacing w:before="0" w:beforeAutospacing="0" w:after="0" w:afterAutospacing="0" w:line="240" w:lineRule="auto"/>
                    <w:ind w:left="0" w:right="0" w:firstLine="0" w:firstLineChars="0"/>
                    <w:jc w:val="center"/>
                    <w:rPr>
                      <w:rFonts w:hint="eastAsia"/>
                      <w:b/>
                      <w:bCs/>
                      <w:color w:val="auto"/>
                      <w:sz w:val="21"/>
                      <w:u w:val="none"/>
                    </w:rPr>
                  </w:pPr>
                  <w:r>
                    <w:rPr>
                      <w:rFonts w:hint="eastAsia"/>
                      <w:b/>
                      <w:bCs/>
                      <w:color w:val="auto"/>
                      <w:sz w:val="21"/>
                      <w:u w:val="none"/>
                    </w:rPr>
                    <w:t>年用量</w:t>
                  </w:r>
                </w:p>
              </w:tc>
              <w:tc>
                <w:tcPr>
                  <w:tcW w:w="942" w:type="pct"/>
                  <w:gridSpan w:val="2"/>
                  <w:shd w:val="clear" w:color="auto" w:fill="FFFFFF" w:themeFill="background1"/>
                  <w:noWrap w:val="0"/>
                  <w:vAlign w:val="center"/>
                </w:tcPr>
                <w:p w14:paraId="38FAFC8F">
                  <w:pPr>
                    <w:pStyle w:val="107"/>
                    <w:keepNext w:val="0"/>
                    <w:keepLines w:val="0"/>
                    <w:suppressLineNumbers w:val="0"/>
                    <w:spacing w:before="0" w:beforeAutospacing="0" w:after="0" w:afterAutospacing="0" w:line="240" w:lineRule="auto"/>
                    <w:ind w:left="0" w:right="0" w:firstLine="0" w:firstLineChars="0"/>
                    <w:jc w:val="center"/>
                    <w:rPr>
                      <w:rFonts w:hint="eastAsia"/>
                      <w:b/>
                      <w:bCs/>
                      <w:color w:val="auto"/>
                      <w:sz w:val="21"/>
                      <w:u w:val="none"/>
                    </w:rPr>
                  </w:pPr>
                  <w:r>
                    <w:rPr>
                      <w:rFonts w:hint="eastAsia"/>
                      <w:b/>
                      <w:bCs/>
                      <w:color w:val="auto"/>
                      <w:sz w:val="21"/>
                      <w:u w:val="none"/>
                    </w:rPr>
                    <w:t>VOCs含量</w:t>
                  </w:r>
                </w:p>
              </w:tc>
              <w:tc>
                <w:tcPr>
                  <w:tcW w:w="1572" w:type="pct"/>
                  <w:gridSpan w:val="5"/>
                  <w:vMerge w:val="restart"/>
                  <w:shd w:val="clear" w:color="auto" w:fill="FFFFFF" w:themeFill="background1"/>
                  <w:noWrap w:val="0"/>
                  <w:vAlign w:val="center"/>
                </w:tcPr>
                <w:p w14:paraId="651EE038">
                  <w:pPr>
                    <w:pStyle w:val="107"/>
                    <w:keepNext w:val="0"/>
                    <w:keepLines w:val="0"/>
                    <w:suppressLineNumbers w:val="0"/>
                    <w:spacing w:before="0" w:beforeAutospacing="0" w:after="0" w:afterAutospacing="0" w:line="240" w:lineRule="auto"/>
                    <w:ind w:left="0" w:right="0" w:firstLine="0" w:firstLineChars="0"/>
                    <w:jc w:val="center"/>
                    <w:rPr>
                      <w:rFonts w:hint="eastAsia"/>
                      <w:b/>
                      <w:bCs/>
                      <w:color w:val="auto"/>
                      <w:sz w:val="21"/>
                      <w:u w:val="none"/>
                    </w:rPr>
                  </w:pPr>
                  <w:r>
                    <w:rPr>
                      <w:rFonts w:hint="eastAsia"/>
                      <w:b/>
                      <w:bCs/>
                      <w:color w:val="auto"/>
                      <w:sz w:val="21"/>
                      <w:u w:val="none"/>
                    </w:rPr>
                    <w:t>名称</w:t>
                  </w:r>
                </w:p>
              </w:tc>
              <w:tc>
                <w:tcPr>
                  <w:tcW w:w="649" w:type="pct"/>
                  <w:vMerge w:val="restart"/>
                  <w:shd w:val="clear" w:color="auto" w:fill="FFFFFF" w:themeFill="background1"/>
                  <w:noWrap w:val="0"/>
                  <w:vAlign w:val="center"/>
                </w:tcPr>
                <w:p w14:paraId="762FDEF7">
                  <w:pPr>
                    <w:pStyle w:val="107"/>
                    <w:keepNext w:val="0"/>
                    <w:keepLines w:val="0"/>
                    <w:suppressLineNumbers w:val="0"/>
                    <w:spacing w:before="0" w:beforeAutospacing="0" w:after="0" w:afterAutospacing="0" w:line="240" w:lineRule="auto"/>
                    <w:ind w:left="0" w:right="0" w:firstLine="0" w:firstLineChars="0"/>
                    <w:jc w:val="center"/>
                    <w:rPr>
                      <w:rFonts w:hint="eastAsia"/>
                      <w:b/>
                      <w:bCs/>
                      <w:color w:val="auto"/>
                      <w:sz w:val="21"/>
                      <w:u w:val="none"/>
                    </w:rPr>
                  </w:pPr>
                  <w:r>
                    <w:rPr>
                      <w:rFonts w:hint="eastAsia"/>
                      <w:b/>
                      <w:bCs/>
                      <w:color w:val="auto"/>
                      <w:sz w:val="21"/>
                      <w:u w:val="none"/>
                    </w:rPr>
                    <w:t>占比</w:t>
                  </w:r>
                </w:p>
              </w:tc>
              <w:tc>
                <w:tcPr>
                  <w:tcW w:w="587" w:type="pct"/>
                  <w:vMerge w:val="restart"/>
                  <w:shd w:val="clear" w:color="auto" w:fill="FFFFFF" w:themeFill="background1"/>
                  <w:noWrap w:val="0"/>
                  <w:vAlign w:val="center"/>
                </w:tcPr>
                <w:p w14:paraId="7B9090DF">
                  <w:pPr>
                    <w:pStyle w:val="107"/>
                    <w:keepNext w:val="0"/>
                    <w:keepLines w:val="0"/>
                    <w:suppressLineNumbers w:val="0"/>
                    <w:spacing w:before="0" w:beforeAutospacing="0" w:after="0" w:afterAutospacing="0" w:line="240" w:lineRule="auto"/>
                    <w:ind w:left="0" w:right="0" w:firstLine="0" w:firstLineChars="0"/>
                    <w:jc w:val="center"/>
                    <w:rPr>
                      <w:rFonts w:hint="eastAsia"/>
                      <w:b/>
                      <w:bCs/>
                      <w:color w:val="auto"/>
                      <w:sz w:val="21"/>
                      <w:u w:val="none"/>
                      <w:lang w:val="en-US" w:eastAsia="zh-CN"/>
                    </w:rPr>
                  </w:pPr>
                  <w:r>
                    <w:rPr>
                      <w:rFonts w:hint="eastAsia"/>
                      <w:b/>
                      <w:bCs/>
                      <w:color w:val="auto"/>
                      <w:sz w:val="21"/>
                      <w:u w:val="none"/>
                      <w:lang w:val="en-US" w:eastAsia="zh-CN"/>
                    </w:rPr>
                    <w:t>重量</w:t>
                  </w:r>
                </w:p>
              </w:tc>
            </w:tr>
            <w:tr w14:paraId="4EC506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 w:hRule="atLeast"/>
              </w:trPr>
              <w:tc>
                <w:tcPr>
                  <w:tcW w:w="832" w:type="pct"/>
                  <w:vMerge w:val="continue"/>
                  <w:shd w:val="clear" w:color="auto" w:fill="FFFFFF" w:themeFill="background1"/>
                  <w:noWrap w:val="0"/>
                  <w:vAlign w:val="center"/>
                </w:tcPr>
                <w:p w14:paraId="57B44C1B">
                  <w:pPr>
                    <w:pStyle w:val="107"/>
                    <w:keepNext w:val="0"/>
                    <w:keepLines w:val="0"/>
                    <w:suppressLineNumbers w:val="0"/>
                    <w:spacing w:before="0" w:beforeAutospacing="0" w:after="0" w:afterAutospacing="0" w:line="240" w:lineRule="auto"/>
                    <w:ind w:left="0" w:right="0" w:firstLine="0" w:firstLineChars="0"/>
                    <w:jc w:val="center"/>
                    <w:rPr>
                      <w:rFonts w:hint="eastAsia"/>
                      <w:b/>
                      <w:bCs/>
                      <w:color w:val="auto"/>
                      <w:sz w:val="21"/>
                      <w:u w:val="none"/>
                    </w:rPr>
                  </w:pPr>
                </w:p>
              </w:tc>
              <w:tc>
                <w:tcPr>
                  <w:tcW w:w="415" w:type="pct"/>
                  <w:vMerge w:val="continue"/>
                  <w:shd w:val="clear" w:color="auto" w:fill="FFFFFF" w:themeFill="background1"/>
                  <w:noWrap w:val="0"/>
                  <w:vAlign w:val="center"/>
                </w:tcPr>
                <w:p w14:paraId="39E20118">
                  <w:pPr>
                    <w:pStyle w:val="107"/>
                    <w:keepNext w:val="0"/>
                    <w:keepLines w:val="0"/>
                    <w:suppressLineNumbers w:val="0"/>
                    <w:spacing w:before="0" w:beforeAutospacing="0" w:after="0" w:afterAutospacing="0" w:line="240" w:lineRule="auto"/>
                    <w:ind w:left="0" w:right="0" w:firstLine="0" w:firstLineChars="0"/>
                    <w:jc w:val="center"/>
                    <w:rPr>
                      <w:rFonts w:hint="eastAsia"/>
                      <w:b/>
                      <w:bCs/>
                      <w:color w:val="auto"/>
                      <w:sz w:val="21"/>
                      <w:u w:val="none"/>
                    </w:rPr>
                  </w:pPr>
                </w:p>
              </w:tc>
              <w:tc>
                <w:tcPr>
                  <w:tcW w:w="468" w:type="pct"/>
                  <w:shd w:val="clear" w:color="auto" w:fill="FFFFFF" w:themeFill="background1"/>
                  <w:noWrap w:val="0"/>
                  <w:vAlign w:val="center"/>
                </w:tcPr>
                <w:p w14:paraId="63456B28">
                  <w:pPr>
                    <w:pStyle w:val="107"/>
                    <w:keepNext w:val="0"/>
                    <w:keepLines w:val="0"/>
                    <w:suppressLineNumbers w:val="0"/>
                    <w:spacing w:before="0" w:beforeAutospacing="0" w:after="0" w:afterAutospacing="0" w:line="240" w:lineRule="auto"/>
                    <w:ind w:left="0" w:right="0" w:firstLine="0" w:firstLineChars="0"/>
                    <w:jc w:val="center"/>
                    <w:rPr>
                      <w:rFonts w:hint="eastAsia"/>
                      <w:b/>
                      <w:bCs/>
                      <w:color w:val="auto"/>
                      <w:sz w:val="21"/>
                      <w:u w:val="none"/>
                    </w:rPr>
                  </w:pPr>
                  <w:r>
                    <w:rPr>
                      <w:rFonts w:hint="eastAsia"/>
                      <w:b/>
                      <w:bCs/>
                      <w:color w:val="auto"/>
                      <w:sz w:val="21"/>
                      <w:u w:val="none"/>
                    </w:rPr>
                    <w:t>占比</w:t>
                  </w:r>
                </w:p>
              </w:tc>
              <w:tc>
                <w:tcPr>
                  <w:tcW w:w="473" w:type="pct"/>
                  <w:shd w:val="clear" w:color="auto" w:fill="FFFFFF" w:themeFill="background1"/>
                  <w:noWrap w:val="0"/>
                  <w:vAlign w:val="center"/>
                </w:tcPr>
                <w:p w14:paraId="2914B46C">
                  <w:pPr>
                    <w:pStyle w:val="107"/>
                    <w:keepNext w:val="0"/>
                    <w:keepLines w:val="0"/>
                    <w:suppressLineNumbers w:val="0"/>
                    <w:spacing w:before="0" w:beforeAutospacing="0" w:after="0" w:afterAutospacing="0" w:line="240" w:lineRule="auto"/>
                    <w:ind w:left="0" w:right="0" w:firstLine="0" w:firstLineChars="0"/>
                    <w:jc w:val="center"/>
                    <w:rPr>
                      <w:rFonts w:hint="eastAsia"/>
                      <w:b/>
                      <w:bCs/>
                      <w:color w:val="auto"/>
                      <w:sz w:val="21"/>
                      <w:u w:val="none"/>
                    </w:rPr>
                  </w:pPr>
                  <w:r>
                    <w:rPr>
                      <w:rFonts w:hint="eastAsia"/>
                      <w:b/>
                      <w:bCs/>
                      <w:color w:val="auto"/>
                      <w:sz w:val="21"/>
                      <w:u w:val="none"/>
                    </w:rPr>
                    <w:t>重量</w:t>
                  </w:r>
                </w:p>
              </w:tc>
              <w:tc>
                <w:tcPr>
                  <w:tcW w:w="1572" w:type="pct"/>
                  <w:gridSpan w:val="5"/>
                  <w:vMerge w:val="continue"/>
                  <w:shd w:val="clear" w:color="auto" w:fill="FFFFFF" w:themeFill="background1"/>
                  <w:noWrap w:val="0"/>
                  <w:vAlign w:val="top"/>
                </w:tcPr>
                <w:p w14:paraId="7498AD1F">
                  <w:pPr>
                    <w:pStyle w:val="107"/>
                    <w:keepNext w:val="0"/>
                    <w:keepLines w:val="0"/>
                    <w:suppressLineNumbers w:val="0"/>
                    <w:spacing w:before="0" w:beforeAutospacing="0" w:after="0" w:afterAutospacing="0" w:line="240" w:lineRule="auto"/>
                    <w:ind w:left="0" w:right="0" w:firstLine="0" w:firstLineChars="0"/>
                    <w:jc w:val="center"/>
                    <w:rPr>
                      <w:rFonts w:hint="eastAsia"/>
                      <w:b/>
                      <w:bCs/>
                      <w:color w:val="auto"/>
                      <w:sz w:val="21"/>
                      <w:u w:val="none"/>
                    </w:rPr>
                  </w:pPr>
                </w:p>
              </w:tc>
              <w:tc>
                <w:tcPr>
                  <w:tcW w:w="649" w:type="pct"/>
                  <w:vMerge w:val="continue"/>
                  <w:shd w:val="clear" w:color="auto" w:fill="FFFFFF" w:themeFill="background1"/>
                  <w:noWrap w:val="0"/>
                  <w:vAlign w:val="center"/>
                </w:tcPr>
                <w:p w14:paraId="487F4DA0">
                  <w:pPr>
                    <w:pStyle w:val="107"/>
                    <w:keepNext w:val="0"/>
                    <w:keepLines w:val="0"/>
                    <w:suppressLineNumbers w:val="0"/>
                    <w:spacing w:before="0" w:beforeAutospacing="0" w:after="0" w:afterAutospacing="0" w:line="240" w:lineRule="auto"/>
                    <w:ind w:left="0" w:right="0" w:firstLine="0" w:firstLineChars="0"/>
                    <w:jc w:val="center"/>
                    <w:rPr>
                      <w:rFonts w:hint="eastAsia"/>
                      <w:b/>
                      <w:bCs/>
                      <w:color w:val="auto"/>
                      <w:sz w:val="21"/>
                      <w:u w:val="none"/>
                    </w:rPr>
                  </w:pPr>
                </w:p>
              </w:tc>
              <w:tc>
                <w:tcPr>
                  <w:tcW w:w="587" w:type="pct"/>
                  <w:vMerge w:val="continue"/>
                  <w:shd w:val="clear" w:color="auto" w:fill="FFFFFF" w:themeFill="background1"/>
                  <w:noWrap w:val="0"/>
                  <w:vAlign w:val="center"/>
                </w:tcPr>
                <w:p w14:paraId="2BE9DEDE">
                  <w:pPr>
                    <w:pStyle w:val="107"/>
                    <w:keepNext w:val="0"/>
                    <w:keepLines w:val="0"/>
                    <w:suppressLineNumbers w:val="0"/>
                    <w:spacing w:before="0" w:beforeAutospacing="0" w:after="0" w:afterAutospacing="0" w:line="240" w:lineRule="auto"/>
                    <w:ind w:left="0" w:right="0" w:firstLine="0" w:firstLineChars="0"/>
                    <w:jc w:val="center"/>
                    <w:rPr>
                      <w:rFonts w:hint="eastAsia"/>
                      <w:b/>
                      <w:bCs/>
                      <w:color w:val="auto"/>
                      <w:sz w:val="21"/>
                      <w:u w:val="none"/>
                    </w:rPr>
                  </w:pPr>
                </w:p>
              </w:tc>
            </w:tr>
            <w:tr w14:paraId="18D798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11"/>
                  <w:shd w:val="clear" w:color="auto" w:fill="FFFFFF" w:themeFill="background1"/>
                  <w:noWrap w:val="0"/>
                  <w:vAlign w:val="center"/>
                </w:tcPr>
                <w:p w14:paraId="23D8AC22">
                  <w:pPr>
                    <w:pStyle w:val="107"/>
                    <w:keepNext w:val="0"/>
                    <w:keepLines w:val="0"/>
                    <w:suppressLineNumbers w:val="0"/>
                    <w:spacing w:before="0" w:beforeAutospacing="0" w:after="0" w:afterAutospacing="0" w:line="240" w:lineRule="auto"/>
                    <w:ind w:left="0" w:right="0" w:firstLine="0" w:firstLineChars="0"/>
                    <w:jc w:val="center"/>
                    <w:rPr>
                      <w:rFonts w:hint="eastAsia"/>
                      <w:b/>
                      <w:bCs/>
                      <w:color w:val="auto"/>
                      <w:sz w:val="21"/>
                      <w:u w:val="none"/>
                      <w:lang w:val="en-US" w:eastAsia="zh-CN"/>
                    </w:rPr>
                  </w:pPr>
                  <w:r>
                    <w:rPr>
                      <w:rFonts w:hint="eastAsia"/>
                      <w:b/>
                      <w:bCs/>
                      <w:color w:val="auto"/>
                      <w:sz w:val="21"/>
                      <w:u w:val="none"/>
                      <w:lang w:val="en-US" w:eastAsia="zh-CN"/>
                    </w:rPr>
                    <w:t>表面处理、刷胶及烘干有机废气</w:t>
                  </w:r>
                </w:p>
              </w:tc>
            </w:tr>
            <w:tr w14:paraId="251E42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trPr>
              <w:tc>
                <w:tcPr>
                  <w:tcW w:w="832" w:type="pct"/>
                  <w:shd w:val="clear" w:color="auto" w:fill="FFFFFF" w:themeFill="background1"/>
                  <w:noWrap w:val="0"/>
                  <w:vAlign w:val="center"/>
                </w:tcPr>
                <w:p w14:paraId="6DEAEDED">
                  <w:pPr>
                    <w:keepNext w:val="0"/>
                    <w:keepLines w:val="0"/>
                    <w:widowControl/>
                    <w:suppressLineNumbers w:val="0"/>
                    <w:spacing w:before="0" w:beforeAutospacing="0" w:after="0" w:afterAutospacing="0" w:line="240" w:lineRule="auto"/>
                    <w:ind w:left="0" w:right="0" w:firstLine="0" w:firstLineChars="0"/>
                    <w:jc w:val="center"/>
                    <w:rPr>
                      <w:rFonts w:hint="eastAsia"/>
                      <w:color w:val="auto"/>
                      <w:sz w:val="21"/>
                      <w:u w:val="none"/>
                      <w:shd w:val="clear" w:color="auto" w:fill="auto"/>
                    </w:rPr>
                  </w:pPr>
                  <w:r>
                    <w:rPr>
                      <w:rFonts w:hint="eastAsia" w:ascii="Times New Roman" w:hAnsi="Times New Roman" w:eastAsia="宋体"/>
                      <w:color w:val="auto"/>
                      <w:kern w:val="0"/>
                      <w:sz w:val="21"/>
                      <w:szCs w:val="21"/>
                      <w:u w:val="none"/>
                      <w:shd w:val="clear" w:color="auto" w:fill="auto"/>
                      <w:lang w:eastAsia="zh-CN"/>
                    </w:rPr>
                    <w:t>PU胶</w:t>
                  </w:r>
                  <w:r>
                    <w:rPr>
                      <w:rFonts w:hint="eastAsia" w:ascii="Times New Roman" w:hAnsi="Times New Roman" w:eastAsia="宋体"/>
                      <w:color w:val="auto"/>
                      <w:kern w:val="0"/>
                      <w:sz w:val="21"/>
                      <w:szCs w:val="21"/>
                      <w:u w:val="none"/>
                      <w:shd w:val="clear" w:color="auto" w:fill="auto"/>
                      <w:lang w:val="en-US" w:eastAsia="zh-CN"/>
                    </w:rPr>
                    <w:t>聚氨酯胶粘剂</w:t>
                  </w:r>
                </w:p>
              </w:tc>
              <w:tc>
                <w:tcPr>
                  <w:tcW w:w="415" w:type="pct"/>
                  <w:shd w:val="clear" w:color="auto" w:fill="FFFFFF" w:themeFill="background1"/>
                  <w:noWrap w:val="0"/>
                  <w:vAlign w:val="center"/>
                </w:tcPr>
                <w:p w14:paraId="3F6EAC1A">
                  <w:pPr>
                    <w:keepNext w:val="0"/>
                    <w:keepLines w:val="0"/>
                    <w:widowControl/>
                    <w:suppressLineNumbers w:val="0"/>
                    <w:spacing w:before="0" w:beforeAutospacing="0" w:after="0" w:afterAutospacing="0" w:line="240" w:lineRule="auto"/>
                    <w:ind w:left="0" w:right="0" w:firstLine="0" w:firstLineChars="0"/>
                    <w:jc w:val="center"/>
                    <w:rPr>
                      <w:rFonts w:hint="default" w:eastAsia="宋体"/>
                      <w:color w:val="auto"/>
                      <w:sz w:val="21"/>
                      <w:u w:val="none"/>
                      <w:shd w:val="clear" w:color="auto" w:fill="auto"/>
                      <w:lang w:val="en-US" w:eastAsia="zh-CN"/>
                    </w:rPr>
                  </w:pPr>
                  <w:r>
                    <w:rPr>
                      <w:rFonts w:hint="eastAsia"/>
                      <w:color w:val="auto"/>
                      <w:kern w:val="0"/>
                      <w:sz w:val="21"/>
                      <w:szCs w:val="21"/>
                      <w:u w:val="none"/>
                      <w:shd w:val="clear" w:color="auto" w:fill="auto"/>
                      <w:lang w:val="en-US" w:eastAsia="zh-CN"/>
                    </w:rPr>
                    <w:t>10.36</w:t>
                  </w:r>
                </w:p>
              </w:tc>
              <w:tc>
                <w:tcPr>
                  <w:tcW w:w="468" w:type="pct"/>
                  <w:shd w:val="clear" w:color="auto" w:fill="FFFFFF" w:themeFill="background1"/>
                  <w:noWrap w:val="0"/>
                  <w:vAlign w:val="center"/>
                </w:tcPr>
                <w:p w14:paraId="20AB8C48">
                  <w:pPr>
                    <w:keepNext w:val="0"/>
                    <w:keepLines w:val="0"/>
                    <w:suppressLineNumbers w:val="0"/>
                    <w:spacing w:before="0" w:beforeAutospacing="0" w:after="0" w:afterAutospacing="0"/>
                    <w:ind w:left="0" w:right="0"/>
                    <w:jc w:val="center"/>
                    <w:rPr>
                      <w:rFonts w:hint="eastAsia"/>
                      <w:color w:val="auto"/>
                      <w:sz w:val="21"/>
                      <w:u w:val="none"/>
                      <w:shd w:val="clear" w:color="auto" w:fill="auto"/>
                    </w:rPr>
                  </w:pPr>
                  <w:r>
                    <w:rPr>
                      <w:rFonts w:hint="default" w:ascii="Times New Roman" w:hAnsi="Times New Roman" w:eastAsia="宋体" w:cs="Times New Roman"/>
                      <w:color w:val="auto"/>
                      <w:u w:val="none"/>
                      <w:shd w:val="clear" w:color="auto" w:fill="auto"/>
                      <w:lang w:val="en-US" w:eastAsia="zh-CN"/>
                    </w:rPr>
                    <w:t>95%</w:t>
                  </w:r>
                </w:p>
              </w:tc>
              <w:tc>
                <w:tcPr>
                  <w:tcW w:w="473" w:type="pct"/>
                  <w:shd w:val="clear" w:color="auto" w:fill="FFFFFF" w:themeFill="background1"/>
                  <w:noWrap w:val="0"/>
                  <w:vAlign w:val="center"/>
                </w:tcPr>
                <w:p w14:paraId="3E676425">
                  <w:pPr>
                    <w:keepNext w:val="0"/>
                    <w:keepLines w:val="0"/>
                    <w:suppressLineNumbers w:val="0"/>
                    <w:spacing w:before="0" w:beforeAutospacing="0" w:after="0" w:afterAutospacing="0"/>
                    <w:ind w:left="0" w:right="0"/>
                    <w:jc w:val="center"/>
                    <w:rPr>
                      <w:rFonts w:hint="default"/>
                      <w:color w:val="auto"/>
                      <w:kern w:val="0"/>
                      <w:sz w:val="21"/>
                      <w:szCs w:val="21"/>
                      <w:u w:val="none"/>
                      <w:shd w:val="clear" w:color="auto" w:fill="auto"/>
                      <w:lang w:val="en-US"/>
                    </w:rPr>
                  </w:pPr>
                  <w:r>
                    <w:rPr>
                      <w:rFonts w:hint="eastAsia" w:cs="宋体"/>
                      <w:color w:val="auto"/>
                      <w:u w:val="none"/>
                      <w:shd w:val="clear" w:color="auto" w:fill="auto"/>
                      <w:lang w:val="en-US" w:eastAsia="zh-CN"/>
                    </w:rPr>
                    <w:t>9.842</w:t>
                  </w:r>
                </w:p>
              </w:tc>
              <w:tc>
                <w:tcPr>
                  <w:tcW w:w="260" w:type="pct"/>
                  <w:vMerge w:val="restart"/>
                  <w:shd w:val="clear" w:color="auto" w:fill="FFFFFF" w:themeFill="background1"/>
                  <w:noWrap w:val="0"/>
                  <w:vAlign w:val="center"/>
                </w:tcPr>
                <w:p w14:paraId="1BDDC829">
                  <w:pPr>
                    <w:pStyle w:val="107"/>
                    <w:keepNext w:val="0"/>
                    <w:keepLines w:val="0"/>
                    <w:suppressLineNumbers w:val="0"/>
                    <w:spacing w:before="0" w:beforeAutospacing="0" w:after="0" w:afterAutospacing="0" w:line="240" w:lineRule="auto"/>
                    <w:ind w:left="0" w:right="0" w:firstLine="0" w:firstLineChars="0"/>
                    <w:jc w:val="center"/>
                    <w:rPr>
                      <w:rFonts w:hint="eastAsia"/>
                      <w:color w:val="auto"/>
                      <w:sz w:val="21"/>
                      <w:u w:val="none"/>
                      <w:shd w:val="clear" w:color="auto" w:fill="auto"/>
                    </w:rPr>
                  </w:pPr>
                  <w:r>
                    <w:rPr>
                      <w:rFonts w:hint="eastAsia"/>
                      <w:color w:val="auto"/>
                      <w:sz w:val="21"/>
                      <w:u w:val="none"/>
                      <w:shd w:val="clear" w:color="auto" w:fill="auto"/>
                    </w:rPr>
                    <w:t>挥发量</w:t>
                  </w:r>
                </w:p>
              </w:tc>
              <w:tc>
                <w:tcPr>
                  <w:tcW w:w="1312" w:type="pct"/>
                  <w:gridSpan w:val="4"/>
                  <w:vMerge w:val="restart"/>
                  <w:shd w:val="clear" w:color="auto" w:fill="FFFFFF" w:themeFill="background1"/>
                  <w:noWrap w:val="0"/>
                  <w:vAlign w:val="center"/>
                </w:tcPr>
                <w:p w14:paraId="1A9EAA8C">
                  <w:pPr>
                    <w:pStyle w:val="107"/>
                    <w:keepNext w:val="0"/>
                    <w:keepLines w:val="0"/>
                    <w:suppressLineNumbers w:val="0"/>
                    <w:spacing w:before="0" w:beforeAutospacing="0" w:after="0" w:afterAutospacing="0" w:line="240" w:lineRule="auto"/>
                    <w:ind w:left="0" w:right="0" w:firstLine="0" w:firstLineChars="0"/>
                    <w:jc w:val="center"/>
                    <w:rPr>
                      <w:rFonts w:hint="default"/>
                      <w:color w:val="auto"/>
                      <w:sz w:val="21"/>
                      <w:u w:val="none"/>
                      <w:shd w:val="clear" w:color="auto" w:fill="auto"/>
                    </w:rPr>
                  </w:pPr>
                  <w:r>
                    <w:rPr>
                      <w:rFonts w:hint="eastAsia"/>
                      <w:color w:val="auto"/>
                      <w:sz w:val="21"/>
                      <w:u w:val="none"/>
                      <w:shd w:val="clear" w:color="auto" w:fill="auto"/>
                    </w:rPr>
                    <w:t>有组织收集</w:t>
                  </w:r>
                </w:p>
              </w:tc>
              <w:tc>
                <w:tcPr>
                  <w:tcW w:w="1076" w:type="dxa"/>
                  <w:vMerge w:val="restart"/>
                  <w:shd w:val="clear" w:color="auto" w:fill="FFFFFF" w:themeFill="background1"/>
                  <w:noWrap w:val="0"/>
                  <w:vAlign w:val="center"/>
                </w:tcPr>
                <w:p w14:paraId="6B4642EA">
                  <w:pPr>
                    <w:pStyle w:val="107"/>
                    <w:keepNext w:val="0"/>
                    <w:keepLines w:val="0"/>
                    <w:suppressLineNumbers w:val="0"/>
                    <w:spacing w:before="0" w:beforeAutospacing="0" w:after="0" w:afterAutospacing="0" w:line="240" w:lineRule="auto"/>
                    <w:ind w:left="0" w:leftChars="0" w:right="0" w:rightChars="0" w:firstLine="0" w:firstLineChars="0"/>
                    <w:jc w:val="center"/>
                    <w:rPr>
                      <w:rFonts w:hint="eastAsia"/>
                      <w:color w:val="auto"/>
                      <w:sz w:val="21"/>
                      <w:u w:val="none"/>
                      <w:shd w:val="clear" w:color="auto" w:fill="auto"/>
                    </w:rPr>
                  </w:pPr>
                  <w:r>
                    <w:rPr>
                      <w:rFonts w:hint="eastAsia"/>
                      <w:color w:val="auto"/>
                      <w:sz w:val="21"/>
                      <w:u w:val="none"/>
                      <w:shd w:val="clear" w:color="auto" w:fill="auto"/>
                      <w:lang w:val="en-US" w:eastAsia="zh-CN"/>
                    </w:rPr>
                    <w:t>65</w:t>
                  </w:r>
                  <w:r>
                    <w:rPr>
                      <w:rFonts w:hint="eastAsia"/>
                      <w:color w:val="auto"/>
                      <w:sz w:val="21"/>
                      <w:u w:val="none"/>
                      <w:shd w:val="clear" w:color="auto" w:fill="auto"/>
                    </w:rPr>
                    <w:t>%</w:t>
                  </w:r>
                </w:p>
              </w:tc>
              <w:tc>
                <w:tcPr>
                  <w:tcW w:w="973" w:type="dxa"/>
                  <w:vMerge w:val="restart"/>
                  <w:shd w:val="clear" w:color="auto" w:fill="FFFFFF" w:themeFill="background1"/>
                  <w:noWrap w:val="0"/>
                  <w:vAlign w:val="center"/>
                </w:tcPr>
                <w:p w14:paraId="39FBF9DB">
                  <w:pPr>
                    <w:pStyle w:val="107"/>
                    <w:keepNext w:val="0"/>
                    <w:keepLines w:val="0"/>
                    <w:suppressLineNumbers w:val="0"/>
                    <w:spacing w:before="0" w:beforeAutospacing="0" w:after="0" w:afterAutospacing="0" w:line="240" w:lineRule="auto"/>
                    <w:ind w:left="0" w:leftChars="0" w:right="0" w:rightChars="0" w:firstLine="0" w:firstLineChars="0"/>
                    <w:jc w:val="center"/>
                    <w:rPr>
                      <w:rFonts w:hint="default" w:eastAsia="宋体"/>
                      <w:color w:val="auto"/>
                      <w:sz w:val="21"/>
                      <w:u w:val="none"/>
                      <w:shd w:val="clear" w:color="auto" w:fill="auto"/>
                      <w:lang w:val="en-US" w:eastAsia="zh-CN"/>
                    </w:rPr>
                  </w:pPr>
                  <w:r>
                    <w:rPr>
                      <w:rFonts w:hint="eastAsia"/>
                      <w:color w:val="auto"/>
                      <w:sz w:val="21"/>
                      <w:u w:val="none"/>
                      <w:shd w:val="clear" w:color="auto" w:fill="auto"/>
                      <w:lang w:val="en-US" w:eastAsia="zh-CN"/>
                    </w:rPr>
                    <w:t>7.37</w:t>
                  </w:r>
                </w:p>
              </w:tc>
            </w:tr>
            <w:tr w14:paraId="197C0E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2" w:type="pct"/>
                  <w:shd w:val="clear" w:color="auto" w:fill="FFFFFF" w:themeFill="background1"/>
                  <w:noWrap w:val="0"/>
                  <w:vAlign w:val="center"/>
                </w:tcPr>
                <w:p w14:paraId="30FA2368">
                  <w:pPr>
                    <w:keepNext w:val="0"/>
                    <w:keepLines w:val="0"/>
                    <w:widowControl/>
                    <w:suppressLineNumbers w:val="0"/>
                    <w:spacing w:before="0" w:beforeAutospacing="0" w:after="0" w:afterAutospacing="0" w:line="240" w:lineRule="auto"/>
                    <w:ind w:left="0" w:right="0" w:firstLine="0" w:firstLineChars="0"/>
                    <w:jc w:val="center"/>
                    <w:rPr>
                      <w:rFonts w:hint="eastAsia"/>
                      <w:color w:val="auto"/>
                      <w:sz w:val="21"/>
                      <w:u w:val="none"/>
                      <w:shd w:val="clear" w:color="auto" w:fill="auto"/>
                    </w:rPr>
                  </w:pPr>
                  <w:r>
                    <w:rPr>
                      <w:rFonts w:hint="eastAsia" w:ascii="Times New Roman" w:hAnsi="Times New Roman" w:eastAsia="宋体"/>
                      <w:color w:val="auto"/>
                      <w:kern w:val="0"/>
                      <w:sz w:val="21"/>
                      <w:szCs w:val="21"/>
                      <w:u w:val="none"/>
                      <w:shd w:val="clear" w:color="auto" w:fill="auto"/>
                      <w:lang w:val="en-US" w:eastAsia="zh-CN"/>
                    </w:rPr>
                    <w:t>EVA</w:t>
                  </w:r>
                  <w:r>
                    <w:rPr>
                      <w:rFonts w:hint="eastAsia" w:ascii="Times New Roman" w:hAnsi="Times New Roman" w:eastAsia="宋体"/>
                      <w:color w:val="auto"/>
                      <w:kern w:val="0"/>
                      <w:sz w:val="21"/>
                      <w:szCs w:val="21"/>
                      <w:u w:val="none"/>
                      <w:shd w:val="clear" w:color="auto" w:fill="auto"/>
                    </w:rPr>
                    <w:t>处理剂</w:t>
                  </w:r>
                </w:p>
              </w:tc>
              <w:tc>
                <w:tcPr>
                  <w:tcW w:w="415" w:type="pct"/>
                  <w:shd w:val="clear" w:color="auto" w:fill="FFFFFF" w:themeFill="background1"/>
                  <w:noWrap w:val="0"/>
                  <w:vAlign w:val="center"/>
                </w:tcPr>
                <w:p w14:paraId="5B279A76">
                  <w:pPr>
                    <w:keepNext w:val="0"/>
                    <w:keepLines w:val="0"/>
                    <w:widowControl/>
                    <w:suppressLineNumbers w:val="0"/>
                    <w:spacing w:before="0" w:beforeAutospacing="0" w:after="0" w:afterAutospacing="0" w:line="240" w:lineRule="auto"/>
                    <w:ind w:left="0" w:right="0" w:firstLine="0" w:firstLineChars="0"/>
                    <w:jc w:val="center"/>
                    <w:rPr>
                      <w:rFonts w:hint="default"/>
                      <w:color w:val="auto"/>
                      <w:sz w:val="21"/>
                      <w:u w:val="none"/>
                      <w:shd w:val="clear" w:color="auto" w:fill="auto"/>
                      <w:lang w:val="en-US"/>
                    </w:rPr>
                  </w:pPr>
                  <w:r>
                    <w:rPr>
                      <w:rFonts w:hint="eastAsia" w:ascii="Times New Roman" w:hAnsi="Times New Roman" w:eastAsia="宋体"/>
                      <w:color w:val="auto"/>
                      <w:kern w:val="0"/>
                      <w:sz w:val="21"/>
                      <w:szCs w:val="21"/>
                      <w:u w:val="none"/>
                      <w:shd w:val="clear" w:color="auto" w:fill="auto"/>
                      <w:lang w:val="en-US" w:eastAsia="zh-CN"/>
                    </w:rPr>
                    <w:t>0.</w:t>
                  </w:r>
                  <w:r>
                    <w:rPr>
                      <w:rFonts w:hint="eastAsia"/>
                      <w:color w:val="auto"/>
                      <w:kern w:val="0"/>
                      <w:sz w:val="21"/>
                      <w:szCs w:val="21"/>
                      <w:u w:val="none"/>
                      <w:shd w:val="clear" w:color="auto" w:fill="auto"/>
                      <w:lang w:val="en-US" w:eastAsia="zh-CN"/>
                    </w:rPr>
                    <w:t>518</w:t>
                  </w:r>
                </w:p>
              </w:tc>
              <w:tc>
                <w:tcPr>
                  <w:tcW w:w="468" w:type="pct"/>
                  <w:shd w:val="clear" w:color="auto" w:fill="FFFFFF" w:themeFill="background1"/>
                  <w:noWrap w:val="0"/>
                  <w:vAlign w:val="center"/>
                </w:tcPr>
                <w:p w14:paraId="11781EEB">
                  <w:pPr>
                    <w:keepNext w:val="0"/>
                    <w:keepLines w:val="0"/>
                    <w:suppressLineNumbers w:val="0"/>
                    <w:spacing w:before="0" w:beforeAutospacing="0" w:after="0" w:afterAutospacing="0"/>
                    <w:ind w:left="0" w:right="0"/>
                    <w:jc w:val="center"/>
                    <w:rPr>
                      <w:rFonts w:hint="eastAsia"/>
                      <w:color w:val="auto"/>
                      <w:sz w:val="21"/>
                      <w:u w:val="none"/>
                      <w:shd w:val="clear" w:color="auto" w:fill="auto"/>
                    </w:rPr>
                  </w:pPr>
                  <w:r>
                    <w:rPr>
                      <w:rFonts w:hint="default" w:ascii="Times New Roman" w:hAnsi="Times New Roman" w:eastAsia="宋体" w:cs="Times New Roman"/>
                      <w:color w:val="auto"/>
                      <w:u w:val="none"/>
                      <w:shd w:val="clear" w:color="auto" w:fill="auto"/>
                      <w:lang w:val="en-US" w:eastAsia="zh-CN"/>
                    </w:rPr>
                    <w:t>99%</w:t>
                  </w:r>
                </w:p>
              </w:tc>
              <w:tc>
                <w:tcPr>
                  <w:tcW w:w="473" w:type="pct"/>
                  <w:shd w:val="clear" w:color="auto" w:fill="FFFFFF" w:themeFill="background1"/>
                  <w:noWrap w:val="0"/>
                  <w:vAlign w:val="center"/>
                </w:tcPr>
                <w:p w14:paraId="04FC1066">
                  <w:pPr>
                    <w:keepNext w:val="0"/>
                    <w:keepLines w:val="0"/>
                    <w:suppressLineNumbers w:val="0"/>
                    <w:spacing w:before="0" w:beforeAutospacing="0" w:after="0" w:afterAutospacing="0"/>
                    <w:ind w:left="0" w:right="0"/>
                    <w:jc w:val="center"/>
                    <w:rPr>
                      <w:rFonts w:hint="default"/>
                      <w:color w:val="auto"/>
                      <w:sz w:val="21"/>
                      <w:u w:val="none"/>
                      <w:shd w:val="clear" w:color="auto" w:fill="auto"/>
                      <w:lang w:val="en-US"/>
                    </w:rPr>
                  </w:pPr>
                  <w:r>
                    <w:rPr>
                      <w:rFonts w:hint="eastAsia" w:ascii="Times New Roman" w:hAnsi="Times New Roman" w:eastAsia="宋体" w:cs="宋体"/>
                      <w:color w:val="auto"/>
                      <w:u w:val="none"/>
                      <w:shd w:val="clear" w:color="auto" w:fill="auto"/>
                      <w:lang w:val="en-US" w:eastAsia="zh-CN"/>
                    </w:rPr>
                    <w:t>0.</w:t>
                  </w:r>
                  <w:r>
                    <w:rPr>
                      <w:rFonts w:hint="eastAsia" w:cs="宋体"/>
                      <w:color w:val="auto"/>
                      <w:u w:val="none"/>
                      <w:shd w:val="clear" w:color="auto" w:fill="auto"/>
                      <w:lang w:val="en-US" w:eastAsia="zh-CN"/>
                    </w:rPr>
                    <w:t>513</w:t>
                  </w:r>
                </w:p>
              </w:tc>
              <w:tc>
                <w:tcPr>
                  <w:tcW w:w="260" w:type="pct"/>
                  <w:vMerge w:val="continue"/>
                  <w:shd w:val="clear" w:color="auto" w:fill="FFFFFF" w:themeFill="background1"/>
                  <w:noWrap w:val="0"/>
                  <w:vAlign w:val="center"/>
                </w:tcPr>
                <w:p w14:paraId="76114578">
                  <w:pPr>
                    <w:pStyle w:val="107"/>
                    <w:keepNext w:val="0"/>
                    <w:keepLines w:val="0"/>
                    <w:suppressLineNumbers w:val="0"/>
                    <w:spacing w:before="0" w:beforeAutospacing="0" w:after="0" w:afterAutospacing="0" w:line="240" w:lineRule="auto"/>
                    <w:ind w:left="0" w:right="0" w:firstLine="0" w:firstLineChars="0"/>
                    <w:jc w:val="center"/>
                    <w:rPr>
                      <w:rFonts w:hint="eastAsia"/>
                      <w:color w:val="auto"/>
                      <w:sz w:val="21"/>
                      <w:u w:val="none"/>
                      <w:shd w:val="clear" w:color="auto" w:fill="auto"/>
                    </w:rPr>
                  </w:pPr>
                </w:p>
              </w:tc>
              <w:tc>
                <w:tcPr>
                  <w:tcW w:w="1312" w:type="pct"/>
                  <w:gridSpan w:val="4"/>
                  <w:vMerge w:val="continue"/>
                  <w:shd w:val="clear" w:color="auto" w:fill="FFFFFF" w:themeFill="background1"/>
                  <w:noWrap w:val="0"/>
                  <w:vAlign w:val="center"/>
                </w:tcPr>
                <w:p w14:paraId="7AF8D625">
                  <w:pPr>
                    <w:pStyle w:val="107"/>
                    <w:keepNext w:val="0"/>
                    <w:keepLines w:val="0"/>
                    <w:suppressLineNumbers w:val="0"/>
                    <w:spacing w:before="0" w:beforeAutospacing="0" w:after="0" w:afterAutospacing="0" w:line="240" w:lineRule="auto"/>
                    <w:ind w:left="0" w:right="0" w:firstLine="0" w:firstLineChars="0"/>
                    <w:jc w:val="center"/>
                    <w:rPr>
                      <w:rFonts w:hint="default"/>
                      <w:color w:val="auto"/>
                      <w:sz w:val="21"/>
                      <w:u w:val="none"/>
                      <w:shd w:val="clear" w:color="auto" w:fill="auto"/>
                    </w:rPr>
                  </w:pPr>
                </w:p>
              </w:tc>
              <w:tc>
                <w:tcPr>
                  <w:tcW w:w="649" w:type="pct"/>
                  <w:vMerge w:val="continue"/>
                  <w:shd w:val="clear" w:color="auto" w:fill="FFFFFF" w:themeFill="background1"/>
                  <w:noWrap w:val="0"/>
                  <w:vAlign w:val="center"/>
                </w:tcPr>
                <w:p w14:paraId="26FD898B">
                  <w:pPr>
                    <w:pStyle w:val="107"/>
                    <w:keepNext w:val="0"/>
                    <w:keepLines w:val="0"/>
                    <w:suppressLineNumbers w:val="0"/>
                    <w:spacing w:before="0" w:beforeAutospacing="0" w:after="0" w:afterAutospacing="0" w:line="240" w:lineRule="auto"/>
                    <w:ind w:left="0" w:right="0" w:firstLine="0" w:firstLineChars="0"/>
                    <w:jc w:val="center"/>
                    <w:rPr>
                      <w:rFonts w:hint="eastAsia"/>
                      <w:color w:val="auto"/>
                      <w:sz w:val="21"/>
                      <w:u w:val="none"/>
                      <w:shd w:val="clear" w:color="auto" w:fill="auto"/>
                    </w:rPr>
                  </w:pPr>
                </w:p>
              </w:tc>
              <w:tc>
                <w:tcPr>
                  <w:tcW w:w="587" w:type="pct"/>
                  <w:vMerge w:val="continue"/>
                  <w:shd w:val="clear" w:color="auto" w:fill="FFFFFF" w:themeFill="background1"/>
                  <w:noWrap w:val="0"/>
                  <w:vAlign w:val="center"/>
                </w:tcPr>
                <w:p w14:paraId="5D27F20D">
                  <w:pPr>
                    <w:pStyle w:val="107"/>
                    <w:keepNext w:val="0"/>
                    <w:keepLines w:val="0"/>
                    <w:suppressLineNumbers w:val="0"/>
                    <w:spacing w:before="0" w:beforeAutospacing="0" w:after="0" w:afterAutospacing="0" w:line="240" w:lineRule="auto"/>
                    <w:ind w:left="0" w:right="0" w:firstLine="0" w:firstLineChars="0"/>
                    <w:jc w:val="center"/>
                    <w:rPr>
                      <w:rFonts w:hint="default" w:eastAsia="宋体"/>
                      <w:color w:val="auto"/>
                      <w:sz w:val="21"/>
                      <w:u w:val="none"/>
                      <w:shd w:val="clear" w:color="auto" w:fill="auto"/>
                      <w:lang w:val="en-US" w:eastAsia="zh-CN"/>
                    </w:rPr>
                  </w:pPr>
                </w:p>
              </w:tc>
            </w:tr>
            <w:tr w14:paraId="3BF1A4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2" w:type="pct"/>
                  <w:shd w:val="clear" w:color="auto" w:fill="FFFFFF" w:themeFill="background1"/>
                  <w:noWrap w:val="0"/>
                  <w:vAlign w:val="center"/>
                </w:tcPr>
                <w:p w14:paraId="6DF66913">
                  <w:pPr>
                    <w:keepNext w:val="0"/>
                    <w:keepLines w:val="0"/>
                    <w:widowControl/>
                    <w:suppressLineNumbers w:val="0"/>
                    <w:spacing w:before="0" w:beforeAutospacing="0" w:after="0" w:afterAutospacing="0" w:line="240" w:lineRule="auto"/>
                    <w:ind w:left="0" w:right="0" w:firstLine="0" w:firstLineChars="0"/>
                    <w:jc w:val="center"/>
                    <w:rPr>
                      <w:rFonts w:hint="default"/>
                      <w:color w:val="auto"/>
                      <w:sz w:val="21"/>
                      <w:u w:val="none"/>
                      <w:shd w:val="clear" w:color="auto" w:fill="auto"/>
                    </w:rPr>
                  </w:pPr>
                  <w:r>
                    <w:rPr>
                      <w:rFonts w:hint="eastAsia" w:ascii="Times New Roman" w:hAnsi="Times New Roman" w:eastAsia="宋体"/>
                      <w:color w:val="auto"/>
                      <w:kern w:val="0"/>
                      <w:sz w:val="21"/>
                      <w:szCs w:val="21"/>
                      <w:u w:val="none"/>
                      <w:shd w:val="clear" w:color="auto" w:fill="auto"/>
                      <w:lang w:val="en-US" w:eastAsia="zh-CN"/>
                    </w:rPr>
                    <w:t>TPR</w:t>
                  </w:r>
                  <w:r>
                    <w:rPr>
                      <w:rFonts w:hint="eastAsia" w:ascii="Times New Roman" w:hAnsi="Times New Roman" w:eastAsia="宋体"/>
                      <w:color w:val="auto"/>
                      <w:kern w:val="0"/>
                      <w:sz w:val="21"/>
                      <w:szCs w:val="21"/>
                      <w:u w:val="none"/>
                      <w:shd w:val="clear" w:color="auto" w:fill="auto"/>
                    </w:rPr>
                    <w:t>处理剂</w:t>
                  </w:r>
                </w:p>
              </w:tc>
              <w:tc>
                <w:tcPr>
                  <w:tcW w:w="415" w:type="pct"/>
                  <w:shd w:val="clear" w:color="auto" w:fill="FFFFFF" w:themeFill="background1"/>
                  <w:noWrap w:val="0"/>
                  <w:vAlign w:val="center"/>
                </w:tcPr>
                <w:p w14:paraId="095877BE">
                  <w:pPr>
                    <w:keepNext w:val="0"/>
                    <w:keepLines w:val="0"/>
                    <w:widowControl/>
                    <w:suppressLineNumbers w:val="0"/>
                    <w:spacing w:before="0" w:beforeAutospacing="0" w:after="0" w:afterAutospacing="0" w:line="240" w:lineRule="auto"/>
                    <w:ind w:left="0" w:right="0" w:firstLine="0" w:firstLineChars="0"/>
                    <w:jc w:val="center"/>
                    <w:rPr>
                      <w:rFonts w:hint="default"/>
                      <w:color w:val="auto"/>
                      <w:sz w:val="21"/>
                      <w:u w:val="none"/>
                      <w:shd w:val="clear" w:color="auto" w:fill="auto"/>
                      <w:lang w:val="en-US"/>
                    </w:rPr>
                  </w:pPr>
                  <w:r>
                    <w:rPr>
                      <w:rFonts w:hint="eastAsia"/>
                      <w:color w:val="auto"/>
                      <w:kern w:val="0"/>
                      <w:sz w:val="21"/>
                      <w:szCs w:val="21"/>
                      <w:u w:val="none"/>
                      <w:shd w:val="clear" w:color="auto" w:fill="auto"/>
                      <w:lang w:val="en-US" w:eastAsia="zh-CN"/>
                    </w:rPr>
                    <w:t>1.036</w:t>
                  </w:r>
                </w:p>
              </w:tc>
              <w:tc>
                <w:tcPr>
                  <w:tcW w:w="468" w:type="pct"/>
                  <w:shd w:val="clear" w:color="auto" w:fill="FFFFFF" w:themeFill="background1"/>
                  <w:noWrap w:val="0"/>
                  <w:vAlign w:val="center"/>
                </w:tcPr>
                <w:p w14:paraId="40D6709B">
                  <w:pPr>
                    <w:keepNext w:val="0"/>
                    <w:keepLines w:val="0"/>
                    <w:suppressLineNumbers w:val="0"/>
                    <w:spacing w:before="0" w:beforeAutospacing="0" w:after="0" w:afterAutospacing="0"/>
                    <w:ind w:left="0" w:right="0"/>
                    <w:jc w:val="center"/>
                    <w:rPr>
                      <w:rFonts w:hint="eastAsia"/>
                      <w:color w:val="auto"/>
                      <w:sz w:val="21"/>
                      <w:u w:val="none"/>
                      <w:shd w:val="clear" w:color="auto" w:fill="auto"/>
                    </w:rPr>
                  </w:pPr>
                  <w:r>
                    <w:rPr>
                      <w:rFonts w:hint="default" w:ascii="Times New Roman" w:hAnsi="Times New Roman" w:eastAsia="宋体" w:cs="Times New Roman"/>
                      <w:color w:val="auto"/>
                      <w:u w:val="none"/>
                      <w:shd w:val="clear" w:color="auto" w:fill="auto"/>
                      <w:lang w:val="en-US" w:eastAsia="zh-CN"/>
                    </w:rPr>
                    <w:t>95%</w:t>
                  </w:r>
                </w:p>
              </w:tc>
              <w:tc>
                <w:tcPr>
                  <w:tcW w:w="473" w:type="pct"/>
                  <w:shd w:val="clear" w:color="auto" w:fill="FFFFFF" w:themeFill="background1"/>
                  <w:noWrap w:val="0"/>
                  <w:vAlign w:val="center"/>
                </w:tcPr>
                <w:p w14:paraId="623EEAEC">
                  <w:pPr>
                    <w:keepNext w:val="0"/>
                    <w:keepLines w:val="0"/>
                    <w:suppressLineNumbers w:val="0"/>
                    <w:spacing w:before="0" w:beforeAutospacing="0" w:after="0" w:afterAutospacing="0"/>
                    <w:ind w:left="0" w:right="0"/>
                    <w:jc w:val="center"/>
                    <w:rPr>
                      <w:rFonts w:hint="default"/>
                      <w:color w:val="auto"/>
                      <w:sz w:val="21"/>
                      <w:u w:val="none"/>
                      <w:shd w:val="clear" w:color="auto" w:fill="auto"/>
                      <w:lang w:val="en-US"/>
                    </w:rPr>
                  </w:pPr>
                  <w:r>
                    <w:rPr>
                      <w:rFonts w:hint="eastAsia" w:cs="宋体"/>
                      <w:color w:val="auto"/>
                      <w:u w:val="none"/>
                      <w:shd w:val="clear" w:color="auto" w:fill="auto"/>
                      <w:lang w:val="en-US" w:eastAsia="zh-CN"/>
                    </w:rPr>
                    <w:t>0.984</w:t>
                  </w:r>
                </w:p>
              </w:tc>
              <w:tc>
                <w:tcPr>
                  <w:tcW w:w="260" w:type="pct"/>
                  <w:vMerge w:val="continue"/>
                  <w:shd w:val="clear" w:color="auto" w:fill="FFFFFF" w:themeFill="background1"/>
                  <w:noWrap w:val="0"/>
                  <w:vAlign w:val="top"/>
                </w:tcPr>
                <w:p w14:paraId="71EA3A94">
                  <w:pPr>
                    <w:pStyle w:val="107"/>
                    <w:keepNext w:val="0"/>
                    <w:keepLines w:val="0"/>
                    <w:suppressLineNumbers w:val="0"/>
                    <w:spacing w:before="0" w:beforeAutospacing="0" w:after="0" w:afterAutospacing="0" w:line="240" w:lineRule="auto"/>
                    <w:ind w:left="0" w:right="0" w:firstLine="0" w:firstLineChars="0"/>
                    <w:jc w:val="center"/>
                    <w:rPr>
                      <w:rFonts w:hint="eastAsia"/>
                      <w:color w:val="auto"/>
                      <w:sz w:val="21"/>
                      <w:u w:val="none"/>
                      <w:shd w:val="clear" w:color="auto" w:fill="auto"/>
                    </w:rPr>
                  </w:pPr>
                </w:p>
              </w:tc>
              <w:tc>
                <w:tcPr>
                  <w:tcW w:w="534" w:type="pct"/>
                  <w:gridSpan w:val="3"/>
                  <w:vMerge w:val="restart"/>
                  <w:shd w:val="clear" w:color="auto" w:fill="FFFFFF" w:themeFill="background1"/>
                  <w:noWrap w:val="0"/>
                  <w:vAlign w:val="center"/>
                </w:tcPr>
                <w:p w14:paraId="2754C947">
                  <w:pPr>
                    <w:pStyle w:val="107"/>
                    <w:keepNext w:val="0"/>
                    <w:keepLines w:val="0"/>
                    <w:suppressLineNumbers w:val="0"/>
                    <w:spacing w:before="0" w:beforeAutospacing="0" w:after="0" w:afterAutospacing="0" w:line="240" w:lineRule="auto"/>
                    <w:ind w:left="0" w:right="0" w:firstLine="0" w:firstLineChars="0"/>
                    <w:jc w:val="center"/>
                    <w:rPr>
                      <w:rFonts w:hint="default"/>
                      <w:color w:val="auto"/>
                      <w:sz w:val="21"/>
                      <w:u w:val="none"/>
                      <w:shd w:val="clear" w:color="auto" w:fill="auto"/>
                    </w:rPr>
                  </w:pPr>
                  <w:r>
                    <w:rPr>
                      <w:rFonts w:hint="eastAsia"/>
                      <w:color w:val="auto"/>
                      <w:sz w:val="21"/>
                      <w:u w:val="none"/>
                      <w:shd w:val="clear" w:color="auto" w:fill="auto"/>
                    </w:rPr>
                    <w:t>其中</w:t>
                  </w:r>
                </w:p>
              </w:tc>
              <w:tc>
                <w:tcPr>
                  <w:tcW w:w="778" w:type="pct"/>
                  <w:shd w:val="clear" w:color="auto" w:fill="FFFFFF" w:themeFill="background1"/>
                  <w:noWrap w:val="0"/>
                  <w:vAlign w:val="center"/>
                </w:tcPr>
                <w:p w14:paraId="12AAFFCC">
                  <w:pPr>
                    <w:pStyle w:val="107"/>
                    <w:keepNext w:val="0"/>
                    <w:keepLines w:val="0"/>
                    <w:suppressLineNumbers w:val="0"/>
                    <w:spacing w:before="0" w:beforeAutospacing="0" w:after="0" w:afterAutospacing="0" w:line="240" w:lineRule="auto"/>
                    <w:ind w:left="0" w:right="0" w:firstLine="0" w:firstLineChars="0"/>
                    <w:jc w:val="center"/>
                    <w:rPr>
                      <w:rFonts w:hint="default"/>
                      <w:color w:val="auto"/>
                      <w:sz w:val="21"/>
                      <w:u w:val="none"/>
                      <w:shd w:val="clear" w:color="auto" w:fill="auto"/>
                    </w:rPr>
                  </w:pPr>
                  <w:r>
                    <w:rPr>
                      <w:rFonts w:hint="eastAsia"/>
                      <w:color w:val="auto"/>
                      <w:sz w:val="21"/>
                      <w:u w:val="none"/>
                      <w:shd w:val="clear" w:color="auto" w:fill="auto"/>
                    </w:rPr>
                    <w:t>活性炭吸附</w:t>
                  </w:r>
                </w:p>
              </w:tc>
              <w:tc>
                <w:tcPr>
                  <w:tcW w:w="1076" w:type="dxa"/>
                  <w:shd w:val="clear" w:color="auto" w:fill="FFFFFF" w:themeFill="background1"/>
                  <w:noWrap w:val="0"/>
                  <w:vAlign w:val="center"/>
                </w:tcPr>
                <w:p w14:paraId="62564B17">
                  <w:pPr>
                    <w:pStyle w:val="107"/>
                    <w:keepNext w:val="0"/>
                    <w:keepLines w:val="0"/>
                    <w:suppressLineNumbers w:val="0"/>
                    <w:spacing w:before="0" w:beforeAutospacing="0" w:after="0" w:afterAutospacing="0" w:line="240" w:lineRule="auto"/>
                    <w:ind w:left="0" w:leftChars="0" w:right="0" w:rightChars="0" w:firstLine="0" w:firstLineChars="0"/>
                    <w:jc w:val="center"/>
                    <w:rPr>
                      <w:rFonts w:hint="eastAsia"/>
                      <w:color w:val="auto"/>
                      <w:sz w:val="21"/>
                      <w:u w:val="none"/>
                      <w:shd w:val="clear" w:color="auto" w:fill="auto"/>
                    </w:rPr>
                  </w:pPr>
                  <w:r>
                    <w:rPr>
                      <w:rFonts w:hint="eastAsia"/>
                      <w:color w:val="auto"/>
                      <w:sz w:val="21"/>
                      <w:u w:val="none"/>
                      <w:shd w:val="clear" w:color="auto" w:fill="auto"/>
                      <w:lang w:val="en-US" w:eastAsia="zh-CN"/>
                    </w:rPr>
                    <w:t>83.19%</w:t>
                  </w:r>
                </w:p>
              </w:tc>
              <w:tc>
                <w:tcPr>
                  <w:tcW w:w="973" w:type="dxa"/>
                  <w:shd w:val="clear" w:color="auto" w:fill="FFFFFF" w:themeFill="background1"/>
                  <w:noWrap w:val="0"/>
                  <w:vAlign w:val="center"/>
                </w:tcPr>
                <w:p w14:paraId="379908B5">
                  <w:pPr>
                    <w:pStyle w:val="107"/>
                    <w:keepNext w:val="0"/>
                    <w:keepLines w:val="0"/>
                    <w:suppressLineNumbers w:val="0"/>
                    <w:spacing w:before="0" w:beforeAutospacing="0" w:after="0" w:afterAutospacing="0" w:line="240" w:lineRule="auto"/>
                    <w:ind w:left="0" w:leftChars="0" w:right="0" w:rightChars="0" w:firstLine="0" w:firstLineChars="0"/>
                    <w:jc w:val="center"/>
                    <w:rPr>
                      <w:rFonts w:hint="default" w:eastAsia="宋体"/>
                      <w:color w:val="auto"/>
                      <w:sz w:val="21"/>
                      <w:u w:val="none"/>
                      <w:shd w:val="clear" w:color="auto" w:fill="auto"/>
                      <w:lang w:val="en-US" w:eastAsia="zh-CN"/>
                    </w:rPr>
                  </w:pPr>
                  <w:r>
                    <w:rPr>
                      <w:rFonts w:hint="eastAsia"/>
                      <w:color w:val="auto"/>
                      <w:sz w:val="21"/>
                      <w:u w:val="none"/>
                      <w:shd w:val="clear" w:color="auto" w:fill="auto"/>
                      <w:lang w:val="en-US" w:eastAsia="zh-CN"/>
                    </w:rPr>
                    <w:t>6.131</w:t>
                  </w:r>
                </w:p>
              </w:tc>
            </w:tr>
            <w:tr w14:paraId="58F97A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trPr>
              <w:tc>
                <w:tcPr>
                  <w:tcW w:w="2190" w:type="pct"/>
                  <w:gridSpan w:val="4"/>
                  <w:shd w:val="clear" w:color="auto" w:fill="FFFFFF" w:themeFill="background1"/>
                  <w:noWrap w:val="0"/>
                  <w:vAlign w:val="center"/>
                </w:tcPr>
                <w:p w14:paraId="243495D3">
                  <w:pPr>
                    <w:keepNext w:val="0"/>
                    <w:keepLines w:val="0"/>
                    <w:widowControl/>
                    <w:suppressLineNumbers w:val="0"/>
                    <w:spacing w:before="0" w:beforeAutospacing="0" w:after="0" w:afterAutospacing="0" w:line="240" w:lineRule="auto"/>
                    <w:ind w:left="0" w:right="0" w:firstLine="0" w:firstLineChars="0"/>
                    <w:jc w:val="center"/>
                    <w:rPr>
                      <w:rFonts w:hint="eastAsia"/>
                      <w:color w:val="auto"/>
                      <w:sz w:val="21"/>
                      <w:u w:val="none"/>
                      <w:shd w:val="clear" w:color="auto" w:fill="auto"/>
                    </w:rPr>
                  </w:pPr>
                </w:p>
              </w:tc>
              <w:tc>
                <w:tcPr>
                  <w:tcW w:w="260" w:type="pct"/>
                  <w:vMerge w:val="continue"/>
                  <w:shd w:val="clear" w:color="auto" w:fill="FFFFFF" w:themeFill="background1"/>
                  <w:noWrap w:val="0"/>
                  <w:vAlign w:val="top"/>
                </w:tcPr>
                <w:p w14:paraId="6F098556">
                  <w:pPr>
                    <w:pStyle w:val="107"/>
                    <w:keepNext w:val="0"/>
                    <w:keepLines w:val="0"/>
                    <w:suppressLineNumbers w:val="0"/>
                    <w:spacing w:before="0" w:beforeAutospacing="0" w:after="0" w:afterAutospacing="0" w:line="240" w:lineRule="auto"/>
                    <w:ind w:left="0" w:right="0" w:firstLine="0" w:firstLineChars="0"/>
                    <w:jc w:val="center"/>
                    <w:rPr>
                      <w:rFonts w:hint="default"/>
                      <w:color w:val="auto"/>
                      <w:sz w:val="21"/>
                      <w:u w:val="none"/>
                      <w:shd w:val="clear" w:color="auto" w:fill="auto"/>
                    </w:rPr>
                  </w:pPr>
                </w:p>
              </w:tc>
              <w:tc>
                <w:tcPr>
                  <w:tcW w:w="534" w:type="pct"/>
                  <w:gridSpan w:val="3"/>
                  <w:vMerge w:val="continue"/>
                  <w:shd w:val="clear" w:color="auto" w:fill="FFFFFF" w:themeFill="background1"/>
                  <w:noWrap w:val="0"/>
                  <w:vAlign w:val="top"/>
                </w:tcPr>
                <w:p w14:paraId="1E3B2DFF">
                  <w:pPr>
                    <w:pStyle w:val="107"/>
                    <w:keepNext w:val="0"/>
                    <w:keepLines w:val="0"/>
                    <w:suppressLineNumbers w:val="0"/>
                    <w:spacing w:before="0" w:beforeAutospacing="0" w:after="0" w:afterAutospacing="0" w:line="240" w:lineRule="auto"/>
                    <w:ind w:left="0" w:right="0" w:firstLine="0" w:firstLineChars="0"/>
                    <w:jc w:val="center"/>
                    <w:rPr>
                      <w:rFonts w:hint="default"/>
                      <w:color w:val="auto"/>
                      <w:sz w:val="21"/>
                      <w:u w:val="none"/>
                      <w:shd w:val="clear" w:color="auto" w:fill="auto"/>
                    </w:rPr>
                  </w:pPr>
                </w:p>
              </w:tc>
              <w:tc>
                <w:tcPr>
                  <w:tcW w:w="778" w:type="pct"/>
                  <w:shd w:val="clear" w:color="auto" w:fill="FFFFFF" w:themeFill="background1"/>
                  <w:noWrap w:val="0"/>
                  <w:vAlign w:val="center"/>
                </w:tcPr>
                <w:p w14:paraId="528B2A2D">
                  <w:pPr>
                    <w:pStyle w:val="107"/>
                    <w:keepNext w:val="0"/>
                    <w:keepLines w:val="0"/>
                    <w:suppressLineNumbers w:val="0"/>
                    <w:spacing w:before="0" w:beforeAutospacing="0" w:after="0" w:afterAutospacing="0" w:line="240" w:lineRule="auto"/>
                    <w:ind w:left="0" w:right="0" w:firstLine="0" w:firstLineChars="0"/>
                    <w:jc w:val="center"/>
                    <w:rPr>
                      <w:rFonts w:hint="default"/>
                      <w:color w:val="auto"/>
                      <w:sz w:val="21"/>
                      <w:u w:val="none"/>
                      <w:shd w:val="clear" w:color="auto" w:fill="auto"/>
                    </w:rPr>
                  </w:pPr>
                  <w:r>
                    <w:rPr>
                      <w:rFonts w:hint="eastAsia"/>
                      <w:color w:val="auto"/>
                      <w:sz w:val="21"/>
                      <w:u w:val="none"/>
                      <w:shd w:val="clear" w:color="auto" w:fill="auto"/>
                    </w:rPr>
                    <w:t>有组织排放</w:t>
                  </w:r>
                </w:p>
              </w:tc>
              <w:tc>
                <w:tcPr>
                  <w:tcW w:w="1076" w:type="dxa"/>
                  <w:shd w:val="clear" w:color="auto" w:fill="FFFFFF" w:themeFill="background1"/>
                  <w:noWrap w:val="0"/>
                  <w:vAlign w:val="center"/>
                </w:tcPr>
                <w:p w14:paraId="68D921CE">
                  <w:pPr>
                    <w:pStyle w:val="107"/>
                    <w:keepNext w:val="0"/>
                    <w:keepLines w:val="0"/>
                    <w:suppressLineNumbers w:val="0"/>
                    <w:spacing w:before="0" w:beforeAutospacing="0" w:after="0" w:afterAutospacing="0" w:line="240" w:lineRule="auto"/>
                    <w:ind w:left="0" w:leftChars="0" w:right="0" w:rightChars="0" w:firstLine="0" w:firstLineChars="0"/>
                    <w:jc w:val="center"/>
                    <w:rPr>
                      <w:rFonts w:hint="default" w:eastAsia="宋体"/>
                      <w:color w:val="auto"/>
                      <w:sz w:val="21"/>
                      <w:u w:val="none"/>
                      <w:shd w:val="clear" w:color="auto" w:fill="auto"/>
                      <w:lang w:val="en-US" w:eastAsia="zh-CN"/>
                    </w:rPr>
                  </w:pPr>
                  <w:r>
                    <w:rPr>
                      <w:rFonts w:hint="eastAsia"/>
                      <w:color w:val="auto"/>
                      <w:sz w:val="21"/>
                      <w:u w:val="none"/>
                      <w:shd w:val="clear" w:color="auto" w:fill="auto"/>
                      <w:lang w:val="en-US" w:eastAsia="zh-CN"/>
                    </w:rPr>
                    <w:t>16.81%</w:t>
                  </w:r>
                </w:p>
              </w:tc>
              <w:tc>
                <w:tcPr>
                  <w:tcW w:w="973" w:type="dxa"/>
                  <w:shd w:val="clear" w:color="auto" w:fill="FFFFFF" w:themeFill="background1"/>
                  <w:noWrap w:val="0"/>
                  <w:vAlign w:val="center"/>
                </w:tcPr>
                <w:p w14:paraId="400D8994">
                  <w:pPr>
                    <w:pStyle w:val="107"/>
                    <w:keepNext w:val="0"/>
                    <w:keepLines w:val="0"/>
                    <w:suppressLineNumbers w:val="0"/>
                    <w:spacing w:before="0" w:beforeAutospacing="0" w:after="0" w:afterAutospacing="0" w:line="240" w:lineRule="auto"/>
                    <w:ind w:left="0" w:leftChars="0" w:right="0" w:rightChars="0" w:firstLine="0" w:firstLineChars="0"/>
                    <w:jc w:val="center"/>
                    <w:rPr>
                      <w:rFonts w:hint="default" w:eastAsia="宋体"/>
                      <w:color w:val="auto"/>
                      <w:sz w:val="21"/>
                      <w:u w:val="none"/>
                      <w:shd w:val="clear" w:color="auto" w:fill="auto"/>
                      <w:lang w:val="en-US" w:eastAsia="zh-CN"/>
                    </w:rPr>
                  </w:pPr>
                  <w:r>
                    <w:rPr>
                      <w:rFonts w:hint="eastAsia"/>
                      <w:color w:val="auto"/>
                      <w:sz w:val="21"/>
                      <w:u w:val="none"/>
                      <w:shd w:val="clear" w:color="auto" w:fill="auto"/>
                      <w:lang w:val="en-US" w:eastAsia="zh-CN"/>
                    </w:rPr>
                    <w:t>1.239</w:t>
                  </w:r>
                </w:p>
              </w:tc>
            </w:tr>
            <w:tr w14:paraId="12AEA6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90" w:type="pct"/>
                  <w:gridSpan w:val="4"/>
                  <w:shd w:val="clear" w:color="auto" w:fill="FFFFFF" w:themeFill="background1"/>
                  <w:noWrap w:val="0"/>
                  <w:vAlign w:val="center"/>
                </w:tcPr>
                <w:p w14:paraId="1F34AE0C">
                  <w:pPr>
                    <w:keepNext w:val="0"/>
                    <w:keepLines w:val="0"/>
                    <w:widowControl/>
                    <w:suppressLineNumbers w:val="0"/>
                    <w:spacing w:before="0" w:beforeAutospacing="0" w:after="0" w:afterAutospacing="0" w:line="240" w:lineRule="auto"/>
                    <w:ind w:left="0" w:right="0" w:firstLine="0" w:firstLineChars="0"/>
                    <w:jc w:val="center"/>
                    <w:rPr>
                      <w:rFonts w:hint="eastAsia"/>
                      <w:color w:val="auto"/>
                      <w:sz w:val="21"/>
                      <w:u w:val="none"/>
                      <w:shd w:val="clear" w:color="auto" w:fill="auto"/>
                    </w:rPr>
                  </w:pPr>
                </w:p>
              </w:tc>
              <w:tc>
                <w:tcPr>
                  <w:tcW w:w="260" w:type="pct"/>
                  <w:vMerge w:val="continue"/>
                  <w:shd w:val="clear" w:color="auto" w:fill="FFFFFF" w:themeFill="background1"/>
                  <w:noWrap w:val="0"/>
                  <w:vAlign w:val="top"/>
                </w:tcPr>
                <w:p w14:paraId="2AFD426B">
                  <w:pPr>
                    <w:pStyle w:val="107"/>
                    <w:keepNext w:val="0"/>
                    <w:keepLines w:val="0"/>
                    <w:suppressLineNumbers w:val="0"/>
                    <w:spacing w:before="0" w:beforeAutospacing="0" w:after="0" w:afterAutospacing="0" w:line="240" w:lineRule="auto"/>
                    <w:ind w:left="0" w:right="0" w:firstLine="0" w:firstLineChars="0"/>
                    <w:jc w:val="center"/>
                    <w:rPr>
                      <w:rFonts w:hint="eastAsia"/>
                      <w:color w:val="auto"/>
                      <w:sz w:val="21"/>
                      <w:u w:val="none"/>
                      <w:shd w:val="clear" w:color="auto" w:fill="auto"/>
                    </w:rPr>
                  </w:pPr>
                </w:p>
              </w:tc>
              <w:tc>
                <w:tcPr>
                  <w:tcW w:w="1312" w:type="pct"/>
                  <w:gridSpan w:val="4"/>
                  <w:shd w:val="clear" w:color="auto" w:fill="FFFFFF" w:themeFill="background1"/>
                  <w:noWrap w:val="0"/>
                  <w:vAlign w:val="top"/>
                </w:tcPr>
                <w:p w14:paraId="4E2FA198">
                  <w:pPr>
                    <w:pStyle w:val="107"/>
                    <w:keepNext w:val="0"/>
                    <w:keepLines w:val="0"/>
                    <w:suppressLineNumbers w:val="0"/>
                    <w:spacing w:before="0" w:beforeAutospacing="0" w:after="0" w:afterAutospacing="0" w:line="240" w:lineRule="auto"/>
                    <w:ind w:left="0" w:right="0" w:firstLine="0" w:firstLineChars="0"/>
                    <w:jc w:val="center"/>
                    <w:rPr>
                      <w:rFonts w:hint="default"/>
                      <w:color w:val="auto"/>
                      <w:sz w:val="21"/>
                      <w:u w:val="none"/>
                      <w:shd w:val="clear" w:color="auto" w:fill="auto"/>
                    </w:rPr>
                  </w:pPr>
                  <w:r>
                    <w:rPr>
                      <w:rFonts w:hint="eastAsia"/>
                      <w:color w:val="auto"/>
                      <w:sz w:val="21"/>
                      <w:u w:val="none"/>
                      <w:shd w:val="clear" w:color="auto" w:fill="auto"/>
                    </w:rPr>
                    <w:t>无组织排放</w:t>
                  </w:r>
                </w:p>
              </w:tc>
              <w:tc>
                <w:tcPr>
                  <w:tcW w:w="1076" w:type="dxa"/>
                  <w:shd w:val="clear" w:color="auto" w:fill="FFFFFF" w:themeFill="background1"/>
                  <w:noWrap w:val="0"/>
                  <w:vAlign w:val="center"/>
                </w:tcPr>
                <w:p w14:paraId="38D928F0">
                  <w:pPr>
                    <w:pStyle w:val="107"/>
                    <w:keepNext w:val="0"/>
                    <w:keepLines w:val="0"/>
                    <w:suppressLineNumbers w:val="0"/>
                    <w:spacing w:before="0" w:beforeAutospacing="0" w:after="0" w:afterAutospacing="0" w:line="240" w:lineRule="auto"/>
                    <w:ind w:left="0" w:leftChars="0" w:right="0" w:rightChars="0" w:firstLine="0" w:firstLineChars="0"/>
                    <w:jc w:val="center"/>
                    <w:rPr>
                      <w:rFonts w:hint="eastAsia"/>
                      <w:color w:val="auto"/>
                      <w:sz w:val="21"/>
                      <w:u w:val="none"/>
                      <w:shd w:val="clear" w:color="auto" w:fill="auto"/>
                    </w:rPr>
                  </w:pPr>
                  <w:r>
                    <w:rPr>
                      <w:rFonts w:hint="eastAsia"/>
                      <w:color w:val="auto"/>
                      <w:sz w:val="21"/>
                      <w:u w:val="none"/>
                      <w:shd w:val="clear" w:color="auto" w:fill="auto"/>
                      <w:lang w:val="en-US" w:eastAsia="zh-CN"/>
                    </w:rPr>
                    <w:t>35</w:t>
                  </w:r>
                  <w:r>
                    <w:rPr>
                      <w:rFonts w:hint="eastAsia"/>
                      <w:color w:val="auto"/>
                      <w:sz w:val="21"/>
                      <w:u w:val="none"/>
                      <w:shd w:val="clear" w:color="auto" w:fill="auto"/>
                    </w:rPr>
                    <w:t>%</w:t>
                  </w:r>
                </w:p>
              </w:tc>
              <w:tc>
                <w:tcPr>
                  <w:tcW w:w="973" w:type="dxa"/>
                  <w:shd w:val="clear" w:color="auto" w:fill="FFFFFF" w:themeFill="background1"/>
                  <w:noWrap w:val="0"/>
                  <w:vAlign w:val="center"/>
                </w:tcPr>
                <w:p w14:paraId="0DE8E169">
                  <w:pPr>
                    <w:pStyle w:val="107"/>
                    <w:keepNext w:val="0"/>
                    <w:keepLines w:val="0"/>
                    <w:suppressLineNumbers w:val="0"/>
                    <w:spacing w:before="0" w:beforeAutospacing="0" w:after="0" w:afterAutospacing="0" w:line="240" w:lineRule="auto"/>
                    <w:ind w:left="0" w:leftChars="0" w:right="0" w:rightChars="0" w:firstLine="0" w:firstLineChars="0"/>
                    <w:jc w:val="center"/>
                    <w:rPr>
                      <w:rFonts w:hint="default" w:eastAsia="宋体"/>
                      <w:color w:val="auto"/>
                      <w:sz w:val="21"/>
                      <w:u w:val="none"/>
                      <w:shd w:val="clear" w:color="auto" w:fill="auto"/>
                      <w:lang w:val="en-US" w:eastAsia="zh-CN"/>
                    </w:rPr>
                  </w:pPr>
                  <w:r>
                    <w:rPr>
                      <w:rFonts w:hint="eastAsia"/>
                      <w:color w:val="auto"/>
                      <w:sz w:val="21"/>
                      <w:u w:val="none"/>
                      <w:shd w:val="clear" w:color="auto" w:fill="auto"/>
                      <w:lang w:val="en-US" w:eastAsia="zh-CN"/>
                    </w:rPr>
                    <w:t>3.969</w:t>
                  </w:r>
                </w:p>
              </w:tc>
            </w:tr>
            <w:tr w14:paraId="12AEC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pct"/>
                  <w:gridSpan w:val="2"/>
                  <w:shd w:val="clear" w:color="auto" w:fill="FFFFFF" w:themeFill="background1"/>
                  <w:noWrap w:val="0"/>
                  <w:vAlign w:val="center"/>
                </w:tcPr>
                <w:p w14:paraId="7B652B0D">
                  <w:pPr>
                    <w:pStyle w:val="107"/>
                    <w:keepNext w:val="0"/>
                    <w:keepLines w:val="0"/>
                    <w:suppressLineNumbers w:val="0"/>
                    <w:spacing w:before="0" w:beforeAutospacing="0" w:after="0" w:afterAutospacing="0" w:line="240" w:lineRule="auto"/>
                    <w:ind w:left="0" w:right="0" w:firstLine="0" w:firstLineChars="0"/>
                    <w:jc w:val="center"/>
                    <w:rPr>
                      <w:rFonts w:hint="default"/>
                      <w:color w:val="auto"/>
                      <w:sz w:val="21"/>
                      <w:u w:val="none"/>
                      <w:shd w:val="clear" w:color="auto" w:fill="auto"/>
                    </w:rPr>
                  </w:pPr>
                  <w:r>
                    <w:rPr>
                      <w:rFonts w:hint="default"/>
                      <w:color w:val="auto"/>
                      <w:sz w:val="21"/>
                      <w:u w:val="none"/>
                      <w:shd w:val="clear" w:color="auto" w:fill="auto"/>
                    </w:rPr>
                    <w:t>合计</w:t>
                  </w:r>
                </w:p>
              </w:tc>
              <w:tc>
                <w:tcPr>
                  <w:tcW w:w="942" w:type="pct"/>
                  <w:gridSpan w:val="2"/>
                  <w:shd w:val="clear" w:color="auto" w:fill="FFFFFF" w:themeFill="background1"/>
                  <w:noWrap w:val="0"/>
                  <w:vAlign w:val="center"/>
                </w:tcPr>
                <w:p w14:paraId="541F1B37">
                  <w:pPr>
                    <w:pStyle w:val="107"/>
                    <w:keepNext w:val="0"/>
                    <w:keepLines w:val="0"/>
                    <w:suppressLineNumbers w:val="0"/>
                    <w:spacing w:before="0" w:beforeAutospacing="0" w:after="0" w:afterAutospacing="0" w:line="240" w:lineRule="auto"/>
                    <w:ind w:left="0" w:right="0" w:firstLine="0" w:firstLineChars="0"/>
                    <w:jc w:val="center"/>
                    <w:rPr>
                      <w:rFonts w:hint="default" w:eastAsia="宋体"/>
                      <w:color w:val="auto"/>
                      <w:sz w:val="21"/>
                      <w:u w:val="none"/>
                      <w:shd w:val="clear" w:color="auto" w:fill="auto"/>
                      <w:lang w:val="en-US" w:eastAsia="zh-CN"/>
                    </w:rPr>
                  </w:pPr>
                  <w:r>
                    <w:rPr>
                      <w:rFonts w:hint="eastAsia"/>
                      <w:color w:val="auto"/>
                      <w:sz w:val="21"/>
                      <w:u w:val="none"/>
                      <w:shd w:val="clear" w:color="auto" w:fill="auto"/>
                      <w:lang w:val="en-US" w:eastAsia="zh-CN"/>
                    </w:rPr>
                    <w:t>11.339</w:t>
                  </w:r>
                </w:p>
              </w:tc>
              <w:tc>
                <w:tcPr>
                  <w:tcW w:w="1572" w:type="pct"/>
                  <w:gridSpan w:val="5"/>
                  <w:shd w:val="clear" w:color="auto" w:fill="FFFFFF" w:themeFill="background1"/>
                  <w:noWrap w:val="0"/>
                  <w:vAlign w:val="top"/>
                </w:tcPr>
                <w:p w14:paraId="24A8EC15">
                  <w:pPr>
                    <w:pStyle w:val="107"/>
                    <w:keepNext w:val="0"/>
                    <w:keepLines w:val="0"/>
                    <w:suppressLineNumbers w:val="0"/>
                    <w:spacing w:before="0" w:beforeAutospacing="0" w:after="0" w:afterAutospacing="0" w:line="240" w:lineRule="auto"/>
                    <w:ind w:left="0" w:right="0" w:firstLine="0" w:firstLineChars="0"/>
                    <w:jc w:val="center"/>
                    <w:rPr>
                      <w:rFonts w:hint="default"/>
                      <w:color w:val="auto"/>
                      <w:sz w:val="21"/>
                      <w:u w:val="none"/>
                      <w:shd w:val="clear" w:color="auto" w:fill="auto"/>
                    </w:rPr>
                  </w:pPr>
                  <w:r>
                    <w:rPr>
                      <w:rFonts w:hint="default"/>
                      <w:color w:val="auto"/>
                      <w:sz w:val="21"/>
                      <w:u w:val="none"/>
                      <w:shd w:val="clear" w:color="auto" w:fill="auto"/>
                    </w:rPr>
                    <w:t>合计</w:t>
                  </w:r>
                </w:p>
              </w:tc>
              <w:tc>
                <w:tcPr>
                  <w:tcW w:w="1236" w:type="pct"/>
                  <w:gridSpan w:val="2"/>
                  <w:shd w:val="clear" w:color="auto" w:fill="FFFFFF" w:themeFill="background1"/>
                  <w:noWrap w:val="0"/>
                  <w:vAlign w:val="center"/>
                </w:tcPr>
                <w:p w14:paraId="7D939403">
                  <w:pPr>
                    <w:pStyle w:val="107"/>
                    <w:keepNext w:val="0"/>
                    <w:keepLines w:val="0"/>
                    <w:suppressLineNumbers w:val="0"/>
                    <w:spacing w:before="0" w:beforeAutospacing="0" w:after="0" w:afterAutospacing="0" w:line="240" w:lineRule="auto"/>
                    <w:ind w:left="0" w:right="0" w:firstLine="0" w:firstLineChars="0"/>
                    <w:jc w:val="center"/>
                    <w:rPr>
                      <w:rFonts w:hint="eastAsia"/>
                      <w:color w:val="auto"/>
                      <w:sz w:val="21"/>
                      <w:u w:val="none"/>
                      <w:shd w:val="clear" w:color="auto" w:fill="auto"/>
                    </w:rPr>
                  </w:pPr>
                  <w:r>
                    <w:rPr>
                      <w:rFonts w:hint="eastAsia"/>
                      <w:color w:val="auto"/>
                      <w:sz w:val="21"/>
                      <w:u w:val="none"/>
                      <w:shd w:val="clear" w:color="auto" w:fill="auto"/>
                      <w:lang w:val="en-US" w:eastAsia="zh-CN"/>
                    </w:rPr>
                    <w:t>11.339</w:t>
                  </w:r>
                </w:p>
              </w:tc>
            </w:tr>
            <w:tr w14:paraId="364DC9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11"/>
                  <w:shd w:val="clear" w:color="auto" w:fill="FFFFFF" w:themeFill="background1"/>
                  <w:noWrap w:val="0"/>
                  <w:vAlign w:val="center"/>
                </w:tcPr>
                <w:p w14:paraId="55063591">
                  <w:pPr>
                    <w:pStyle w:val="107"/>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宋体"/>
                      <w:color w:val="auto"/>
                      <w:highlight w:val="none"/>
                      <w:u w:val="none"/>
                      <w:shd w:val="clear" w:color="auto" w:fill="auto"/>
                      <w:lang w:val="en-US" w:eastAsia="zh-CN"/>
                    </w:rPr>
                  </w:pPr>
                  <w:r>
                    <w:rPr>
                      <w:rFonts w:hint="eastAsia" w:cs="宋体"/>
                      <w:color w:val="auto"/>
                      <w:sz w:val="21"/>
                      <w:szCs w:val="21"/>
                      <w:highlight w:val="none"/>
                      <w:shd w:val="clear" w:color="auto" w:fill="auto"/>
                      <w:lang w:val="en-US" w:eastAsia="zh-CN"/>
                    </w:rPr>
                    <w:t>丝网印花、台面胶及晾干有机废气</w:t>
                  </w:r>
                </w:p>
              </w:tc>
            </w:tr>
            <w:tr w14:paraId="65C13F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2" w:type="pct"/>
                  <w:shd w:val="clear" w:color="auto" w:fill="FFFFFF" w:themeFill="background1"/>
                  <w:noWrap w:val="0"/>
                  <w:vAlign w:val="center"/>
                </w:tcPr>
                <w:p w14:paraId="50CE16F5">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color w:val="auto"/>
                      <w:sz w:val="21"/>
                      <w:highlight w:val="none"/>
                      <w:u w:val="none"/>
                      <w:shd w:val="clear" w:color="auto" w:fill="auto"/>
                    </w:rPr>
                  </w:pPr>
                  <w:r>
                    <w:rPr>
                      <w:rFonts w:hint="eastAsia"/>
                      <w:snapToGrid w:val="0"/>
                      <w:color w:val="auto"/>
                      <w:spacing w:val="0"/>
                      <w:sz w:val="21"/>
                      <w:szCs w:val="21"/>
                      <w:highlight w:val="none"/>
                      <w:shd w:val="clear" w:color="auto" w:fill="auto"/>
                      <w:lang w:val="en-US" w:eastAsia="zh-CN"/>
                    </w:rPr>
                    <w:t>水性印花油墨</w:t>
                  </w:r>
                </w:p>
              </w:tc>
              <w:tc>
                <w:tcPr>
                  <w:tcW w:w="415" w:type="pct"/>
                  <w:shd w:val="clear" w:color="auto" w:fill="FFFFFF" w:themeFill="background1"/>
                  <w:noWrap w:val="0"/>
                  <w:vAlign w:val="center"/>
                </w:tcPr>
                <w:p w14:paraId="5F39134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snapToGrid w:val="0"/>
                      <w:color w:val="auto"/>
                      <w:spacing w:val="0"/>
                      <w:sz w:val="21"/>
                      <w:szCs w:val="21"/>
                      <w:highlight w:val="none"/>
                      <w:shd w:val="clear" w:color="auto" w:fill="auto"/>
                      <w:lang w:val="en-US" w:eastAsia="zh-CN"/>
                    </w:rPr>
                  </w:pPr>
                  <w:r>
                    <w:rPr>
                      <w:rFonts w:hint="eastAsia"/>
                      <w:snapToGrid w:val="0"/>
                      <w:color w:val="auto"/>
                      <w:spacing w:val="0"/>
                      <w:sz w:val="21"/>
                      <w:szCs w:val="21"/>
                      <w:highlight w:val="none"/>
                      <w:shd w:val="clear" w:color="auto" w:fill="auto"/>
                      <w:lang w:val="en-US" w:eastAsia="zh-CN"/>
                    </w:rPr>
                    <w:t>1</w:t>
                  </w:r>
                </w:p>
              </w:tc>
              <w:tc>
                <w:tcPr>
                  <w:tcW w:w="468" w:type="pct"/>
                  <w:shd w:val="clear" w:color="auto" w:fill="FFFFFF" w:themeFill="background1"/>
                  <w:noWrap w:val="0"/>
                  <w:vAlign w:val="center"/>
                </w:tcPr>
                <w:p w14:paraId="1B6F427B">
                  <w:pPr>
                    <w:pStyle w:val="107"/>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宋体"/>
                      <w:color w:val="auto"/>
                      <w:highlight w:val="none"/>
                      <w:u w:val="none"/>
                      <w:shd w:val="clear" w:color="auto" w:fill="auto"/>
                      <w:lang w:val="en-US" w:eastAsia="zh-CN"/>
                    </w:rPr>
                  </w:pPr>
                  <w:r>
                    <w:rPr>
                      <w:rFonts w:hint="eastAsia" w:cs="宋体"/>
                      <w:color w:val="auto"/>
                      <w:highlight w:val="none"/>
                      <w:u w:val="none"/>
                      <w:shd w:val="clear" w:color="auto" w:fill="auto"/>
                      <w:lang w:val="en-US" w:eastAsia="zh-CN"/>
                    </w:rPr>
                    <w:t>0.28%</w:t>
                  </w:r>
                </w:p>
              </w:tc>
              <w:tc>
                <w:tcPr>
                  <w:tcW w:w="473" w:type="pct"/>
                  <w:shd w:val="clear" w:color="auto" w:fill="FFFFFF" w:themeFill="background1"/>
                  <w:noWrap w:val="0"/>
                  <w:vAlign w:val="center"/>
                </w:tcPr>
                <w:p w14:paraId="5EA60F64">
                  <w:pPr>
                    <w:pStyle w:val="107"/>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宋体"/>
                      <w:color w:val="auto"/>
                      <w:highlight w:val="none"/>
                      <w:u w:val="none"/>
                      <w:shd w:val="clear" w:color="auto" w:fill="auto"/>
                      <w:lang w:val="en-US" w:eastAsia="zh-CN"/>
                    </w:rPr>
                  </w:pPr>
                  <w:r>
                    <w:rPr>
                      <w:rFonts w:hint="eastAsia" w:cs="宋体"/>
                      <w:color w:val="auto"/>
                      <w:highlight w:val="none"/>
                      <w:u w:val="none"/>
                      <w:shd w:val="clear" w:color="auto" w:fill="auto"/>
                      <w:lang w:val="en-US" w:eastAsia="zh-CN"/>
                    </w:rPr>
                    <w:t>0.0028</w:t>
                  </w:r>
                </w:p>
              </w:tc>
              <w:tc>
                <w:tcPr>
                  <w:tcW w:w="783" w:type="pct"/>
                  <w:gridSpan w:val="3"/>
                  <w:vMerge w:val="restart"/>
                  <w:shd w:val="clear" w:color="auto" w:fill="FFFFFF" w:themeFill="background1"/>
                  <w:noWrap w:val="0"/>
                  <w:vAlign w:val="center"/>
                </w:tcPr>
                <w:p w14:paraId="675C00A2">
                  <w:pPr>
                    <w:pStyle w:val="107"/>
                    <w:keepNext w:val="0"/>
                    <w:keepLines w:val="0"/>
                    <w:suppressLineNumbers w:val="0"/>
                    <w:spacing w:before="0" w:beforeAutospacing="0" w:after="0" w:afterAutospacing="0" w:line="240" w:lineRule="auto"/>
                    <w:ind w:left="0" w:right="0" w:firstLine="0" w:firstLineChars="0"/>
                    <w:jc w:val="center"/>
                    <w:rPr>
                      <w:rFonts w:hint="default"/>
                      <w:color w:val="auto"/>
                      <w:sz w:val="21"/>
                      <w:highlight w:val="none"/>
                      <w:u w:val="none"/>
                      <w:shd w:val="clear" w:color="auto" w:fill="auto"/>
                    </w:rPr>
                  </w:pPr>
                  <w:r>
                    <w:rPr>
                      <w:rFonts w:hint="eastAsia"/>
                      <w:color w:val="auto"/>
                      <w:sz w:val="21"/>
                      <w:highlight w:val="none"/>
                      <w:u w:val="none"/>
                      <w:shd w:val="clear" w:color="auto" w:fill="auto"/>
                    </w:rPr>
                    <w:t>挥发量</w:t>
                  </w:r>
                </w:p>
              </w:tc>
              <w:tc>
                <w:tcPr>
                  <w:tcW w:w="788" w:type="pct"/>
                  <w:gridSpan w:val="2"/>
                  <w:vMerge w:val="restart"/>
                  <w:shd w:val="clear" w:color="auto" w:fill="FFFFFF" w:themeFill="background1"/>
                  <w:noWrap w:val="0"/>
                  <w:vAlign w:val="center"/>
                </w:tcPr>
                <w:p w14:paraId="0A2BC78D">
                  <w:pPr>
                    <w:pStyle w:val="107"/>
                    <w:keepNext w:val="0"/>
                    <w:keepLines w:val="0"/>
                    <w:suppressLineNumbers w:val="0"/>
                    <w:spacing w:before="0" w:beforeAutospacing="0" w:after="0" w:afterAutospacing="0" w:line="240" w:lineRule="auto"/>
                    <w:ind w:left="0" w:right="0" w:firstLine="0" w:firstLineChars="0"/>
                    <w:jc w:val="center"/>
                    <w:rPr>
                      <w:rFonts w:hint="default"/>
                      <w:color w:val="auto"/>
                      <w:sz w:val="21"/>
                      <w:highlight w:val="none"/>
                      <w:u w:val="none"/>
                      <w:shd w:val="clear" w:color="auto" w:fill="auto"/>
                    </w:rPr>
                  </w:pPr>
                  <w:r>
                    <w:rPr>
                      <w:rFonts w:hint="eastAsia"/>
                      <w:color w:val="auto"/>
                      <w:sz w:val="21"/>
                      <w:highlight w:val="none"/>
                      <w:u w:val="none"/>
                      <w:shd w:val="clear" w:color="auto" w:fill="auto"/>
                    </w:rPr>
                    <w:t>无组织排放</w:t>
                  </w:r>
                </w:p>
              </w:tc>
              <w:tc>
                <w:tcPr>
                  <w:tcW w:w="649" w:type="pct"/>
                  <w:vMerge w:val="restart"/>
                  <w:shd w:val="clear" w:color="auto" w:fill="FFFFFF" w:themeFill="background1"/>
                  <w:noWrap w:val="0"/>
                  <w:vAlign w:val="center"/>
                </w:tcPr>
                <w:p w14:paraId="7FF577C9">
                  <w:pPr>
                    <w:pStyle w:val="107"/>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宋体"/>
                      <w:color w:val="auto"/>
                      <w:highlight w:val="none"/>
                      <w:u w:val="none"/>
                      <w:shd w:val="clear" w:color="auto" w:fill="auto"/>
                      <w:lang w:val="en-US" w:eastAsia="zh-CN"/>
                    </w:rPr>
                  </w:pPr>
                  <w:r>
                    <w:rPr>
                      <w:rFonts w:hint="eastAsia" w:cs="宋体"/>
                      <w:color w:val="auto"/>
                      <w:highlight w:val="none"/>
                      <w:u w:val="none"/>
                      <w:shd w:val="clear" w:color="auto" w:fill="auto"/>
                      <w:lang w:val="en-US" w:eastAsia="zh-CN"/>
                    </w:rPr>
                    <w:t>100%</w:t>
                  </w:r>
                </w:p>
              </w:tc>
              <w:tc>
                <w:tcPr>
                  <w:tcW w:w="587" w:type="pct"/>
                  <w:vMerge w:val="restart"/>
                  <w:shd w:val="clear" w:color="auto" w:fill="FFFFFF" w:themeFill="background1"/>
                  <w:noWrap w:val="0"/>
                  <w:vAlign w:val="center"/>
                </w:tcPr>
                <w:p w14:paraId="7D5CE145">
                  <w:pPr>
                    <w:pStyle w:val="107"/>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宋体"/>
                      <w:color w:val="auto"/>
                      <w:highlight w:val="none"/>
                      <w:u w:val="none"/>
                      <w:shd w:val="clear" w:color="auto" w:fill="auto"/>
                      <w:lang w:val="en-US" w:eastAsia="zh-CN"/>
                    </w:rPr>
                  </w:pPr>
                  <w:r>
                    <w:rPr>
                      <w:rFonts w:hint="eastAsia" w:cs="宋体"/>
                      <w:color w:val="auto"/>
                      <w:highlight w:val="none"/>
                      <w:u w:val="none"/>
                      <w:shd w:val="clear" w:color="auto" w:fill="auto"/>
                      <w:lang w:val="en-US" w:eastAsia="zh-CN"/>
                    </w:rPr>
                    <w:t>0.0048</w:t>
                  </w:r>
                </w:p>
              </w:tc>
            </w:tr>
            <w:tr w14:paraId="6EA6BF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2" w:type="pct"/>
                  <w:shd w:val="clear" w:color="auto" w:fill="FFFFFF" w:themeFill="background1"/>
                  <w:noWrap w:val="0"/>
                  <w:vAlign w:val="center"/>
                </w:tcPr>
                <w:p w14:paraId="04F7CF6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snapToGrid w:val="0"/>
                      <w:color w:val="auto"/>
                      <w:spacing w:val="0"/>
                      <w:kern w:val="2"/>
                      <w:sz w:val="21"/>
                      <w:szCs w:val="21"/>
                      <w:highlight w:val="none"/>
                      <w:shd w:val="clear" w:color="auto" w:fill="auto"/>
                      <w:lang w:val="en-US" w:eastAsia="zh-CN" w:bidi="ar-SA"/>
                    </w:rPr>
                  </w:pPr>
                  <w:r>
                    <w:rPr>
                      <w:rFonts w:hint="eastAsia" w:cs="Times New Roman"/>
                      <w:snapToGrid w:val="0"/>
                      <w:color w:val="auto"/>
                      <w:spacing w:val="0"/>
                      <w:kern w:val="2"/>
                      <w:sz w:val="21"/>
                      <w:szCs w:val="21"/>
                      <w:highlight w:val="none"/>
                      <w:shd w:val="clear" w:color="auto" w:fill="auto"/>
                      <w:lang w:val="en-US" w:eastAsia="zh-CN" w:bidi="ar-SA"/>
                    </w:rPr>
                    <w:t>台面胶</w:t>
                  </w:r>
                </w:p>
              </w:tc>
              <w:tc>
                <w:tcPr>
                  <w:tcW w:w="415" w:type="pct"/>
                  <w:shd w:val="clear" w:color="auto" w:fill="FFFFFF" w:themeFill="background1"/>
                  <w:noWrap w:val="0"/>
                  <w:vAlign w:val="center"/>
                </w:tcPr>
                <w:p w14:paraId="69217B6A">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cs="Times New Roman"/>
                      <w:snapToGrid w:val="0"/>
                      <w:color w:val="auto"/>
                      <w:spacing w:val="0"/>
                      <w:kern w:val="2"/>
                      <w:sz w:val="21"/>
                      <w:szCs w:val="21"/>
                      <w:highlight w:val="none"/>
                      <w:shd w:val="clear" w:color="auto" w:fill="auto"/>
                      <w:lang w:val="en-US" w:eastAsia="zh-CN" w:bidi="ar-SA"/>
                    </w:rPr>
                  </w:pPr>
                  <w:r>
                    <w:rPr>
                      <w:rFonts w:hint="eastAsia" w:cs="Times New Roman"/>
                      <w:snapToGrid w:val="0"/>
                      <w:color w:val="auto"/>
                      <w:spacing w:val="0"/>
                      <w:kern w:val="2"/>
                      <w:sz w:val="21"/>
                      <w:szCs w:val="21"/>
                      <w:highlight w:val="none"/>
                      <w:shd w:val="clear" w:color="auto" w:fill="auto"/>
                      <w:lang w:val="en-US" w:eastAsia="zh-CN" w:bidi="ar-SA"/>
                    </w:rPr>
                    <w:t>0.1</w:t>
                  </w:r>
                </w:p>
              </w:tc>
              <w:tc>
                <w:tcPr>
                  <w:tcW w:w="468" w:type="pct"/>
                  <w:shd w:val="clear" w:color="auto" w:fill="FFFFFF" w:themeFill="background1"/>
                  <w:noWrap w:val="0"/>
                  <w:vAlign w:val="center"/>
                </w:tcPr>
                <w:p w14:paraId="65557E4B">
                  <w:pPr>
                    <w:pStyle w:val="107"/>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宋体"/>
                      <w:color w:val="auto"/>
                      <w:highlight w:val="none"/>
                      <w:u w:val="none"/>
                      <w:shd w:val="clear" w:color="auto" w:fill="auto"/>
                      <w:lang w:val="en-US" w:eastAsia="zh-CN"/>
                    </w:rPr>
                  </w:pPr>
                  <w:r>
                    <w:rPr>
                      <w:rFonts w:hint="eastAsia" w:cs="宋体"/>
                      <w:color w:val="auto"/>
                      <w:highlight w:val="none"/>
                      <w:u w:val="none"/>
                      <w:shd w:val="clear" w:color="auto" w:fill="auto"/>
                      <w:lang w:val="en-US" w:eastAsia="zh-CN"/>
                    </w:rPr>
                    <w:t>2%</w:t>
                  </w:r>
                </w:p>
              </w:tc>
              <w:tc>
                <w:tcPr>
                  <w:tcW w:w="473" w:type="pct"/>
                  <w:shd w:val="clear" w:color="auto" w:fill="FFFFFF" w:themeFill="background1"/>
                  <w:noWrap w:val="0"/>
                  <w:vAlign w:val="center"/>
                </w:tcPr>
                <w:p w14:paraId="0C81038D">
                  <w:pPr>
                    <w:pStyle w:val="107"/>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宋体"/>
                      <w:color w:val="auto"/>
                      <w:highlight w:val="none"/>
                      <w:u w:val="none"/>
                      <w:shd w:val="clear" w:color="auto" w:fill="auto"/>
                      <w:lang w:val="en-US" w:eastAsia="zh-CN"/>
                    </w:rPr>
                  </w:pPr>
                  <w:r>
                    <w:rPr>
                      <w:rFonts w:hint="eastAsia" w:cs="宋体"/>
                      <w:color w:val="auto"/>
                      <w:highlight w:val="none"/>
                      <w:u w:val="none"/>
                      <w:shd w:val="clear" w:color="auto" w:fill="auto"/>
                      <w:lang w:val="en-US" w:eastAsia="zh-CN"/>
                    </w:rPr>
                    <w:t>0.002</w:t>
                  </w:r>
                </w:p>
              </w:tc>
              <w:tc>
                <w:tcPr>
                  <w:tcW w:w="783" w:type="pct"/>
                  <w:gridSpan w:val="3"/>
                  <w:vMerge w:val="continue"/>
                  <w:shd w:val="clear" w:color="auto" w:fill="FFFFFF" w:themeFill="background1"/>
                  <w:noWrap w:val="0"/>
                  <w:vAlign w:val="center"/>
                </w:tcPr>
                <w:p w14:paraId="39206048">
                  <w:pPr>
                    <w:pStyle w:val="107"/>
                    <w:keepNext w:val="0"/>
                    <w:keepLines w:val="0"/>
                    <w:suppressLineNumbers w:val="0"/>
                    <w:spacing w:before="0" w:beforeAutospacing="0" w:after="0" w:afterAutospacing="0" w:line="240" w:lineRule="auto"/>
                    <w:ind w:left="0" w:right="0" w:firstLine="0" w:firstLineChars="0"/>
                    <w:jc w:val="center"/>
                    <w:rPr>
                      <w:rFonts w:hint="default"/>
                      <w:color w:val="auto"/>
                      <w:sz w:val="21"/>
                      <w:highlight w:val="none"/>
                      <w:u w:val="none"/>
                      <w:shd w:val="clear" w:color="auto" w:fill="auto"/>
                    </w:rPr>
                  </w:pPr>
                </w:p>
              </w:tc>
              <w:tc>
                <w:tcPr>
                  <w:tcW w:w="788" w:type="pct"/>
                  <w:gridSpan w:val="2"/>
                  <w:vMerge w:val="continue"/>
                  <w:shd w:val="clear" w:color="auto" w:fill="FFFFFF" w:themeFill="background1"/>
                  <w:noWrap w:val="0"/>
                  <w:vAlign w:val="center"/>
                </w:tcPr>
                <w:p w14:paraId="76D18A0E">
                  <w:pPr>
                    <w:pStyle w:val="107"/>
                    <w:keepNext w:val="0"/>
                    <w:keepLines w:val="0"/>
                    <w:suppressLineNumbers w:val="0"/>
                    <w:spacing w:before="0" w:beforeAutospacing="0" w:after="0" w:afterAutospacing="0" w:line="240" w:lineRule="auto"/>
                    <w:ind w:left="0" w:right="0" w:firstLine="0" w:firstLineChars="0"/>
                    <w:jc w:val="center"/>
                    <w:rPr>
                      <w:rFonts w:hint="default"/>
                      <w:color w:val="auto"/>
                      <w:sz w:val="21"/>
                      <w:highlight w:val="none"/>
                      <w:u w:val="none"/>
                      <w:shd w:val="clear" w:color="auto" w:fill="auto"/>
                    </w:rPr>
                  </w:pPr>
                </w:p>
              </w:tc>
              <w:tc>
                <w:tcPr>
                  <w:tcW w:w="649" w:type="pct"/>
                  <w:vMerge w:val="continue"/>
                  <w:shd w:val="clear" w:color="auto" w:fill="FFFFFF" w:themeFill="background1"/>
                  <w:noWrap w:val="0"/>
                  <w:vAlign w:val="center"/>
                </w:tcPr>
                <w:p w14:paraId="0AB06664">
                  <w:pPr>
                    <w:pStyle w:val="107"/>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宋体"/>
                      <w:color w:val="auto"/>
                      <w:highlight w:val="none"/>
                      <w:u w:val="none"/>
                      <w:shd w:val="clear" w:color="auto" w:fill="auto"/>
                      <w:lang w:val="en-US" w:eastAsia="zh-CN"/>
                    </w:rPr>
                  </w:pPr>
                </w:p>
              </w:tc>
              <w:tc>
                <w:tcPr>
                  <w:tcW w:w="587" w:type="pct"/>
                  <w:vMerge w:val="continue"/>
                  <w:shd w:val="clear" w:color="auto" w:fill="FFFFFF" w:themeFill="background1"/>
                  <w:noWrap w:val="0"/>
                  <w:vAlign w:val="center"/>
                </w:tcPr>
                <w:p w14:paraId="210DFAEA">
                  <w:pPr>
                    <w:pStyle w:val="107"/>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宋体"/>
                      <w:color w:val="auto"/>
                      <w:highlight w:val="none"/>
                      <w:u w:val="none"/>
                      <w:shd w:val="clear" w:color="auto" w:fill="auto"/>
                      <w:lang w:val="en-US" w:eastAsia="zh-CN"/>
                    </w:rPr>
                  </w:pPr>
                </w:p>
              </w:tc>
            </w:tr>
            <w:tr w14:paraId="76AAFA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pct"/>
                  <w:gridSpan w:val="2"/>
                  <w:shd w:val="clear" w:color="auto" w:fill="FFFFFF" w:themeFill="background1"/>
                  <w:noWrap w:val="0"/>
                  <w:vAlign w:val="center"/>
                </w:tcPr>
                <w:p w14:paraId="67399FE6">
                  <w:pPr>
                    <w:pStyle w:val="107"/>
                    <w:keepNext w:val="0"/>
                    <w:keepLines w:val="0"/>
                    <w:suppressLineNumbers w:val="0"/>
                    <w:spacing w:before="0" w:beforeAutospacing="0" w:after="0" w:afterAutospacing="0" w:line="240" w:lineRule="auto"/>
                    <w:ind w:left="0" w:right="0" w:firstLine="0" w:firstLineChars="0"/>
                    <w:jc w:val="center"/>
                    <w:rPr>
                      <w:rFonts w:hint="default"/>
                      <w:color w:val="auto"/>
                      <w:sz w:val="21"/>
                      <w:u w:val="none"/>
                      <w:shd w:val="clear" w:color="auto" w:fill="auto"/>
                    </w:rPr>
                  </w:pPr>
                  <w:r>
                    <w:rPr>
                      <w:rFonts w:hint="default"/>
                      <w:color w:val="auto"/>
                      <w:sz w:val="21"/>
                      <w:u w:val="none"/>
                      <w:shd w:val="clear" w:color="auto" w:fill="auto"/>
                    </w:rPr>
                    <w:t>合计</w:t>
                  </w:r>
                </w:p>
              </w:tc>
              <w:tc>
                <w:tcPr>
                  <w:tcW w:w="942" w:type="pct"/>
                  <w:gridSpan w:val="2"/>
                  <w:shd w:val="clear" w:color="auto" w:fill="FFFFFF" w:themeFill="background1"/>
                  <w:noWrap w:val="0"/>
                  <w:vAlign w:val="center"/>
                </w:tcPr>
                <w:p w14:paraId="532274F8">
                  <w:pPr>
                    <w:pStyle w:val="107"/>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宋体"/>
                      <w:color w:val="auto"/>
                      <w:u w:val="none"/>
                      <w:shd w:val="clear" w:color="auto" w:fill="auto"/>
                      <w:lang w:val="en-US" w:eastAsia="zh-CN"/>
                    </w:rPr>
                  </w:pPr>
                  <w:r>
                    <w:rPr>
                      <w:rFonts w:hint="eastAsia" w:cs="宋体"/>
                      <w:color w:val="auto"/>
                      <w:u w:val="none"/>
                      <w:shd w:val="clear" w:color="auto" w:fill="auto"/>
                      <w:lang w:val="en-US" w:eastAsia="zh-CN"/>
                    </w:rPr>
                    <w:t>0.0048</w:t>
                  </w:r>
                </w:p>
              </w:tc>
              <w:tc>
                <w:tcPr>
                  <w:tcW w:w="1572" w:type="pct"/>
                  <w:gridSpan w:val="5"/>
                  <w:shd w:val="clear" w:color="auto" w:fill="FFFFFF" w:themeFill="background1"/>
                  <w:noWrap w:val="0"/>
                  <w:vAlign w:val="center"/>
                </w:tcPr>
                <w:p w14:paraId="0170C5C9">
                  <w:pPr>
                    <w:pStyle w:val="107"/>
                    <w:keepNext w:val="0"/>
                    <w:keepLines w:val="0"/>
                    <w:suppressLineNumbers w:val="0"/>
                    <w:spacing w:before="0" w:beforeAutospacing="0" w:after="0" w:afterAutospacing="0" w:line="240" w:lineRule="auto"/>
                    <w:ind w:left="0" w:right="0" w:firstLine="0" w:firstLineChars="0"/>
                    <w:jc w:val="center"/>
                    <w:rPr>
                      <w:rFonts w:hint="default"/>
                      <w:color w:val="auto"/>
                      <w:sz w:val="21"/>
                      <w:u w:val="none"/>
                      <w:shd w:val="clear" w:color="auto" w:fill="auto"/>
                    </w:rPr>
                  </w:pPr>
                  <w:r>
                    <w:rPr>
                      <w:rFonts w:hint="default"/>
                      <w:color w:val="auto"/>
                      <w:sz w:val="21"/>
                      <w:u w:val="none"/>
                      <w:shd w:val="clear" w:color="auto" w:fill="auto"/>
                    </w:rPr>
                    <w:t>合计</w:t>
                  </w:r>
                </w:p>
              </w:tc>
              <w:tc>
                <w:tcPr>
                  <w:tcW w:w="1236" w:type="pct"/>
                  <w:gridSpan w:val="2"/>
                  <w:shd w:val="clear" w:color="auto" w:fill="FFFFFF" w:themeFill="background1"/>
                  <w:noWrap w:val="0"/>
                  <w:vAlign w:val="center"/>
                </w:tcPr>
                <w:p w14:paraId="6010E5E5">
                  <w:pPr>
                    <w:pStyle w:val="107"/>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宋体"/>
                      <w:color w:val="auto"/>
                      <w:u w:val="none"/>
                      <w:shd w:val="clear" w:color="auto" w:fill="auto"/>
                      <w:lang w:val="en-US" w:eastAsia="zh-CN"/>
                    </w:rPr>
                  </w:pPr>
                  <w:r>
                    <w:rPr>
                      <w:rFonts w:hint="eastAsia" w:cs="宋体"/>
                      <w:color w:val="auto"/>
                      <w:u w:val="none"/>
                      <w:shd w:val="clear" w:color="auto" w:fill="auto"/>
                      <w:lang w:val="en-US" w:eastAsia="zh-CN"/>
                    </w:rPr>
                    <w:t>0.0048</w:t>
                  </w:r>
                </w:p>
              </w:tc>
            </w:tr>
            <w:tr w14:paraId="634110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11"/>
                  <w:shd w:val="clear" w:color="auto" w:fill="FFFFFF" w:themeFill="background1"/>
                  <w:noWrap w:val="0"/>
                  <w:vAlign w:val="center"/>
                </w:tcPr>
                <w:p w14:paraId="792EEB95">
                  <w:pPr>
                    <w:pStyle w:val="107"/>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宋体"/>
                      <w:color w:val="auto"/>
                      <w:u w:val="none"/>
                      <w:shd w:val="clear" w:color="auto" w:fill="auto"/>
                      <w:lang w:val="en-US" w:eastAsia="zh-CN"/>
                    </w:rPr>
                  </w:pPr>
                  <w:r>
                    <w:rPr>
                      <w:rFonts w:hint="eastAsia" w:ascii="Times New Roman" w:hAnsi="Times New Roman" w:eastAsia="宋体" w:cs="宋体"/>
                      <w:color w:val="auto"/>
                      <w:u w:val="none"/>
                      <w:shd w:val="clear" w:color="auto" w:fill="auto"/>
                      <w:lang w:val="en-US" w:eastAsia="zh-CN"/>
                    </w:rPr>
                    <w:t>发泡</w:t>
                  </w:r>
                  <w:r>
                    <w:rPr>
                      <w:rFonts w:hint="eastAsia" w:cs="宋体"/>
                      <w:color w:val="auto"/>
                      <w:u w:val="none"/>
                      <w:shd w:val="clear" w:color="auto" w:fill="auto"/>
                      <w:lang w:val="en-US" w:eastAsia="zh-CN"/>
                    </w:rPr>
                    <w:t>及</w:t>
                  </w:r>
                  <w:r>
                    <w:rPr>
                      <w:rFonts w:hint="eastAsia" w:ascii="Times New Roman" w:hAnsi="Times New Roman" w:eastAsia="宋体" w:cs="宋体"/>
                      <w:color w:val="auto"/>
                      <w:u w:val="none"/>
                      <w:shd w:val="clear" w:color="auto" w:fill="auto"/>
                      <w:lang w:val="en-US" w:eastAsia="zh-CN"/>
                    </w:rPr>
                    <w:t>脱模有机废气</w:t>
                  </w:r>
                </w:p>
              </w:tc>
            </w:tr>
            <w:tr w14:paraId="4C74D4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 w:hRule="atLeast"/>
              </w:trPr>
              <w:tc>
                <w:tcPr>
                  <w:tcW w:w="832" w:type="pct"/>
                  <w:vMerge w:val="restart"/>
                  <w:shd w:val="clear" w:color="auto" w:fill="FFFFFF" w:themeFill="background1"/>
                  <w:noWrap w:val="0"/>
                  <w:vAlign w:val="center"/>
                </w:tcPr>
                <w:p w14:paraId="6BC653A5">
                  <w:pPr>
                    <w:pStyle w:val="107"/>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highlight w:val="none"/>
                      <w:u w:val="none"/>
                      <w:shd w:val="clear" w:color="auto" w:fill="auto"/>
                    </w:rPr>
                  </w:pPr>
                  <w:r>
                    <w:rPr>
                      <w:rFonts w:hint="eastAsia" w:ascii="Times New Roman" w:hAnsi="Times New Roman" w:eastAsia="宋体" w:cs="Times New Roman"/>
                      <w:b w:val="0"/>
                      <w:bCs w:val="0"/>
                      <w:color w:val="auto"/>
                      <w:kern w:val="2"/>
                      <w:sz w:val="21"/>
                      <w:szCs w:val="21"/>
                      <w:highlight w:val="none"/>
                      <w:u w:val="none"/>
                      <w:shd w:val="clear" w:color="auto" w:fill="auto"/>
                      <w:lang w:val="en-US" w:eastAsia="zh-CN" w:bidi="ar-SA"/>
                    </w:rPr>
                    <w:t>水性脱模剂</w:t>
                  </w:r>
                </w:p>
              </w:tc>
              <w:tc>
                <w:tcPr>
                  <w:tcW w:w="415" w:type="pct"/>
                  <w:vMerge w:val="restart"/>
                  <w:shd w:val="clear" w:color="auto" w:fill="FFFFFF" w:themeFill="background1"/>
                  <w:noWrap w:val="0"/>
                  <w:vAlign w:val="center"/>
                </w:tcPr>
                <w:p w14:paraId="5BF5CD2B">
                  <w:pPr>
                    <w:pStyle w:val="107"/>
                    <w:keepNext w:val="0"/>
                    <w:keepLines w:val="0"/>
                    <w:suppressLineNumbers w:val="0"/>
                    <w:spacing w:before="0" w:beforeAutospacing="0" w:after="0" w:afterAutospacing="0" w:line="240" w:lineRule="auto"/>
                    <w:ind w:left="0" w:right="0" w:firstLine="0" w:firstLineChars="0"/>
                    <w:jc w:val="center"/>
                    <w:rPr>
                      <w:rFonts w:hint="default" w:eastAsia="宋体"/>
                      <w:color w:val="auto"/>
                      <w:sz w:val="21"/>
                      <w:highlight w:val="none"/>
                      <w:u w:val="none"/>
                      <w:shd w:val="clear" w:color="auto" w:fill="auto"/>
                      <w:lang w:val="en-US" w:eastAsia="zh-CN"/>
                    </w:rPr>
                  </w:pPr>
                  <w:r>
                    <w:rPr>
                      <w:rFonts w:hint="eastAsia"/>
                      <w:color w:val="auto"/>
                      <w:sz w:val="21"/>
                      <w:highlight w:val="none"/>
                      <w:u w:val="none"/>
                      <w:shd w:val="clear" w:color="auto" w:fill="auto"/>
                      <w:lang w:val="en-US" w:eastAsia="zh-CN"/>
                    </w:rPr>
                    <w:t>1.2</w:t>
                  </w:r>
                </w:p>
              </w:tc>
              <w:tc>
                <w:tcPr>
                  <w:tcW w:w="468" w:type="pct"/>
                  <w:vMerge w:val="restart"/>
                  <w:shd w:val="clear" w:color="auto" w:fill="FFFFFF" w:themeFill="background1"/>
                  <w:noWrap w:val="0"/>
                  <w:vAlign w:val="center"/>
                </w:tcPr>
                <w:p w14:paraId="08BF2B82">
                  <w:pPr>
                    <w:pStyle w:val="107"/>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宋体"/>
                      <w:color w:val="auto"/>
                      <w:highlight w:val="none"/>
                      <w:u w:val="none"/>
                      <w:shd w:val="clear" w:color="auto" w:fill="auto"/>
                      <w:lang w:val="en-US" w:eastAsia="zh-CN"/>
                    </w:rPr>
                  </w:pPr>
                  <w:r>
                    <w:rPr>
                      <w:rFonts w:hint="eastAsia" w:cs="宋体"/>
                      <w:color w:val="auto"/>
                      <w:highlight w:val="none"/>
                      <w:u w:val="none"/>
                      <w:shd w:val="clear" w:color="auto" w:fill="auto"/>
                      <w:lang w:val="en-US" w:eastAsia="zh-CN"/>
                    </w:rPr>
                    <w:t>7%</w:t>
                  </w:r>
                </w:p>
              </w:tc>
              <w:tc>
                <w:tcPr>
                  <w:tcW w:w="473" w:type="pct"/>
                  <w:vMerge w:val="restart"/>
                  <w:shd w:val="clear" w:color="auto" w:fill="FFFFFF" w:themeFill="background1"/>
                  <w:noWrap w:val="0"/>
                  <w:vAlign w:val="center"/>
                </w:tcPr>
                <w:p w14:paraId="73839C20">
                  <w:pPr>
                    <w:pStyle w:val="107"/>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宋体"/>
                      <w:color w:val="auto"/>
                      <w:highlight w:val="none"/>
                      <w:u w:val="none"/>
                      <w:shd w:val="clear" w:color="auto" w:fill="auto"/>
                      <w:lang w:val="en-US" w:eastAsia="zh-CN"/>
                    </w:rPr>
                  </w:pPr>
                  <w:r>
                    <w:rPr>
                      <w:rFonts w:hint="eastAsia" w:cs="宋体"/>
                      <w:color w:val="auto"/>
                      <w:highlight w:val="none"/>
                      <w:u w:val="none"/>
                      <w:shd w:val="clear" w:color="auto" w:fill="auto"/>
                      <w:lang w:val="en-US" w:eastAsia="zh-CN"/>
                    </w:rPr>
                    <w:t>0.084</w:t>
                  </w:r>
                </w:p>
              </w:tc>
              <w:tc>
                <w:tcPr>
                  <w:tcW w:w="260" w:type="pct"/>
                  <w:vMerge w:val="restart"/>
                  <w:shd w:val="clear" w:color="auto" w:fill="FFFFFF" w:themeFill="background1"/>
                  <w:noWrap w:val="0"/>
                  <w:vAlign w:val="center"/>
                </w:tcPr>
                <w:p w14:paraId="59F038AC">
                  <w:pPr>
                    <w:pStyle w:val="107"/>
                    <w:keepNext w:val="0"/>
                    <w:keepLines w:val="0"/>
                    <w:suppressLineNumbers w:val="0"/>
                    <w:spacing w:before="0" w:beforeAutospacing="0" w:after="0" w:afterAutospacing="0" w:line="240" w:lineRule="auto"/>
                    <w:ind w:left="0" w:right="0" w:firstLine="0" w:firstLineChars="0"/>
                    <w:jc w:val="center"/>
                    <w:rPr>
                      <w:rFonts w:hint="default"/>
                      <w:color w:val="auto"/>
                      <w:sz w:val="21"/>
                      <w:highlight w:val="none"/>
                      <w:u w:val="none"/>
                      <w:shd w:val="clear" w:color="auto" w:fill="auto"/>
                    </w:rPr>
                  </w:pPr>
                  <w:r>
                    <w:rPr>
                      <w:rFonts w:hint="eastAsia"/>
                      <w:color w:val="auto"/>
                      <w:sz w:val="21"/>
                      <w:highlight w:val="none"/>
                      <w:u w:val="none"/>
                      <w:shd w:val="clear" w:color="auto" w:fill="auto"/>
                    </w:rPr>
                    <w:t>挥发量</w:t>
                  </w:r>
                </w:p>
              </w:tc>
              <w:tc>
                <w:tcPr>
                  <w:tcW w:w="1312" w:type="pct"/>
                  <w:gridSpan w:val="4"/>
                  <w:shd w:val="clear" w:color="auto" w:fill="FFFFFF" w:themeFill="background1"/>
                  <w:noWrap w:val="0"/>
                  <w:vAlign w:val="center"/>
                </w:tcPr>
                <w:p w14:paraId="6F24D38D">
                  <w:pPr>
                    <w:pStyle w:val="107"/>
                    <w:keepNext w:val="0"/>
                    <w:keepLines w:val="0"/>
                    <w:suppressLineNumbers w:val="0"/>
                    <w:spacing w:before="0" w:beforeAutospacing="0" w:after="0" w:afterAutospacing="0" w:line="240" w:lineRule="auto"/>
                    <w:ind w:left="0" w:right="0" w:firstLine="0" w:firstLineChars="0"/>
                    <w:jc w:val="center"/>
                    <w:rPr>
                      <w:rFonts w:hint="default"/>
                      <w:color w:val="auto"/>
                      <w:sz w:val="21"/>
                      <w:highlight w:val="none"/>
                      <w:u w:val="none"/>
                      <w:shd w:val="clear" w:color="auto" w:fill="auto"/>
                    </w:rPr>
                  </w:pPr>
                  <w:r>
                    <w:rPr>
                      <w:rFonts w:hint="eastAsia"/>
                      <w:color w:val="auto"/>
                      <w:sz w:val="21"/>
                      <w:highlight w:val="none"/>
                      <w:u w:val="none"/>
                      <w:shd w:val="clear" w:color="auto" w:fill="auto"/>
                    </w:rPr>
                    <w:t>有组织收集</w:t>
                  </w:r>
                </w:p>
              </w:tc>
              <w:tc>
                <w:tcPr>
                  <w:tcW w:w="649" w:type="pct"/>
                  <w:shd w:val="clear" w:color="auto" w:fill="FFFFFF" w:themeFill="background1"/>
                  <w:noWrap w:val="0"/>
                  <w:vAlign w:val="center"/>
                </w:tcPr>
                <w:p w14:paraId="22928E81">
                  <w:pPr>
                    <w:pStyle w:val="107"/>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宋体"/>
                      <w:color w:val="auto"/>
                      <w:highlight w:val="none"/>
                      <w:u w:val="none"/>
                      <w:shd w:val="clear" w:color="auto" w:fill="auto"/>
                      <w:lang w:val="en-US" w:eastAsia="zh-CN"/>
                    </w:rPr>
                  </w:pPr>
                  <w:r>
                    <w:rPr>
                      <w:rFonts w:hint="eastAsia" w:cs="宋体"/>
                      <w:color w:val="auto"/>
                      <w:highlight w:val="none"/>
                      <w:u w:val="none"/>
                      <w:shd w:val="clear" w:color="auto" w:fill="auto"/>
                      <w:lang w:val="en-US" w:eastAsia="zh-CN"/>
                    </w:rPr>
                    <w:t>65%</w:t>
                  </w:r>
                </w:p>
              </w:tc>
              <w:tc>
                <w:tcPr>
                  <w:tcW w:w="587" w:type="pct"/>
                  <w:shd w:val="clear" w:color="auto" w:fill="FFFFFF" w:themeFill="background1"/>
                  <w:noWrap w:val="0"/>
                  <w:vAlign w:val="center"/>
                </w:tcPr>
                <w:p w14:paraId="5BE111D1">
                  <w:pPr>
                    <w:pStyle w:val="107"/>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宋体"/>
                      <w:color w:val="auto"/>
                      <w:highlight w:val="none"/>
                      <w:u w:val="none"/>
                      <w:shd w:val="clear" w:color="auto" w:fill="auto"/>
                      <w:lang w:val="en-US" w:eastAsia="zh-CN"/>
                    </w:rPr>
                  </w:pPr>
                  <w:r>
                    <w:rPr>
                      <w:rFonts w:hint="eastAsia" w:cs="宋体"/>
                      <w:color w:val="auto"/>
                      <w:highlight w:val="none"/>
                      <w:u w:val="none"/>
                      <w:shd w:val="clear" w:color="auto" w:fill="auto"/>
                      <w:lang w:val="en-US" w:eastAsia="zh-CN"/>
                    </w:rPr>
                    <w:t>0.466</w:t>
                  </w:r>
                </w:p>
              </w:tc>
            </w:tr>
            <w:tr w14:paraId="6D3087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832" w:type="pct"/>
                  <w:vMerge w:val="continue"/>
                  <w:shd w:val="clear" w:color="auto" w:fill="FFFFFF" w:themeFill="background1"/>
                  <w:noWrap w:val="0"/>
                  <w:vAlign w:val="center"/>
                </w:tcPr>
                <w:p w14:paraId="594E0F5B">
                  <w:pPr>
                    <w:pStyle w:val="107"/>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highlight w:val="none"/>
                      <w:u w:val="none"/>
                      <w:shd w:val="clear" w:color="auto" w:fill="auto"/>
                    </w:rPr>
                  </w:pPr>
                </w:p>
              </w:tc>
              <w:tc>
                <w:tcPr>
                  <w:tcW w:w="415" w:type="pct"/>
                  <w:vMerge w:val="continue"/>
                  <w:shd w:val="clear" w:color="auto" w:fill="FFFFFF" w:themeFill="background1"/>
                  <w:noWrap w:val="0"/>
                  <w:vAlign w:val="center"/>
                </w:tcPr>
                <w:p w14:paraId="0601C5AA">
                  <w:pPr>
                    <w:pStyle w:val="107"/>
                    <w:keepNext w:val="0"/>
                    <w:keepLines w:val="0"/>
                    <w:suppressLineNumbers w:val="0"/>
                    <w:spacing w:before="0" w:beforeAutospacing="0" w:after="0" w:afterAutospacing="0" w:line="240" w:lineRule="auto"/>
                    <w:ind w:left="0" w:right="0" w:firstLine="0" w:firstLineChars="0"/>
                    <w:jc w:val="center"/>
                    <w:rPr>
                      <w:rFonts w:hint="eastAsia" w:eastAsia="宋体"/>
                      <w:color w:val="auto"/>
                      <w:sz w:val="21"/>
                      <w:highlight w:val="none"/>
                      <w:u w:val="none"/>
                      <w:shd w:val="clear" w:color="auto" w:fill="auto"/>
                      <w:lang w:val="en-US" w:eastAsia="zh-CN"/>
                    </w:rPr>
                  </w:pPr>
                </w:p>
              </w:tc>
              <w:tc>
                <w:tcPr>
                  <w:tcW w:w="468" w:type="pct"/>
                  <w:vMerge w:val="continue"/>
                  <w:shd w:val="clear" w:color="auto" w:fill="FFFFFF" w:themeFill="background1"/>
                  <w:noWrap w:val="0"/>
                  <w:vAlign w:val="center"/>
                </w:tcPr>
                <w:p w14:paraId="0AA8F927">
                  <w:pPr>
                    <w:pStyle w:val="107"/>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宋体"/>
                      <w:color w:val="auto"/>
                      <w:highlight w:val="none"/>
                      <w:u w:val="none"/>
                      <w:shd w:val="clear" w:color="auto" w:fill="auto"/>
                      <w:lang w:val="en-US" w:eastAsia="zh-CN"/>
                    </w:rPr>
                  </w:pPr>
                </w:p>
              </w:tc>
              <w:tc>
                <w:tcPr>
                  <w:tcW w:w="473" w:type="pct"/>
                  <w:vMerge w:val="continue"/>
                  <w:shd w:val="clear" w:color="auto" w:fill="FFFFFF" w:themeFill="background1"/>
                  <w:noWrap w:val="0"/>
                  <w:vAlign w:val="center"/>
                </w:tcPr>
                <w:p w14:paraId="0CB5CBF7">
                  <w:pPr>
                    <w:pStyle w:val="107"/>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宋体"/>
                      <w:color w:val="auto"/>
                      <w:highlight w:val="none"/>
                      <w:u w:val="none"/>
                      <w:shd w:val="clear" w:color="auto" w:fill="auto"/>
                      <w:lang w:val="en-US" w:eastAsia="zh-CN"/>
                    </w:rPr>
                  </w:pPr>
                </w:p>
              </w:tc>
              <w:tc>
                <w:tcPr>
                  <w:tcW w:w="260" w:type="pct"/>
                  <w:vMerge w:val="continue"/>
                  <w:shd w:val="clear" w:color="auto" w:fill="FFFFFF" w:themeFill="background1"/>
                  <w:noWrap w:val="0"/>
                  <w:vAlign w:val="center"/>
                </w:tcPr>
                <w:p w14:paraId="478A5008">
                  <w:pPr>
                    <w:pStyle w:val="107"/>
                    <w:keepNext w:val="0"/>
                    <w:keepLines w:val="0"/>
                    <w:suppressLineNumbers w:val="0"/>
                    <w:spacing w:before="0" w:beforeAutospacing="0" w:after="0" w:afterAutospacing="0" w:line="240" w:lineRule="auto"/>
                    <w:ind w:left="0" w:right="0" w:firstLine="0" w:firstLineChars="0"/>
                    <w:jc w:val="center"/>
                    <w:rPr>
                      <w:rFonts w:hint="default"/>
                      <w:color w:val="auto"/>
                      <w:sz w:val="21"/>
                      <w:highlight w:val="none"/>
                      <w:u w:val="none"/>
                      <w:shd w:val="clear" w:color="auto" w:fill="auto"/>
                    </w:rPr>
                  </w:pPr>
                </w:p>
              </w:tc>
              <w:tc>
                <w:tcPr>
                  <w:tcW w:w="336" w:type="pct"/>
                  <w:vMerge w:val="restart"/>
                  <w:shd w:val="clear" w:color="auto" w:fill="FFFFFF" w:themeFill="background1"/>
                  <w:noWrap w:val="0"/>
                  <w:vAlign w:val="center"/>
                </w:tcPr>
                <w:p w14:paraId="4D318C8E">
                  <w:pPr>
                    <w:pStyle w:val="107"/>
                    <w:keepNext w:val="0"/>
                    <w:keepLines w:val="0"/>
                    <w:suppressLineNumbers w:val="0"/>
                    <w:spacing w:before="0" w:beforeAutospacing="0" w:after="0" w:afterAutospacing="0" w:line="240" w:lineRule="auto"/>
                    <w:ind w:left="0" w:right="0" w:firstLine="0" w:firstLineChars="0"/>
                    <w:jc w:val="center"/>
                    <w:rPr>
                      <w:rFonts w:hint="default"/>
                      <w:color w:val="auto"/>
                      <w:sz w:val="21"/>
                      <w:highlight w:val="none"/>
                      <w:u w:val="none"/>
                      <w:shd w:val="clear" w:color="auto" w:fill="auto"/>
                    </w:rPr>
                  </w:pPr>
                  <w:r>
                    <w:rPr>
                      <w:rFonts w:hint="eastAsia"/>
                      <w:color w:val="auto"/>
                      <w:sz w:val="21"/>
                      <w:highlight w:val="none"/>
                      <w:u w:val="none"/>
                      <w:shd w:val="clear" w:color="auto" w:fill="auto"/>
                    </w:rPr>
                    <w:t>其中</w:t>
                  </w:r>
                </w:p>
              </w:tc>
              <w:tc>
                <w:tcPr>
                  <w:tcW w:w="975" w:type="pct"/>
                  <w:gridSpan w:val="3"/>
                  <w:shd w:val="clear" w:color="auto" w:fill="FFFFFF" w:themeFill="background1"/>
                  <w:noWrap w:val="0"/>
                  <w:vAlign w:val="center"/>
                </w:tcPr>
                <w:p w14:paraId="48455BE4">
                  <w:pPr>
                    <w:pStyle w:val="107"/>
                    <w:keepNext w:val="0"/>
                    <w:keepLines w:val="0"/>
                    <w:suppressLineNumbers w:val="0"/>
                    <w:spacing w:before="0" w:beforeAutospacing="0" w:after="0" w:afterAutospacing="0" w:line="240" w:lineRule="auto"/>
                    <w:ind w:left="0" w:right="0" w:firstLine="0" w:firstLineChars="0"/>
                    <w:jc w:val="center"/>
                    <w:rPr>
                      <w:rFonts w:hint="default"/>
                      <w:color w:val="auto"/>
                      <w:highlight w:val="none"/>
                      <w:shd w:val="clear" w:color="auto" w:fill="auto"/>
                    </w:rPr>
                  </w:pPr>
                  <w:r>
                    <w:rPr>
                      <w:rFonts w:hint="eastAsia"/>
                      <w:color w:val="auto"/>
                      <w:sz w:val="21"/>
                      <w:highlight w:val="none"/>
                      <w:u w:val="none"/>
                      <w:shd w:val="clear" w:color="auto" w:fill="auto"/>
                    </w:rPr>
                    <w:t>活性炭吸附</w:t>
                  </w:r>
                </w:p>
              </w:tc>
              <w:tc>
                <w:tcPr>
                  <w:tcW w:w="649" w:type="pct"/>
                  <w:shd w:val="clear" w:color="auto" w:fill="FFFFFF" w:themeFill="background1"/>
                  <w:noWrap w:val="0"/>
                  <w:vAlign w:val="center"/>
                </w:tcPr>
                <w:p w14:paraId="27756453">
                  <w:pPr>
                    <w:pStyle w:val="107"/>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宋体"/>
                      <w:color w:val="auto"/>
                      <w:highlight w:val="none"/>
                      <w:u w:val="none"/>
                      <w:shd w:val="clear" w:color="auto" w:fill="auto"/>
                      <w:lang w:val="en-US" w:eastAsia="zh-CN"/>
                    </w:rPr>
                  </w:pPr>
                  <w:r>
                    <w:rPr>
                      <w:rFonts w:hint="eastAsia"/>
                      <w:color w:val="auto"/>
                      <w:sz w:val="21"/>
                      <w:u w:val="none"/>
                      <w:shd w:val="clear" w:color="auto" w:fill="auto"/>
                      <w:lang w:val="en-US" w:eastAsia="zh-CN"/>
                    </w:rPr>
                    <w:t>83.19%</w:t>
                  </w:r>
                </w:p>
              </w:tc>
              <w:tc>
                <w:tcPr>
                  <w:tcW w:w="587" w:type="pct"/>
                  <w:shd w:val="clear" w:color="auto" w:fill="FFFFFF" w:themeFill="background1"/>
                  <w:noWrap w:val="0"/>
                  <w:vAlign w:val="center"/>
                </w:tcPr>
                <w:p w14:paraId="283E945D">
                  <w:pPr>
                    <w:pStyle w:val="107"/>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宋体"/>
                      <w:color w:val="auto"/>
                      <w:highlight w:val="none"/>
                      <w:u w:val="none"/>
                      <w:shd w:val="clear" w:color="auto" w:fill="auto"/>
                      <w:lang w:val="en-US" w:eastAsia="zh-CN"/>
                    </w:rPr>
                  </w:pPr>
                  <w:r>
                    <w:rPr>
                      <w:rFonts w:hint="eastAsia" w:cs="宋体"/>
                      <w:color w:val="auto"/>
                      <w:highlight w:val="none"/>
                      <w:u w:val="none"/>
                      <w:shd w:val="clear" w:color="auto" w:fill="auto"/>
                      <w:lang w:val="en-US" w:eastAsia="zh-CN"/>
                    </w:rPr>
                    <w:t>0.388</w:t>
                  </w:r>
                </w:p>
              </w:tc>
            </w:tr>
            <w:tr w14:paraId="7C7432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pct"/>
                  <w:gridSpan w:val="2"/>
                  <w:shd w:val="clear" w:color="auto" w:fill="FFFFFF" w:themeFill="background1"/>
                  <w:noWrap w:val="0"/>
                  <w:vAlign w:val="center"/>
                </w:tcPr>
                <w:p w14:paraId="0E2D018B">
                  <w:pPr>
                    <w:pStyle w:val="107"/>
                    <w:keepNext w:val="0"/>
                    <w:keepLines w:val="0"/>
                    <w:suppressLineNumbers w:val="0"/>
                    <w:spacing w:before="0" w:beforeAutospacing="0" w:after="0" w:afterAutospacing="0" w:line="240" w:lineRule="auto"/>
                    <w:ind w:left="0" w:right="0" w:firstLine="0" w:firstLineChars="0"/>
                    <w:jc w:val="center"/>
                    <w:rPr>
                      <w:rFonts w:hint="default"/>
                      <w:color w:val="auto"/>
                      <w:sz w:val="21"/>
                      <w:u w:val="none"/>
                      <w:shd w:val="clear" w:color="auto" w:fill="auto"/>
                    </w:rPr>
                  </w:pPr>
                  <w:r>
                    <w:rPr>
                      <w:rFonts w:hint="eastAsia" w:ascii="Times New Roman" w:hAnsi="Times New Roman" w:eastAsia="宋体" w:cs="Times New Roman"/>
                      <w:color w:val="auto"/>
                      <w:lang w:val="en-US" w:eastAsia="zh-CN"/>
                    </w:rPr>
                    <w:t>聚醚多元醇组合料</w:t>
                  </w:r>
                </w:p>
              </w:tc>
              <w:tc>
                <w:tcPr>
                  <w:tcW w:w="942" w:type="pct"/>
                  <w:gridSpan w:val="2"/>
                  <w:vMerge w:val="restart"/>
                  <w:shd w:val="clear" w:color="auto" w:fill="FFFFFF" w:themeFill="background1"/>
                  <w:noWrap w:val="0"/>
                  <w:vAlign w:val="center"/>
                </w:tcPr>
                <w:p w14:paraId="3E973948">
                  <w:pPr>
                    <w:pStyle w:val="107"/>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宋体"/>
                      <w:color w:val="auto"/>
                      <w:u w:val="none"/>
                      <w:shd w:val="clear" w:color="auto" w:fill="auto"/>
                      <w:lang w:val="en-US" w:eastAsia="zh-CN"/>
                    </w:rPr>
                  </w:pPr>
                  <w:r>
                    <w:rPr>
                      <w:rFonts w:hint="eastAsia" w:cs="宋体"/>
                      <w:color w:val="auto"/>
                      <w:u w:val="none"/>
                      <w:shd w:val="clear" w:color="auto" w:fill="auto"/>
                      <w:lang w:val="en-US" w:eastAsia="zh-CN"/>
                    </w:rPr>
                    <w:t>0.633</w:t>
                  </w:r>
                </w:p>
              </w:tc>
              <w:tc>
                <w:tcPr>
                  <w:tcW w:w="260" w:type="pct"/>
                  <w:vMerge w:val="continue"/>
                  <w:shd w:val="clear" w:color="auto" w:fill="FFFFFF" w:themeFill="background1"/>
                  <w:noWrap w:val="0"/>
                  <w:vAlign w:val="center"/>
                </w:tcPr>
                <w:p w14:paraId="3FB38DE9">
                  <w:pPr>
                    <w:pStyle w:val="107"/>
                    <w:keepNext w:val="0"/>
                    <w:keepLines w:val="0"/>
                    <w:suppressLineNumbers w:val="0"/>
                    <w:spacing w:before="0" w:beforeAutospacing="0" w:after="0" w:afterAutospacing="0" w:line="240" w:lineRule="auto"/>
                    <w:ind w:left="0" w:right="0" w:firstLine="0" w:firstLineChars="0"/>
                    <w:jc w:val="center"/>
                    <w:rPr>
                      <w:rFonts w:hint="default"/>
                      <w:color w:val="auto"/>
                      <w:sz w:val="21"/>
                      <w:u w:val="none"/>
                      <w:shd w:val="clear" w:color="auto" w:fill="auto"/>
                    </w:rPr>
                  </w:pPr>
                </w:p>
              </w:tc>
              <w:tc>
                <w:tcPr>
                  <w:tcW w:w="336" w:type="pct"/>
                  <w:vMerge w:val="continue"/>
                  <w:shd w:val="clear" w:color="auto" w:fill="FFFFFF" w:themeFill="background1"/>
                  <w:noWrap w:val="0"/>
                  <w:vAlign w:val="center"/>
                </w:tcPr>
                <w:p w14:paraId="4FB254E6">
                  <w:pPr>
                    <w:pStyle w:val="107"/>
                    <w:keepNext w:val="0"/>
                    <w:keepLines w:val="0"/>
                    <w:suppressLineNumbers w:val="0"/>
                    <w:spacing w:before="0" w:beforeAutospacing="0" w:after="0" w:afterAutospacing="0" w:line="240" w:lineRule="auto"/>
                    <w:ind w:left="0" w:right="0" w:firstLine="0" w:firstLineChars="0"/>
                    <w:jc w:val="center"/>
                    <w:rPr>
                      <w:rFonts w:hint="default"/>
                      <w:color w:val="auto"/>
                      <w:sz w:val="21"/>
                      <w:u w:val="none"/>
                      <w:shd w:val="clear" w:color="auto" w:fill="auto"/>
                    </w:rPr>
                  </w:pPr>
                </w:p>
              </w:tc>
              <w:tc>
                <w:tcPr>
                  <w:tcW w:w="975" w:type="pct"/>
                  <w:gridSpan w:val="3"/>
                  <w:vMerge w:val="restart"/>
                  <w:shd w:val="clear" w:color="auto" w:fill="FFFFFF" w:themeFill="background1"/>
                  <w:noWrap w:val="0"/>
                  <w:vAlign w:val="center"/>
                </w:tcPr>
                <w:p w14:paraId="5DDF7CD5">
                  <w:pPr>
                    <w:pStyle w:val="107"/>
                    <w:keepNext w:val="0"/>
                    <w:keepLines w:val="0"/>
                    <w:suppressLineNumbers w:val="0"/>
                    <w:spacing w:before="0" w:beforeAutospacing="0" w:after="0" w:afterAutospacing="0" w:line="240" w:lineRule="auto"/>
                    <w:ind w:left="0" w:right="0" w:firstLine="0" w:firstLineChars="0"/>
                    <w:jc w:val="center"/>
                    <w:rPr>
                      <w:rFonts w:hint="default"/>
                      <w:color w:val="auto"/>
                      <w:shd w:val="clear" w:color="auto" w:fill="auto"/>
                    </w:rPr>
                  </w:pPr>
                  <w:r>
                    <w:rPr>
                      <w:rFonts w:hint="eastAsia"/>
                      <w:color w:val="auto"/>
                      <w:sz w:val="21"/>
                      <w:u w:val="none"/>
                      <w:shd w:val="clear" w:color="auto" w:fill="auto"/>
                    </w:rPr>
                    <w:t>有组织排放</w:t>
                  </w:r>
                </w:p>
              </w:tc>
              <w:tc>
                <w:tcPr>
                  <w:tcW w:w="649" w:type="pct"/>
                  <w:vMerge w:val="restart"/>
                  <w:shd w:val="clear" w:color="auto" w:fill="FFFFFF" w:themeFill="background1"/>
                  <w:noWrap w:val="0"/>
                  <w:vAlign w:val="center"/>
                </w:tcPr>
                <w:p w14:paraId="1560B5C1">
                  <w:pPr>
                    <w:pStyle w:val="107"/>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宋体"/>
                      <w:color w:val="auto"/>
                      <w:u w:val="none"/>
                      <w:shd w:val="clear" w:color="auto" w:fill="auto"/>
                      <w:lang w:val="en-US" w:eastAsia="zh-CN"/>
                    </w:rPr>
                  </w:pPr>
                  <w:r>
                    <w:rPr>
                      <w:rFonts w:hint="eastAsia"/>
                      <w:color w:val="auto"/>
                      <w:sz w:val="21"/>
                      <w:u w:val="none"/>
                      <w:shd w:val="clear" w:color="auto" w:fill="auto"/>
                      <w:lang w:val="en-US" w:eastAsia="zh-CN"/>
                    </w:rPr>
                    <w:t>16.81%</w:t>
                  </w:r>
                </w:p>
              </w:tc>
              <w:tc>
                <w:tcPr>
                  <w:tcW w:w="587" w:type="pct"/>
                  <w:vMerge w:val="restart"/>
                  <w:shd w:val="clear" w:color="auto" w:fill="FFFFFF" w:themeFill="background1"/>
                  <w:noWrap w:val="0"/>
                  <w:vAlign w:val="center"/>
                </w:tcPr>
                <w:p w14:paraId="0D7F4067">
                  <w:pPr>
                    <w:pStyle w:val="107"/>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宋体"/>
                      <w:color w:val="auto"/>
                      <w:u w:val="none"/>
                      <w:shd w:val="clear" w:color="auto" w:fill="auto"/>
                      <w:lang w:val="en-US" w:eastAsia="zh-CN"/>
                    </w:rPr>
                  </w:pPr>
                  <w:r>
                    <w:rPr>
                      <w:rFonts w:hint="eastAsia" w:cs="宋体"/>
                      <w:color w:val="auto"/>
                      <w:u w:val="none"/>
                      <w:shd w:val="clear" w:color="auto" w:fill="auto"/>
                      <w:lang w:val="en-US" w:eastAsia="zh-CN"/>
                    </w:rPr>
                    <w:t>0.078</w:t>
                  </w:r>
                </w:p>
              </w:tc>
            </w:tr>
            <w:tr w14:paraId="39EE8C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 w:hRule="atLeast"/>
              </w:trPr>
              <w:tc>
                <w:tcPr>
                  <w:tcW w:w="1248" w:type="pct"/>
                  <w:gridSpan w:val="2"/>
                  <w:shd w:val="clear" w:color="auto" w:fill="FFFFFF" w:themeFill="background1"/>
                  <w:noWrap w:val="0"/>
                  <w:vAlign w:val="center"/>
                </w:tcPr>
                <w:p w14:paraId="7340D41B">
                  <w:pPr>
                    <w:pStyle w:val="107"/>
                    <w:keepNext w:val="0"/>
                    <w:keepLines w:val="0"/>
                    <w:suppressLineNumbers w:val="0"/>
                    <w:spacing w:before="0" w:beforeAutospacing="0" w:after="0" w:afterAutospacing="0" w:line="240" w:lineRule="auto"/>
                    <w:ind w:left="0" w:right="0" w:firstLine="0" w:firstLineChars="0"/>
                    <w:jc w:val="center"/>
                    <w:rPr>
                      <w:rFonts w:hint="default"/>
                      <w:color w:val="auto"/>
                      <w:sz w:val="21"/>
                      <w:u w:val="none"/>
                      <w:shd w:val="clear" w:color="auto" w:fill="auto"/>
                    </w:rPr>
                  </w:pPr>
                  <w:r>
                    <w:rPr>
                      <w:rFonts w:hint="eastAsia" w:ascii="Times New Roman" w:hAnsi="Times New Roman" w:eastAsia="宋体" w:cs="Times New Roman"/>
                      <w:color w:val="auto"/>
                      <w:lang w:val="en-US" w:eastAsia="zh-CN"/>
                    </w:rPr>
                    <w:t>改性</w:t>
                  </w:r>
                  <w:r>
                    <w:rPr>
                      <w:rFonts w:hint="default" w:ascii="Times New Roman" w:hAnsi="Times New Roman" w:eastAsia="宋体" w:cs="Times New Roman"/>
                      <w:color w:val="auto"/>
                      <w:lang w:val="en-US" w:eastAsia="zh-CN"/>
                    </w:rPr>
                    <w:t>MDI</w:t>
                  </w:r>
                </w:p>
              </w:tc>
              <w:tc>
                <w:tcPr>
                  <w:tcW w:w="942" w:type="pct"/>
                  <w:gridSpan w:val="2"/>
                  <w:vMerge w:val="continue"/>
                  <w:shd w:val="clear" w:color="auto" w:fill="FFFFFF" w:themeFill="background1"/>
                  <w:noWrap w:val="0"/>
                  <w:vAlign w:val="center"/>
                </w:tcPr>
                <w:p w14:paraId="2034408B">
                  <w:pPr>
                    <w:pStyle w:val="107"/>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宋体"/>
                      <w:color w:val="auto"/>
                      <w:u w:val="none"/>
                      <w:shd w:val="clear" w:color="auto" w:fill="auto"/>
                      <w:lang w:val="en-US" w:eastAsia="zh-CN"/>
                    </w:rPr>
                  </w:pPr>
                </w:p>
              </w:tc>
              <w:tc>
                <w:tcPr>
                  <w:tcW w:w="260" w:type="pct"/>
                  <w:vMerge w:val="continue"/>
                  <w:shd w:val="clear" w:color="auto" w:fill="FFFFFF" w:themeFill="background1"/>
                  <w:noWrap w:val="0"/>
                  <w:vAlign w:val="center"/>
                </w:tcPr>
                <w:p w14:paraId="0E3DB016">
                  <w:pPr>
                    <w:pStyle w:val="107"/>
                    <w:keepNext w:val="0"/>
                    <w:keepLines w:val="0"/>
                    <w:suppressLineNumbers w:val="0"/>
                    <w:spacing w:before="0" w:beforeAutospacing="0" w:after="0" w:afterAutospacing="0" w:line="240" w:lineRule="auto"/>
                    <w:ind w:left="0" w:right="0" w:firstLine="0" w:firstLineChars="0"/>
                    <w:jc w:val="center"/>
                    <w:rPr>
                      <w:rFonts w:hint="default"/>
                      <w:color w:val="auto"/>
                      <w:sz w:val="21"/>
                      <w:u w:val="none"/>
                      <w:shd w:val="clear" w:color="auto" w:fill="auto"/>
                    </w:rPr>
                  </w:pPr>
                </w:p>
              </w:tc>
              <w:tc>
                <w:tcPr>
                  <w:tcW w:w="336" w:type="pct"/>
                  <w:vMerge w:val="continue"/>
                  <w:shd w:val="clear" w:color="auto" w:fill="FFFFFF" w:themeFill="background1"/>
                  <w:noWrap w:val="0"/>
                  <w:vAlign w:val="center"/>
                </w:tcPr>
                <w:p w14:paraId="44A0A9AD">
                  <w:pPr>
                    <w:pStyle w:val="107"/>
                    <w:keepNext w:val="0"/>
                    <w:keepLines w:val="0"/>
                    <w:suppressLineNumbers w:val="0"/>
                    <w:spacing w:before="0" w:beforeAutospacing="0" w:after="0" w:afterAutospacing="0" w:line="240" w:lineRule="auto"/>
                    <w:ind w:left="0" w:right="0" w:firstLine="0" w:firstLineChars="0"/>
                    <w:jc w:val="center"/>
                    <w:rPr>
                      <w:rFonts w:hint="default"/>
                      <w:color w:val="auto"/>
                      <w:sz w:val="21"/>
                      <w:u w:val="none"/>
                      <w:shd w:val="clear" w:color="auto" w:fill="auto"/>
                    </w:rPr>
                  </w:pPr>
                </w:p>
              </w:tc>
              <w:tc>
                <w:tcPr>
                  <w:tcW w:w="975" w:type="pct"/>
                  <w:gridSpan w:val="3"/>
                  <w:vMerge w:val="continue"/>
                  <w:shd w:val="clear" w:color="auto" w:fill="FFFFFF" w:themeFill="background1"/>
                  <w:noWrap w:val="0"/>
                  <w:vAlign w:val="center"/>
                </w:tcPr>
                <w:p w14:paraId="49BE5792">
                  <w:pPr>
                    <w:pStyle w:val="107"/>
                    <w:keepNext w:val="0"/>
                    <w:keepLines w:val="0"/>
                    <w:suppressLineNumbers w:val="0"/>
                    <w:spacing w:before="0" w:beforeAutospacing="0" w:after="0" w:afterAutospacing="0" w:line="240" w:lineRule="auto"/>
                    <w:ind w:left="0" w:right="0" w:firstLine="0" w:firstLineChars="0"/>
                    <w:jc w:val="center"/>
                    <w:rPr>
                      <w:rFonts w:hint="default"/>
                      <w:color w:val="auto"/>
                      <w:shd w:val="clear" w:color="auto" w:fill="auto"/>
                    </w:rPr>
                  </w:pPr>
                </w:p>
              </w:tc>
              <w:tc>
                <w:tcPr>
                  <w:tcW w:w="649" w:type="pct"/>
                  <w:vMerge w:val="continue"/>
                  <w:shd w:val="clear" w:color="auto" w:fill="FFFFFF" w:themeFill="background1"/>
                  <w:noWrap w:val="0"/>
                  <w:vAlign w:val="center"/>
                </w:tcPr>
                <w:p w14:paraId="781A7086">
                  <w:pPr>
                    <w:pStyle w:val="107"/>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宋体"/>
                      <w:color w:val="auto"/>
                      <w:u w:val="none"/>
                      <w:shd w:val="clear" w:color="auto" w:fill="auto"/>
                      <w:lang w:val="en-US" w:eastAsia="zh-CN"/>
                    </w:rPr>
                  </w:pPr>
                </w:p>
              </w:tc>
              <w:tc>
                <w:tcPr>
                  <w:tcW w:w="587" w:type="pct"/>
                  <w:vMerge w:val="continue"/>
                  <w:shd w:val="clear" w:color="auto" w:fill="FFFFFF" w:themeFill="background1"/>
                  <w:noWrap w:val="0"/>
                  <w:vAlign w:val="center"/>
                </w:tcPr>
                <w:p w14:paraId="11EDF58D">
                  <w:pPr>
                    <w:pStyle w:val="107"/>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宋体"/>
                      <w:color w:val="auto"/>
                      <w:u w:val="none"/>
                      <w:shd w:val="clear" w:color="auto" w:fill="auto"/>
                      <w:lang w:val="en-US" w:eastAsia="zh-CN"/>
                    </w:rPr>
                  </w:pPr>
                </w:p>
              </w:tc>
            </w:tr>
            <w:tr w14:paraId="5988C8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 w:hRule="atLeast"/>
              </w:trPr>
              <w:tc>
                <w:tcPr>
                  <w:tcW w:w="1248" w:type="pct"/>
                  <w:gridSpan w:val="2"/>
                  <w:shd w:val="clear" w:color="auto" w:fill="FFFFFF" w:themeFill="background1"/>
                  <w:noWrap w:val="0"/>
                  <w:vAlign w:val="center"/>
                </w:tcPr>
                <w:p w14:paraId="730BB0ED">
                  <w:pPr>
                    <w:pStyle w:val="107"/>
                    <w:keepNext w:val="0"/>
                    <w:keepLines w:val="0"/>
                    <w:suppressLineNumbers w:val="0"/>
                    <w:spacing w:before="0" w:beforeAutospacing="0" w:after="0" w:afterAutospacing="0" w:line="240" w:lineRule="auto"/>
                    <w:ind w:left="0" w:right="0" w:firstLine="0" w:firstLineChars="0"/>
                    <w:jc w:val="center"/>
                    <w:rPr>
                      <w:rFonts w:hint="default"/>
                      <w:color w:val="auto"/>
                      <w:sz w:val="21"/>
                      <w:u w:val="none"/>
                      <w:shd w:val="clear" w:color="auto" w:fill="auto"/>
                    </w:rPr>
                  </w:pPr>
                </w:p>
              </w:tc>
              <w:tc>
                <w:tcPr>
                  <w:tcW w:w="942" w:type="pct"/>
                  <w:gridSpan w:val="2"/>
                  <w:shd w:val="clear" w:color="auto" w:fill="FFFFFF" w:themeFill="background1"/>
                  <w:noWrap w:val="0"/>
                  <w:vAlign w:val="center"/>
                </w:tcPr>
                <w:p w14:paraId="5E65AC15">
                  <w:pPr>
                    <w:pStyle w:val="107"/>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宋体"/>
                      <w:color w:val="auto"/>
                      <w:u w:val="none"/>
                      <w:shd w:val="clear" w:color="auto" w:fill="auto"/>
                      <w:lang w:val="en-US" w:eastAsia="zh-CN"/>
                    </w:rPr>
                  </w:pPr>
                </w:p>
              </w:tc>
              <w:tc>
                <w:tcPr>
                  <w:tcW w:w="260" w:type="pct"/>
                  <w:vMerge w:val="continue"/>
                  <w:shd w:val="clear" w:color="auto" w:fill="FFFFFF" w:themeFill="background1"/>
                  <w:noWrap w:val="0"/>
                  <w:vAlign w:val="center"/>
                </w:tcPr>
                <w:p w14:paraId="06397666">
                  <w:pPr>
                    <w:pStyle w:val="107"/>
                    <w:keepNext w:val="0"/>
                    <w:keepLines w:val="0"/>
                    <w:suppressLineNumbers w:val="0"/>
                    <w:spacing w:before="0" w:beforeAutospacing="0" w:after="0" w:afterAutospacing="0" w:line="240" w:lineRule="auto"/>
                    <w:ind w:left="0" w:right="0" w:firstLine="0" w:firstLineChars="0"/>
                    <w:jc w:val="center"/>
                    <w:rPr>
                      <w:rFonts w:hint="default"/>
                      <w:color w:val="auto"/>
                      <w:sz w:val="21"/>
                      <w:u w:val="none"/>
                      <w:shd w:val="clear" w:color="auto" w:fill="auto"/>
                    </w:rPr>
                  </w:pPr>
                </w:p>
              </w:tc>
              <w:tc>
                <w:tcPr>
                  <w:tcW w:w="1312" w:type="pct"/>
                  <w:gridSpan w:val="4"/>
                  <w:shd w:val="clear" w:color="auto" w:fill="FFFFFF" w:themeFill="background1"/>
                  <w:noWrap w:val="0"/>
                  <w:vAlign w:val="center"/>
                </w:tcPr>
                <w:p w14:paraId="53965969">
                  <w:pPr>
                    <w:pStyle w:val="107"/>
                    <w:keepNext w:val="0"/>
                    <w:keepLines w:val="0"/>
                    <w:suppressLineNumbers w:val="0"/>
                    <w:spacing w:before="0" w:beforeAutospacing="0" w:after="0" w:afterAutospacing="0" w:line="240" w:lineRule="auto"/>
                    <w:ind w:left="0" w:right="0" w:firstLine="0" w:firstLineChars="0"/>
                    <w:jc w:val="center"/>
                    <w:rPr>
                      <w:rFonts w:hint="default"/>
                      <w:color w:val="auto"/>
                      <w:sz w:val="21"/>
                      <w:u w:val="none"/>
                      <w:shd w:val="clear" w:color="auto" w:fill="auto"/>
                    </w:rPr>
                  </w:pPr>
                  <w:r>
                    <w:rPr>
                      <w:rFonts w:hint="eastAsia"/>
                      <w:color w:val="auto"/>
                      <w:sz w:val="21"/>
                      <w:u w:val="none"/>
                      <w:shd w:val="clear" w:color="auto" w:fill="auto"/>
                    </w:rPr>
                    <w:t>无组织排放</w:t>
                  </w:r>
                </w:p>
              </w:tc>
              <w:tc>
                <w:tcPr>
                  <w:tcW w:w="649" w:type="pct"/>
                  <w:shd w:val="clear" w:color="auto" w:fill="FFFFFF" w:themeFill="background1"/>
                  <w:noWrap w:val="0"/>
                  <w:vAlign w:val="center"/>
                </w:tcPr>
                <w:p w14:paraId="6ECC8E13">
                  <w:pPr>
                    <w:pStyle w:val="107"/>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宋体"/>
                      <w:color w:val="auto"/>
                      <w:u w:val="none"/>
                      <w:shd w:val="clear" w:color="auto" w:fill="auto"/>
                      <w:lang w:val="en-US" w:eastAsia="zh-CN"/>
                    </w:rPr>
                  </w:pPr>
                  <w:r>
                    <w:rPr>
                      <w:rFonts w:hint="eastAsia" w:cs="宋体"/>
                      <w:color w:val="auto"/>
                      <w:u w:val="none"/>
                      <w:shd w:val="clear" w:color="auto" w:fill="auto"/>
                      <w:lang w:val="en-US" w:eastAsia="zh-CN"/>
                    </w:rPr>
                    <w:t>35%</w:t>
                  </w:r>
                </w:p>
              </w:tc>
              <w:tc>
                <w:tcPr>
                  <w:tcW w:w="587" w:type="pct"/>
                  <w:shd w:val="clear" w:color="auto" w:fill="FFFFFF" w:themeFill="background1"/>
                  <w:noWrap w:val="0"/>
                  <w:vAlign w:val="center"/>
                </w:tcPr>
                <w:p w14:paraId="7CF1952D">
                  <w:pPr>
                    <w:pStyle w:val="107"/>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宋体"/>
                      <w:color w:val="auto"/>
                      <w:u w:val="none"/>
                      <w:shd w:val="clear" w:color="auto" w:fill="auto"/>
                      <w:lang w:val="en-US" w:eastAsia="zh-CN"/>
                    </w:rPr>
                  </w:pPr>
                  <w:r>
                    <w:rPr>
                      <w:rFonts w:hint="eastAsia" w:cs="宋体"/>
                      <w:color w:val="auto"/>
                      <w:u w:val="none"/>
                      <w:shd w:val="clear" w:color="auto" w:fill="auto"/>
                      <w:lang w:val="en-US" w:eastAsia="zh-CN"/>
                    </w:rPr>
                    <w:t>0.251</w:t>
                  </w:r>
                </w:p>
              </w:tc>
            </w:tr>
            <w:tr w14:paraId="7A4267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 w:hRule="atLeast"/>
              </w:trPr>
              <w:tc>
                <w:tcPr>
                  <w:tcW w:w="1248" w:type="pct"/>
                  <w:gridSpan w:val="2"/>
                  <w:shd w:val="clear" w:color="auto" w:fill="FFFFFF" w:themeFill="background1"/>
                  <w:noWrap w:val="0"/>
                  <w:vAlign w:val="center"/>
                </w:tcPr>
                <w:p w14:paraId="573625CA">
                  <w:pPr>
                    <w:pStyle w:val="107"/>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4"/>
                      <w:u w:val="none"/>
                      <w:shd w:val="clear" w:color="auto" w:fill="auto"/>
                      <w:lang w:val="en-US" w:eastAsia="zh-CN" w:bidi="ar-SA"/>
                    </w:rPr>
                  </w:pPr>
                  <w:r>
                    <w:rPr>
                      <w:rFonts w:hint="default"/>
                      <w:color w:val="auto"/>
                      <w:sz w:val="21"/>
                      <w:u w:val="none"/>
                      <w:shd w:val="clear" w:color="auto" w:fill="auto"/>
                    </w:rPr>
                    <w:t>合计</w:t>
                  </w:r>
                </w:p>
              </w:tc>
              <w:tc>
                <w:tcPr>
                  <w:tcW w:w="942" w:type="pct"/>
                  <w:gridSpan w:val="2"/>
                  <w:shd w:val="clear" w:color="auto" w:fill="FFFFFF" w:themeFill="background1"/>
                  <w:noWrap w:val="0"/>
                  <w:vAlign w:val="center"/>
                </w:tcPr>
                <w:p w14:paraId="6FED2A48">
                  <w:pPr>
                    <w:pStyle w:val="107"/>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宋体"/>
                      <w:color w:val="auto"/>
                      <w:kern w:val="2"/>
                      <w:sz w:val="21"/>
                      <w:szCs w:val="24"/>
                      <w:u w:val="none"/>
                      <w:shd w:val="clear" w:color="auto" w:fill="auto"/>
                      <w:lang w:val="en-US" w:eastAsia="zh-CN" w:bidi="ar-SA"/>
                    </w:rPr>
                  </w:pPr>
                  <w:r>
                    <w:rPr>
                      <w:rFonts w:hint="eastAsia" w:cs="宋体"/>
                      <w:color w:val="auto"/>
                      <w:u w:val="none"/>
                      <w:shd w:val="clear" w:color="auto" w:fill="auto"/>
                      <w:lang w:val="en-US" w:eastAsia="zh-CN"/>
                    </w:rPr>
                    <w:t>0.717</w:t>
                  </w:r>
                </w:p>
              </w:tc>
              <w:tc>
                <w:tcPr>
                  <w:tcW w:w="1572" w:type="pct"/>
                  <w:gridSpan w:val="5"/>
                  <w:shd w:val="clear" w:color="auto" w:fill="FFFFFF" w:themeFill="background1"/>
                  <w:noWrap w:val="0"/>
                  <w:vAlign w:val="center"/>
                </w:tcPr>
                <w:p w14:paraId="7F564944">
                  <w:pPr>
                    <w:pStyle w:val="107"/>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4"/>
                      <w:u w:val="none"/>
                      <w:shd w:val="clear" w:color="auto" w:fill="auto"/>
                      <w:lang w:val="en-US" w:eastAsia="zh-CN" w:bidi="ar-SA"/>
                    </w:rPr>
                  </w:pPr>
                  <w:r>
                    <w:rPr>
                      <w:rFonts w:hint="default"/>
                      <w:color w:val="auto"/>
                      <w:sz w:val="21"/>
                      <w:u w:val="none"/>
                      <w:shd w:val="clear" w:color="auto" w:fill="auto"/>
                    </w:rPr>
                    <w:t>合计</w:t>
                  </w:r>
                </w:p>
              </w:tc>
              <w:tc>
                <w:tcPr>
                  <w:tcW w:w="1236" w:type="pct"/>
                  <w:gridSpan w:val="2"/>
                  <w:shd w:val="clear" w:color="auto" w:fill="FFFFFF" w:themeFill="background1"/>
                  <w:noWrap w:val="0"/>
                  <w:vAlign w:val="center"/>
                </w:tcPr>
                <w:p w14:paraId="6E719607">
                  <w:pPr>
                    <w:pStyle w:val="107"/>
                    <w:keepNext w:val="0"/>
                    <w:keepLines w:val="0"/>
                    <w:suppressLineNumbers w:val="0"/>
                    <w:spacing w:before="0" w:beforeAutospacing="0" w:after="0" w:afterAutospacing="0" w:line="240" w:lineRule="auto"/>
                    <w:ind w:left="0" w:right="0" w:firstLine="0" w:firstLineChars="0"/>
                    <w:jc w:val="center"/>
                    <w:rPr>
                      <w:rFonts w:hint="default" w:cs="宋体"/>
                      <w:color w:val="auto"/>
                      <w:u w:val="none"/>
                      <w:shd w:val="clear" w:color="auto" w:fill="auto"/>
                      <w:lang w:val="en-US" w:eastAsia="zh-CN"/>
                    </w:rPr>
                  </w:pPr>
                  <w:r>
                    <w:rPr>
                      <w:rFonts w:hint="eastAsia" w:cs="宋体"/>
                      <w:color w:val="auto"/>
                      <w:u w:val="none"/>
                      <w:shd w:val="clear" w:color="auto" w:fill="auto"/>
                      <w:lang w:val="en-US" w:eastAsia="zh-CN"/>
                    </w:rPr>
                    <w:t>0.717</w:t>
                  </w:r>
                </w:p>
              </w:tc>
            </w:tr>
            <w:tr w14:paraId="4E5936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 w:hRule="atLeast"/>
              </w:trPr>
              <w:tc>
                <w:tcPr>
                  <w:tcW w:w="5000" w:type="pct"/>
                  <w:gridSpan w:val="11"/>
                  <w:shd w:val="clear" w:color="auto" w:fill="FFFFFF" w:themeFill="background1"/>
                  <w:noWrap w:val="0"/>
                  <w:vAlign w:val="center"/>
                </w:tcPr>
                <w:p w14:paraId="4A092E57">
                  <w:pPr>
                    <w:pStyle w:val="107"/>
                    <w:keepNext w:val="0"/>
                    <w:keepLines w:val="0"/>
                    <w:suppressLineNumbers w:val="0"/>
                    <w:spacing w:before="0" w:beforeAutospacing="0" w:after="0" w:afterAutospacing="0" w:line="240" w:lineRule="auto"/>
                    <w:ind w:left="0" w:right="0" w:firstLine="0" w:firstLineChars="0"/>
                    <w:jc w:val="center"/>
                    <w:rPr>
                      <w:rFonts w:hint="eastAsia" w:cs="宋体"/>
                      <w:color w:val="auto"/>
                      <w:highlight w:val="none"/>
                      <w:u w:val="none"/>
                      <w:shd w:val="clear" w:color="auto" w:fill="auto"/>
                      <w:lang w:val="en-US" w:eastAsia="zh-CN"/>
                    </w:rPr>
                  </w:pPr>
                  <w:r>
                    <w:rPr>
                      <w:rFonts w:hint="eastAsia" w:ascii="Times New Roman" w:hAnsi="Times New Roman" w:cs="Times New Roman"/>
                      <w:color w:val="auto"/>
                      <w:highlight w:val="none"/>
                      <w:lang w:val="en-US" w:eastAsia="zh-CN"/>
                    </w:rPr>
                    <w:t>PVC注塑有机废气</w:t>
                  </w:r>
                </w:p>
              </w:tc>
            </w:tr>
            <w:tr w14:paraId="05D57A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 w:hRule="atLeast"/>
              </w:trPr>
              <w:tc>
                <w:tcPr>
                  <w:tcW w:w="1248" w:type="pct"/>
                  <w:gridSpan w:val="2"/>
                  <w:shd w:val="clear" w:color="auto" w:fill="FFFFFF" w:themeFill="background1"/>
                  <w:noWrap w:val="0"/>
                  <w:vAlign w:val="center"/>
                </w:tcPr>
                <w:p w14:paraId="30BB4440">
                  <w:pPr>
                    <w:pStyle w:val="107"/>
                    <w:keepNext w:val="0"/>
                    <w:keepLines w:val="0"/>
                    <w:suppressLineNumbers w:val="0"/>
                    <w:spacing w:before="0" w:beforeAutospacing="0" w:after="0" w:afterAutospacing="0" w:line="240" w:lineRule="auto"/>
                    <w:ind w:left="0" w:right="0" w:firstLine="0" w:firstLineChars="0"/>
                    <w:jc w:val="center"/>
                    <w:rPr>
                      <w:rFonts w:hint="default" w:eastAsia="宋体"/>
                      <w:color w:val="auto"/>
                      <w:sz w:val="21"/>
                      <w:u w:val="none"/>
                      <w:shd w:val="clear" w:color="auto" w:fill="auto"/>
                      <w:lang w:val="en-US" w:eastAsia="zh-CN"/>
                    </w:rPr>
                  </w:pPr>
                  <w:r>
                    <w:rPr>
                      <w:rFonts w:hint="eastAsia"/>
                      <w:color w:val="auto"/>
                      <w:sz w:val="21"/>
                      <w:u w:val="none"/>
                      <w:shd w:val="clear" w:color="auto" w:fill="auto"/>
                      <w:lang w:val="en-US" w:eastAsia="zh-CN"/>
                    </w:rPr>
                    <w:t>PVC粉</w:t>
                  </w:r>
                </w:p>
              </w:tc>
              <w:tc>
                <w:tcPr>
                  <w:tcW w:w="942" w:type="pct"/>
                  <w:gridSpan w:val="2"/>
                  <w:vMerge w:val="restart"/>
                  <w:shd w:val="clear" w:color="auto" w:fill="FFFFFF" w:themeFill="background1"/>
                  <w:noWrap w:val="0"/>
                  <w:vAlign w:val="center"/>
                </w:tcPr>
                <w:p w14:paraId="766F8E31">
                  <w:pPr>
                    <w:pStyle w:val="107"/>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宋体"/>
                      <w:color w:val="auto"/>
                      <w:u w:val="none"/>
                      <w:shd w:val="clear" w:color="auto" w:fill="auto"/>
                      <w:lang w:val="en-US" w:eastAsia="zh-CN"/>
                    </w:rPr>
                  </w:pPr>
                  <w:r>
                    <w:rPr>
                      <w:rFonts w:hint="eastAsia" w:cs="宋体"/>
                      <w:color w:val="auto"/>
                      <w:u w:val="none"/>
                      <w:shd w:val="clear" w:color="auto" w:fill="auto"/>
                      <w:lang w:val="en-US" w:eastAsia="zh-CN"/>
                    </w:rPr>
                    <w:t>1.175</w:t>
                  </w:r>
                </w:p>
              </w:tc>
              <w:tc>
                <w:tcPr>
                  <w:tcW w:w="260" w:type="pct"/>
                  <w:vMerge w:val="restart"/>
                  <w:shd w:val="clear" w:color="auto" w:fill="FFFFFF" w:themeFill="background1"/>
                  <w:noWrap w:val="0"/>
                  <w:vAlign w:val="center"/>
                </w:tcPr>
                <w:p w14:paraId="0A835691">
                  <w:pPr>
                    <w:pStyle w:val="107"/>
                    <w:keepNext w:val="0"/>
                    <w:keepLines w:val="0"/>
                    <w:suppressLineNumbers w:val="0"/>
                    <w:spacing w:before="0" w:beforeAutospacing="0" w:after="0" w:afterAutospacing="0" w:line="240" w:lineRule="auto"/>
                    <w:ind w:left="0" w:right="0" w:firstLine="0" w:firstLineChars="0"/>
                    <w:jc w:val="center"/>
                    <w:rPr>
                      <w:rFonts w:hint="default"/>
                      <w:color w:val="auto"/>
                      <w:sz w:val="21"/>
                      <w:u w:val="none"/>
                      <w:shd w:val="clear" w:color="auto" w:fill="auto"/>
                    </w:rPr>
                  </w:pPr>
                  <w:r>
                    <w:rPr>
                      <w:rFonts w:hint="eastAsia"/>
                      <w:color w:val="auto"/>
                      <w:sz w:val="21"/>
                      <w:u w:val="none"/>
                      <w:shd w:val="clear" w:color="auto" w:fill="auto"/>
                    </w:rPr>
                    <w:t>挥发量</w:t>
                  </w:r>
                </w:p>
              </w:tc>
              <w:tc>
                <w:tcPr>
                  <w:tcW w:w="1312" w:type="pct"/>
                  <w:gridSpan w:val="4"/>
                  <w:shd w:val="clear" w:color="auto" w:fill="FFFFFF" w:themeFill="background1"/>
                  <w:noWrap w:val="0"/>
                  <w:vAlign w:val="center"/>
                </w:tcPr>
                <w:p w14:paraId="106DABC5">
                  <w:pPr>
                    <w:pStyle w:val="107"/>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4"/>
                      <w:u w:val="none"/>
                      <w:shd w:val="clear" w:color="auto" w:fill="auto"/>
                      <w:lang w:val="en-US" w:eastAsia="zh-CN" w:bidi="ar-SA"/>
                    </w:rPr>
                  </w:pPr>
                  <w:r>
                    <w:rPr>
                      <w:rFonts w:hint="eastAsia"/>
                      <w:color w:val="auto"/>
                      <w:sz w:val="21"/>
                      <w:u w:val="none"/>
                      <w:shd w:val="clear" w:color="auto" w:fill="auto"/>
                    </w:rPr>
                    <w:t>有组织收集</w:t>
                  </w:r>
                </w:p>
              </w:tc>
              <w:tc>
                <w:tcPr>
                  <w:tcW w:w="649" w:type="pct"/>
                  <w:shd w:val="clear" w:color="auto" w:fill="FFFFFF" w:themeFill="background1"/>
                  <w:noWrap w:val="0"/>
                  <w:vAlign w:val="center"/>
                </w:tcPr>
                <w:p w14:paraId="0C3EC6C3">
                  <w:pPr>
                    <w:pStyle w:val="107"/>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宋体"/>
                      <w:color w:val="auto"/>
                      <w:kern w:val="2"/>
                      <w:sz w:val="21"/>
                      <w:szCs w:val="24"/>
                      <w:u w:val="none"/>
                      <w:shd w:val="clear" w:color="auto" w:fill="auto"/>
                      <w:lang w:val="en-US" w:eastAsia="zh-CN" w:bidi="ar-SA"/>
                    </w:rPr>
                  </w:pPr>
                  <w:r>
                    <w:rPr>
                      <w:rFonts w:hint="eastAsia" w:cs="宋体"/>
                      <w:color w:val="auto"/>
                      <w:u w:val="none"/>
                      <w:shd w:val="clear" w:color="auto" w:fill="auto"/>
                      <w:lang w:val="en-US" w:eastAsia="zh-CN"/>
                    </w:rPr>
                    <w:t>65%</w:t>
                  </w:r>
                </w:p>
              </w:tc>
              <w:tc>
                <w:tcPr>
                  <w:tcW w:w="587" w:type="pct"/>
                  <w:shd w:val="clear" w:color="auto" w:fill="FFFFFF" w:themeFill="background1"/>
                  <w:noWrap w:val="0"/>
                  <w:vAlign w:val="center"/>
                </w:tcPr>
                <w:p w14:paraId="73D2E738">
                  <w:pPr>
                    <w:pStyle w:val="107"/>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宋体"/>
                      <w:color w:val="auto"/>
                      <w:kern w:val="2"/>
                      <w:sz w:val="21"/>
                      <w:szCs w:val="24"/>
                      <w:u w:val="none"/>
                      <w:shd w:val="clear" w:color="auto" w:fill="auto"/>
                      <w:lang w:val="en-US" w:eastAsia="zh-CN" w:bidi="ar-SA"/>
                    </w:rPr>
                  </w:pPr>
                  <w:r>
                    <w:rPr>
                      <w:rFonts w:hint="eastAsia" w:cs="宋体"/>
                      <w:color w:val="auto"/>
                      <w:kern w:val="2"/>
                      <w:sz w:val="21"/>
                      <w:szCs w:val="24"/>
                      <w:u w:val="none"/>
                      <w:shd w:val="clear" w:color="auto" w:fill="auto"/>
                      <w:lang w:val="en-US" w:eastAsia="zh-CN" w:bidi="ar-SA"/>
                    </w:rPr>
                    <w:t>0.764</w:t>
                  </w:r>
                </w:p>
              </w:tc>
            </w:tr>
            <w:tr w14:paraId="1FE23F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 w:hRule="atLeast"/>
              </w:trPr>
              <w:tc>
                <w:tcPr>
                  <w:tcW w:w="1248" w:type="pct"/>
                  <w:gridSpan w:val="2"/>
                  <w:shd w:val="clear" w:color="auto" w:fill="FFFFFF" w:themeFill="background1"/>
                  <w:noWrap w:val="0"/>
                  <w:vAlign w:val="center"/>
                </w:tcPr>
                <w:p w14:paraId="09716F8D">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eastAsia="宋体"/>
                      <w:color w:val="auto"/>
                      <w:kern w:val="0"/>
                      <w:sz w:val="21"/>
                      <w:szCs w:val="21"/>
                      <w:u w:val="none"/>
                      <w:lang w:val="en-US" w:eastAsia="zh-CN"/>
                    </w:rPr>
                    <w:t>邻苯二甲酸二丁酯</w:t>
                  </w:r>
                  <w:r>
                    <w:rPr>
                      <w:rFonts w:hint="eastAsia"/>
                      <w:color w:val="auto"/>
                      <w:kern w:val="0"/>
                      <w:sz w:val="21"/>
                      <w:szCs w:val="21"/>
                      <w:u w:val="none"/>
                      <w:lang w:val="en-US" w:eastAsia="zh-CN"/>
                    </w:rPr>
                    <w:t>（增塑剂）</w:t>
                  </w:r>
                </w:p>
              </w:tc>
              <w:tc>
                <w:tcPr>
                  <w:tcW w:w="942" w:type="pct"/>
                  <w:gridSpan w:val="2"/>
                  <w:vMerge w:val="continue"/>
                  <w:shd w:val="clear" w:color="auto" w:fill="FFFFFF" w:themeFill="background1"/>
                  <w:noWrap w:val="0"/>
                  <w:vAlign w:val="center"/>
                </w:tcPr>
                <w:p w14:paraId="328320E7">
                  <w:pPr>
                    <w:pStyle w:val="107"/>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宋体"/>
                      <w:color w:val="auto"/>
                      <w:u w:val="none"/>
                      <w:shd w:val="clear" w:color="auto" w:fill="auto"/>
                      <w:lang w:val="en-US" w:eastAsia="zh-CN"/>
                    </w:rPr>
                  </w:pPr>
                </w:p>
              </w:tc>
              <w:tc>
                <w:tcPr>
                  <w:tcW w:w="260" w:type="pct"/>
                  <w:vMerge w:val="continue"/>
                  <w:shd w:val="clear" w:color="auto" w:fill="FFFFFF" w:themeFill="background1"/>
                  <w:noWrap w:val="0"/>
                  <w:vAlign w:val="center"/>
                </w:tcPr>
                <w:p w14:paraId="15618DB5">
                  <w:pPr>
                    <w:pStyle w:val="107"/>
                    <w:keepNext w:val="0"/>
                    <w:keepLines w:val="0"/>
                    <w:suppressLineNumbers w:val="0"/>
                    <w:spacing w:before="0" w:beforeAutospacing="0" w:after="0" w:afterAutospacing="0" w:line="240" w:lineRule="auto"/>
                    <w:ind w:left="0" w:right="0" w:firstLine="0" w:firstLineChars="0"/>
                    <w:jc w:val="center"/>
                    <w:rPr>
                      <w:rFonts w:hint="default"/>
                      <w:color w:val="auto"/>
                      <w:sz w:val="21"/>
                      <w:u w:val="none"/>
                      <w:shd w:val="clear" w:color="auto" w:fill="auto"/>
                    </w:rPr>
                  </w:pPr>
                </w:p>
              </w:tc>
              <w:tc>
                <w:tcPr>
                  <w:tcW w:w="336" w:type="pct"/>
                  <w:vMerge w:val="restart"/>
                  <w:shd w:val="clear" w:color="auto" w:fill="FFFFFF" w:themeFill="background1"/>
                  <w:noWrap w:val="0"/>
                  <w:vAlign w:val="center"/>
                </w:tcPr>
                <w:p w14:paraId="29337C07">
                  <w:pPr>
                    <w:pStyle w:val="107"/>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4"/>
                      <w:u w:val="none"/>
                      <w:shd w:val="clear" w:color="auto" w:fill="auto"/>
                      <w:lang w:val="en-US" w:eastAsia="zh-CN" w:bidi="ar-SA"/>
                    </w:rPr>
                  </w:pPr>
                  <w:r>
                    <w:rPr>
                      <w:rFonts w:hint="eastAsia"/>
                      <w:color w:val="auto"/>
                      <w:sz w:val="21"/>
                      <w:u w:val="none"/>
                      <w:shd w:val="clear" w:color="auto" w:fill="auto"/>
                    </w:rPr>
                    <w:t>其中</w:t>
                  </w:r>
                </w:p>
              </w:tc>
              <w:tc>
                <w:tcPr>
                  <w:tcW w:w="975" w:type="pct"/>
                  <w:gridSpan w:val="3"/>
                  <w:shd w:val="clear" w:color="auto" w:fill="FFFFFF" w:themeFill="background1"/>
                  <w:noWrap w:val="0"/>
                  <w:vAlign w:val="center"/>
                </w:tcPr>
                <w:p w14:paraId="084CFBF1">
                  <w:pPr>
                    <w:pStyle w:val="107"/>
                    <w:keepNext w:val="0"/>
                    <w:keepLines w:val="0"/>
                    <w:suppressLineNumbers w:val="0"/>
                    <w:spacing w:before="0" w:beforeAutospacing="0" w:after="0" w:afterAutospacing="0" w:line="240" w:lineRule="auto"/>
                    <w:ind w:left="0" w:right="0" w:firstLine="0" w:firstLineChars="0"/>
                    <w:jc w:val="center"/>
                    <w:rPr>
                      <w:rFonts w:hint="eastAsia"/>
                      <w:color w:val="auto"/>
                      <w:sz w:val="21"/>
                      <w:u w:val="none"/>
                      <w:shd w:val="clear" w:color="auto" w:fill="auto"/>
                    </w:rPr>
                  </w:pPr>
                  <w:r>
                    <w:rPr>
                      <w:rFonts w:hint="eastAsia"/>
                      <w:color w:val="auto"/>
                      <w:sz w:val="21"/>
                      <w:u w:val="none"/>
                      <w:shd w:val="clear" w:color="auto" w:fill="auto"/>
                    </w:rPr>
                    <w:t>活性炭吸附</w:t>
                  </w:r>
                </w:p>
              </w:tc>
              <w:tc>
                <w:tcPr>
                  <w:tcW w:w="649" w:type="pct"/>
                  <w:shd w:val="clear" w:color="auto" w:fill="FFFFFF" w:themeFill="background1"/>
                  <w:noWrap w:val="0"/>
                  <w:vAlign w:val="center"/>
                </w:tcPr>
                <w:p w14:paraId="1F325963">
                  <w:pPr>
                    <w:pStyle w:val="107"/>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4"/>
                      <w:shd w:val="clear" w:color="auto" w:fill="auto"/>
                      <w:lang w:val="en-US" w:eastAsia="zh-CN" w:bidi="ar-SA"/>
                    </w:rPr>
                  </w:pPr>
                  <w:r>
                    <w:rPr>
                      <w:rFonts w:hint="eastAsia"/>
                      <w:color w:val="auto"/>
                      <w:sz w:val="21"/>
                      <w:u w:val="none"/>
                      <w:shd w:val="clear" w:color="auto" w:fill="auto"/>
                      <w:lang w:val="en-US" w:eastAsia="zh-CN"/>
                    </w:rPr>
                    <w:t>83.19%</w:t>
                  </w:r>
                </w:p>
              </w:tc>
              <w:tc>
                <w:tcPr>
                  <w:tcW w:w="587" w:type="pct"/>
                  <w:shd w:val="clear" w:color="auto" w:fill="FFFFFF" w:themeFill="background1"/>
                  <w:noWrap w:val="0"/>
                  <w:vAlign w:val="center"/>
                </w:tcPr>
                <w:p w14:paraId="598442DB">
                  <w:pPr>
                    <w:pStyle w:val="107"/>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宋体"/>
                      <w:color w:val="auto"/>
                      <w:kern w:val="2"/>
                      <w:sz w:val="21"/>
                      <w:szCs w:val="24"/>
                      <w:u w:val="none"/>
                      <w:shd w:val="clear" w:color="auto" w:fill="auto"/>
                      <w:lang w:val="en-US" w:eastAsia="zh-CN" w:bidi="ar-SA"/>
                    </w:rPr>
                  </w:pPr>
                  <w:r>
                    <w:rPr>
                      <w:rFonts w:hint="eastAsia" w:cs="Times New Roman"/>
                      <w:color w:val="auto"/>
                      <w:kern w:val="2"/>
                      <w:sz w:val="21"/>
                      <w:szCs w:val="24"/>
                      <w:shd w:val="clear" w:color="auto" w:fill="auto"/>
                      <w:lang w:val="en-US" w:eastAsia="zh-CN" w:bidi="ar-SA"/>
                    </w:rPr>
                    <w:t>0.636</w:t>
                  </w:r>
                </w:p>
              </w:tc>
            </w:tr>
            <w:tr w14:paraId="7DCA13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 w:hRule="atLeast"/>
              </w:trPr>
              <w:tc>
                <w:tcPr>
                  <w:tcW w:w="1248" w:type="pct"/>
                  <w:gridSpan w:val="2"/>
                  <w:shd w:val="clear" w:color="auto" w:fill="FFFFFF" w:themeFill="background1"/>
                  <w:noWrap w:val="0"/>
                  <w:vAlign w:val="center"/>
                </w:tcPr>
                <w:p w14:paraId="3D6BE186">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ascii="Times New Roman" w:hAnsi="Times New Roman" w:eastAsia="宋体" w:cs="Times New Roman"/>
                      <w:color w:val="auto"/>
                      <w:kern w:val="0"/>
                      <w:sz w:val="21"/>
                      <w:szCs w:val="21"/>
                      <w:u w:val="none"/>
                      <w:lang w:val="en-US" w:eastAsia="zh-CN"/>
                    </w:rPr>
                    <w:t>碳酸钙</w:t>
                  </w:r>
                </w:p>
              </w:tc>
              <w:tc>
                <w:tcPr>
                  <w:tcW w:w="942" w:type="pct"/>
                  <w:gridSpan w:val="2"/>
                  <w:vMerge w:val="continue"/>
                  <w:shd w:val="clear" w:color="auto" w:fill="FFFFFF" w:themeFill="background1"/>
                  <w:noWrap w:val="0"/>
                  <w:vAlign w:val="center"/>
                </w:tcPr>
                <w:p w14:paraId="0DE7D9B4">
                  <w:pPr>
                    <w:pStyle w:val="107"/>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宋体"/>
                      <w:color w:val="auto"/>
                      <w:u w:val="none"/>
                      <w:shd w:val="clear" w:color="auto" w:fill="auto"/>
                      <w:lang w:val="en-US" w:eastAsia="zh-CN"/>
                    </w:rPr>
                  </w:pPr>
                </w:p>
              </w:tc>
              <w:tc>
                <w:tcPr>
                  <w:tcW w:w="260" w:type="pct"/>
                  <w:vMerge w:val="continue"/>
                  <w:shd w:val="clear" w:color="auto" w:fill="FFFFFF" w:themeFill="background1"/>
                  <w:noWrap w:val="0"/>
                  <w:vAlign w:val="center"/>
                </w:tcPr>
                <w:p w14:paraId="1439E699">
                  <w:pPr>
                    <w:pStyle w:val="107"/>
                    <w:keepNext w:val="0"/>
                    <w:keepLines w:val="0"/>
                    <w:suppressLineNumbers w:val="0"/>
                    <w:spacing w:before="0" w:beforeAutospacing="0" w:after="0" w:afterAutospacing="0" w:line="240" w:lineRule="auto"/>
                    <w:ind w:left="0" w:right="0" w:firstLine="0" w:firstLineChars="0"/>
                    <w:jc w:val="center"/>
                    <w:rPr>
                      <w:rFonts w:hint="default"/>
                      <w:color w:val="auto"/>
                      <w:sz w:val="21"/>
                      <w:u w:val="none"/>
                      <w:shd w:val="clear" w:color="auto" w:fill="auto"/>
                    </w:rPr>
                  </w:pPr>
                </w:p>
              </w:tc>
              <w:tc>
                <w:tcPr>
                  <w:tcW w:w="336" w:type="pct"/>
                  <w:vMerge w:val="continue"/>
                  <w:shd w:val="clear" w:color="auto" w:fill="FFFFFF" w:themeFill="background1"/>
                  <w:noWrap w:val="0"/>
                  <w:vAlign w:val="center"/>
                </w:tcPr>
                <w:p w14:paraId="63219ECD">
                  <w:pPr>
                    <w:pStyle w:val="107"/>
                    <w:keepNext w:val="0"/>
                    <w:keepLines w:val="0"/>
                    <w:suppressLineNumbers w:val="0"/>
                    <w:spacing w:before="0" w:beforeAutospacing="0" w:after="0" w:afterAutospacing="0" w:line="240" w:lineRule="auto"/>
                    <w:ind w:left="0" w:right="0" w:firstLine="0" w:firstLineChars="0"/>
                    <w:jc w:val="center"/>
                    <w:rPr>
                      <w:rFonts w:hint="eastAsia"/>
                      <w:color w:val="auto"/>
                      <w:sz w:val="21"/>
                      <w:u w:val="none"/>
                      <w:shd w:val="clear" w:color="auto" w:fill="auto"/>
                    </w:rPr>
                  </w:pPr>
                </w:p>
              </w:tc>
              <w:tc>
                <w:tcPr>
                  <w:tcW w:w="975" w:type="pct"/>
                  <w:gridSpan w:val="3"/>
                  <w:shd w:val="clear" w:color="auto" w:fill="FFFFFF" w:themeFill="background1"/>
                  <w:noWrap w:val="0"/>
                  <w:vAlign w:val="center"/>
                </w:tcPr>
                <w:p w14:paraId="29B03894">
                  <w:pPr>
                    <w:pStyle w:val="107"/>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4"/>
                      <w:shd w:val="clear" w:color="auto" w:fill="auto"/>
                      <w:lang w:val="en-US" w:eastAsia="zh-CN" w:bidi="ar-SA"/>
                    </w:rPr>
                  </w:pPr>
                  <w:r>
                    <w:rPr>
                      <w:rFonts w:hint="eastAsia"/>
                      <w:color w:val="auto"/>
                      <w:sz w:val="21"/>
                      <w:u w:val="none"/>
                      <w:shd w:val="clear" w:color="auto" w:fill="auto"/>
                    </w:rPr>
                    <w:t>有组织排放</w:t>
                  </w:r>
                </w:p>
              </w:tc>
              <w:tc>
                <w:tcPr>
                  <w:tcW w:w="649" w:type="pct"/>
                  <w:shd w:val="clear" w:color="auto" w:fill="FFFFFF" w:themeFill="background1"/>
                  <w:noWrap w:val="0"/>
                  <w:vAlign w:val="center"/>
                </w:tcPr>
                <w:p w14:paraId="5A9D5E65">
                  <w:pPr>
                    <w:pStyle w:val="107"/>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4"/>
                      <w:shd w:val="clear" w:color="auto" w:fill="auto"/>
                      <w:lang w:val="en-US" w:eastAsia="zh-CN" w:bidi="ar-SA"/>
                    </w:rPr>
                  </w:pPr>
                  <w:r>
                    <w:rPr>
                      <w:rFonts w:hint="eastAsia"/>
                      <w:color w:val="auto"/>
                      <w:sz w:val="21"/>
                      <w:u w:val="none"/>
                      <w:shd w:val="clear" w:color="auto" w:fill="auto"/>
                      <w:lang w:val="en-US" w:eastAsia="zh-CN"/>
                    </w:rPr>
                    <w:t>16.81%</w:t>
                  </w:r>
                </w:p>
              </w:tc>
              <w:tc>
                <w:tcPr>
                  <w:tcW w:w="587" w:type="pct"/>
                  <w:shd w:val="clear" w:color="auto" w:fill="FFFFFF" w:themeFill="background1"/>
                  <w:noWrap w:val="0"/>
                  <w:vAlign w:val="center"/>
                </w:tcPr>
                <w:p w14:paraId="7D66F853">
                  <w:pPr>
                    <w:pStyle w:val="107"/>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宋体"/>
                      <w:color w:val="auto"/>
                      <w:kern w:val="2"/>
                      <w:sz w:val="21"/>
                      <w:szCs w:val="24"/>
                      <w:u w:val="none"/>
                      <w:shd w:val="clear" w:color="auto" w:fill="auto"/>
                      <w:lang w:val="en-US" w:eastAsia="zh-CN" w:bidi="ar-SA"/>
                    </w:rPr>
                  </w:pPr>
                  <w:r>
                    <w:rPr>
                      <w:rFonts w:hint="eastAsia" w:cs="Times New Roman"/>
                      <w:color w:val="auto"/>
                      <w:kern w:val="2"/>
                      <w:sz w:val="21"/>
                      <w:szCs w:val="24"/>
                      <w:shd w:val="clear" w:color="auto" w:fill="auto"/>
                      <w:lang w:val="en-US" w:eastAsia="zh-CN" w:bidi="ar-SA"/>
                    </w:rPr>
                    <w:t>0.128</w:t>
                  </w:r>
                </w:p>
              </w:tc>
            </w:tr>
            <w:tr w14:paraId="339149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 w:hRule="atLeast"/>
              </w:trPr>
              <w:tc>
                <w:tcPr>
                  <w:tcW w:w="1248" w:type="pct"/>
                  <w:gridSpan w:val="2"/>
                  <w:shd w:val="clear" w:color="auto" w:fill="FFFFFF" w:themeFill="background1"/>
                  <w:noWrap w:val="0"/>
                  <w:vAlign w:val="center"/>
                </w:tcPr>
                <w:p w14:paraId="12C5D17F">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ascii="Times New Roman" w:hAnsi="Times New Roman" w:eastAsia="宋体" w:cs="Times New Roman"/>
                      <w:color w:val="auto"/>
                      <w:kern w:val="0"/>
                      <w:sz w:val="21"/>
                      <w:szCs w:val="21"/>
                      <w:u w:val="none"/>
                      <w:lang w:val="en-US" w:eastAsia="zh-CN"/>
                    </w:rPr>
                    <w:t>钛白粉</w:t>
                  </w:r>
                </w:p>
              </w:tc>
              <w:tc>
                <w:tcPr>
                  <w:tcW w:w="942" w:type="pct"/>
                  <w:gridSpan w:val="2"/>
                  <w:vMerge w:val="continue"/>
                  <w:shd w:val="clear" w:color="auto" w:fill="FFFFFF" w:themeFill="background1"/>
                  <w:noWrap w:val="0"/>
                  <w:vAlign w:val="center"/>
                </w:tcPr>
                <w:p w14:paraId="79C500B3">
                  <w:pPr>
                    <w:pStyle w:val="107"/>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宋体"/>
                      <w:color w:val="auto"/>
                      <w:u w:val="none"/>
                      <w:shd w:val="clear" w:color="auto" w:fill="auto"/>
                      <w:lang w:val="en-US" w:eastAsia="zh-CN"/>
                    </w:rPr>
                  </w:pPr>
                </w:p>
              </w:tc>
              <w:tc>
                <w:tcPr>
                  <w:tcW w:w="260" w:type="pct"/>
                  <w:vMerge w:val="continue"/>
                  <w:shd w:val="clear" w:color="auto" w:fill="FFFFFF" w:themeFill="background1"/>
                  <w:noWrap w:val="0"/>
                  <w:vAlign w:val="center"/>
                </w:tcPr>
                <w:p w14:paraId="11DEDB12">
                  <w:pPr>
                    <w:pStyle w:val="107"/>
                    <w:keepNext w:val="0"/>
                    <w:keepLines w:val="0"/>
                    <w:suppressLineNumbers w:val="0"/>
                    <w:spacing w:before="0" w:beforeAutospacing="0" w:after="0" w:afterAutospacing="0" w:line="240" w:lineRule="auto"/>
                    <w:ind w:left="0" w:right="0" w:firstLine="0" w:firstLineChars="0"/>
                    <w:jc w:val="center"/>
                    <w:rPr>
                      <w:rFonts w:hint="default"/>
                      <w:color w:val="auto"/>
                      <w:sz w:val="21"/>
                      <w:u w:val="none"/>
                      <w:shd w:val="clear" w:color="auto" w:fill="auto"/>
                    </w:rPr>
                  </w:pPr>
                </w:p>
              </w:tc>
              <w:tc>
                <w:tcPr>
                  <w:tcW w:w="1312" w:type="pct"/>
                  <w:gridSpan w:val="4"/>
                  <w:shd w:val="clear" w:color="auto" w:fill="FFFFFF" w:themeFill="background1"/>
                  <w:noWrap w:val="0"/>
                  <w:vAlign w:val="center"/>
                </w:tcPr>
                <w:p w14:paraId="6A6B9B0C">
                  <w:pPr>
                    <w:pStyle w:val="107"/>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4"/>
                      <w:u w:val="none"/>
                      <w:shd w:val="clear" w:color="auto" w:fill="auto"/>
                      <w:lang w:val="en-US" w:eastAsia="zh-CN" w:bidi="ar-SA"/>
                    </w:rPr>
                  </w:pPr>
                  <w:r>
                    <w:rPr>
                      <w:rFonts w:hint="eastAsia"/>
                      <w:color w:val="auto"/>
                      <w:sz w:val="21"/>
                      <w:u w:val="none"/>
                      <w:shd w:val="clear" w:color="auto" w:fill="auto"/>
                    </w:rPr>
                    <w:t>无组织排放</w:t>
                  </w:r>
                </w:p>
              </w:tc>
              <w:tc>
                <w:tcPr>
                  <w:tcW w:w="649" w:type="pct"/>
                  <w:shd w:val="clear" w:color="auto" w:fill="FFFFFF" w:themeFill="background1"/>
                  <w:noWrap w:val="0"/>
                  <w:vAlign w:val="center"/>
                </w:tcPr>
                <w:p w14:paraId="1E36F597">
                  <w:pPr>
                    <w:pStyle w:val="107"/>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宋体"/>
                      <w:color w:val="auto"/>
                      <w:kern w:val="2"/>
                      <w:sz w:val="21"/>
                      <w:szCs w:val="24"/>
                      <w:u w:val="none"/>
                      <w:shd w:val="clear" w:color="auto" w:fill="auto"/>
                      <w:lang w:val="en-US" w:eastAsia="zh-CN" w:bidi="ar-SA"/>
                    </w:rPr>
                  </w:pPr>
                  <w:r>
                    <w:rPr>
                      <w:rFonts w:hint="eastAsia" w:cs="宋体"/>
                      <w:color w:val="auto"/>
                      <w:u w:val="none"/>
                      <w:shd w:val="clear" w:color="auto" w:fill="auto"/>
                      <w:lang w:val="en-US" w:eastAsia="zh-CN"/>
                    </w:rPr>
                    <w:t>35%</w:t>
                  </w:r>
                </w:p>
              </w:tc>
              <w:tc>
                <w:tcPr>
                  <w:tcW w:w="587" w:type="pct"/>
                  <w:shd w:val="clear" w:color="auto" w:fill="FFFFFF" w:themeFill="background1"/>
                  <w:noWrap w:val="0"/>
                  <w:vAlign w:val="center"/>
                </w:tcPr>
                <w:p w14:paraId="305B4570">
                  <w:pPr>
                    <w:pStyle w:val="107"/>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宋体"/>
                      <w:color w:val="auto"/>
                      <w:kern w:val="2"/>
                      <w:sz w:val="21"/>
                      <w:szCs w:val="24"/>
                      <w:u w:val="none"/>
                      <w:shd w:val="clear" w:color="auto" w:fill="auto"/>
                      <w:lang w:val="en-US" w:eastAsia="zh-CN" w:bidi="ar-SA"/>
                    </w:rPr>
                  </w:pPr>
                  <w:r>
                    <w:rPr>
                      <w:rFonts w:hint="eastAsia" w:cs="宋体"/>
                      <w:color w:val="auto"/>
                      <w:u w:val="none"/>
                      <w:shd w:val="clear" w:color="auto" w:fill="auto"/>
                      <w:lang w:val="en-US" w:eastAsia="zh-CN"/>
                    </w:rPr>
                    <w:t>0.411</w:t>
                  </w:r>
                </w:p>
              </w:tc>
            </w:tr>
            <w:tr w14:paraId="7937B7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 w:hRule="atLeast"/>
              </w:trPr>
              <w:tc>
                <w:tcPr>
                  <w:tcW w:w="1248" w:type="pct"/>
                  <w:gridSpan w:val="2"/>
                  <w:shd w:val="clear" w:color="auto" w:fill="FFFFFF" w:themeFill="background1"/>
                  <w:noWrap w:val="0"/>
                  <w:vAlign w:val="center"/>
                </w:tcPr>
                <w:p w14:paraId="0C412D96">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ascii="Times New Roman" w:hAnsi="Times New Roman" w:eastAsia="宋体" w:cs="Times New Roman"/>
                      <w:color w:val="auto"/>
                      <w:kern w:val="0"/>
                      <w:sz w:val="21"/>
                      <w:szCs w:val="21"/>
                      <w:u w:val="none"/>
                      <w:lang w:val="en-US" w:eastAsia="zh-CN"/>
                    </w:rPr>
                    <w:t>发泡剂</w:t>
                  </w:r>
                </w:p>
              </w:tc>
              <w:tc>
                <w:tcPr>
                  <w:tcW w:w="942" w:type="pct"/>
                  <w:gridSpan w:val="2"/>
                  <w:vMerge w:val="continue"/>
                  <w:shd w:val="clear" w:color="auto" w:fill="FFFFFF" w:themeFill="background1"/>
                  <w:noWrap w:val="0"/>
                  <w:vAlign w:val="center"/>
                </w:tcPr>
                <w:p w14:paraId="64ECDCF0">
                  <w:pPr>
                    <w:pStyle w:val="107"/>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宋体"/>
                      <w:color w:val="auto"/>
                      <w:u w:val="none"/>
                      <w:shd w:val="clear" w:color="auto" w:fill="auto"/>
                      <w:lang w:val="en-US" w:eastAsia="zh-CN"/>
                    </w:rPr>
                  </w:pPr>
                </w:p>
              </w:tc>
              <w:tc>
                <w:tcPr>
                  <w:tcW w:w="260" w:type="pct"/>
                  <w:vMerge w:val="restart"/>
                  <w:shd w:val="clear" w:color="auto" w:fill="FFFFFF" w:themeFill="background1"/>
                  <w:noWrap w:val="0"/>
                  <w:vAlign w:val="center"/>
                </w:tcPr>
                <w:p w14:paraId="587C18AF">
                  <w:pPr>
                    <w:pStyle w:val="107"/>
                    <w:keepNext w:val="0"/>
                    <w:keepLines w:val="0"/>
                    <w:suppressLineNumbers w:val="0"/>
                    <w:spacing w:before="0" w:beforeAutospacing="0" w:after="0" w:afterAutospacing="0" w:line="240" w:lineRule="auto"/>
                    <w:ind w:left="0" w:right="0" w:firstLine="0" w:firstLineChars="0"/>
                    <w:jc w:val="center"/>
                    <w:rPr>
                      <w:rFonts w:hint="default"/>
                      <w:color w:val="auto"/>
                      <w:sz w:val="21"/>
                      <w:u w:val="none"/>
                      <w:shd w:val="clear" w:color="auto" w:fill="auto"/>
                    </w:rPr>
                  </w:pPr>
                </w:p>
              </w:tc>
              <w:tc>
                <w:tcPr>
                  <w:tcW w:w="1312" w:type="pct"/>
                  <w:gridSpan w:val="4"/>
                  <w:shd w:val="clear" w:color="auto" w:fill="FFFFFF" w:themeFill="background1"/>
                  <w:noWrap w:val="0"/>
                  <w:vAlign w:val="center"/>
                </w:tcPr>
                <w:p w14:paraId="33CF5120">
                  <w:pPr>
                    <w:pStyle w:val="107"/>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4"/>
                      <w:u w:val="none"/>
                      <w:shd w:val="clear" w:color="auto" w:fill="auto"/>
                      <w:lang w:val="en-US" w:eastAsia="zh-CN" w:bidi="ar-SA"/>
                    </w:rPr>
                  </w:pPr>
                </w:p>
              </w:tc>
              <w:tc>
                <w:tcPr>
                  <w:tcW w:w="649" w:type="pct"/>
                  <w:shd w:val="clear" w:color="auto" w:fill="FFFFFF" w:themeFill="background1"/>
                  <w:noWrap w:val="0"/>
                  <w:vAlign w:val="center"/>
                </w:tcPr>
                <w:p w14:paraId="60CECD5F">
                  <w:pPr>
                    <w:pStyle w:val="107"/>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宋体"/>
                      <w:color w:val="auto"/>
                      <w:kern w:val="2"/>
                      <w:sz w:val="21"/>
                      <w:szCs w:val="24"/>
                      <w:u w:val="none"/>
                      <w:shd w:val="clear" w:color="auto" w:fill="auto"/>
                      <w:lang w:val="en-US" w:eastAsia="zh-CN" w:bidi="ar-SA"/>
                    </w:rPr>
                  </w:pPr>
                </w:p>
              </w:tc>
              <w:tc>
                <w:tcPr>
                  <w:tcW w:w="587" w:type="pct"/>
                  <w:shd w:val="clear" w:color="auto" w:fill="FFFFFF" w:themeFill="background1"/>
                  <w:noWrap w:val="0"/>
                  <w:vAlign w:val="center"/>
                </w:tcPr>
                <w:p w14:paraId="18F57C65">
                  <w:pPr>
                    <w:pStyle w:val="107"/>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宋体"/>
                      <w:color w:val="auto"/>
                      <w:kern w:val="2"/>
                      <w:sz w:val="21"/>
                      <w:szCs w:val="24"/>
                      <w:u w:val="none"/>
                      <w:shd w:val="clear" w:color="auto" w:fill="auto"/>
                      <w:lang w:val="en-US" w:eastAsia="zh-CN" w:bidi="ar-SA"/>
                    </w:rPr>
                  </w:pPr>
                </w:p>
              </w:tc>
            </w:tr>
            <w:tr w14:paraId="329F3F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 w:hRule="atLeast"/>
              </w:trPr>
              <w:tc>
                <w:tcPr>
                  <w:tcW w:w="1248" w:type="pct"/>
                  <w:gridSpan w:val="2"/>
                  <w:shd w:val="clear" w:color="auto" w:fill="FFFFFF" w:themeFill="background1"/>
                  <w:noWrap w:val="0"/>
                  <w:vAlign w:val="center"/>
                </w:tcPr>
                <w:p w14:paraId="5061B9B0">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ascii="Times New Roman" w:hAnsi="Times New Roman" w:eastAsia="宋体" w:cs="Times New Roman"/>
                      <w:color w:val="auto"/>
                      <w:kern w:val="0"/>
                      <w:sz w:val="21"/>
                      <w:szCs w:val="21"/>
                      <w:u w:val="none"/>
                      <w:lang w:val="en-US" w:eastAsia="zh-CN"/>
                    </w:rPr>
                    <w:t>稳定剂</w:t>
                  </w:r>
                </w:p>
              </w:tc>
              <w:tc>
                <w:tcPr>
                  <w:tcW w:w="942" w:type="pct"/>
                  <w:gridSpan w:val="2"/>
                  <w:vMerge w:val="continue"/>
                  <w:shd w:val="clear" w:color="auto" w:fill="FFFFFF" w:themeFill="background1"/>
                  <w:noWrap w:val="0"/>
                  <w:vAlign w:val="center"/>
                </w:tcPr>
                <w:p w14:paraId="0543B17C">
                  <w:pPr>
                    <w:pStyle w:val="107"/>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宋体"/>
                      <w:color w:val="auto"/>
                      <w:u w:val="none"/>
                      <w:shd w:val="clear" w:color="auto" w:fill="auto"/>
                      <w:lang w:val="en-US" w:eastAsia="zh-CN"/>
                    </w:rPr>
                  </w:pPr>
                </w:p>
              </w:tc>
              <w:tc>
                <w:tcPr>
                  <w:tcW w:w="260" w:type="pct"/>
                  <w:vMerge w:val="continue"/>
                  <w:shd w:val="clear" w:color="auto" w:fill="FFFFFF" w:themeFill="background1"/>
                  <w:noWrap w:val="0"/>
                  <w:vAlign w:val="center"/>
                </w:tcPr>
                <w:p w14:paraId="5CA500DD">
                  <w:pPr>
                    <w:pStyle w:val="107"/>
                    <w:keepNext w:val="0"/>
                    <w:keepLines w:val="0"/>
                    <w:suppressLineNumbers w:val="0"/>
                    <w:spacing w:before="0" w:beforeAutospacing="0" w:after="0" w:afterAutospacing="0" w:line="240" w:lineRule="auto"/>
                    <w:ind w:left="0" w:right="0" w:firstLine="0" w:firstLineChars="0"/>
                    <w:jc w:val="center"/>
                    <w:rPr>
                      <w:rFonts w:hint="default"/>
                      <w:color w:val="auto"/>
                      <w:sz w:val="21"/>
                      <w:u w:val="none"/>
                      <w:shd w:val="clear" w:color="auto" w:fill="auto"/>
                    </w:rPr>
                  </w:pPr>
                </w:p>
              </w:tc>
              <w:tc>
                <w:tcPr>
                  <w:tcW w:w="1312" w:type="pct"/>
                  <w:gridSpan w:val="4"/>
                  <w:shd w:val="clear" w:color="auto" w:fill="FFFFFF" w:themeFill="background1"/>
                  <w:noWrap w:val="0"/>
                  <w:vAlign w:val="center"/>
                </w:tcPr>
                <w:p w14:paraId="490191A7">
                  <w:pPr>
                    <w:pStyle w:val="107"/>
                    <w:keepNext w:val="0"/>
                    <w:keepLines w:val="0"/>
                    <w:suppressLineNumbers w:val="0"/>
                    <w:spacing w:before="0" w:beforeAutospacing="0" w:after="0" w:afterAutospacing="0" w:line="240" w:lineRule="auto"/>
                    <w:ind w:left="0" w:right="0" w:firstLine="0" w:firstLineChars="0"/>
                    <w:jc w:val="center"/>
                    <w:rPr>
                      <w:rFonts w:hint="eastAsia"/>
                      <w:color w:val="auto"/>
                      <w:sz w:val="21"/>
                      <w:u w:val="none"/>
                      <w:shd w:val="clear" w:color="auto" w:fill="auto"/>
                    </w:rPr>
                  </w:pPr>
                </w:p>
              </w:tc>
              <w:tc>
                <w:tcPr>
                  <w:tcW w:w="649" w:type="pct"/>
                  <w:shd w:val="clear" w:color="auto" w:fill="FFFFFF" w:themeFill="background1"/>
                  <w:noWrap w:val="0"/>
                  <w:vAlign w:val="center"/>
                </w:tcPr>
                <w:p w14:paraId="4B9BBBC9">
                  <w:pPr>
                    <w:pStyle w:val="107"/>
                    <w:keepNext w:val="0"/>
                    <w:keepLines w:val="0"/>
                    <w:suppressLineNumbers w:val="0"/>
                    <w:spacing w:before="0" w:beforeAutospacing="0" w:after="0" w:afterAutospacing="0" w:line="240" w:lineRule="auto"/>
                    <w:ind w:left="0" w:right="0" w:firstLine="0" w:firstLineChars="0"/>
                    <w:jc w:val="center"/>
                    <w:rPr>
                      <w:rFonts w:hint="eastAsia" w:cs="宋体"/>
                      <w:color w:val="auto"/>
                      <w:u w:val="none"/>
                      <w:shd w:val="clear" w:color="auto" w:fill="auto"/>
                      <w:lang w:val="en-US" w:eastAsia="zh-CN"/>
                    </w:rPr>
                  </w:pPr>
                </w:p>
              </w:tc>
              <w:tc>
                <w:tcPr>
                  <w:tcW w:w="587" w:type="pct"/>
                  <w:shd w:val="clear" w:color="auto" w:fill="FFFFFF" w:themeFill="background1"/>
                  <w:noWrap w:val="0"/>
                  <w:vAlign w:val="center"/>
                </w:tcPr>
                <w:p w14:paraId="093C7D90">
                  <w:pPr>
                    <w:pStyle w:val="107"/>
                    <w:keepNext w:val="0"/>
                    <w:keepLines w:val="0"/>
                    <w:suppressLineNumbers w:val="0"/>
                    <w:spacing w:before="0" w:beforeAutospacing="0" w:after="0" w:afterAutospacing="0" w:line="240" w:lineRule="auto"/>
                    <w:ind w:left="0" w:right="0" w:firstLine="0" w:firstLineChars="0"/>
                    <w:jc w:val="center"/>
                    <w:rPr>
                      <w:rFonts w:hint="eastAsia" w:cs="宋体"/>
                      <w:color w:val="auto"/>
                      <w:u w:val="none"/>
                      <w:shd w:val="clear" w:color="auto" w:fill="auto"/>
                      <w:lang w:val="en-US" w:eastAsia="zh-CN"/>
                    </w:rPr>
                  </w:pPr>
                </w:p>
              </w:tc>
            </w:tr>
            <w:tr w14:paraId="23A5CF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 w:hRule="atLeast"/>
              </w:trPr>
              <w:tc>
                <w:tcPr>
                  <w:tcW w:w="1248" w:type="pct"/>
                  <w:gridSpan w:val="2"/>
                  <w:shd w:val="clear" w:color="auto" w:fill="FFFFFF" w:themeFill="background1"/>
                  <w:noWrap w:val="0"/>
                  <w:vAlign w:val="center"/>
                </w:tcPr>
                <w:p w14:paraId="2EEE2931">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r>
                    <w:rPr>
                      <w:rFonts w:hint="eastAsia" w:ascii="Times New Roman" w:hAnsi="Times New Roman" w:eastAsia="宋体" w:cs="Times New Roman"/>
                      <w:color w:val="auto"/>
                      <w:kern w:val="0"/>
                      <w:sz w:val="21"/>
                      <w:szCs w:val="21"/>
                      <w:u w:val="none"/>
                      <w:lang w:val="en-US" w:eastAsia="zh-CN"/>
                    </w:rPr>
                    <w:t>硬脂酸</w:t>
                  </w:r>
                </w:p>
              </w:tc>
              <w:tc>
                <w:tcPr>
                  <w:tcW w:w="942" w:type="pct"/>
                  <w:gridSpan w:val="2"/>
                  <w:vMerge w:val="continue"/>
                  <w:shd w:val="clear" w:color="auto" w:fill="FFFFFF" w:themeFill="background1"/>
                  <w:noWrap w:val="0"/>
                  <w:vAlign w:val="center"/>
                </w:tcPr>
                <w:p w14:paraId="46337864">
                  <w:pPr>
                    <w:pStyle w:val="107"/>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宋体"/>
                      <w:color w:val="auto"/>
                      <w:u w:val="none"/>
                      <w:shd w:val="clear" w:color="auto" w:fill="auto"/>
                      <w:lang w:val="en-US" w:eastAsia="zh-CN"/>
                    </w:rPr>
                  </w:pPr>
                </w:p>
              </w:tc>
              <w:tc>
                <w:tcPr>
                  <w:tcW w:w="260" w:type="pct"/>
                  <w:vMerge w:val="continue"/>
                  <w:shd w:val="clear" w:color="auto" w:fill="FFFFFF" w:themeFill="background1"/>
                  <w:noWrap w:val="0"/>
                  <w:vAlign w:val="center"/>
                </w:tcPr>
                <w:p w14:paraId="3321C67A">
                  <w:pPr>
                    <w:pStyle w:val="107"/>
                    <w:keepNext w:val="0"/>
                    <w:keepLines w:val="0"/>
                    <w:suppressLineNumbers w:val="0"/>
                    <w:spacing w:before="0" w:beforeAutospacing="0" w:after="0" w:afterAutospacing="0" w:line="240" w:lineRule="auto"/>
                    <w:ind w:left="0" w:right="0" w:firstLine="0" w:firstLineChars="0"/>
                    <w:jc w:val="center"/>
                    <w:rPr>
                      <w:rFonts w:hint="default"/>
                      <w:color w:val="auto"/>
                      <w:sz w:val="21"/>
                      <w:u w:val="none"/>
                      <w:shd w:val="clear" w:color="auto" w:fill="auto"/>
                    </w:rPr>
                  </w:pPr>
                </w:p>
              </w:tc>
              <w:tc>
                <w:tcPr>
                  <w:tcW w:w="1312" w:type="pct"/>
                  <w:gridSpan w:val="4"/>
                  <w:shd w:val="clear" w:color="auto" w:fill="FFFFFF" w:themeFill="background1"/>
                  <w:noWrap w:val="0"/>
                  <w:vAlign w:val="center"/>
                </w:tcPr>
                <w:p w14:paraId="79CC6281">
                  <w:pPr>
                    <w:pStyle w:val="107"/>
                    <w:keepNext w:val="0"/>
                    <w:keepLines w:val="0"/>
                    <w:suppressLineNumbers w:val="0"/>
                    <w:spacing w:before="0" w:beforeAutospacing="0" w:after="0" w:afterAutospacing="0" w:line="240" w:lineRule="auto"/>
                    <w:ind w:left="0" w:right="0" w:firstLine="0" w:firstLineChars="0"/>
                    <w:jc w:val="center"/>
                    <w:rPr>
                      <w:rFonts w:hint="eastAsia"/>
                      <w:color w:val="auto"/>
                      <w:sz w:val="21"/>
                      <w:u w:val="none"/>
                      <w:shd w:val="clear" w:color="auto" w:fill="auto"/>
                    </w:rPr>
                  </w:pPr>
                </w:p>
              </w:tc>
              <w:tc>
                <w:tcPr>
                  <w:tcW w:w="649" w:type="pct"/>
                  <w:shd w:val="clear" w:color="auto" w:fill="FFFFFF" w:themeFill="background1"/>
                  <w:noWrap w:val="0"/>
                  <w:vAlign w:val="center"/>
                </w:tcPr>
                <w:p w14:paraId="03A7295C">
                  <w:pPr>
                    <w:pStyle w:val="107"/>
                    <w:keepNext w:val="0"/>
                    <w:keepLines w:val="0"/>
                    <w:suppressLineNumbers w:val="0"/>
                    <w:spacing w:before="0" w:beforeAutospacing="0" w:after="0" w:afterAutospacing="0" w:line="240" w:lineRule="auto"/>
                    <w:ind w:left="0" w:right="0" w:firstLine="0" w:firstLineChars="0"/>
                    <w:jc w:val="center"/>
                    <w:rPr>
                      <w:rFonts w:hint="eastAsia" w:cs="宋体"/>
                      <w:color w:val="auto"/>
                      <w:u w:val="none"/>
                      <w:shd w:val="clear" w:color="auto" w:fill="auto"/>
                      <w:lang w:val="en-US" w:eastAsia="zh-CN"/>
                    </w:rPr>
                  </w:pPr>
                </w:p>
              </w:tc>
              <w:tc>
                <w:tcPr>
                  <w:tcW w:w="587" w:type="pct"/>
                  <w:shd w:val="clear" w:color="auto" w:fill="FFFFFF" w:themeFill="background1"/>
                  <w:noWrap w:val="0"/>
                  <w:vAlign w:val="center"/>
                </w:tcPr>
                <w:p w14:paraId="45FFC9B4">
                  <w:pPr>
                    <w:pStyle w:val="107"/>
                    <w:keepNext w:val="0"/>
                    <w:keepLines w:val="0"/>
                    <w:suppressLineNumbers w:val="0"/>
                    <w:spacing w:before="0" w:beforeAutospacing="0" w:after="0" w:afterAutospacing="0" w:line="240" w:lineRule="auto"/>
                    <w:ind w:left="0" w:right="0" w:firstLine="0" w:firstLineChars="0"/>
                    <w:jc w:val="center"/>
                    <w:rPr>
                      <w:rFonts w:hint="eastAsia" w:cs="宋体"/>
                      <w:color w:val="auto"/>
                      <w:u w:val="none"/>
                      <w:shd w:val="clear" w:color="auto" w:fill="auto"/>
                      <w:lang w:val="en-US" w:eastAsia="zh-CN"/>
                    </w:rPr>
                  </w:pPr>
                </w:p>
              </w:tc>
            </w:tr>
            <w:tr w14:paraId="5C0A29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 w:hRule="atLeast"/>
              </w:trPr>
              <w:tc>
                <w:tcPr>
                  <w:tcW w:w="1248" w:type="pct"/>
                  <w:gridSpan w:val="2"/>
                  <w:shd w:val="clear" w:color="auto" w:fill="FFFFFF" w:themeFill="background1"/>
                  <w:noWrap w:val="0"/>
                  <w:vAlign w:val="center"/>
                </w:tcPr>
                <w:p w14:paraId="5B1B54DB">
                  <w:pPr>
                    <w:pStyle w:val="107"/>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4"/>
                      <w:u w:val="none"/>
                      <w:shd w:val="clear" w:color="auto" w:fill="auto"/>
                      <w:lang w:val="en-US" w:eastAsia="zh-CN" w:bidi="ar-SA"/>
                    </w:rPr>
                  </w:pPr>
                  <w:r>
                    <w:rPr>
                      <w:rFonts w:hint="default"/>
                      <w:color w:val="auto"/>
                      <w:sz w:val="21"/>
                      <w:u w:val="none"/>
                      <w:shd w:val="clear" w:color="auto" w:fill="auto"/>
                    </w:rPr>
                    <w:t>合计</w:t>
                  </w:r>
                </w:p>
              </w:tc>
              <w:tc>
                <w:tcPr>
                  <w:tcW w:w="942" w:type="pct"/>
                  <w:gridSpan w:val="2"/>
                  <w:shd w:val="clear" w:color="auto" w:fill="FFFFFF" w:themeFill="background1"/>
                  <w:noWrap w:val="0"/>
                  <w:vAlign w:val="center"/>
                </w:tcPr>
                <w:p w14:paraId="3A130153">
                  <w:pPr>
                    <w:pStyle w:val="107"/>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宋体"/>
                      <w:color w:val="auto"/>
                      <w:kern w:val="2"/>
                      <w:sz w:val="21"/>
                      <w:szCs w:val="24"/>
                      <w:u w:val="none"/>
                      <w:shd w:val="clear" w:color="auto" w:fill="auto"/>
                      <w:lang w:val="en-US" w:eastAsia="zh-CN" w:bidi="ar-SA"/>
                    </w:rPr>
                  </w:pPr>
                  <w:r>
                    <w:rPr>
                      <w:rFonts w:hint="eastAsia" w:cs="宋体"/>
                      <w:color w:val="auto"/>
                      <w:u w:val="none"/>
                      <w:shd w:val="clear" w:color="auto" w:fill="auto"/>
                      <w:lang w:val="en-US" w:eastAsia="zh-CN"/>
                    </w:rPr>
                    <w:t>1.175</w:t>
                  </w:r>
                </w:p>
              </w:tc>
              <w:tc>
                <w:tcPr>
                  <w:tcW w:w="1572" w:type="pct"/>
                  <w:gridSpan w:val="5"/>
                  <w:shd w:val="clear" w:color="auto" w:fill="FFFFFF" w:themeFill="background1"/>
                  <w:noWrap w:val="0"/>
                  <w:vAlign w:val="center"/>
                </w:tcPr>
                <w:p w14:paraId="55BFDF36">
                  <w:pPr>
                    <w:pStyle w:val="107"/>
                    <w:keepNext w:val="0"/>
                    <w:keepLines w:val="0"/>
                    <w:suppressLineNumbers w:val="0"/>
                    <w:spacing w:before="0" w:beforeAutospacing="0" w:after="0" w:afterAutospacing="0" w:line="240" w:lineRule="auto"/>
                    <w:ind w:left="0" w:right="0" w:firstLine="0" w:firstLineChars="0"/>
                    <w:jc w:val="center"/>
                    <w:rPr>
                      <w:rFonts w:hint="eastAsia"/>
                      <w:color w:val="auto"/>
                      <w:sz w:val="21"/>
                      <w:u w:val="none"/>
                      <w:shd w:val="clear" w:color="auto" w:fill="auto"/>
                    </w:rPr>
                  </w:pPr>
                  <w:r>
                    <w:rPr>
                      <w:rFonts w:hint="default"/>
                      <w:color w:val="auto"/>
                      <w:sz w:val="21"/>
                      <w:u w:val="none"/>
                      <w:shd w:val="clear" w:color="auto" w:fill="auto"/>
                    </w:rPr>
                    <w:t>合计</w:t>
                  </w:r>
                </w:p>
              </w:tc>
              <w:tc>
                <w:tcPr>
                  <w:tcW w:w="1236" w:type="pct"/>
                  <w:gridSpan w:val="2"/>
                  <w:shd w:val="clear" w:color="auto" w:fill="FFFFFF" w:themeFill="background1"/>
                  <w:noWrap w:val="0"/>
                  <w:vAlign w:val="center"/>
                </w:tcPr>
                <w:p w14:paraId="5C9D657B">
                  <w:pPr>
                    <w:pStyle w:val="107"/>
                    <w:keepNext w:val="0"/>
                    <w:keepLines w:val="0"/>
                    <w:suppressLineNumbers w:val="0"/>
                    <w:spacing w:before="0" w:beforeAutospacing="0" w:after="0" w:afterAutospacing="0" w:line="240" w:lineRule="auto"/>
                    <w:ind w:left="0" w:right="0" w:firstLine="0" w:firstLineChars="0"/>
                    <w:jc w:val="center"/>
                    <w:rPr>
                      <w:rFonts w:hint="eastAsia" w:cs="宋体"/>
                      <w:color w:val="auto"/>
                      <w:u w:val="none"/>
                      <w:shd w:val="clear" w:color="auto" w:fill="auto"/>
                      <w:lang w:val="en-US" w:eastAsia="zh-CN"/>
                    </w:rPr>
                  </w:pPr>
                  <w:r>
                    <w:rPr>
                      <w:rFonts w:hint="eastAsia" w:cs="宋体"/>
                      <w:color w:val="auto"/>
                      <w:u w:val="none"/>
                      <w:shd w:val="clear" w:color="auto" w:fill="auto"/>
                      <w:lang w:val="en-US" w:eastAsia="zh-CN"/>
                    </w:rPr>
                    <w:t>1.175</w:t>
                  </w:r>
                </w:p>
              </w:tc>
            </w:tr>
          </w:tbl>
          <w:p w14:paraId="3508D01D">
            <w:pPr>
              <w:keepNext w:val="0"/>
              <w:keepLines w:val="0"/>
              <w:suppressLineNumbers w:val="0"/>
              <w:spacing w:before="0" w:beforeAutospacing="0" w:after="0" w:afterAutospacing="0" w:line="360" w:lineRule="auto"/>
              <w:ind w:left="0" w:right="0"/>
              <w:jc w:val="center"/>
              <w:rPr>
                <w:rFonts w:hint="eastAsia" w:ascii="Times New Roman" w:hAnsi="Times New Roman" w:eastAsia="宋体" w:cs="Times New Roman"/>
                <w:b/>
                <w:color w:val="auto"/>
                <w:sz w:val="21"/>
                <w:szCs w:val="21"/>
                <w:lang w:val="en-US" w:eastAsia="zh-CN"/>
              </w:rPr>
            </w:pPr>
            <w:r>
              <w:rPr>
                <w:rFonts w:hint="default" w:ascii="Times New Roman" w:hAnsi="Times New Roman" w:eastAsia="宋体" w:cs="Times New Roman"/>
                <w:b/>
                <w:color w:val="auto"/>
                <w:sz w:val="21"/>
                <w:szCs w:val="21"/>
              </w:rPr>
              <w:t>表</w:t>
            </w:r>
            <w:r>
              <w:rPr>
                <w:rFonts w:hint="eastAsia" w:ascii="Times New Roman" w:hAnsi="Times New Roman" w:eastAsia="宋体" w:cs="Times New Roman"/>
                <w:b/>
                <w:color w:val="auto"/>
                <w:sz w:val="21"/>
                <w:szCs w:val="21"/>
                <w:lang w:val="en-US" w:eastAsia="zh-CN"/>
              </w:rPr>
              <w:t>2-</w:t>
            </w:r>
            <w:r>
              <w:rPr>
                <w:rFonts w:hint="eastAsia" w:cs="Times New Roman"/>
                <w:b/>
                <w:color w:val="auto"/>
                <w:sz w:val="21"/>
                <w:szCs w:val="21"/>
                <w:lang w:val="en-US" w:eastAsia="zh-CN"/>
              </w:rPr>
              <w:t>8</w:t>
            </w:r>
            <w:r>
              <w:rPr>
                <w:rFonts w:hint="eastAsia" w:ascii="Times New Roman" w:hAnsi="Times New Roman" w:eastAsia="宋体" w:cs="Times New Roman"/>
                <w:b/>
                <w:color w:val="auto"/>
                <w:sz w:val="21"/>
                <w:szCs w:val="21"/>
                <w:lang w:val="en-US" w:eastAsia="zh-CN"/>
              </w:rPr>
              <w:t xml:space="preserve">  项目</w:t>
            </w:r>
            <w:r>
              <w:rPr>
                <w:rFonts w:hint="eastAsia" w:cs="Times New Roman"/>
                <w:b/>
                <w:color w:val="auto"/>
                <w:sz w:val="21"/>
                <w:szCs w:val="21"/>
                <w:lang w:val="en-US" w:eastAsia="zh-CN"/>
              </w:rPr>
              <w:t>HCl</w:t>
            </w:r>
            <w:r>
              <w:rPr>
                <w:rFonts w:hint="eastAsia" w:ascii="Times New Roman" w:hAnsi="Times New Roman" w:eastAsia="宋体" w:cs="Times New Roman"/>
                <w:b/>
                <w:color w:val="auto"/>
                <w:sz w:val="21"/>
                <w:szCs w:val="21"/>
                <w:lang w:val="en-US" w:eastAsia="zh-CN"/>
              </w:rPr>
              <w:t>平衡表  单位：t/a</w:t>
            </w:r>
          </w:p>
          <w:tbl>
            <w:tblPr>
              <w:tblStyle w:val="26"/>
              <w:tblW w:w="850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47"/>
              <w:gridCol w:w="1170"/>
              <w:gridCol w:w="2138"/>
              <w:gridCol w:w="1462"/>
              <w:gridCol w:w="1687"/>
            </w:tblGrid>
            <w:tr w14:paraId="207792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2" w:hRule="atLeast"/>
                <w:jc w:val="center"/>
              </w:trPr>
              <w:tc>
                <w:tcPr>
                  <w:tcW w:w="3217" w:type="dxa"/>
                  <w:gridSpan w:val="2"/>
                  <w:noWrap w:val="0"/>
                  <w:vAlign w:val="center"/>
                </w:tcPr>
                <w:p w14:paraId="20103B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eastAsia" w:ascii="Times New Roman" w:hAnsi="Times New Roman" w:eastAsia="宋体" w:cs="Times New Roman"/>
                      <w:b/>
                      <w:bCs/>
                      <w:color w:val="auto"/>
                      <w:sz w:val="21"/>
                      <w:szCs w:val="21"/>
                      <w:lang w:eastAsia="zh-CN"/>
                    </w:rPr>
                  </w:pPr>
                  <w:r>
                    <w:rPr>
                      <w:rFonts w:hint="eastAsia" w:ascii="Times New Roman" w:hAnsi="Times New Roman" w:cs="Times New Roman"/>
                      <w:b/>
                      <w:bCs/>
                      <w:color w:val="auto"/>
                      <w:sz w:val="21"/>
                      <w:szCs w:val="21"/>
                      <w:lang w:eastAsia="zh-CN"/>
                    </w:rPr>
                    <w:t>进方</w:t>
                  </w:r>
                </w:p>
              </w:tc>
              <w:tc>
                <w:tcPr>
                  <w:tcW w:w="3600" w:type="dxa"/>
                  <w:gridSpan w:val="2"/>
                  <w:noWrap w:val="0"/>
                  <w:vAlign w:val="center"/>
                </w:tcPr>
                <w:p w14:paraId="006366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eastAsia" w:ascii="Times New Roman" w:hAnsi="Times New Roman" w:cs="Times New Roman"/>
                      <w:b/>
                      <w:bCs/>
                      <w:color w:val="auto"/>
                      <w:sz w:val="21"/>
                      <w:szCs w:val="21"/>
                      <w:lang w:eastAsia="zh-CN"/>
                    </w:rPr>
                  </w:pPr>
                  <w:r>
                    <w:rPr>
                      <w:rFonts w:hint="eastAsia" w:ascii="Times New Roman" w:hAnsi="Times New Roman" w:cs="Times New Roman"/>
                      <w:b/>
                      <w:bCs/>
                      <w:color w:val="auto"/>
                      <w:sz w:val="21"/>
                      <w:szCs w:val="21"/>
                      <w:lang w:eastAsia="zh-CN"/>
                    </w:rPr>
                    <w:t>出方</w:t>
                  </w:r>
                </w:p>
              </w:tc>
              <w:tc>
                <w:tcPr>
                  <w:tcW w:w="1687" w:type="dxa"/>
                  <w:noWrap w:val="0"/>
                  <w:vAlign w:val="center"/>
                </w:tcPr>
                <w:p w14:paraId="0658CB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90" w:lineRule="exact"/>
                    <w:ind w:left="0" w:right="0"/>
                    <w:jc w:val="center"/>
                    <w:textAlignment w:val="auto"/>
                    <w:rPr>
                      <w:rFonts w:hint="default" w:ascii="Times New Roman" w:hAnsi="Times New Roman" w:cs="Times New Roman"/>
                      <w:b/>
                      <w:bCs/>
                      <w:color w:val="auto"/>
                      <w:sz w:val="21"/>
                      <w:szCs w:val="21"/>
                      <w:lang w:val="en-US" w:eastAsia="zh-CN"/>
                    </w:rPr>
                  </w:pPr>
                  <w:r>
                    <w:rPr>
                      <w:rFonts w:hint="eastAsia" w:cs="Times New Roman"/>
                      <w:b/>
                      <w:bCs/>
                      <w:color w:val="auto"/>
                      <w:sz w:val="21"/>
                      <w:szCs w:val="21"/>
                      <w:lang w:val="en-US" w:eastAsia="zh-CN"/>
                    </w:rPr>
                    <w:t>备注</w:t>
                  </w:r>
                </w:p>
              </w:tc>
            </w:tr>
            <w:tr w14:paraId="11BE49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047" w:type="dxa"/>
                  <w:vMerge w:val="restart"/>
                  <w:shd w:val="clear" w:color="auto" w:fill="auto"/>
                  <w:noWrap w:val="0"/>
                  <w:vAlign w:val="center"/>
                </w:tcPr>
                <w:p w14:paraId="1E7BD6FD">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PVC粉受热分解</w:t>
                  </w:r>
                </w:p>
              </w:tc>
              <w:tc>
                <w:tcPr>
                  <w:tcW w:w="1170" w:type="dxa"/>
                  <w:vMerge w:val="restart"/>
                  <w:shd w:val="clear" w:color="auto" w:fill="auto"/>
                  <w:noWrap w:val="0"/>
                  <w:vAlign w:val="center"/>
                </w:tcPr>
                <w:p w14:paraId="5D723F8B">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0.003</w:t>
                  </w:r>
                </w:p>
              </w:tc>
              <w:tc>
                <w:tcPr>
                  <w:tcW w:w="2138" w:type="dxa"/>
                  <w:shd w:val="clear" w:color="auto" w:fill="auto"/>
                  <w:noWrap w:val="0"/>
                  <w:vAlign w:val="center"/>
                </w:tcPr>
                <w:p w14:paraId="3D61A796">
                  <w:pPr>
                    <w:keepNext w:val="0"/>
                    <w:keepLines w:val="0"/>
                    <w:widowControl w:val="0"/>
                    <w:suppressLineNumbers w:val="0"/>
                    <w:autoSpaceDE w:val="0"/>
                    <w:autoSpaceDN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highlight w:val="none"/>
                      <w:lang w:val="en-US" w:eastAsia="zh-CN" w:bidi="zh-CN"/>
                    </w:rPr>
                  </w:pPr>
                  <w:r>
                    <w:rPr>
                      <w:rFonts w:hint="eastAsia" w:cs="Times New Roman"/>
                      <w:color w:val="auto"/>
                      <w:kern w:val="0"/>
                      <w:sz w:val="21"/>
                      <w:szCs w:val="21"/>
                      <w:highlight w:val="none"/>
                      <w:lang w:val="en-US" w:bidi="zh-CN"/>
                    </w:rPr>
                    <w:t>有组织废气排放</w:t>
                  </w:r>
                </w:p>
              </w:tc>
              <w:tc>
                <w:tcPr>
                  <w:tcW w:w="1462" w:type="dxa"/>
                  <w:noWrap w:val="0"/>
                  <w:vAlign w:val="center"/>
                </w:tcPr>
                <w:p w14:paraId="01A8F694">
                  <w:pPr>
                    <w:pStyle w:val="114"/>
                    <w:keepNext w:val="0"/>
                    <w:keepLines w:val="0"/>
                    <w:suppressLineNumbers w:val="0"/>
                    <w:bidi w:val="0"/>
                    <w:spacing w:before="0" w:beforeAutospacing="0" w:after="0" w:afterAutospacing="0"/>
                    <w:ind w:left="0" w:right="0"/>
                    <w:rPr>
                      <w:rFonts w:hint="default" w:ascii="Times New Roman" w:hAnsi="Times New Roman" w:eastAsia="宋体" w:cs="Times New Roman"/>
                      <w:b w:val="0"/>
                      <w:bCs w:val="0"/>
                      <w:color w:val="auto"/>
                      <w:kern w:val="2"/>
                      <w:sz w:val="21"/>
                      <w:szCs w:val="21"/>
                      <w:lang w:val="en-US" w:eastAsia="zh-CN" w:bidi="ar-SA"/>
                    </w:rPr>
                  </w:pPr>
                  <w:r>
                    <w:rPr>
                      <w:rFonts w:hint="eastAsia" w:cs="Times New Roman"/>
                      <w:b w:val="0"/>
                      <w:bCs w:val="0"/>
                      <w:color w:val="auto"/>
                      <w:kern w:val="2"/>
                      <w:sz w:val="21"/>
                      <w:szCs w:val="21"/>
                      <w:lang w:val="en-US" w:eastAsia="zh-CN" w:bidi="ar-SA"/>
                    </w:rPr>
                    <w:t>0.002</w:t>
                  </w:r>
                </w:p>
              </w:tc>
              <w:tc>
                <w:tcPr>
                  <w:tcW w:w="1687" w:type="dxa"/>
                  <w:noWrap w:val="0"/>
                  <w:vAlign w:val="center"/>
                </w:tcPr>
                <w:p w14:paraId="44E59D05">
                  <w:pPr>
                    <w:pStyle w:val="114"/>
                    <w:keepNext w:val="0"/>
                    <w:keepLines w:val="0"/>
                    <w:suppressLineNumbers w:val="0"/>
                    <w:bidi w:val="0"/>
                    <w:spacing w:before="0" w:beforeAutospacing="0" w:after="0" w:afterAutospacing="0"/>
                    <w:ind w:left="0" w:right="0"/>
                    <w:rPr>
                      <w:rFonts w:hint="default" w:cs="Times New Roman"/>
                      <w:b w:val="0"/>
                      <w:bCs w:val="0"/>
                      <w:color w:val="auto"/>
                      <w:kern w:val="2"/>
                      <w:sz w:val="21"/>
                      <w:szCs w:val="21"/>
                      <w:lang w:val="en-US" w:eastAsia="zh-CN" w:bidi="ar-SA"/>
                    </w:rPr>
                  </w:pPr>
                </w:p>
              </w:tc>
            </w:tr>
            <w:tr w14:paraId="69366D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047" w:type="dxa"/>
                  <w:vMerge w:val="continue"/>
                  <w:shd w:val="clear" w:color="auto" w:fill="auto"/>
                  <w:noWrap w:val="0"/>
                  <w:vAlign w:val="center"/>
                </w:tcPr>
                <w:p w14:paraId="256C6401">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u w:val="none"/>
                      <w:lang w:val="en-US" w:eastAsia="zh-CN" w:bidi="ar-SA"/>
                    </w:rPr>
                  </w:pPr>
                </w:p>
              </w:tc>
              <w:tc>
                <w:tcPr>
                  <w:tcW w:w="1170" w:type="dxa"/>
                  <w:vMerge w:val="continue"/>
                  <w:shd w:val="clear" w:color="auto" w:fill="auto"/>
                  <w:noWrap w:val="0"/>
                  <w:vAlign w:val="center"/>
                </w:tcPr>
                <w:p w14:paraId="32EECFFD">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p>
              </w:tc>
              <w:tc>
                <w:tcPr>
                  <w:tcW w:w="2138" w:type="dxa"/>
                  <w:shd w:val="clear" w:color="auto" w:fill="auto"/>
                  <w:noWrap w:val="0"/>
                  <w:vAlign w:val="center"/>
                </w:tcPr>
                <w:p w14:paraId="30841D22">
                  <w:pPr>
                    <w:keepNext w:val="0"/>
                    <w:keepLines w:val="0"/>
                    <w:widowControl w:val="0"/>
                    <w:suppressLineNumbers w:val="0"/>
                    <w:autoSpaceDE w:val="0"/>
                    <w:autoSpaceDN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highlight w:val="none"/>
                      <w:lang w:val="en-US" w:eastAsia="zh-CN" w:bidi="zh-CN"/>
                    </w:rPr>
                  </w:pPr>
                  <w:r>
                    <w:rPr>
                      <w:rFonts w:hint="eastAsia" w:cs="Times New Roman"/>
                      <w:color w:val="auto"/>
                      <w:kern w:val="0"/>
                      <w:sz w:val="21"/>
                      <w:szCs w:val="21"/>
                      <w:highlight w:val="none"/>
                      <w:lang w:val="en-US" w:eastAsia="zh-CN" w:bidi="zh-CN"/>
                    </w:rPr>
                    <w:t>无组织废气排放</w:t>
                  </w:r>
                </w:p>
              </w:tc>
              <w:tc>
                <w:tcPr>
                  <w:tcW w:w="1462" w:type="dxa"/>
                  <w:noWrap w:val="0"/>
                  <w:vAlign w:val="center"/>
                </w:tcPr>
                <w:p w14:paraId="2A9D5FB2">
                  <w:pPr>
                    <w:pStyle w:val="114"/>
                    <w:keepNext w:val="0"/>
                    <w:keepLines w:val="0"/>
                    <w:suppressLineNumbers w:val="0"/>
                    <w:bidi w:val="0"/>
                    <w:spacing w:before="0" w:beforeAutospacing="0" w:after="0" w:afterAutospacing="0"/>
                    <w:ind w:left="0" w:right="0"/>
                    <w:rPr>
                      <w:rFonts w:hint="default" w:ascii="Times New Roman" w:hAnsi="Times New Roman" w:eastAsia="宋体" w:cs="Times New Roman"/>
                      <w:b w:val="0"/>
                      <w:bCs w:val="0"/>
                      <w:color w:val="auto"/>
                      <w:kern w:val="2"/>
                      <w:sz w:val="21"/>
                      <w:szCs w:val="21"/>
                      <w:lang w:val="en-US" w:eastAsia="zh-CN" w:bidi="ar-SA"/>
                    </w:rPr>
                  </w:pPr>
                  <w:r>
                    <w:rPr>
                      <w:rFonts w:hint="eastAsia" w:cs="Times New Roman"/>
                      <w:b w:val="0"/>
                      <w:bCs w:val="0"/>
                      <w:color w:val="auto"/>
                      <w:kern w:val="2"/>
                      <w:sz w:val="21"/>
                      <w:szCs w:val="21"/>
                      <w:lang w:val="en-US" w:eastAsia="zh-CN" w:bidi="ar-SA"/>
                    </w:rPr>
                    <w:t>0.001</w:t>
                  </w:r>
                </w:p>
              </w:tc>
              <w:tc>
                <w:tcPr>
                  <w:tcW w:w="1687" w:type="dxa"/>
                  <w:noWrap w:val="0"/>
                  <w:vAlign w:val="center"/>
                </w:tcPr>
                <w:p w14:paraId="13F8ABA6">
                  <w:pPr>
                    <w:pStyle w:val="114"/>
                    <w:keepNext w:val="0"/>
                    <w:keepLines w:val="0"/>
                    <w:suppressLineNumbers w:val="0"/>
                    <w:bidi w:val="0"/>
                    <w:spacing w:before="0" w:beforeAutospacing="0" w:after="0" w:afterAutospacing="0"/>
                    <w:ind w:left="0" w:right="0"/>
                    <w:rPr>
                      <w:rFonts w:hint="eastAsia" w:cs="Times New Roman"/>
                      <w:b w:val="0"/>
                      <w:bCs w:val="0"/>
                      <w:color w:val="auto"/>
                      <w:kern w:val="2"/>
                      <w:sz w:val="21"/>
                      <w:szCs w:val="21"/>
                      <w:lang w:val="en-US" w:eastAsia="zh-CN" w:bidi="ar-SA"/>
                    </w:rPr>
                  </w:pPr>
                </w:p>
              </w:tc>
            </w:tr>
            <w:tr w14:paraId="45CC3E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047" w:type="dxa"/>
                  <w:shd w:val="clear" w:color="auto" w:fill="auto"/>
                  <w:noWrap w:val="0"/>
                  <w:vAlign w:val="center"/>
                </w:tcPr>
                <w:p w14:paraId="0A056023">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s="Times New Roman"/>
                      <w:color w:val="auto"/>
                      <w:kern w:val="0"/>
                      <w:sz w:val="21"/>
                      <w:szCs w:val="21"/>
                      <w:u w:val="none"/>
                      <w:lang w:val="en-US" w:eastAsia="zh-CN" w:bidi="ar-SA"/>
                    </w:rPr>
                    <w:t>合计</w:t>
                  </w:r>
                </w:p>
              </w:tc>
              <w:tc>
                <w:tcPr>
                  <w:tcW w:w="1170" w:type="dxa"/>
                  <w:shd w:val="clear" w:color="auto" w:fill="auto"/>
                  <w:noWrap w:val="0"/>
                  <w:vAlign w:val="center"/>
                </w:tcPr>
                <w:p w14:paraId="4FF68534">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SA"/>
                    </w:rPr>
                  </w:pPr>
                  <w:r>
                    <w:rPr>
                      <w:rFonts w:hint="eastAsia"/>
                      <w:color w:val="auto"/>
                      <w:kern w:val="0"/>
                      <w:sz w:val="21"/>
                      <w:szCs w:val="21"/>
                      <w:u w:val="none"/>
                      <w:lang w:val="en-US" w:eastAsia="zh-CN"/>
                    </w:rPr>
                    <w:t>0.003</w:t>
                  </w:r>
                </w:p>
              </w:tc>
              <w:tc>
                <w:tcPr>
                  <w:tcW w:w="2138" w:type="dxa"/>
                  <w:shd w:val="clear" w:color="auto" w:fill="auto"/>
                  <w:noWrap w:val="0"/>
                  <w:vAlign w:val="center"/>
                </w:tcPr>
                <w:p w14:paraId="67886300">
                  <w:pPr>
                    <w:keepNext w:val="0"/>
                    <w:keepLines w:val="0"/>
                    <w:widowControl w:val="0"/>
                    <w:suppressLineNumbers w:val="0"/>
                    <w:autoSpaceDE w:val="0"/>
                    <w:autoSpaceDN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highlight w:val="none"/>
                      <w:lang w:val="en-US" w:eastAsia="zh-CN" w:bidi="zh-CN"/>
                    </w:rPr>
                  </w:pPr>
                  <w:r>
                    <w:rPr>
                      <w:rFonts w:hint="eastAsia" w:cs="Times New Roman"/>
                      <w:color w:val="auto"/>
                      <w:kern w:val="0"/>
                      <w:sz w:val="21"/>
                      <w:szCs w:val="21"/>
                      <w:u w:val="none"/>
                      <w:lang w:val="en-US" w:eastAsia="zh-CN" w:bidi="ar-SA"/>
                    </w:rPr>
                    <w:t>合计</w:t>
                  </w:r>
                </w:p>
              </w:tc>
              <w:tc>
                <w:tcPr>
                  <w:tcW w:w="1462" w:type="dxa"/>
                  <w:noWrap w:val="0"/>
                  <w:vAlign w:val="center"/>
                </w:tcPr>
                <w:p w14:paraId="0C914906">
                  <w:pPr>
                    <w:pStyle w:val="114"/>
                    <w:keepNext w:val="0"/>
                    <w:keepLines w:val="0"/>
                    <w:suppressLineNumbers w:val="0"/>
                    <w:bidi w:val="0"/>
                    <w:spacing w:before="0" w:beforeAutospacing="0" w:after="0" w:afterAutospacing="0"/>
                    <w:ind w:left="0" w:right="0"/>
                    <w:rPr>
                      <w:rFonts w:hint="default" w:ascii="Times New Roman" w:hAnsi="Times New Roman" w:eastAsia="宋体" w:cs="Times New Roman"/>
                      <w:b w:val="0"/>
                      <w:bCs w:val="0"/>
                      <w:color w:val="auto"/>
                      <w:kern w:val="2"/>
                      <w:sz w:val="21"/>
                      <w:szCs w:val="21"/>
                      <w:lang w:val="en-US" w:eastAsia="zh-CN" w:bidi="ar-SA"/>
                    </w:rPr>
                  </w:pPr>
                  <w:r>
                    <w:rPr>
                      <w:rFonts w:hint="eastAsia" w:cs="Times New Roman"/>
                      <w:b w:val="0"/>
                      <w:bCs w:val="0"/>
                      <w:color w:val="auto"/>
                      <w:kern w:val="2"/>
                      <w:sz w:val="21"/>
                      <w:szCs w:val="21"/>
                      <w:lang w:val="en-US" w:eastAsia="zh-CN" w:bidi="ar-SA"/>
                    </w:rPr>
                    <w:t>0.003</w:t>
                  </w:r>
                </w:p>
              </w:tc>
              <w:tc>
                <w:tcPr>
                  <w:tcW w:w="1687" w:type="dxa"/>
                  <w:shd w:val="clear" w:color="auto" w:fill="auto"/>
                  <w:noWrap w:val="0"/>
                  <w:vAlign w:val="center"/>
                </w:tcPr>
                <w:p w14:paraId="429E84C2">
                  <w:pPr>
                    <w:pStyle w:val="114"/>
                    <w:keepNext w:val="0"/>
                    <w:keepLines w:val="0"/>
                    <w:suppressLineNumbers w:val="0"/>
                    <w:bidi w:val="0"/>
                    <w:spacing w:before="0" w:beforeAutospacing="0" w:after="0" w:afterAutospacing="0"/>
                    <w:ind w:left="0" w:right="0"/>
                    <w:rPr>
                      <w:rFonts w:hint="eastAsia" w:ascii="Times New Roman" w:hAnsi="Times New Roman" w:eastAsia="宋体" w:cs="Times New Roman"/>
                      <w:b w:val="0"/>
                      <w:bCs w:val="0"/>
                      <w:color w:val="auto"/>
                      <w:kern w:val="2"/>
                      <w:sz w:val="21"/>
                      <w:szCs w:val="21"/>
                      <w:lang w:val="en-US" w:eastAsia="zh-CN" w:bidi="ar-SA"/>
                    </w:rPr>
                  </w:pPr>
                </w:p>
              </w:tc>
            </w:tr>
          </w:tbl>
          <w:p w14:paraId="7780572A">
            <w:pPr>
              <w:keepNext w:val="0"/>
              <w:keepLines w:val="0"/>
              <w:suppressLineNumbers w:val="0"/>
              <w:spacing w:before="0" w:beforeAutospacing="0" w:after="0" w:afterAutospacing="0" w:line="360" w:lineRule="auto"/>
              <w:ind w:left="0" w:right="0" w:firstLine="482" w:firstLineChars="200"/>
              <w:rPr>
                <w:rFonts w:hint="eastAsia" w:ascii="Times New Roman" w:hAnsi="Times New Roman" w:eastAsia="宋体" w:cs="Times New Roman"/>
                <w:b/>
                <w:bCs/>
                <w:color w:val="auto"/>
                <w:sz w:val="24"/>
                <w:highlight w:val="none"/>
                <w:shd w:val="clear" w:color="auto" w:fill="auto"/>
                <w:lang w:val="en-US" w:eastAsia="zh-CN"/>
              </w:rPr>
            </w:pPr>
            <w:r>
              <w:rPr>
                <w:rFonts w:hint="eastAsia" w:cs="Times New Roman"/>
                <w:b/>
                <w:bCs/>
                <w:color w:val="auto"/>
                <w:sz w:val="24"/>
                <w:highlight w:val="none"/>
                <w:shd w:val="clear" w:color="auto" w:fill="auto"/>
                <w:lang w:val="en-US" w:eastAsia="zh-CN"/>
              </w:rPr>
              <w:t>8</w:t>
            </w:r>
            <w:r>
              <w:rPr>
                <w:rFonts w:hint="eastAsia" w:ascii="Times New Roman" w:hAnsi="Times New Roman" w:eastAsia="宋体" w:cs="Times New Roman"/>
                <w:b/>
                <w:bCs/>
                <w:color w:val="auto"/>
                <w:sz w:val="24"/>
                <w:highlight w:val="none"/>
                <w:shd w:val="clear" w:color="auto" w:fill="auto"/>
                <w:lang w:val="en-US" w:eastAsia="zh-CN"/>
              </w:rPr>
              <w:t>、</w:t>
            </w:r>
            <w:r>
              <w:rPr>
                <w:rFonts w:hint="default" w:ascii="Times New Roman" w:hAnsi="Times New Roman" w:eastAsia="宋体" w:cs="Times New Roman"/>
                <w:b/>
                <w:bCs/>
                <w:color w:val="auto"/>
                <w:sz w:val="24"/>
                <w:highlight w:val="none"/>
                <w:shd w:val="clear" w:color="auto" w:fill="auto"/>
                <w:lang w:val="en-US" w:eastAsia="zh-CN"/>
              </w:rPr>
              <w:t>公用工程</w:t>
            </w:r>
          </w:p>
          <w:p w14:paraId="50E189C8">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shd w:val="clear" w:color="auto" w:fill="auto"/>
                <w:lang w:val="en-US" w:eastAsia="zh-CN"/>
              </w:rPr>
            </w:pPr>
            <w:r>
              <w:rPr>
                <w:rFonts w:hint="default" w:ascii="Times New Roman" w:hAnsi="Times New Roman" w:eastAsia="宋体" w:cs="Times New Roman"/>
                <w:color w:val="auto"/>
                <w:sz w:val="24"/>
                <w:highlight w:val="none"/>
                <w:shd w:val="clear" w:color="auto" w:fill="auto"/>
                <w:lang w:val="en-US" w:eastAsia="zh-CN"/>
              </w:rPr>
              <w:t>（</w:t>
            </w:r>
            <w:r>
              <w:rPr>
                <w:rFonts w:hint="eastAsia" w:cs="Times New Roman"/>
                <w:color w:val="auto"/>
                <w:sz w:val="24"/>
                <w:highlight w:val="none"/>
                <w:shd w:val="clear" w:color="auto" w:fill="auto"/>
                <w:lang w:val="en-US" w:eastAsia="zh-CN"/>
              </w:rPr>
              <w:t>1</w:t>
            </w:r>
            <w:r>
              <w:rPr>
                <w:rFonts w:hint="default" w:ascii="Times New Roman" w:hAnsi="Times New Roman" w:eastAsia="宋体" w:cs="Times New Roman"/>
                <w:color w:val="auto"/>
                <w:sz w:val="24"/>
                <w:highlight w:val="none"/>
                <w:shd w:val="clear" w:color="auto" w:fill="auto"/>
                <w:lang w:val="en-US" w:eastAsia="zh-CN"/>
              </w:rPr>
              <w:t>）</w:t>
            </w:r>
            <w:r>
              <w:rPr>
                <w:rFonts w:hint="eastAsia" w:ascii="Times New Roman" w:hAnsi="Times New Roman" w:eastAsia="宋体" w:cs="Times New Roman"/>
                <w:color w:val="auto"/>
                <w:sz w:val="24"/>
                <w:highlight w:val="none"/>
                <w:shd w:val="clear" w:color="auto" w:fill="auto"/>
                <w:lang w:val="en-US" w:eastAsia="zh-CN"/>
              </w:rPr>
              <w:t>供电</w:t>
            </w:r>
          </w:p>
          <w:p w14:paraId="6C15484A">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shd w:val="clear" w:color="auto" w:fill="auto"/>
                <w:lang w:val="en-US" w:eastAsia="zh-CN"/>
              </w:rPr>
            </w:pPr>
            <w:r>
              <w:rPr>
                <w:rFonts w:hint="eastAsia" w:ascii="Times New Roman" w:hAnsi="Times New Roman" w:eastAsia="宋体" w:cs="Times New Roman"/>
                <w:color w:val="auto"/>
                <w:sz w:val="24"/>
                <w:highlight w:val="none"/>
                <w:shd w:val="clear" w:color="auto" w:fill="auto"/>
                <w:lang w:val="en-US" w:eastAsia="zh-CN"/>
              </w:rPr>
              <w:t>本项目用电由市政电网系统供给</w:t>
            </w:r>
            <w:r>
              <w:rPr>
                <w:rFonts w:hint="eastAsia" w:cs="Times New Roman"/>
                <w:color w:val="auto"/>
                <w:sz w:val="24"/>
                <w:highlight w:val="none"/>
                <w:shd w:val="clear" w:color="auto" w:fill="auto"/>
                <w:lang w:val="en-US" w:eastAsia="zh-CN"/>
              </w:rPr>
              <w:t>，用电量约150万kW∙h/a</w:t>
            </w:r>
            <w:r>
              <w:rPr>
                <w:rFonts w:hint="eastAsia" w:ascii="Times New Roman" w:hAnsi="Times New Roman" w:eastAsia="宋体" w:cs="Times New Roman"/>
                <w:color w:val="auto"/>
                <w:sz w:val="24"/>
                <w:highlight w:val="none"/>
                <w:shd w:val="clear" w:color="auto" w:fill="auto"/>
                <w:lang w:val="en-US" w:eastAsia="zh-CN"/>
              </w:rPr>
              <w:t>。</w:t>
            </w:r>
          </w:p>
          <w:p w14:paraId="503C1D56">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shd w:val="clear" w:color="auto" w:fill="auto"/>
                <w:lang w:val="en-US" w:eastAsia="zh-CN"/>
              </w:rPr>
            </w:pPr>
            <w:r>
              <w:rPr>
                <w:rFonts w:hint="default" w:ascii="Times New Roman" w:hAnsi="Times New Roman" w:eastAsia="宋体" w:cs="Times New Roman"/>
                <w:color w:val="auto"/>
                <w:sz w:val="24"/>
                <w:highlight w:val="none"/>
                <w:shd w:val="clear" w:color="auto" w:fill="auto"/>
                <w:lang w:val="en-US" w:eastAsia="zh-CN"/>
              </w:rPr>
              <w:t>（</w:t>
            </w:r>
            <w:r>
              <w:rPr>
                <w:rFonts w:hint="eastAsia" w:cs="Times New Roman"/>
                <w:color w:val="auto"/>
                <w:sz w:val="24"/>
                <w:highlight w:val="none"/>
                <w:shd w:val="clear" w:color="auto" w:fill="auto"/>
                <w:lang w:val="en-US" w:eastAsia="zh-CN"/>
              </w:rPr>
              <w:t>2</w:t>
            </w:r>
            <w:r>
              <w:rPr>
                <w:rFonts w:hint="default" w:ascii="Times New Roman" w:hAnsi="Times New Roman" w:eastAsia="宋体" w:cs="Times New Roman"/>
                <w:color w:val="auto"/>
                <w:sz w:val="24"/>
                <w:highlight w:val="none"/>
                <w:shd w:val="clear" w:color="auto" w:fill="auto"/>
                <w:lang w:val="en-US" w:eastAsia="zh-CN"/>
              </w:rPr>
              <w:t>）给水</w:t>
            </w:r>
          </w:p>
          <w:p w14:paraId="46230C7B">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shd w:val="clear" w:color="auto" w:fill="auto"/>
                <w:lang w:val="en-US" w:eastAsia="zh-CN"/>
              </w:rPr>
            </w:pPr>
            <w:r>
              <w:rPr>
                <w:rFonts w:hint="eastAsia" w:cs="Times New Roman"/>
                <w:color w:val="auto"/>
                <w:sz w:val="24"/>
                <w:highlight w:val="none"/>
                <w:shd w:val="clear" w:color="auto" w:fill="auto"/>
                <w:lang w:val="en-US" w:eastAsia="zh-CN"/>
              </w:rPr>
              <w:t>本</w:t>
            </w:r>
            <w:r>
              <w:rPr>
                <w:rFonts w:hint="default" w:ascii="Times New Roman" w:hAnsi="Times New Roman" w:eastAsia="宋体" w:cs="Times New Roman"/>
                <w:color w:val="auto"/>
                <w:sz w:val="24"/>
                <w:highlight w:val="none"/>
                <w:shd w:val="clear" w:color="auto" w:fill="auto"/>
                <w:lang w:val="en-US" w:eastAsia="zh-CN"/>
              </w:rPr>
              <w:t>项目用水由园区供水管网供给</w:t>
            </w:r>
            <w:r>
              <w:rPr>
                <w:rFonts w:hint="eastAsia" w:cs="Times New Roman"/>
                <w:color w:val="auto"/>
                <w:sz w:val="24"/>
                <w:highlight w:val="none"/>
                <w:shd w:val="clear" w:color="auto" w:fill="auto"/>
                <w:lang w:val="en-US" w:eastAsia="zh-CN"/>
              </w:rPr>
              <w:t>，用水量约24204m</w:t>
            </w:r>
            <w:r>
              <w:rPr>
                <w:rFonts w:hint="eastAsia" w:cs="Times New Roman"/>
                <w:color w:val="auto"/>
                <w:sz w:val="24"/>
                <w:highlight w:val="none"/>
                <w:shd w:val="clear" w:color="auto" w:fill="auto"/>
                <w:vertAlign w:val="superscript"/>
                <w:lang w:val="en-US" w:eastAsia="zh-CN"/>
              </w:rPr>
              <w:t>3</w:t>
            </w:r>
            <w:r>
              <w:rPr>
                <w:rFonts w:hint="eastAsia" w:cs="Times New Roman"/>
                <w:color w:val="auto"/>
                <w:sz w:val="24"/>
                <w:highlight w:val="none"/>
                <w:shd w:val="clear" w:color="auto" w:fill="auto"/>
                <w:lang w:val="en-US" w:eastAsia="zh-CN"/>
              </w:rPr>
              <w:t>/a。</w:t>
            </w:r>
          </w:p>
          <w:p w14:paraId="040D9C6D">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shd w:val="clear" w:color="auto" w:fill="auto"/>
                <w:lang w:val="en-US" w:eastAsia="zh-CN"/>
              </w:rPr>
            </w:pPr>
            <w:r>
              <w:rPr>
                <w:rFonts w:hint="default" w:ascii="Times New Roman" w:hAnsi="Times New Roman" w:eastAsia="宋体" w:cs="Times New Roman"/>
                <w:color w:val="auto"/>
                <w:sz w:val="24"/>
                <w:highlight w:val="none"/>
                <w:shd w:val="clear" w:color="auto" w:fill="auto"/>
                <w:lang w:val="en-US" w:eastAsia="zh-CN"/>
              </w:rPr>
              <w:t>（</w:t>
            </w:r>
            <w:r>
              <w:rPr>
                <w:rFonts w:hint="eastAsia" w:cs="Times New Roman"/>
                <w:color w:val="auto"/>
                <w:sz w:val="24"/>
                <w:highlight w:val="none"/>
                <w:shd w:val="clear" w:color="auto" w:fill="auto"/>
                <w:lang w:val="en-US" w:eastAsia="zh-CN"/>
              </w:rPr>
              <w:t>3</w:t>
            </w:r>
            <w:r>
              <w:rPr>
                <w:rFonts w:hint="default" w:ascii="Times New Roman" w:hAnsi="Times New Roman" w:eastAsia="宋体" w:cs="Times New Roman"/>
                <w:color w:val="auto"/>
                <w:sz w:val="24"/>
                <w:highlight w:val="none"/>
                <w:shd w:val="clear" w:color="auto" w:fill="auto"/>
                <w:lang w:val="en-US" w:eastAsia="zh-CN"/>
              </w:rPr>
              <w:t>）排水</w:t>
            </w:r>
          </w:p>
          <w:p w14:paraId="2DF5A6AE">
            <w:pPr>
              <w:keepNext w:val="0"/>
              <w:keepLines w:val="0"/>
              <w:suppressLineNumbers w:val="0"/>
              <w:spacing w:before="0" w:beforeAutospacing="0" w:after="0" w:afterAutospacing="0" w:line="360" w:lineRule="auto"/>
              <w:ind w:left="0" w:right="0" w:firstLine="480" w:firstLineChars="200"/>
              <w:rPr>
                <w:rFonts w:hint="default" w:cs="Times New Roman"/>
                <w:color w:val="auto"/>
                <w:sz w:val="24"/>
                <w:highlight w:val="none"/>
                <w:shd w:val="clear" w:color="auto" w:fill="auto"/>
                <w:lang w:val="en-US" w:eastAsia="zh-CN"/>
              </w:rPr>
            </w:pPr>
            <w:r>
              <w:rPr>
                <w:rFonts w:hint="eastAsia" w:cs="Times New Roman"/>
                <w:color w:val="auto"/>
                <w:sz w:val="24"/>
                <w:highlight w:val="none"/>
                <w:shd w:val="clear" w:color="auto" w:fill="auto"/>
                <w:lang w:val="en-US" w:eastAsia="zh-CN"/>
              </w:rPr>
              <w:t>本项目</w:t>
            </w:r>
            <w:r>
              <w:rPr>
                <w:rFonts w:hint="default" w:ascii="Times New Roman" w:hAnsi="Times New Roman" w:eastAsia="宋体" w:cs="Times New Roman"/>
                <w:color w:val="auto"/>
                <w:sz w:val="24"/>
                <w:highlight w:val="none"/>
                <w:shd w:val="clear" w:color="auto" w:fill="auto"/>
                <w:lang w:val="en-US" w:eastAsia="zh-CN"/>
              </w:rPr>
              <w:t>排水实行雨污分流制，雨水排入园区雨水管网</w:t>
            </w:r>
            <w:r>
              <w:rPr>
                <w:rFonts w:hint="eastAsia" w:cs="Times New Roman"/>
                <w:color w:val="auto"/>
                <w:sz w:val="24"/>
                <w:highlight w:val="none"/>
                <w:shd w:val="clear" w:color="auto" w:fill="auto"/>
                <w:lang w:val="en-US" w:eastAsia="zh-CN"/>
              </w:rPr>
              <w:t>。生活污水经园区隔油池+化粪池处理排入园区污水管网，接入乐平市金山工业区一期污水站处理，尾水最终汇入乐安河；</w:t>
            </w:r>
            <w:r>
              <w:rPr>
                <w:rFonts w:hint="eastAsia" w:ascii="Times New Roman" w:hAnsi="Times New Roman" w:eastAsia="宋体" w:cs="Times New Roman"/>
                <w:b w:val="0"/>
                <w:bCs/>
                <w:color w:val="auto"/>
                <w:sz w:val="24"/>
                <w:szCs w:val="24"/>
                <w:lang w:val="en-US" w:eastAsia="zh-CN"/>
              </w:rPr>
              <w:t>网板清洗废水</w:t>
            </w:r>
            <w:r>
              <w:rPr>
                <w:rFonts w:hint="eastAsia" w:cs="Times New Roman"/>
                <w:color w:val="auto"/>
                <w:sz w:val="24"/>
                <w:highlight w:val="none"/>
                <w:shd w:val="clear" w:color="auto" w:fill="auto"/>
                <w:lang w:val="en-US" w:eastAsia="zh-CN"/>
              </w:rPr>
              <w:t>循环使用，</w:t>
            </w:r>
            <w:r>
              <w:rPr>
                <w:rFonts w:hint="eastAsia"/>
                <w:color w:val="auto"/>
                <w:sz w:val="24"/>
                <w:szCs w:val="24"/>
                <w:highlight w:val="none"/>
                <w:lang w:val="en-US" w:eastAsia="zh-CN"/>
              </w:rPr>
              <w:t>更换的清洗废水作为危废送有资质的单位处理，</w:t>
            </w:r>
            <w:r>
              <w:rPr>
                <w:rFonts w:hint="eastAsia" w:cs="Times New Roman"/>
                <w:color w:val="auto"/>
                <w:sz w:val="24"/>
                <w:highlight w:val="none"/>
                <w:shd w:val="clear" w:color="auto" w:fill="auto"/>
                <w:lang w:val="en-US" w:eastAsia="zh-CN"/>
              </w:rPr>
              <w:t>不外排。</w:t>
            </w:r>
          </w:p>
          <w:p w14:paraId="4BD0F611">
            <w:pPr>
              <w:keepNext w:val="0"/>
              <w:keepLines w:val="0"/>
              <w:numPr>
                <w:ilvl w:val="0"/>
                <w:numId w:val="0"/>
              </w:numPr>
              <w:suppressLineNumbers w:val="0"/>
              <w:spacing w:before="0" w:beforeAutospacing="0" w:after="0" w:afterAutospacing="0" w:line="360" w:lineRule="auto"/>
              <w:ind w:left="0" w:right="0" w:firstLine="482" w:firstLineChars="200"/>
              <w:jc w:val="left"/>
              <w:rPr>
                <w:rFonts w:hint="eastAsia" w:cs="Times New Roman"/>
                <w:b/>
                <w:bCs/>
                <w:color w:val="auto"/>
                <w:sz w:val="24"/>
                <w:highlight w:val="none"/>
                <w:shd w:val="clear" w:color="auto" w:fill="auto"/>
                <w:lang w:val="en-US" w:eastAsia="zh-CN"/>
              </w:rPr>
            </w:pPr>
            <w:r>
              <w:rPr>
                <w:rFonts w:hint="eastAsia" w:cs="Times New Roman"/>
                <w:b/>
                <w:bCs/>
                <w:color w:val="auto"/>
                <w:kern w:val="2"/>
                <w:sz w:val="24"/>
                <w:szCs w:val="24"/>
                <w:shd w:val="clear" w:fill="auto"/>
                <w:lang w:val="en-US" w:eastAsia="zh-CN" w:bidi="ar-SA"/>
              </w:rPr>
              <w:t>9</w:t>
            </w:r>
            <w:r>
              <w:rPr>
                <w:rFonts w:hint="eastAsia" w:ascii="Times New Roman" w:hAnsi="Times New Roman" w:eastAsia="宋体" w:cs="Times New Roman"/>
                <w:b/>
                <w:bCs/>
                <w:color w:val="auto"/>
                <w:kern w:val="2"/>
                <w:sz w:val="24"/>
                <w:szCs w:val="24"/>
                <w:shd w:val="clear" w:fill="auto"/>
                <w:lang w:val="en-US" w:eastAsia="zh-CN" w:bidi="ar-SA"/>
              </w:rPr>
              <w:t>、</w:t>
            </w:r>
            <w:r>
              <w:rPr>
                <w:rFonts w:hint="eastAsia" w:cs="Times New Roman"/>
                <w:b/>
                <w:bCs/>
                <w:color w:val="auto"/>
                <w:sz w:val="24"/>
                <w:highlight w:val="none"/>
                <w:shd w:val="clear" w:color="auto" w:fill="auto"/>
                <w:lang w:val="en-US" w:eastAsia="zh-CN"/>
              </w:rPr>
              <w:t>水平衡</w:t>
            </w:r>
          </w:p>
          <w:p w14:paraId="7619C3C0">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s="Times New Roman"/>
                <w:b w:val="0"/>
                <w:bCs/>
                <w:color w:val="auto"/>
                <w:sz w:val="24"/>
                <w:szCs w:val="24"/>
                <w:lang w:val="en-US" w:eastAsia="zh-CN"/>
              </w:rPr>
            </w:pPr>
            <w:r>
              <w:rPr>
                <w:rFonts w:hint="eastAsia" w:ascii="Times New Roman" w:hAnsi="Times New Roman" w:eastAsia="宋体" w:cs="Times New Roman"/>
                <w:b w:val="0"/>
                <w:bCs/>
                <w:color w:val="auto"/>
                <w:sz w:val="24"/>
                <w:szCs w:val="24"/>
                <w:lang w:val="en-US" w:eastAsia="zh-CN"/>
              </w:rPr>
              <w:t>项目用水主要为生产用水和生活用水，生产用水主要为网板清洗</w:t>
            </w:r>
            <w:r>
              <w:rPr>
                <w:rFonts w:hint="eastAsia" w:cs="Times New Roman"/>
                <w:b w:val="0"/>
                <w:bCs/>
                <w:color w:val="auto"/>
                <w:sz w:val="24"/>
                <w:szCs w:val="24"/>
                <w:lang w:val="en-US" w:eastAsia="zh-CN"/>
              </w:rPr>
              <w:t>用</w:t>
            </w:r>
            <w:r>
              <w:rPr>
                <w:rFonts w:hint="eastAsia" w:ascii="Times New Roman" w:hAnsi="Times New Roman" w:eastAsia="宋体" w:cs="Times New Roman"/>
                <w:b w:val="0"/>
                <w:bCs/>
                <w:color w:val="auto"/>
                <w:sz w:val="24"/>
                <w:szCs w:val="24"/>
                <w:lang w:val="en-US" w:eastAsia="zh-CN"/>
              </w:rPr>
              <w:t>水</w:t>
            </w:r>
            <w:r>
              <w:rPr>
                <w:rFonts w:hint="eastAsia" w:cs="Times New Roman"/>
                <w:b w:val="0"/>
                <w:bCs/>
                <w:color w:val="auto"/>
                <w:sz w:val="24"/>
                <w:szCs w:val="24"/>
                <w:lang w:val="en-US" w:eastAsia="zh-CN"/>
              </w:rPr>
              <w:t>和间接冷却水，厂房内地面采用扫帚简单清扫，无地面清洗用水</w:t>
            </w:r>
            <w:r>
              <w:rPr>
                <w:rFonts w:hint="eastAsia" w:ascii="Times New Roman" w:hAnsi="Times New Roman" w:eastAsia="宋体" w:cs="Times New Roman"/>
                <w:b w:val="0"/>
                <w:bCs/>
                <w:color w:val="auto"/>
                <w:sz w:val="24"/>
                <w:szCs w:val="24"/>
                <w:lang w:val="en-US" w:eastAsia="zh-CN"/>
              </w:rPr>
              <w:t>。用水情况核算如下：</w:t>
            </w:r>
          </w:p>
          <w:p w14:paraId="5FBCBB02">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b w:val="0"/>
                <w:bCs/>
                <w:color w:val="auto"/>
                <w:sz w:val="24"/>
                <w:szCs w:val="24"/>
                <w:lang w:val="en-US" w:eastAsia="zh-CN"/>
              </w:rPr>
            </w:pPr>
            <w:r>
              <w:rPr>
                <w:rFonts w:hint="eastAsia" w:ascii="Times New Roman" w:hAnsi="Times New Roman" w:eastAsia="宋体" w:cs="Times New Roman"/>
                <w:b w:val="0"/>
                <w:bCs/>
                <w:color w:val="auto"/>
                <w:sz w:val="24"/>
                <w:szCs w:val="24"/>
                <w:lang w:val="en-US" w:eastAsia="zh-CN"/>
              </w:rPr>
              <w:t>1）网板清洗</w:t>
            </w:r>
            <w:r>
              <w:rPr>
                <w:rFonts w:hint="eastAsia" w:cs="Times New Roman"/>
                <w:b w:val="0"/>
                <w:bCs/>
                <w:color w:val="auto"/>
                <w:sz w:val="24"/>
                <w:szCs w:val="24"/>
                <w:lang w:val="en-US" w:eastAsia="zh-CN"/>
              </w:rPr>
              <w:t>用</w:t>
            </w:r>
            <w:r>
              <w:rPr>
                <w:rFonts w:hint="eastAsia" w:ascii="Times New Roman" w:hAnsi="Times New Roman" w:eastAsia="宋体" w:cs="Times New Roman"/>
                <w:b w:val="0"/>
                <w:bCs/>
                <w:color w:val="auto"/>
                <w:sz w:val="24"/>
                <w:szCs w:val="24"/>
                <w:lang w:val="en-US" w:eastAsia="zh-CN"/>
              </w:rPr>
              <w:t>水</w:t>
            </w:r>
          </w:p>
          <w:p w14:paraId="136E307A">
            <w:pPr>
              <w:keepNext w:val="0"/>
              <w:keepLines w:val="0"/>
              <w:suppressLineNumbers w:val="0"/>
              <w:spacing w:before="0" w:beforeAutospacing="0" w:after="0" w:afterAutospacing="0" w:line="360" w:lineRule="auto"/>
              <w:ind w:left="0" w:right="0" w:firstLine="480" w:firstLineChars="200"/>
              <w:rPr>
                <w:rFonts w:hint="eastAsia"/>
                <w:color w:val="auto"/>
                <w:sz w:val="24"/>
                <w:szCs w:val="24"/>
                <w:highlight w:val="none"/>
                <w:lang w:val="en-US" w:eastAsia="zh-CN"/>
              </w:rPr>
            </w:pPr>
            <w:r>
              <w:rPr>
                <w:rFonts w:hint="eastAsia"/>
                <w:color w:val="auto"/>
                <w:sz w:val="24"/>
                <w:szCs w:val="24"/>
                <w:highlight w:val="none"/>
                <w:lang w:val="en-US" w:eastAsia="zh-CN"/>
              </w:rPr>
              <w:t>清洗用水主要为水性浆料印花网版等冲洗用水，用水量根据建设单位提供资料，项目设备网版清洗用水量为0.1m</w:t>
            </w:r>
            <w:r>
              <w:rPr>
                <w:rFonts w:hint="eastAsia"/>
                <w:color w:val="auto"/>
                <w:sz w:val="24"/>
                <w:szCs w:val="24"/>
                <w:highlight w:val="none"/>
                <w:vertAlign w:val="superscript"/>
                <w:lang w:val="en-US" w:eastAsia="zh-CN"/>
              </w:rPr>
              <w:t>3</w:t>
            </w:r>
            <w:r>
              <w:rPr>
                <w:rFonts w:hint="eastAsia"/>
                <w:color w:val="auto"/>
                <w:sz w:val="24"/>
                <w:szCs w:val="24"/>
                <w:highlight w:val="none"/>
                <w:lang w:val="en-US" w:eastAsia="zh-CN"/>
              </w:rPr>
              <w:t>/次，清洗频次为一天一次，损耗水量0.02m</w:t>
            </w:r>
            <w:r>
              <w:rPr>
                <w:rFonts w:hint="eastAsia"/>
                <w:color w:val="auto"/>
                <w:sz w:val="24"/>
                <w:szCs w:val="24"/>
                <w:highlight w:val="none"/>
                <w:vertAlign w:val="superscript"/>
                <w:lang w:val="en-US" w:eastAsia="zh-CN"/>
              </w:rPr>
              <w:t>3</w:t>
            </w:r>
            <w:r>
              <w:rPr>
                <w:rFonts w:hint="eastAsia"/>
                <w:color w:val="auto"/>
                <w:sz w:val="24"/>
                <w:szCs w:val="24"/>
                <w:highlight w:val="none"/>
                <w:lang w:val="en-US" w:eastAsia="zh-CN"/>
              </w:rPr>
              <w:t>/d，回用水量0.08m</w:t>
            </w:r>
            <w:r>
              <w:rPr>
                <w:rFonts w:hint="eastAsia"/>
                <w:color w:val="auto"/>
                <w:sz w:val="24"/>
                <w:szCs w:val="24"/>
                <w:highlight w:val="none"/>
                <w:vertAlign w:val="superscript"/>
                <w:lang w:val="en-US" w:eastAsia="zh-CN"/>
              </w:rPr>
              <w:t>3</w:t>
            </w:r>
            <w:r>
              <w:rPr>
                <w:rFonts w:hint="eastAsia"/>
                <w:color w:val="auto"/>
                <w:sz w:val="24"/>
                <w:szCs w:val="24"/>
                <w:highlight w:val="none"/>
                <w:lang w:val="en-US" w:eastAsia="zh-CN"/>
              </w:rPr>
              <w:t>/d，只需添加损耗即可。则补水量为0.02m</w:t>
            </w:r>
            <w:r>
              <w:rPr>
                <w:rFonts w:hint="eastAsia"/>
                <w:color w:val="auto"/>
                <w:sz w:val="24"/>
                <w:szCs w:val="24"/>
                <w:highlight w:val="none"/>
                <w:vertAlign w:val="superscript"/>
                <w:lang w:val="en-US" w:eastAsia="zh-CN"/>
              </w:rPr>
              <w:t>3</w:t>
            </w:r>
            <w:r>
              <w:rPr>
                <w:rFonts w:hint="eastAsia"/>
                <w:color w:val="auto"/>
                <w:sz w:val="24"/>
                <w:szCs w:val="24"/>
                <w:highlight w:val="none"/>
                <w:lang w:val="en-US" w:eastAsia="zh-CN"/>
              </w:rPr>
              <w:t>/d，6m</w:t>
            </w:r>
            <w:r>
              <w:rPr>
                <w:rFonts w:hint="eastAsia"/>
                <w:color w:val="auto"/>
                <w:sz w:val="24"/>
                <w:szCs w:val="24"/>
                <w:highlight w:val="none"/>
                <w:vertAlign w:val="superscript"/>
                <w:lang w:val="en-US" w:eastAsia="zh-CN"/>
              </w:rPr>
              <w:t>3</w:t>
            </w:r>
            <w:r>
              <w:rPr>
                <w:rFonts w:hint="eastAsia"/>
                <w:color w:val="auto"/>
                <w:sz w:val="24"/>
                <w:szCs w:val="24"/>
                <w:highlight w:val="none"/>
                <w:lang w:val="en-US" w:eastAsia="zh-CN"/>
              </w:rPr>
              <w:t>/a。</w:t>
            </w:r>
            <w:r>
              <w:rPr>
                <w:rFonts w:hint="default"/>
                <w:b w:val="0"/>
                <w:bCs w:val="0"/>
                <w:color w:val="auto"/>
                <w:sz w:val="24"/>
                <w:highlight w:val="none"/>
                <w:lang w:val="en-US" w:eastAsia="zh-CN"/>
              </w:rPr>
              <w:t>由于</w:t>
            </w:r>
            <w:r>
              <w:rPr>
                <w:rFonts w:hint="eastAsia"/>
                <w:color w:val="auto"/>
                <w:sz w:val="24"/>
                <w:highlight w:val="none"/>
                <w:lang w:val="en-US" w:eastAsia="zh-CN"/>
              </w:rPr>
              <w:t>网版</w:t>
            </w:r>
            <w:r>
              <w:rPr>
                <w:rFonts w:hint="default"/>
                <w:b w:val="0"/>
                <w:bCs w:val="0"/>
                <w:color w:val="auto"/>
                <w:sz w:val="24"/>
                <w:highlight w:val="none"/>
                <w:lang w:val="en-US" w:eastAsia="zh-CN"/>
              </w:rPr>
              <w:t>含有少量有机物，进入废水后无法被过滤，</w:t>
            </w:r>
            <w:r>
              <w:rPr>
                <w:rFonts w:hint="eastAsia"/>
                <w:color w:val="auto"/>
                <w:sz w:val="24"/>
                <w:szCs w:val="24"/>
                <w:highlight w:val="none"/>
                <w:lang w:val="en-US" w:eastAsia="zh-CN"/>
              </w:rPr>
              <w:t>建设单位</w:t>
            </w:r>
            <w:r>
              <w:rPr>
                <w:rFonts w:hint="default"/>
                <w:b w:val="0"/>
                <w:bCs w:val="0"/>
                <w:color w:val="auto"/>
                <w:sz w:val="24"/>
                <w:highlight w:val="none"/>
                <w:lang w:val="en-US" w:eastAsia="zh-CN"/>
              </w:rPr>
              <w:t>预计每</w:t>
            </w:r>
            <w:r>
              <w:rPr>
                <w:rFonts w:hint="eastAsia"/>
                <w:b w:val="0"/>
                <w:bCs w:val="0"/>
                <w:color w:val="auto"/>
                <w:sz w:val="24"/>
                <w:highlight w:val="none"/>
                <w:lang w:val="en-US" w:eastAsia="zh-CN"/>
              </w:rPr>
              <w:t>五天</w:t>
            </w:r>
            <w:r>
              <w:rPr>
                <w:rFonts w:hint="default"/>
                <w:b w:val="0"/>
                <w:bCs w:val="0"/>
                <w:color w:val="auto"/>
                <w:sz w:val="24"/>
                <w:highlight w:val="none"/>
                <w:lang w:val="en-US" w:eastAsia="zh-CN"/>
              </w:rPr>
              <w:t>对清洗水进行更换，更换的废水作为危废处置，按照年更换</w:t>
            </w:r>
            <w:r>
              <w:rPr>
                <w:rFonts w:hint="eastAsia"/>
                <w:b w:val="0"/>
                <w:bCs w:val="0"/>
                <w:color w:val="auto"/>
                <w:sz w:val="24"/>
                <w:highlight w:val="none"/>
                <w:lang w:val="en-US" w:eastAsia="zh-CN"/>
              </w:rPr>
              <w:t>60</w:t>
            </w:r>
            <w:r>
              <w:rPr>
                <w:rFonts w:hint="default"/>
                <w:b w:val="0"/>
                <w:bCs w:val="0"/>
                <w:color w:val="auto"/>
                <w:sz w:val="24"/>
                <w:highlight w:val="none"/>
                <w:lang w:val="en-US" w:eastAsia="zh-CN"/>
              </w:rPr>
              <w:t>次核算，</w:t>
            </w:r>
            <w:r>
              <w:rPr>
                <w:rFonts w:hint="eastAsia"/>
                <w:color w:val="auto"/>
                <w:sz w:val="24"/>
                <w:szCs w:val="24"/>
                <w:highlight w:val="none"/>
                <w:lang w:val="en-US" w:eastAsia="zh-CN"/>
              </w:rPr>
              <w:t>更换的清洗废水作为危废送有资质的单位处理，更换用水为6m</w:t>
            </w:r>
            <w:r>
              <w:rPr>
                <w:rFonts w:hint="eastAsia"/>
                <w:color w:val="auto"/>
                <w:sz w:val="24"/>
                <w:szCs w:val="24"/>
                <w:highlight w:val="none"/>
                <w:vertAlign w:val="superscript"/>
                <w:lang w:val="en-US" w:eastAsia="zh-CN"/>
              </w:rPr>
              <w:t>3</w:t>
            </w:r>
            <w:r>
              <w:rPr>
                <w:rFonts w:hint="eastAsia"/>
                <w:color w:val="auto"/>
                <w:sz w:val="24"/>
                <w:szCs w:val="24"/>
                <w:highlight w:val="none"/>
                <w:lang w:val="en-US" w:eastAsia="zh-CN"/>
              </w:rPr>
              <w:t>/a。则清洗用水总量为12m</w:t>
            </w:r>
            <w:r>
              <w:rPr>
                <w:rFonts w:hint="eastAsia"/>
                <w:color w:val="auto"/>
                <w:sz w:val="24"/>
                <w:szCs w:val="24"/>
                <w:highlight w:val="none"/>
                <w:vertAlign w:val="superscript"/>
                <w:lang w:val="en-US" w:eastAsia="zh-CN"/>
              </w:rPr>
              <w:t>3</w:t>
            </w:r>
            <w:r>
              <w:rPr>
                <w:rFonts w:hint="eastAsia"/>
                <w:color w:val="auto"/>
                <w:sz w:val="24"/>
                <w:szCs w:val="24"/>
                <w:highlight w:val="none"/>
                <w:lang w:val="en-US" w:eastAsia="zh-CN"/>
              </w:rPr>
              <w:t>/a。</w:t>
            </w:r>
          </w:p>
          <w:p w14:paraId="20D2073C">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2）间接冷却水</w:t>
            </w:r>
          </w:p>
          <w:p w14:paraId="5626CE63">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项目生产期间，注塑过程中采用水冷方式间接冷却，冷却水循环使用，其消耗方式主要为蒸发耗散，定期补充不外排。项目共设1台冷却塔，单台冷却塔水流量按2m</w:t>
            </w:r>
            <w:r>
              <w:rPr>
                <w:rFonts w:hint="eastAsia" w:ascii="Times New Roman" w:hAnsi="Times New Roman" w:eastAsia="宋体" w:cs="Times New Roman"/>
                <w:color w:val="auto"/>
                <w:sz w:val="24"/>
                <w:szCs w:val="24"/>
                <w:highlight w:val="none"/>
                <w:vertAlign w:val="superscript"/>
                <w:lang w:val="en-US" w:eastAsia="zh-CN"/>
              </w:rPr>
              <w:t>3</w:t>
            </w:r>
            <w:r>
              <w:rPr>
                <w:rFonts w:hint="eastAsia" w:ascii="Times New Roman" w:hAnsi="Times New Roman" w:eastAsia="宋体" w:cs="Times New Roman"/>
                <w:color w:val="auto"/>
                <w:sz w:val="24"/>
                <w:szCs w:val="24"/>
                <w:highlight w:val="none"/>
                <w:lang w:val="en-US" w:eastAsia="zh-CN"/>
              </w:rPr>
              <w:t>/h计，年运行时间4800小时，则冷却水年循环流量9600m</w:t>
            </w:r>
            <w:r>
              <w:rPr>
                <w:rFonts w:hint="eastAsia" w:ascii="Times New Roman" w:hAnsi="Times New Roman" w:eastAsia="宋体" w:cs="Times New Roman"/>
                <w:color w:val="auto"/>
                <w:sz w:val="24"/>
                <w:szCs w:val="24"/>
                <w:highlight w:val="none"/>
                <w:vertAlign w:val="superscript"/>
                <w:lang w:val="en-US" w:eastAsia="zh-CN"/>
              </w:rPr>
              <w:t>3</w:t>
            </w:r>
            <w:r>
              <w:rPr>
                <w:rFonts w:hint="eastAsia" w:ascii="Times New Roman" w:hAnsi="Times New Roman" w:eastAsia="宋体" w:cs="Times New Roman"/>
                <w:color w:val="auto"/>
                <w:sz w:val="24"/>
                <w:szCs w:val="24"/>
                <w:highlight w:val="none"/>
                <w:lang w:val="en-US" w:eastAsia="zh-CN"/>
              </w:rPr>
              <w:t>/a，蒸发损耗量按2%计，则冷却水损耗量192t/a，即新鲜水补充192t/a。</w:t>
            </w:r>
          </w:p>
          <w:p w14:paraId="3F214136">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b w:val="0"/>
                <w:bCs/>
                <w:color w:val="auto"/>
                <w:sz w:val="24"/>
                <w:szCs w:val="24"/>
                <w:lang w:val="en-US" w:eastAsia="zh-CN"/>
              </w:rPr>
            </w:pPr>
            <w:r>
              <w:rPr>
                <w:rFonts w:hint="eastAsia" w:cs="Times New Roman"/>
                <w:b w:val="0"/>
                <w:bCs/>
                <w:color w:val="auto"/>
                <w:sz w:val="24"/>
                <w:szCs w:val="24"/>
                <w:lang w:val="en-US" w:eastAsia="zh-CN"/>
              </w:rPr>
              <w:t>3</w:t>
            </w:r>
            <w:r>
              <w:rPr>
                <w:rFonts w:hint="eastAsia" w:ascii="Times New Roman" w:hAnsi="Times New Roman" w:eastAsia="宋体" w:cs="Times New Roman"/>
                <w:b w:val="0"/>
                <w:bCs/>
                <w:color w:val="auto"/>
                <w:sz w:val="24"/>
                <w:szCs w:val="24"/>
                <w:lang w:val="en-US" w:eastAsia="zh-CN"/>
              </w:rPr>
              <w:t>）生活用水</w:t>
            </w:r>
          </w:p>
          <w:p w14:paraId="34A921D8">
            <w:pPr>
              <w:keepNext w:val="0"/>
              <w:keepLines w:val="0"/>
              <w:suppressLineNumbers w:val="0"/>
              <w:spacing w:before="0" w:beforeAutospacing="0" w:after="0" w:afterAutospacing="0" w:line="360" w:lineRule="auto"/>
              <w:ind w:left="0" w:right="0" w:firstLine="480" w:firstLineChars="200"/>
              <w:rPr>
                <w:rFonts w:hint="eastAsia"/>
                <w:color w:val="auto"/>
                <w:spacing w:val="0"/>
                <w:sz w:val="24"/>
                <w:szCs w:val="24"/>
                <w:highlight w:val="none"/>
                <w:lang w:val="en-US" w:eastAsia="zh-CN"/>
              </w:rPr>
            </w:pPr>
            <w:r>
              <w:rPr>
                <w:rFonts w:hint="eastAsia" w:ascii="Times New Roman" w:hAnsi="Times New Roman" w:eastAsia="宋体" w:cs="Times New Roman"/>
                <w:b w:val="0"/>
                <w:bCs/>
                <w:color w:val="auto"/>
                <w:sz w:val="24"/>
                <w:szCs w:val="24"/>
                <w:lang w:val="en-US" w:eastAsia="zh-CN"/>
              </w:rPr>
              <w:t>项目劳动定员</w:t>
            </w:r>
            <w:r>
              <w:rPr>
                <w:rFonts w:hint="eastAsia" w:cs="Times New Roman"/>
                <w:b w:val="0"/>
                <w:bCs/>
                <w:color w:val="auto"/>
                <w:sz w:val="24"/>
                <w:szCs w:val="24"/>
                <w:lang w:val="en-US" w:eastAsia="zh-CN"/>
              </w:rPr>
              <w:t>500</w:t>
            </w:r>
            <w:r>
              <w:rPr>
                <w:rFonts w:hint="eastAsia" w:ascii="Times New Roman" w:hAnsi="Times New Roman" w:eastAsia="宋体" w:cs="Times New Roman"/>
                <w:b w:val="0"/>
                <w:bCs/>
                <w:color w:val="auto"/>
                <w:sz w:val="24"/>
                <w:szCs w:val="24"/>
                <w:lang w:val="en-US" w:eastAsia="zh-CN"/>
              </w:rPr>
              <w:t>人，厂区内提供</w:t>
            </w:r>
            <w:r>
              <w:rPr>
                <w:rFonts w:hint="eastAsia" w:cs="Times New Roman"/>
                <w:b w:val="0"/>
                <w:bCs/>
                <w:color w:val="auto"/>
                <w:sz w:val="24"/>
                <w:szCs w:val="24"/>
                <w:lang w:val="en-US" w:eastAsia="zh-CN"/>
              </w:rPr>
              <w:t>餐食</w:t>
            </w:r>
            <w:r>
              <w:rPr>
                <w:rFonts w:hint="eastAsia" w:ascii="Times New Roman" w:hAnsi="Times New Roman" w:eastAsia="宋体" w:cs="Times New Roman"/>
                <w:b w:val="0"/>
                <w:bCs/>
                <w:color w:val="auto"/>
                <w:sz w:val="24"/>
                <w:szCs w:val="24"/>
                <w:lang w:val="en-US" w:eastAsia="zh-CN"/>
              </w:rPr>
              <w:t>。根据《生活及服务业用水定额 第2部分：服务业、居民生活和建筑业》（赣府发〔2024〕17号），项目位于</w:t>
            </w:r>
            <w:r>
              <w:rPr>
                <w:rFonts w:hint="eastAsia" w:cs="Times New Roman"/>
                <w:b w:val="0"/>
                <w:bCs/>
                <w:color w:val="auto"/>
                <w:sz w:val="24"/>
                <w:szCs w:val="24"/>
                <w:lang w:val="en-US" w:eastAsia="zh-CN"/>
              </w:rPr>
              <w:t>城镇</w:t>
            </w:r>
            <w:r>
              <w:rPr>
                <w:rFonts w:hint="eastAsia" w:ascii="Times New Roman" w:hAnsi="Times New Roman" w:eastAsia="宋体" w:cs="Times New Roman"/>
                <w:b w:val="0"/>
                <w:bCs/>
                <w:color w:val="auto"/>
                <w:sz w:val="24"/>
                <w:szCs w:val="24"/>
                <w:lang w:val="en-US" w:eastAsia="zh-CN"/>
              </w:rPr>
              <w:t>地区，人均用水量按1</w:t>
            </w:r>
            <w:r>
              <w:rPr>
                <w:rFonts w:hint="eastAsia" w:cs="Times New Roman"/>
                <w:b w:val="0"/>
                <w:bCs/>
                <w:color w:val="auto"/>
                <w:sz w:val="24"/>
                <w:szCs w:val="24"/>
                <w:lang w:val="en-US" w:eastAsia="zh-CN"/>
              </w:rPr>
              <w:t>6</w:t>
            </w:r>
            <w:r>
              <w:rPr>
                <w:rFonts w:hint="eastAsia" w:ascii="Times New Roman" w:hAnsi="Times New Roman" w:eastAsia="宋体" w:cs="Times New Roman"/>
                <w:b w:val="0"/>
                <w:bCs/>
                <w:color w:val="auto"/>
                <w:sz w:val="24"/>
                <w:szCs w:val="24"/>
                <w:lang w:val="en-US" w:eastAsia="zh-CN"/>
              </w:rPr>
              <w:t>0L/d计，排放系数取0.8，则生活用水量为</w:t>
            </w:r>
            <w:r>
              <w:rPr>
                <w:rFonts w:hint="eastAsia" w:cs="Times New Roman"/>
                <w:b w:val="0"/>
                <w:bCs/>
                <w:color w:val="auto"/>
                <w:sz w:val="24"/>
                <w:szCs w:val="24"/>
                <w:lang w:val="en-US" w:eastAsia="zh-CN"/>
              </w:rPr>
              <w:t>80</w:t>
            </w:r>
            <w:r>
              <w:rPr>
                <w:rFonts w:hint="eastAsia" w:ascii="Times New Roman" w:hAnsi="Times New Roman" w:eastAsia="宋体" w:cs="Times New Roman"/>
                <w:b w:val="0"/>
                <w:bCs/>
                <w:color w:val="auto"/>
                <w:sz w:val="24"/>
                <w:szCs w:val="24"/>
                <w:lang w:val="en-US" w:eastAsia="zh-CN"/>
              </w:rPr>
              <w:t>m</w:t>
            </w:r>
            <w:r>
              <w:rPr>
                <w:rFonts w:hint="eastAsia" w:ascii="Times New Roman" w:hAnsi="Times New Roman" w:eastAsia="宋体" w:cs="Times New Roman"/>
                <w:b w:val="0"/>
                <w:bCs/>
                <w:color w:val="auto"/>
                <w:sz w:val="24"/>
                <w:szCs w:val="24"/>
                <w:vertAlign w:val="superscript"/>
                <w:lang w:val="en-US" w:eastAsia="zh-CN"/>
              </w:rPr>
              <w:t>3</w:t>
            </w:r>
            <w:r>
              <w:rPr>
                <w:rFonts w:hint="eastAsia" w:ascii="Times New Roman" w:hAnsi="Times New Roman" w:eastAsia="宋体" w:cs="Times New Roman"/>
                <w:b w:val="0"/>
                <w:bCs/>
                <w:color w:val="auto"/>
                <w:sz w:val="24"/>
                <w:szCs w:val="24"/>
                <w:lang w:val="en-US" w:eastAsia="zh-CN"/>
              </w:rPr>
              <w:t>/d（</w:t>
            </w:r>
            <w:r>
              <w:rPr>
                <w:rFonts w:hint="eastAsia" w:cs="Times New Roman"/>
                <w:b w:val="0"/>
                <w:bCs/>
                <w:color w:val="auto"/>
                <w:sz w:val="24"/>
                <w:szCs w:val="24"/>
                <w:lang w:val="en-US" w:eastAsia="zh-CN"/>
              </w:rPr>
              <w:t>24000</w:t>
            </w:r>
            <w:r>
              <w:rPr>
                <w:rFonts w:hint="eastAsia" w:ascii="Times New Roman" w:hAnsi="Times New Roman" w:eastAsia="宋体" w:cs="Times New Roman"/>
                <w:b w:val="0"/>
                <w:bCs/>
                <w:color w:val="auto"/>
                <w:sz w:val="24"/>
                <w:szCs w:val="24"/>
                <w:lang w:val="en-US" w:eastAsia="zh-CN"/>
              </w:rPr>
              <w:t>m</w:t>
            </w:r>
            <w:r>
              <w:rPr>
                <w:rFonts w:hint="eastAsia" w:ascii="Times New Roman" w:hAnsi="Times New Roman" w:eastAsia="宋体" w:cs="Times New Roman"/>
                <w:b w:val="0"/>
                <w:bCs/>
                <w:color w:val="auto"/>
                <w:sz w:val="24"/>
                <w:szCs w:val="24"/>
                <w:vertAlign w:val="superscript"/>
                <w:lang w:val="en-US" w:eastAsia="zh-CN"/>
              </w:rPr>
              <w:t>3</w:t>
            </w:r>
            <w:r>
              <w:rPr>
                <w:rFonts w:hint="eastAsia" w:ascii="Times New Roman" w:hAnsi="Times New Roman" w:eastAsia="宋体" w:cs="Times New Roman"/>
                <w:b w:val="0"/>
                <w:bCs/>
                <w:color w:val="auto"/>
                <w:sz w:val="24"/>
                <w:szCs w:val="24"/>
                <w:lang w:val="en-US" w:eastAsia="zh-CN"/>
              </w:rPr>
              <w:t>/a），生活污水产生量为</w:t>
            </w:r>
            <w:r>
              <w:rPr>
                <w:rFonts w:hint="eastAsia" w:cs="Times New Roman"/>
                <w:b w:val="0"/>
                <w:bCs/>
                <w:color w:val="auto"/>
                <w:sz w:val="24"/>
                <w:szCs w:val="24"/>
                <w:lang w:val="en-US" w:eastAsia="zh-CN"/>
              </w:rPr>
              <w:t>64</w:t>
            </w:r>
            <w:r>
              <w:rPr>
                <w:rFonts w:hint="eastAsia" w:ascii="Times New Roman" w:hAnsi="Times New Roman" w:eastAsia="宋体" w:cs="Times New Roman"/>
                <w:b w:val="0"/>
                <w:bCs/>
                <w:color w:val="auto"/>
                <w:sz w:val="24"/>
                <w:szCs w:val="24"/>
                <w:lang w:val="en-US" w:eastAsia="zh-CN"/>
              </w:rPr>
              <w:t>m</w:t>
            </w:r>
            <w:r>
              <w:rPr>
                <w:rFonts w:hint="eastAsia" w:ascii="Times New Roman" w:hAnsi="Times New Roman" w:eastAsia="宋体" w:cs="Times New Roman"/>
                <w:b w:val="0"/>
                <w:bCs/>
                <w:color w:val="auto"/>
                <w:sz w:val="24"/>
                <w:szCs w:val="24"/>
                <w:vertAlign w:val="superscript"/>
                <w:lang w:val="en-US" w:eastAsia="zh-CN"/>
              </w:rPr>
              <w:t>3</w:t>
            </w:r>
            <w:r>
              <w:rPr>
                <w:rFonts w:hint="eastAsia" w:ascii="Times New Roman" w:hAnsi="Times New Roman" w:eastAsia="宋体" w:cs="Times New Roman"/>
                <w:b w:val="0"/>
                <w:bCs/>
                <w:color w:val="auto"/>
                <w:sz w:val="24"/>
                <w:szCs w:val="24"/>
                <w:lang w:val="en-US" w:eastAsia="zh-CN"/>
              </w:rPr>
              <w:t>/d（</w:t>
            </w:r>
            <w:r>
              <w:rPr>
                <w:rFonts w:hint="eastAsia" w:cs="Times New Roman"/>
                <w:b w:val="0"/>
                <w:bCs/>
                <w:color w:val="auto"/>
                <w:sz w:val="24"/>
                <w:szCs w:val="24"/>
                <w:lang w:val="en-US" w:eastAsia="zh-CN"/>
              </w:rPr>
              <w:t>19200</w:t>
            </w:r>
            <w:r>
              <w:rPr>
                <w:rFonts w:hint="eastAsia" w:ascii="Times New Roman" w:hAnsi="Times New Roman" w:eastAsia="宋体" w:cs="Times New Roman"/>
                <w:b w:val="0"/>
                <w:bCs/>
                <w:color w:val="auto"/>
                <w:sz w:val="24"/>
                <w:szCs w:val="24"/>
                <w:lang w:val="en-US" w:eastAsia="zh-CN"/>
              </w:rPr>
              <w:t>m</w:t>
            </w:r>
            <w:r>
              <w:rPr>
                <w:rFonts w:hint="eastAsia" w:ascii="Times New Roman" w:hAnsi="Times New Roman" w:eastAsia="宋体" w:cs="Times New Roman"/>
                <w:b w:val="0"/>
                <w:bCs/>
                <w:color w:val="auto"/>
                <w:sz w:val="24"/>
                <w:szCs w:val="24"/>
                <w:vertAlign w:val="superscript"/>
                <w:lang w:val="en-US" w:eastAsia="zh-CN"/>
              </w:rPr>
              <w:t>3</w:t>
            </w:r>
            <w:r>
              <w:rPr>
                <w:rFonts w:hint="eastAsia" w:ascii="Times New Roman" w:hAnsi="Times New Roman" w:eastAsia="宋体" w:cs="Times New Roman"/>
                <w:b w:val="0"/>
                <w:bCs/>
                <w:color w:val="auto"/>
                <w:sz w:val="24"/>
                <w:szCs w:val="24"/>
                <w:lang w:val="en-US" w:eastAsia="zh-CN"/>
              </w:rPr>
              <w:t>/a），</w:t>
            </w:r>
            <w:r>
              <w:rPr>
                <w:rFonts w:hint="eastAsia"/>
                <w:color w:val="auto"/>
                <w:spacing w:val="0"/>
                <w:sz w:val="24"/>
                <w:szCs w:val="24"/>
                <w:highlight w:val="none"/>
                <w:lang w:val="en-US" w:eastAsia="zh-CN"/>
              </w:rPr>
              <w:t>生活污水经隔油池+化粪池处理后排入园区污水管网，接</w:t>
            </w:r>
            <w:r>
              <w:rPr>
                <w:rFonts w:hint="default"/>
                <w:color w:val="auto"/>
                <w:spacing w:val="0"/>
                <w:sz w:val="24"/>
                <w:szCs w:val="24"/>
                <w:highlight w:val="none"/>
                <w:lang w:val="en-US" w:eastAsia="zh-CN"/>
              </w:rPr>
              <w:t>入乐平市金山工业区</w:t>
            </w:r>
            <w:r>
              <w:rPr>
                <w:rFonts w:hint="eastAsia"/>
                <w:color w:val="auto"/>
                <w:spacing w:val="0"/>
                <w:sz w:val="24"/>
                <w:szCs w:val="24"/>
                <w:highlight w:val="none"/>
                <w:lang w:val="en-US" w:eastAsia="zh-CN"/>
              </w:rPr>
              <w:t>一期污水站处理，污水处理站进一步处理达到《城镇污水处理厂污染物排放标准》（GB18918-2002）中一级A标准后，尾水最终汇入乐安河。</w:t>
            </w:r>
          </w:p>
          <w:p w14:paraId="4CE534CB">
            <w:pPr>
              <w:pStyle w:val="117"/>
              <w:keepNext w:val="0"/>
              <w:keepLines w:val="0"/>
              <w:suppressLineNumbers w:val="0"/>
              <w:spacing w:before="0" w:beforeAutospacing="0" w:after="0" w:afterAutospacing="0"/>
              <w:ind w:left="0" w:right="0" w:firstLine="422"/>
              <w:jc w:val="center"/>
              <w:rPr>
                <w:rFonts w:hint="default" w:ascii="Times New Roman" w:hAnsi="Times New Roman" w:eastAsia="宋体" w:cs="Times New Roman"/>
                <w:b/>
                <w:bCs w:val="0"/>
                <w:color w:val="auto"/>
                <w:sz w:val="21"/>
                <w:szCs w:val="16"/>
                <w:lang w:val="en-US" w:eastAsia="zh-CN"/>
              </w:rPr>
            </w:pPr>
            <w:r>
              <w:rPr>
                <w:rFonts w:hint="eastAsia" w:ascii="Times New Roman" w:hAnsi="Times New Roman" w:eastAsia="宋体" w:cs="Times New Roman"/>
                <w:b/>
                <w:bCs w:val="0"/>
                <w:color w:val="auto"/>
                <w:sz w:val="21"/>
                <w:szCs w:val="16"/>
                <w:lang w:val="en-US" w:eastAsia="zh-CN"/>
              </w:rPr>
              <w:t>表2-</w:t>
            </w:r>
            <w:r>
              <w:rPr>
                <w:rFonts w:hint="eastAsia" w:cs="Times New Roman"/>
                <w:b/>
                <w:bCs w:val="0"/>
                <w:color w:val="auto"/>
                <w:sz w:val="21"/>
                <w:szCs w:val="16"/>
                <w:lang w:val="en-US" w:eastAsia="zh-CN"/>
              </w:rPr>
              <w:t xml:space="preserve">9  </w:t>
            </w:r>
            <w:r>
              <w:rPr>
                <w:rFonts w:hint="eastAsia" w:ascii="Times New Roman" w:hAnsi="Times New Roman" w:eastAsia="宋体" w:cs="Times New Roman"/>
                <w:b/>
                <w:bCs w:val="0"/>
                <w:color w:val="auto"/>
                <w:sz w:val="21"/>
                <w:szCs w:val="16"/>
                <w:lang w:val="en-US" w:eastAsia="zh-CN"/>
              </w:rPr>
              <w:t>项目水平衡表</w:t>
            </w:r>
            <w:r>
              <w:rPr>
                <w:rFonts w:hint="default" w:ascii="Times New Roman" w:hAnsi="Times New Roman" w:eastAsia="宋体" w:cs="Times New Roman"/>
                <w:b/>
                <w:bCs/>
                <w:i w:val="0"/>
                <w:iCs w:val="0"/>
                <w:color w:val="auto"/>
                <w:kern w:val="0"/>
                <w:sz w:val="21"/>
                <w:szCs w:val="21"/>
                <w:u w:val="none"/>
                <w:lang w:val="en-US" w:eastAsia="zh-CN" w:bidi="ar"/>
              </w:rPr>
              <w:t>（</w:t>
            </w:r>
            <w:r>
              <w:rPr>
                <w:rFonts w:hint="eastAsia" w:ascii="Times New Roman" w:hAnsi="Times New Roman" w:eastAsia="宋体" w:cs="Times New Roman"/>
                <w:b/>
                <w:bCs/>
                <w:i w:val="0"/>
                <w:iCs w:val="0"/>
                <w:color w:val="auto"/>
                <w:kern w:val="0"/>
                <w:sz w:val="21"/>
                <w:szCs w:val="21"/>
                <w:u w:val="none"/>
                <w:lang w:val="en-US" w:eastAsia="zh-CN" w:bidi="ar"/>
              </w:rPr>
              <w:t>单位</w:t>
            </w:r>
            <w:r>
              <w:rPr>
                <w:rFonts w:hint="default" w:ascii="Times New Roman" w:hAnsi="Times New Roman" w:cs="Times New Roman"/>
                <w:b/>
                <w:bCs/>
                <w:i w:val="0"/>
                <w:iCs w:val="0"/>
                <w:color w:val="auto"/>
                <w:kern w:val="0"/>
                <w:sz w:val="21"/>
                <w:szCs w:val="21"/>
                <w:u w:val="none"/>
                <w:lang w:val="en-US" w:eastAsia="zh-CN" w:bidi="ar"/>
              </w:rPr>
              <w:t>m</w:t>
            </w:r>
            <w:r>
              <w:rPr>
                <w:rFonts w:hint="default" w:ascii="Times New Roman" w:hAnsi="Times New Roman" w:cs="Times New Roman"/>
                <w:b/>
                <w:bCs/>
                <w:i w:val="0"/>
                <w:iCs w:val="0"/>
                <w:color w:val="auto"/>
                <w:kern w:val="0"/>
                <w:sz w:val="21"/>
                <w:szCs w:val="21"/>
                <w:u w:val="none"/>
                <w:vertAlign w:val="superscript"/>
                <w:lang w:val="en-US" w:eastAsia="zh-CN" w:bidi="ar"/>
              </w:rPr>
              <w:t>3</w:t>
            </w:r>
            <w:r>
              <w:rPr>
                <w:rFonts w:hint="default" w:ascii="Times New Roman" w:hAnsi="Times New Roman" w:eastAsia="宋体" w:cs="Times New Roman"/>
                <w:b/>
                <w:bCs/>
                <w:i w:val="0"/>
                <w:iCs w:val="0"/>
                <w:color w:val="auto"/>
                <w:kern w:val="0"/>
                <w:sz w:val="21"/>
                <w:szCs w:val="21"/>
                <w:u w:val="none"/>
                <w:lang w:val="en-US" w:eastAsia="zh-CN" w:bidi="ar"/>
              </w:rPr>
              <w:t>/</w:t>
            </w:r>
            <w:r>
              <w:rPr>
                <w:rFonts w:hint="eastAsia" w:ascii="Times New Roman" w:hAnsi="Times New Roman" w:eastAsia="宋体" w:cs="Times New Roman"/>
                <w:b/>
                <w:bCs/>
                <w:i w:val="0"/>
                <w:iCs w:val="0"/>
                <w:color w:val="auto"/>
                <w:kern w:val="0"/>
                <w:sz w:val="21"/>
                <w:szCs w:val="21"/>
                <w:u w:val="none"/>
                <w:lang w:val="en-US" w:eastAsia="zh-CN" w:bidi="ar"/>
              </w:rPr>
              <w:t>d</w:t>
            </w:r>
            <w:r>
              <w:rPr>
                <w:rFonts w:hint="default" w:ascii="Times New Roman" w:hAnsi="Times New Roman" w:eastAsia="宋体" w:cs="Times New Roman"/>
                <w:b/>
                <w:bCs/>
                <w:i w:val="0"/>
                <w:iCs w:val="0"/>
                <w:color w:val="auto"/>
                <w:kern w:val="0"/>
                <w:sz w:val="21"/>
                <w:szCs w:val="21"/>
                <w:u w:val="none"/>
                <w:lang w:val="en-US" w:eastAsia="zh-CN" w:bidi="ar"/>
              </w:rP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1474"/>
              <w:gridCol w:w="942"/>
              <w:gridCol w:w="1200"/>
              <w:gridCol w:w="1054"/>
              <w:gridCol w:w="1028"/>
              <w:gridCol w:w="882"/>
              <w:gridCol w:w="1144"/>
              <w:gridCol w:w="677"/>
            </w:tblGrid>
            <w:tr w14:paraId="0B56DF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PrEx>
              <w:trPr>
                <w:trHeight w:val="300" w:hRule="atLeast"/>
              </w:trPr>
              <w:tc>
                <w:tcPr>
                  <w:tcW w:w="877" w:type="pct"/>
                  <w:vMerge w:val="restart"/>
                  <w:shd w:val="clear" w:color="auto" w:fill="auto"/>
                  <w:vAlign w:val="center"/>
                </w:tcPr>
                <w:p w14:paraId="4A40BB9E">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auto"/>
                      <w:kern w:val="0"/>
                      <w:sz w:val="21"/>
                      <w:szCs w:val="21"/>
                      <w:u w:val="none"/>
                      <w:lang w:val="en-US" w:eastAsia="zh-CN" w:bidi="ar"/>
                    </w:rPr>
                  </w:pPr>
                  <w:r>
                    <w:rPr>
                      <w:rFonts w:hint="default" w:ascii="Times New Roman" w:hAnsi="Times New Roman" w:eastAsia="宋体" w:cs="Times New Roman"/>
                      <w:b/>
                      <w:bCs/>
                      <w:i w:val="0"/>
                      <w:iCs w:val="0"/>
                      <w:color w:val="auto"/>
                      <w:kern w:val="0"/>
                      <w:sz w:val="21"/>
                      <w:szCs w:val="21"/>
                      <w:u w:val="none"/>
                      <w:lang w:val="en-US" w:eastAsia="zh-CN" w:bidi="ar"/>
                    </w:rPr>
                    <w:t>用水</w:t>
                  </w:r>
                </w:p>
              </w:tc>
              <w:tc>
                <w:tcPr>
                  <w:tcW w:w="560" w:type="pct"/>
                  <w:vMerge w:val="restart"/>
                  <w:shd w:val="clear" w:color="auto" w:fill="auto"/>
                  <w:vAlign w:val="center"/>
                </w:tcPr>
                <w:p w14:paraId="427C2852">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auto"/>
                      <w:kern w:val="0"/>
                      <w:sz w:val="21"/>
                      <w:szCs w:val="21"/>
                      <w:u w:val="none"/>
                      <w:lang w:val="en-US" w:eastAsia="zh-CN" w:bidi="ar"/>
                    </w:rPr>
                  </w:pPr>
                  <w:r>
                    <w:rPr>
                      <w:rFonts w:hint="default" w:ascii="Times New Roman" w:hAnsi="Times New Roman" w:eastAsia="宋体" w:cs="Times New Roman"/>
                      <w:b/>
                      <w:bCs/>
                      <w:i w:val="0"/>
                      <w:iCs w:val="0"/>
                      <w:color w:val="auto"/>
                      <w:kern w:val="0"/>
                      <w:sz w:val="21"/>
                      <w:szCs w:val="21"/>
                      <w:u w:val="none"/>
                      <w:lang w:val="en-US" w:eastAsia="zh-CN" w:bidi="ar"/>
                    </w:rPr>
                    <w:t>总用水量</w:t>
                  </w:r>
                </w:p>
              </w:tc>
              <w:tc>
                <w:tcPr>
                  <w:tcW w:w="1341" w:type="pct"/>
                  <w:gridSpan w:val="2"/>
                  <w:shd w:val="clear" w:color="auto" w:fill="auto"/>
                  <w:vAlign w:val="center"/>
                </w:tcPr>
                <w:p w14:paraId="5BCD31F5">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auto"/>
                      <w:kern w:val="0"/>
                      <w:sz w:val="21"/>
                      <w:szCs w:val="21"/>
                      <w:u w:val="none"/>
                      <w:lang w:val="en-US" w:eastAsia="zh-CN" w:bidi="ar"/>
                    </w:rPr>
                  </w:pPr>
                  <w:r>
                    <w:rPr>
                      <w:rFonts w:hint="default" w:ascii="Times New Roman" w:hAnsi="Times New Roman" w:eastAsia="宋体" w:cs="Times New Roman"/>
                      <w:b/>
                      <w:bCs/>
                      <w:i w:val="0"/>
                      <w:iCs w:val="0"/>
                      <w:color w:val="auto"/>
                      <w:kern w:val="0"/>
                      <w:sz w:val="21"/>
                      <w:szCs w:val="21"/>
                      <w:u w:val="none"/>
                      <w:lang w:val="en-US" w:eastAsia="zh-CN" w:bidi="ar"/>
                    </w:rPr>
                    <w:t>投入</w:t>
                  </w:r>
                </w:p>
              </w:tc>
              <w:tc>
                <w:tcPr>
                  <w:tcW w:w="2220" w:type="pct"/>
                  <w:gridSpan w:val="4"/>
                  <w:shd w:val="clear" w:color="auto" w:fill="auto"/>
                  <w:vAlign w:val="center"/>
                </w:tcPr>
                <w:p w14:paraId="4D914529">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auto"/>
                      <w:kern w:val="0"/>
                      <w:sz w:val="21"/>
                      <w:szCs w:val="21"/>
                      <w:u w:val="none"/>
                      <w:lang w:val="en-US" w:eastAsia="zh-CN" w:bidi="ar"/>
                    </w:rPr>
                  </w:pPr>
                  <w:r>
                    <w:rPr>
                      <w:rFonts w:hint="default" w:ascii="Times New Roman" w:hAnsi="Times New Roman" w:eastAsia="宋体" w:cs="Times New Roman"/>
                      <w:b/>
                      <w:bCs/>
                      <w:i w:val="0"/>
                      <w:iCs w:val="0"/>
                      <w:color w:val="auto"/>
                      <w:kern w:val="0"/>
                      <w:sz w:val="21"/>
                      <w:szCs w:val="21"/>
                      <w:u w:val="none"/>
                      <w:lang w:val="en-US" w:eastAsia="zh-CN" w:bidi="ar"/>
                    </w:rPr>
                    <w:t>产出</w:t>
                  </w:r>
                </w:p>
              </w:tc>
            </w:tr>
            <w:tr w14:paraId="1862E7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80" w:hRule="atLeast"/>
              </w:trPr>
              <w:tc>
                <w:tcPr>
                  <w:tcW w:w="877" w:type="pct"/>
                  <w:vMerge w:val="continue"/>
                  <w:shd w:val="clear" w:color="auto" w:fill="auto"/>
                  <w:vAlign w:val="center"/>
                </w:tcPr>
                <w:p w14:paraId="4DB1DC92">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auto"/>
                      <w:kern w:val="0"/>
                      <w:sz w:val="21"/>
                      <w:szCs w:val="21"/>
                      <w:u w:val="none"/>
                      <w:lang w:val="en-US" w:eastAsia="zh-CN" w:bidi="ar"/>
                    </w:rPr>
                  </w:pPr>
                  <w:bookmarkStart w:id="10" w:name="OLE_LINK51" w:colFirst="2" w:colLast="10"/>
                </w:p>
              </w:tc>
              <w:tc>
                <w:tcPr>
                  <w:tcW w:w="560" w:type="pct"/>
                  <w:vMerge w:val="continue"/>
                  <w:shd w:val="clear" w:color="auto" w:fill="auto"/>
                  <w:vAlign w:val="center"/>
                </w:tcPr>
                <w:p w14:paraId="441F92FA">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auto"/>
                      <w:kern w:val="0"/>
                      <w:sz w:val="21"/>
                      <w:szCs w:val="21"/>
                      <w:u w:val="none"/>
                      <w:lang w:val="en-US" w:eastAsia="zh-CN" w:bidi="ar"/>
                    </w:rPr>
                  </w:pPr>
                </w:p>
              </w:tc>
              <w:tc>
                <w:tcPr>
                  <w:tcW w:w="714" w:type="pct"/>
                  <w:shd w:val="clear" w:color="auto" w:fill="auto"/>
                  <w:vAlign w:val="center"/>
                </w:tcPr>
                <w:p w14:paraId="3868D8A5">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auto"/>
                      <w:kern w:val="0"/>
                      <w:sz w:val="21"/>
                      <w:szCs w:val="21"/>
                      <w:u w:val="none"/>
                      <w:lang w:val="en-US" w:eastAsia="zh-CN" w:bidi="ar"/>
                    </w:rPr>
                  </w:pPr>
                  <w:r>
                    <w:rPr>
                      <w:rFonts w:hint="default" w:ascii="Times New Roman" w:hAnsi="Times New Roman" w:eastAsia="宋体" w:cs="Times New Roman"/>
                      <w:b/>
                      <w:bCs/>
                      <w:i w:val="0"/>
                      <w:iCs w:val="0"/>
                      <w:color w:val="auto"/>
                      <w:kern w:val="0"/>
                      <w:sz w:val="21"/>
                      <w:szCs w:val="21"/>
                      <w:u w:val="none"/>
                      <w:lang w:val="en-US" w:eastAsia="zh-CN" w:bidi="ar"/>
                    </w:rPr>
                    <w:t>新水</w:t>
                  </w:r>
                </w:p>
              </w:tc>
              <w:tc>
                <w:tcPr>
                  <w:tcW w:w="627" w:type="pct"/>
                  <w:shd w:val="clear" w:color="auto" w:fill="auto"/>
                  <w:vAlign w:val="center"/>
                </w:tcPr>
                <w:p w14:paraId="3B5C88C2">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auto"/>
                      <w:kern w:val="0"/>
                      <w:sz w:val="21"/>
                      <w:szCs w:val="21"/>
                      <w:u w:val="none"/>
                      <w:lang w:val="en-US" w:eastAsia="zh-CN" w:bidi="ar"/>
                    </w:rPr>
                  </w:pPr>
                  <w:r>
                    <w:rPr>
                      <w:rFonts w:hint="default" w:ascii="Times New Roman" w:hAnsi="Times New Roman" w:eastAsia="宋体" w:cs="Times New Roman"/>
                      <w:b/>
                      <w:bCs/>
                      <w:i w:val="0"/>
                      <w:iCs w:val="0"/>
                      <w:color w:val="auto"/>
                      <w:kern w:val="0"/>
                      <w:sz w:val="21"/>
                      <w:szCs w:val="21"/>
                      <w:u w:val="none"/>
                      <w:lang w:val="en-US" w:eastAsia="zh-CN" w:bidi="ar"/>
                    </w:rPr>
                    <w:t>回用/循环</w:t>
                  </w:r>
                </w:p>
              </w:tc>
              <w:tc>
                <w:tcPr>
                  <w:tcW w:w="611" w:type="pct"/>
                  <w:shd w:val="clear" w:color="auto" w:fill="auto"/>
                  <w:vAlign w:val="center"/>
                </w:tcPr>
                <w:p w14:paraId="639F5815">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auto"/>
                      <w:kern w:val="0"/>
                      <w:sz w:val="21"/>
                      <w:szCs w:val="21"/>
                      <w:u w:val="none"/>
                      <w:lang w:val="en-US" w:eastAsia="zh-CN" w:bidi="ar"/>
                    </w:rPr>
                  </w:pPr>
                  <w:r>
                    <w:rPr>
                      <w:rFonts w:hint="default" w:ascii="Times New Roman" w:hAnsi="Times New Roman" w:eastAsia="宋体" w:cs="Times New Roman"/>
                      <w:b/>
                      <w:bCs/>
                      <w:i w:val="0"/>
                      <w:iCs w:val="0"/>
                      <w:color w:val="auto"/>
                      <w:kern w:val="0"/>
                      <w:sz w:val="21"/>
                      <w:szCs w:val="21"/>
                      <w:u w:val="none"/>
                      <w:lang w:val="en-US" w:eastAsia="zh-CN" w:bidi="ar"/>
                    </w:rPr>
                    <w:t>损耗</w:t>
                  </w:r>
                </w:p>
              </w:tc>
              <w:tc>
                <w:tcPr>
                  <w:tcW w:w="524" w:type="pct"/>
                  <w:shd w:val="clear" w:color="auto" w:fill="auto"/>
                  <w:vAlign w:val="center"/>
                </w:tcPr>
                <w:p w14:paraId="5C834804">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auto"/>
                      <w:kern w:val="0"/>
                      <w:sz w:val="21"/>
                      <w:szCs w:val="21"/>
                      <w:u w:val="none"/>
                      <w:lang w:val="en-US" w:eastAsia="zh-CN" w:bidi="ar"/>
                    </w:rPr>
                  </w:pPr>
                  <w:r>
                    <w:rPr>
                      <w:rFonts w:hint="default" w:ascii="Times New Roman" w:hAnsi="Times New Roman" w:eastAsia="宋体" w:cs="Times New Roman"/>
                      <w:b/>
                      <w:bCs/>
                      <w:i w:val="0"/>
                      <w:iCs w:val="0"/>
                      <w:color w:val="auto"/>
                      <w:kern w:val="0"/>
                      <w:sz w:val="21"/>
                      <w:szCs w:val="21"/>
                      <w:u w:val="none"/>
                      <w:lang w:val="en-US" w:eastAsia="zh-CN" w:bidi="ar"/>
                    </w:rPr>
                    <w:t>回用/循环</w:t>
                  </w:r>
                </w:p>
              </w:tc>
              <w:tc>
                <w:tcPr>
                  <w:tcW w:w="680" w:type="pct"/>
                  <w:shd w:val="clear" w:color="auto" w:fill="auto"/>
                  <w:vAlign w:val="center"/>
                </w:tcPr>
                <w:p w14:paraId="378B61CE">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auto"/>
                      <w:kern w:val="0"/>
                      <w:sz w:val="21"/>
                      <w:szCs w:val="21"/>
                      <w:u w:val="none"/>
                      <w:lang w:val="en-US" w:eastAsia="zh-CN" w:bidi="ar"/>
                    </w:rPr>
                  </w:pPr>
                  <w:r>
                    <w:rPr>
                      <w:rFonts w:hint="default" w:ascii="Times New Roman" w:hAnsi="Times New Roman" w:eastAsia="宋体" w:cs="Times New Roman"/>
                      <w:b/>
                      <w:bCs/>
                      <w:i w:val="0"/>
                      <w:iCs w:val="0"/>
                      <w:color w:val="auto"/>
                      <w:kern w:val="0"/>
                      <w:sz w:val="21"/>
                      <w:szCs w:val="21"/>
                      <w:u w:val="none"/>
                      <w:lang w:val="en-US" w:eastAsia="zh-CN" w:bidi="ar"/>
                    </w:rPr>
                    <w:t>物料带出（固废）</w:t>
                  </w:r>
                </w:p>
              </w:tc>
              <w:tc>
                <w:tcPr>
                  <w:tcW w:w="402" w:type="pct"/>
                  <w:shd w:val="clear" w:color="auto" w:fill="auto"/>
                  <w:vAlign w:val="center"/>
                </w:tcPr>
                <w:p w14:paraId="22E70855">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auto"/>
                      <w:kern w:val="0"/>
                      <w:sz w:val="21"/>
                      <w:szCs w:val="21"/>
                      <w:u w:val="none"/>
                      <w:lang w:val="en-US" w:eastAsia="zh-CN" w:bidi="ar"/>
                    </w:rPr>
                  </w:pPr>
                  <w:r>
                    <w:rPr>
                      <w:rFonts w:hint="default" w:ascii="Times New Roman" w:hAnsi="Times New Roman" w:eastAsia="宋体" w:cs="Times New Roman"/>
                      <w:b/>
                      <w:bCs/>
                      <w:i w:val="0"/>
                      <w:iCs w:val="0"/>
                      <w:color w:val="auto"/>
                      <w:kern w:val="0"/>
                      <w:sz w:val="21"/>
                      <w:szCs w:val="21"/>
                      <w:u w:val="none"/>
                      <w:lang w:val="en-US" w:eastAsia="zh-CN" w:bidi="ar"/>
                    </w:rPr>
                    <w:t>外排废水</w:t>
                  </w:r>
                </w:p>
              </w:tc>
            </w:tr>
            <w:tr w14:paraId="07BF70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877" w:type="pct"/>
                  <w:shd w:val="clear" w:color="auto" w:fill="auto"/>
                  <w:vAlign w:val="center"/>
                </w:tcPr>
                <w:p w14:paraId="09DCB7B1">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bookmarkStart w:id="11" w:name="OLE_LINK140" w:colFirst="1" w:colLast="10"/>
                  <w:bookmarkStart w:id="12" w:name="OLE_LINK52" w:colFirst="1" w:colLast="1"/>
                  <w:bookmarkStart w:id="13" w:name="OLE_LINK198" w:colFirst="1" w:colLast="10"/>
                  <w:bookmarkStart w:id="14" w:name="OLE_LINK54" w:colFirst="1" w:colLast="9"/>
                  <w:r>
                    <w:rPr>
                      <w:rFonts w:hint="default" w:ascii="Times New Roman" w:hAnsi="Times New Roman" w:eastAsia="宋体" w:cs="Times New Roman"/>
                      <w:i w:val="0"/>
                      <w:iCs w:val="0"/>
                      <w:color w:val="auto"/>
                      <w:kern w:val="0"/>
                      <w:sz w:val="21"/>
                      <w:szCs w:val="21"/>
                      <w:u w:val="none"/>
                      <w:lang w:val="en-US" w:eastAsia="zh-CN" w:bidi="ar"/>
                    </w:rPr>
                    <w:t>网板清洗用水</w:t>
                  </w:r>
                </w:p>
              </w:tc>
              <w:tc>
                <w:tcPr>
                  <w:tcW w:w="560" w:type="pct"/>
                  <w:shd w:val="clear" w:color="auto" w:fill="auto"/>
                  <w:vAlign w:val="center"/>
                </w:tcPr>
                <w:p w14:paraId="43E56F68">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cs="Times New Roman"/>
                      <w:i w:val="0"/>
                      <w:iCs w:val="0"/>
                      <w:color w:val="auto"/>
                      <w:kern w:val="0"/>
                      <w:sz w:val="21"/>
                      <w:szCs w:val="21"/>
                      <w:u w:val="none"/>
                      <w:lang w:val="en-US" w:eastAsia="zh-CN" w:bidi="ar"/>
                    </w:rPr>
                    <w:t>0.04</w:t>
                  </w:r>
                </w:p>
              </w:tc>
              <w:tc>
                <w:tcPr>
                  <w:tcW w:w="714" w:type="pct"/>
                  <w:shd w:val="clear" w:color="auto" w:fill="auto"/>
                  <w:vAlign w:val="center"/>
                </w:tcPr>
                <w:p w14:paraId="15140C64">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cs="Times New Roman"/>
                      <w:i w:val="0"/>
                      <w:iCs w:val="0"/>
                      <w:color w:val="auto"/>
                      <w:kern w:val="0"/>
                      <w:sz w:val="21"/>
                      <w:szCs w:val="21"/>
                      <w:u w:val="none"/>
                      <w:lang w:val="en-US" w:eastAsia="zh-CN" w:bidi="ar"/>
                    </w:rPr>
                    <w:t>0.04</w:t>
                  </w:r>
                </w:p>
              </w:tc>
              <w:tc>
                <w:tcPr>
                  <w:tcW w:w="627" w:type="pct"/>
                  <w:shd w:val="clear" w:color="auto" w:fill="auto"/>
                  <w:vAlign w:val="center"/>
                </w:tcPr>
                <w:p w14:paraId="4AA0BADB">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cs="Times New Roman"/>
                      <w:i w:val="0"/>
                      <w:iCs w:val="0"/>
                      <w:color w:val="auto"/>
                      <w:kern w:val="0"/>
                      <w:sz w:val="21"/>
                      <w:szCs w:val="21"/>
                      <w:u w:val="none"/>
                      <w:lang w:val="en-US" w:eastAsia="zh-CN" w:bidi="ar"/>
                    </w:rPr>
                    <w:t>0.08</w:t>
                  </w:r>
                </w:p>
              </w:tc>
              <w:tc>
                <w:tcPr>
                  <w:tcW w:w="611" w:type="pct"/>
                  <w:shd w:val="clear" w:color="auto" w:fill="auto"/>
                  <w:vAlign w:val="center"/>
                </w:tcPr>
                <w:p w14:paraId="1145597D">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cs="Times New Roman"/>
                      <w:i w:val="0"/>
                      <w:iCs w:val="0"/>
                      <w:color w:val="auto"/>
                      <w:kern w:val="0"/>
                      <w:sz w:val="21"/>
                      <w:szCs w:val="21"/>
                      <w:u w:val="none"/>
                      <w:lang w:val="en-US" w:eastAsia="zh-CN" w:bidi="ar"/>
                    </w:rPr>
                    <w:t>0.02</w:t>
                  </w:r>
                </w:p>
              </w:tc>
              <w:tc>
                <w:tcPr>
                  <w:tcW w:w="524" w:type="pct"/>
                  <w:shd w:val="clear" w:color="auto" w:fill="auto"/>
                  <w:vAlign w:val="center"/>
                </w:tcPr>
                <w:p w14:paraId="07DDEFDE">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cs="Times New Roman"/>
                      <w:i w:val="0"/>
                      <w:iCs w:val="0"/>
                      <w:color w:val="auto"/>
                      <w:kern w:val="0"/>
                      <w:sz w:val="21"/>
                      <w:szCs w:val="21"/>
                      <w:u w:val="none"/>
                      <w:lang w:val="en-US" w:eastAsia="zh-CN" w:bidi="ar"/>
                    </w:rPr>
                    <w:t>0.08</w:t>
                  </w:r>
                </w:p>
              </w:tc>
              <w:tc>
                <w:tcPr>
                  <w:tcW w:w="680" w:type="pct"/>
                  <w:shd w:val="clear" w:color="auto" w:fill="auto"/>
                  <w:vAlign w:val="center"/>
                </w:tcPr>
                <w:p w14:paraId="6A43B3DD">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cs="Times New Roman"/>
                      <w:i w:val="0"/>
                      <w:iCs w:val="0"/>
                      <w:color w:val="auto"/>
                      <w:kern w:val="0"/>
                      <w:sz w:val="21"/>
                      <w:szCs w:val="21"/>
                      <w:u w:val="none"/>
                      <w:lang w:val="en-US" w:eastAsia="zh-CN" w:bidi="ar"/>
                    </w:rPr>
                    <w:t>0.02</w:t>
                  </w:r>
                </w:p>
              </w:tc>
              <w:tc>
                <w:tcPr>
                  <w:tcW w:w="402" w:type="pct"/>
                  <w:shd w:val="clear" w:color="auto" w:fill="auto"/>
                  <w:vAlign w:val="center"/>
                </w:tcPr>
                <w:p w14:paraId="20AE7044">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cs="Times New Roman"/>
                      <w:i w:val="0"/>
                      <w:iCs w:val="0"/>
                      <w:color w:val="auto"/>
                      <w:kern w:val="0"/>
                      <w:sz w:val="21"/>
                      <w:szCs w:val="21"/>
                      <w:u w:val="none"/>
                      <w:lang w:val="en-US" w:eastAsia="zh-CN" w:bidi="ar"/>
                    </w:rPr>
                    <w:t>0</w:t>
                  </w:r>
                </w:p>
              </w:tc>
            </w:tr>
            <w:bookmarkEnd w:id="11"/>
            <w:tr w14:paraId="2EC542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5" w:hRule="atLeast"/>
              </w:trPr>
              <w:tc>
                <w:tcPr>
                  <w:tcW w:w="877" w:type="pct"/>
                  <w:shd w:val="clear" w:color="auto" w:fill="auto"/>
                  <w:vAlign w:val="center"/>
                </w:tcPr>
                <w:p w14:paraId="0F976E34">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间接冷却水</w:t>
                  </w:r>
                </w:p>
              </w:tc>
              <w:tc>
                <w:tcPr>
                  <w:tcW w:w="560" w:type="pct"/>
                  <w:shd w:val="clear" w:color="auto" w:fill="auto"/>
                  <w:vAlign w:val="center"/>
                </w:tcPr>
                <w:p w14:paraId="66E2A628">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cs="Times New Roman"/>
                      <w:i w:val="0"/>
                      <w:iCs w:val="0"/>
                      <w:color w:val="auto"/>
                      <w:kern w:val="0"/>
                      <w:sz w:val="21"/>
                      <w:szCs w:val="21"/>
                      <w:u w:val="none"/>
                      <w:lang w:val="en-US" w:eastAsia="zh-CN" w:bidi="ar"/>
                    </w:rPr>
                    <w:t>0.64</w:t>
                  </w:r>
                </w:p>
              </w:tc>
              <w:tc>
                <w:tcPr>
                  <w:tcW w:w="714" w:type="pct"/>
                  <w:shd w:val="clear" w:color="auto" w:fill="auto"/>
                  <w:vAlign w:val="center"/>
                </w:tcPr>
                <w:p w14:paraId="2BC0D471">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cs="Times New Roman"/>
                      <w:i w:val="0"/>
                      <w:iCs w:val="0"/>
                      <w:color w:val="auto"/>
                      <w:kern w:val="0"/>
                      <w:sz w:val="21"/>
                      <w:szCs w:val="21"/>
                      <w:u w:val="none"/>
                      <w:lang w:val="en-US" w:eastAsia="zh-CN" w:bidi="ar"/>
                    </w:rPr>
                    <w:t>0.64</w:t>
                  </w:r>
                </w:p>
              </w:tc>
              <w:tc>
                <w:tcPr>
                  <w:tcW w:w="627" w:type="pct"/>
                  <w:shd w:val="clear" w:color="auto" w:fill="auto"/>
                  <w:vAlign w:val="center"/>
                </w:tcPr>
                <w:p w14:paraId="47316CC0">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cs="Times New Roman"/>
                      <w:i w:val="0"/>
                      <w:iCs w:val="0"/>
                      <w:color w:val="auto"/>
                      <w:kern w:val="0"/>
                      <w:sz w:val="21"/>
                      <w:szCs w:val="21"/>
                      <w:u w:val="none"/>
                      <w:lang w:val="en-US" w:eastAsia="zh-CN" w:bidi="ar"/>
                    </w:rPr>
                    <w:t>31.36</w:t>
                  </w:r>
                </w:p>
              </w:tc>
              <w:tc>
                <w:tcPr>
                  <w:tcW w:w="611" w:type="pct"/>
                  <w:shd w:val="clear" w:color="auto" w:fill="auto"/>
                  <w:vAlign w:val="center"/>
                </w:tcPr>
                <w:p w14:paraId="06CDC573">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cs="Times New Roman"/>
                      <w:i w:val="0"/>
                      <w:iCs w:val="0"/>
                      <w:color w:val="auto"/>
                      <w:kern w:val="0"/>
                      <w:sz w:val="21"/>
                      <w:szCs w:val="21"/>
                      <w:u w:val="none"/>
                      <w:lang w:val="en-US" w:eastAsia="zh-CN" w:bidi="ar"/>
                    </w:rPr>
                    <w:t>0.64</w:t>
                  </w:r>
                </w:p>
              </w:tc>
              <w:tc>
                <w:tcPr>
                  <w:tcW w:w="524" w:type="pct"/>
                  <w:shd w:val="clear" w:color="auto" w:fill="auto"/>
                  <w:vAlign w:val="center"/>
                </w:tcPr>
                <w:p w14:paraId="11C534A0">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cs="Times New Roman"/>
                      <w:i w:val="0"/>
                      <w:iCs w:val="0"/>
                      <w:color w:val="auto"/>
                      <w:kern w:val="0"/>
                      <w:sz w:val="21"/>
                      <w:szCs w:val="21"/>
                      <w:u w:val="none"/>
                      <w:lang w:val="en-US" w:eastAsia="zh-CN" w:bidi="ar"/>
                    </w:rPr>
                    <w:t>31.36</w:t>
                  </w:r>
                </w:p>
              </w:tc>
              <w:tc>
                <w:tcPr>
                  <w:tcW w:w="680" w:type="pct"/>
                  <w:shd w:val="clear" w:color="auto" w:fill="auto"/>
                  <w:vAlign w:val="center"/>
                </w:tcPr>
                <w:p w14:paraId="05541983">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cs="Times New Roman"/>
                      <w:i w:val="0"/>
                      <w:iCs w:val="0"/>
                      <w:color w:val="auto"/>
                      <w:kern w:val="0"/>
                      <w:sz w:val="21"/>
                      <w:szCs w:val="21"/>
                      <w:u w:val="none"/>
                      <w:lang w:val="en-US" w:eastAsia="zh-CN" w:bidi="ar"/>
                    </w:rPr>
                    <w:t>0</w:t>
                  </w:r>
                </w:p>
              </w:tc>
              <w:tc>
                <w:tcPr>
                  <w:tcW w:w="402" w:type="pct"/>
                  <w:shd w:val="clear" w:color="auto" w:fill="auto"/>
                  <w:vAlign w:val="center"/>
                </w:tcPr>
                <w:p w14:paraId="5BA7AA82">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cs="Times New Roman"/>
                      <w:i w:val="0"/>
                      <w:iCs w:val="0"/>
                      <w:color w:val="auto"/>
                      <w:kern w:val="0"/>
                      <w:sz w:val="21"/>
                      <w:szCs w:val="21"/>
                      <w:u w:val="none"/>
                      <w:lang w:val="en-US" w:eastAsia="zh-CN" w:bidi="ar"/>
                    </w:rPr>
                    <w:t>0</w:t>
                  </w:r>
                </w:p>
              </w:tc>
            </w:tr>
            <w:tr w14:paraId="7756B8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5" w:hRule="atLeast"/>
              </w:trPr>
              <w:tc>
                <w:tcPr>
                  <w:tcW w:w="877" w:type="pct"/>
                  <w:shd w:val="clear" w:color="auto" w:fill="auto"/>
                  <w:vAlign w:val="center"/>
                </w:tcPr>
                <w:p w14:paraId="157B588B">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color w:val="auto"/>
                      <w:sz w:val="21"/>
                      <w:szCs w:val="21"/>
                      <w:lang w:val="en-US" w:eastAsia="zh-CN"/>
                    </w:rPr>
                    <w:t>生活用水</w:t>
                  </w:r>
                </w:p>
              </w:tc>
              <w:tc>
                <w:tcPr>
                  <w:tcW w:w="560" w:type="pct"/>
                  <w:shd w:val="clear" w:color="auto" w:fill="auto"/>
                  <w:vAlign w:val="center"/>
                </w:tcPr>
                <w:p w14:paraId="483E1170">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cs="Times New Roman"/>
                      <w:i w:val="0"/>
                      <w:iCs w:val="0"/>
                      <w:color w:val="auto"/>
                      <w:kern w:val="0"/>
                      <w:sz w:val="21"/>
                      <w:szCs w:val="21"/>
                      <w:u w:val="none"/>
                      <w:lang w:val="en-US" w:eastAsia="zh-CN" w:bidi="ar"/>
                    </w:rPr>
                    <w:t>80</w:t>
                  </w:r>
                </w:p>
              </w:tc>
              <w:tc>
                <w:tcPr>
                  <w:tcW w:w="714" w:type="pct"/>
                  <w:shd w:val="clear" w:color="auto" w:fill="auto"/>
                  <w:vAlign w:val="center"/>
                </w:tcPr>
                <w:p w14:paraId="18ED86C3">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cs="Times New Roman"/>
                      <w:i w:val="0"/>
                      <w:iCs w:val="0"/>
                      <w:color w:val="auto"/>
                      <w:kern w:val="0"/>
                      <w:sz w:val="21"/>
                      <w:szCs w:val="21"/>
                      <w:u w:val="none"/>
                      <w:lang w:val="en-US" w:eastAsia="zh-CN" w:bidi="ar"/>
                    </w:rPr>
                    <w:t>80</w:t>
                  </w:r>
                </w:p>
              </w:tc>
              <w:tc>
                <w:tcPr>
                  <w:tcW w:w="627" w:type="pct"/>
                  <w:shd w:val="clear" w:color="auto" w:fill="auto"/>
                  <w:vAlign w:val="center"/>
                </w:tcPr>
                <w:p w14:paraId="12825493">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0</w:t>
                  </w:r>
                </w:p>
              </w:tc>
              <w:tc>
                <w:tcPr>
                  <w:tcW w:w="611" w:type="pct"/>
                  <w:shd w:val="clear" w:color="auto" w:fill="auto"/>
                  <w:vAlign w:val="center"/>
                </w:tcPr>
                <w:p w14:paraId="09DC332E">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cs="Times New Roman"/>
                      <w:i w:val="0"/>
                      <w:iCs w:val="0"/>
                      <w:color w:val="auto"/>
                      <w:kern w:val="0"/>
                      <w:sz w:val="21"/>
                      <w:szCs w:val="21"/>
                      <w:u w:val="none"/>
                      <w:lang w:val="en-US" w:eastAsia="zh-CN" w:bidi="ar"/>
                    </w:rPr>
                    <w:t>16</w:t>
                  </w:r>
                </w:p>
              </w:tc>
              <w:tc>
                <w:tcPr>
                  <w:tcW w:w="524" w:type="pct"/>
                  <w:shd w:val="clear" w:color="auto" w:fill="auto"/>
                  <w:vAlign w:val="center"/>
                </w:tcPr>
                <w:p w14:paraId="18D040CE">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cs="Times New Roman"/>
                      <w:i w:val="0"/>
                      <w:iCs w:val="0"/>
                      <w:color w:val="auto"/>
                      <w:kern w:val="0"/>
                      <w:sz w:val="21"/>
                      <w:szCs w:val="21"/>
                      <w:u w:val="none"/>
                      <w:lang w:val="en-US" w:eastAsia="zh-CN" w:bidi="ar"/>
                    </w:rPr>
                    <w:t>0</w:t>
                  </w:r>
                </w:p>
              </w:tc>
              <w:tc>
                <w:tcPr>
                  <w:tcW w:w="680" w:type="pct"/>
                  <w:shd w:val="clear" w:color="auto" w:fill="auto"/>
                  <w:vAlign w:val="center"/>
                </w:tcPr>
                <w:p w14:paraId="7B7618D3">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cs="Times New Roman"/>
                      <w:i w:val="0"/>
                      <w:iCs w:val="0"/>
                      <w:color w:val="auto"/>
                      <w:kern w:val="0"/>
                      <w:sz w:val="21"/>
                      <w:szCs w:val="21"/>
                      <w:u w:val="none"/>
                      <w:lang w:val="en-US" w:eastAsia="zh-CN" w:bidi="ar"/>
                    </w:rPr>
                    <w:t>0</w:t>
                  </w:r>
                </w:p>
              </w:tc>
              <w:tc>
                <w:tcPr>
                  <w:tcW w:w="402" w:type="pct"/>
                  <w:shd w:val="clear" w:color="auto" w:fill="auto"/>
                  <w:vAlign w:val="center"/>
                </w:tcPr>
                <w:p w14:paraId="3EF9717F">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cs="Times New Roman"/>
                      <w:i w:val="0"/>
                      <w:iCs w:val="0"/>
                      <w:color w:val="auto"/>
                      <w:kern w:val="0"/>
                      <w:sz w:val="21"/>
                      <w:szCs w:val="21"/>
                      <w:u w:val="none"/>
                      <w:lang w:val="en-US" w:eastAsia="zh-CN" w:bidi="ar"/>
                    </w:rPr>
                    <w:t>64</w:t>
                  </w:r>
                </w:p>
              </w:tc>
            </w:tr>
            <w:bookmarkEnd w:id="10"/>
            <w:bookmarkEnd w:id="12"/>
            <w:bookmarkEnd w:id="13"/>
            <w:bookmarkEnd w:id="14"/>
            <w:tr w14:paraId="3EE8B8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877" w:type="pct"/>
                  <w:shd w:val="clear" w:color="auto" w:fill="auto"/>
                  <w:noWrap/>
                  <w:vAlign w:val="center"/>
                </w:tcPr>
                <w:p w14:paraId="4C82B1E4">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合计</w:t>
                  </w:r>
                </w:p>
              </w:tc>
              <w:tc>
                <w:tcPr>
                  <w:tcW w:w="560" w:type="pct"/>
                  <w:shd w:val="clear" w:color="auto" w:fill="auto"/>
                  <w:noWrap/>
                  <w:vAlign w:val="center"/>
                </w:tcPr>
                <w:p w14:paraId="31E25AF9">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cs="Times New Roman"/>
                      <w:i w:val="0"/>
                      <w:iCs w:val="0"/>
                      <w:color w:val="auto"/>
                      <w:kern w:val="0"/>
                      <w:sz w:val="21"/>
                      <w:szCs w:val="21"/>
                      <w:u w:val="none"/>
                      <w:lang w:val="en-US" w:eastAsia="zh-CN" w:bidi="ar"/>
                    </w:rPr>
                    <w:t>80.68</w:t>
                  </w:r>
                </w:p>
              </w:tc>
              <w:tc>
                <w:tcPr>
                  <w:tcW w:w="714" w:type="pct"/>
                  <w:shd w:val="clear" w:color="auto" w:fill="auto"/>
                  <w:noWrap/>
                  <w:vAlign w:val="center"/>
                </w:tcPr>
                <w:p w14:paraId="42169676">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cs="Times New Roman"/>
                      <w:i w:val="0"/>
                      <w:iCs w:val="0"/>
                      <w:color w:val="auto"/>
                      <w:kern w:val="0"/>
                      <w:sz w:val="21"/>
                      <w:szCs w:val="21"/>
                      <w:u w:val="none"/>
                      <w:lang w:val="en-US" w:eastAsia="zh-CN" w:bidi="ar"/>
                    </w:rPr>
                    <w:t>80.68</w:t>
                  </w:r>
                </w:p>
              </w:tc>
              <w:tc>
                <w:tcPr>
                  <w:tcW w:w="627" w:type="pct"/>
                  <w:shd w:val="clear" w:color="auto" w:fill="auto"/>
                  <w:noWrap/>
                  <w:vAlign w:val="center"/>
                </w:tcPr>
                <w:p w14:paraId="5C7AFA8A">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cs="Times New Roman"/>
                      <w:i w:val="0"/>
                      <w:iCs w:val="0"/>
                      <w:color w:val="auto"/>
                      <w:kern w:val="0"/>
                      <w:sz w:val="21"/>
                      <w:szCs w:val="21"/>
                      <w:u w:val="none"/>
                      <w:lang w:val="en-US" w:eastAsia="zh-CN" w:bidi="ar"/>
                    </w:rPr>
                    <w:t>31.44</w:t>
                  </w:r>
                </w:p>
              </w:tc>
              <w:tc>
                <w:tcPr>
                  <w:tcW w:w="611" w:type="pct"/>
                  <w:shd w:val="clear" w:color="auto" w:fill="auto"/>
                  <w:noWrap/>
                  <w:vAlign w:val="center"/>
                </w:tcPr>
                <w:p w14:paraId="35D57CDA">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cs="Times New Roman"/>
                      <w:i w:val="0"/>
                      <w:iCs w:val="0"/>
                      <w:color w:val="auto"/>
                      <w:kern w:val="0"/>
                      <w:sz w:val="21"/>
                      <w:szCs w:val="21"/>
                      <w:u w:val="none"/>
                      <w:lang w:val="en-US" w:eastAsia="zh-CN" w:bidi="ar"/>
                    </w:rPr>
                    <w:t>16.66</w:t>
                  </w:r>
                </w:p>
              </w:tc>
              <w:tc>
                <w:tcPr>
                  <w:tcW w:w="524" w:type="pct"/>
                  <w:shd w:val="clear" w:color="auto" w:fill="auto"/>
                  <w:noWrap/>
                  <w:vAlign w:val="center"/>
                </w:tcPr>
                <w:p w14:paraId="36FC7878">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cs="Times New Roman"/>
                      <w:i w:val="0"/>
                      <w:iCs w:val="0"/>
                      <w:color w:val="auto"/>
                      <w:kern w:val="0"/>
                      <w:sz w:val="21"/>
                      <w:szCs w:val="21"/>
                      <w:u w:val="none"/>
                      <w:lang w:val="en-US" w:eastAsia="zh-CN" w:bidi="ar"/>
                    </w:rPr>
                    <w:t>31.44</w:t>
                  </w:r>
                </w:p>
              </w:tc>
              <w:tc>
                <w:tcPr>
                  <w:tcW w:w="680" w:type="pct"/>
                  <w:shd w:val="clear" w:color="auto" w:fill="auto"/>
                  <w:noWrap/>
                  <w:vAlign w:val="center"/>
                </w:tcPr>
                <w:p w14:paraId="721A651E">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cs="Times New Roman"/>
                      <w:i w:val="0"/>
                      <w:iCs w:val="0"/>
                      <w:color w:val="auto"/>
                      <w:kern w:val="0"/>
                      <w:sz w:val="21"/>
                      <w:szCs w:val="21"/>
                      <w:u w:val="none"/>
                      <w:lang w:val="en-US" w:eastAsia="zh-CN" w:bidi="ar"/>
                    </w:rPr>
                    <w:t>0.02</w:t>
                  </w:r>
                </w:p>
              </w:tc>
              <w:tc>
                <w:tcPr>
                  <w:tcW w:w="402" w:type="pct"/>
                  <w:shd w:val="clear" w:color="auto" w:fill="auto"/>
                  <w:noWrap/>
                  <w:vAlign w:val="center"/>
                </w:tcPr>
                <w:p w14:paraId="58365A5B">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cs="Times New Roman"/>
                      <w:i w:val="0"/>
                      <w:iCs w:val="0"/>
                      <w:color w:val="auto"/>
                      <w:kern w:val="0"/>
                      <w:sz w:val="21"/>
                      <w:szCs w:val="21"/>
                      <w:u w:val="none"/>
                      <w:lang w:val="en-US" w:eastAsia="zh-CN" w:bidi="ar"/>
                    </w:rPr>
                    <w:t>64</w:t>
                  </w:r>
                </w:p>
              </w:tc>
            </w:tr>
          </w:tbl>
          <w:p w14:paraId="5D422E1A">
            <w:pPr>
              <w:pStyle w:val="37"/>
              <w:keepNext w:val="0"/>
              <w:keepLines w:val="0"/>
              <w:suppressLineNumbers w:val="0"/>
              <w:spacing w:before="0" w:beforeAutospacing="0" w:after="0" w:afterAutospacing="0"/>
              <w:ind w:left="0" w:right="0"/>
              <w:rPr>
                <w:rFonts w:hint="default"/>
                <w:color w:val="auto"/>
                <w:highlight w:val="none"/>
                <w:lang w:val="en-US" w:eastAsia="zh-CN"/>
              </w:rPr>
            </w:pPr>
            <w:r>
              <w:rPr>
                <w:rFonts w:hint="default"/>
                <w:color w:val="auto"/>
                <w:sz w:val="24"/>
              </w:rPr>
              <mc:AlternateContent>
                <mc:Choice Requires="wps">
                  <w:drawing>
                    <wp:anchor distT="0" distB="0" distL="114300" distR="114300" simplePos="0" relativeHeight="251837440" behindDoc="0" locked="0" layoutInCell="1" allowOverlap="1">
                      <wp:simplePos x="0" y="0"/>
                      <wp:positionH relativeFrom="column">
                        <wp:posOffset>2121535</wp:posOffset>
                      </wp:positionH>
                      <wp:positionV relativeFrom="paragraph">
                        <wp:posOffset>1351280</wp:posOffset>
                      </wp:positionV>
                      <wp:extent cx="5080" cy="90170"/>
                      <wp:effectExtent l="44450" t="2540" r="64770" b="2540"/>
                      <wp:wrapNone/>
                      <wp:docPr id="255" name="直接箭头连接符 255"/>
                      <wp:cNvGraphicFramePr/>
                      <a:graphic xmlns:a="http://schemas.openxmlformats.org/drawingml/2006/main">
                        <a:graphicData uri="http://schemas.microsoft.com/office/word/2010/wordprocessingShape">
                          <wps:wsp>
                            <wps:cNvCnPr/>
                            <wps:spPr>
                              <a:xfrm flipH="1">
                                <a:off x="0" y="0"/>
                                <a:ext cx="5080" cy="90170"/>
                              </a:xfrm>
                              <a:prstGeom prst="straightConnector1">
                                <a:avLst/>
                              </a:prstGeom>
                              <a:ln w="9525">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x;margin-left:167.05pt;margin-top:106.4pt;height:7.1pt;width:0.4pt;z-index:251837440;mso-width-relative:page;mso-height-relative:page;" filled="f" stroked="t" coordsize="21600,21600" o:gfxdata="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IEZZWDYAAAACwEAAA8AAAAAAAAAAQAgAAAAIgAAAGRycy9k&#10;b3ducmV2LnhtbFBLAQIUABQAAAAIAIdO4kCeHdrrAgIAANYDAAAOAAAAAAAAAAEAIAAAACcBAABk&#10;cnMvZTJvRG9jLnhtbFBLBQYAAAAABgAGAFkBAACbBQAAAAA=&#10;">
                      <v:fill on="f" focussize="0,0"/>
                      <v:stroke color="#000000 [3213]" joinstyle="round" endarrow="open"/>
                      <v:imagedata o:title=""/>
                      <o:lock v:ext="edit" aspectratio="f"/>
                    </v:shape>
                  </w:pict>
                </mc:Fallback>
              </mc:AlternateContent>
            </w:r>
            <w:r>
              <w:rPr>
                <w:rFonts w:hint="default"/>
                <w:color w:val="auto"/>
                <w:sz w:val="24"/>
              </w:rPr>
              <mc:AlternateContent>
                <mc:Choice Requires="wps">
                  <w:drawing>
                    <wp:anchor distT="0" distB="0" distL="114300" distR="114300" simplePos="0" relativeHeight="251836416" behindDoc="0" locked="0" layoutInCell="1" allowOverlap="1">
                      <wp:simplePos x="0" y="0"/>
                      <wp:positionH relativeFrom="column">
                        <wp:posOffset>2121535</wp:posOffset>
                      </wp:positionH>
                      <wp:positionV relativeFrom="paragraph">
                        <wp:posOffset>1197610</wp:posOffset>
                      </wp:positionV>
                      <wp:extent cx="285750" cy="254000"/>
                      <wp:effectExtent l="0" t="48895" r="342900" b="20955"/>
                      <wp:wrapNone/>
                      <wp:docPr id="252" name="肘形连接符 252"/>
                      <wp:cNvGraphicFramePr/>
                      <a:graphic xmlns:a="http://schemas.openxmlformats.org/drawingml/2006/main">
                        <a:graphicData uri="http://schemas.microsoft.com/office/word/2010/wordprocessingShape">
                          <wps:wsp>
                            <wps:cNvCnPr/>
                            <wps:spPr>
                              <a:xfrm flipV="1">
                                <a:off x="4385310" y="2428240"/>
                                <a:ext cx="285750" cy="254000"/>
                              </a:xfrm>
                              <a:prstGeom prst="bentConnector3">
                                <a:avLst>
                                  <a:gd name="adj1" fmla="val 213111"/>
                                </a:avLst>
                              </a:prstGeom>
                              <a:ln w="9525">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4" type="#_x0000_t34" style="position:absolute;left:0pt;flip:y;margin-left:167.05pt;margin-top:94.3pt;height:20pt;width:22.5pt;z-index:251836416;mso-width-relative:page;mso-height-relative:page;" filled="f" stroked="t" coordsize="21600,21600" o:gfxdata="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ANY8IjaAAAACwEAAA8AAAAAAAAAAQAgAAAAIgAAAGRycy9kb3ducmV2LnhtbFBLAQIUABQAAAAI&#10;AIdO4kC9Ypl2JAIAAAkEAAAOAAAAAAAAAAEAIAAAACkBAABkcnMvZTJvRG9jLnhtbFBLBQYAAAAA&#10;BgAGAFkBAAC/BQAAAAA=&#10;" adj="46032">
                      <v:fill on="f" focussize="0,0"/>
                      <v:stroke color="#000000 [3213]" joinstyle="round" endarrow="open"/>
                      <v:imagedata o:title=""/>
                      <o:lock v:ext="edit" aspectratio="f"/>
                    </v:shape>
                  </w:pict>
                </mc:Fallback>
              </mc:AlternateContent>
            </w:r>
            <w:r>
              <w:rPr>
                <w:rFonts w:hint="default"/>
                <w:color w:val="auto"/>
                <w:sz w:val="24"/>
              </w:rPr>
              <mc:AlternateContent>
                <mc:Choice Requires="wps">
                  <w:drawing>
                    <wp:anchor distT="0" distB="0" distL="114300" distR="114300" simplePos="0" relativeHeight="251835392" behindDoc="0" locked="0" layoutInCell="1" allowOverlap="1">
                      <wp:simplePos x="0" y="0"/>
                      <wp:positionH relativeFrom="column">
                        <wp:posOffset>926465</wp:posOffset>
                      </wp:positionH>
                      <wp:positionV relativeFrom="paragraph">
                        <wp:posOffset>1198880</wp:posOffset>
                      </wp:positionV>
                      <wp:extent cx="586740" cy="0"/>
                      <wp:effectExtent l="0" t="48895" r="3810" b="65405"/>
                      <wp:wrapNone/>
                      <wp:docPr id="35" name="直接箭头连接符 35"/>
                      <wp:cNvGraphicFramePr/>
                      <a:graphic xmlns:a="http://schemas.openxmlformats.org/drawingml/2006/main">
                        <a:graphicData uri="http://schemas.microsoft.com/office/word/2010/wordprocessingShape">
                          <wps:wsp>
                            <wps:cNvCnPr/>
                            <wps:spPr>
                              <a:xfrm>
                                <a:off x="0" y="0"/>
                                <a:ext cx="586740" cy="0"/>
                              </a:xfrm>
                              <a:prstGeom prst="straightConnector1">
                                <a:avLst/>
                              </a:prstGeom>
                              <a:ln w="9525">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margin-left:72.95pt;margin-top:94.4pt;height:0pt;width:46.2pt;z-index:251835392;mso-width-relative:page;mso-height-relative:page;" filled="f" stroked="t" coordsize="21600,21600" o:gfxdata="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thRvM1wAAAAsBAAAPAAAAAAAAAAEAIAAAACIAAABkcnMvZG93bnJldi54bWxQ&#10;SwECFAAUAAAACACHTuJACEGRiPgBAADIAwAADgAAAAAAAAABACAAAAAmAQAAZHJzL2Uyb0RvYy54&#10;bWxQSwUGAAAAAAYABgBZAQAAkAUAAAAA&#10;">
                      <v:fill on="f" focussize="0,0"/>
                      <v:stroke color="#000000 [3213]" joinstyle="round" endarrow="open"/>
                      <v:imagedata o:title=""/>
                      <o:lock v:ext="edit" aspectratio="f"/>
                    </v:shape>
                  </w:pict>
                </mc:Fallback>
              </mc:AlternateContent>
            </w:r>
            <w:r>
              <w:rPr>
                <w:rFonts w:hint="default"/>
                <w:color w:val="auto"/>
                <w:sz w:val="24"/>
              </w:rPr>
              <mc:AlternateContent>
                <mc:Choice Requires="wps">
                  <w:drawing>
                    <wp:anchor distT="0" distB="0" distL="114300" distR="114300" simplePos="0" relativeHeight="251663360" behindDoc="0" locked="0" layoutInCell="1" allowOverlap="1">
                      <wp:simplePos x="0" y="0"/>
                      <wp:positionH relativeFrom="column">
                        <wp:posOffset>371475</wp:posOffset>
                      </wp:positionH>
                      <wp:positionV relativeFrom="paragraph">
                        <wp:posOffset>1205230</wp:posOffset>
                      </wp:positionV>
                      <wp:extent cx="586740" cy="0"/>
                      <wp:effectExtent l="0" t="48895" r="7620" b="57785"/>
                      <wp:wrapNone/>
                      <wp:docPr id="19" name="直接箭头连接符 19"/>
                      <wp:cNvGraphicFramePr/>
                      <a:graphic xmlns:a="http://schemas.openxmlformats.org/drawingml/2006/main">
                        <a:graphicData uri="http://schemas.microsoft.com/office/word/2010/wordprocessingShape">
                          <wps:wsp>
                            <wps:cNvCnPr/>
                            <wps:spPr>
                              <a:xfrm>
                                <a:off x="1647190" y="5247005"/>
                                <a:ext cx="586740" cy="0"/>
                              </a:xfrm>
                              <a:prstGeom prst="straightConnector1">
                                <a:avLst/>
                              </a:prstGeom>
                              <a:ln w="9525">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margin-left:29.25pt;margin-top:94.9pt;height:0pt;width:46.2pt;z-index:251663360;mso-width-relative:page;mso-height-relative:page;" filled="f" stroked="t" coordsize="21600,21600" o:gfxdata="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JttDc1QAAAAoBAAAPAAAAAAAAAAEAIAAAACIAAABkcnMv&#10;ZG93bnJldi54bWxQSwECFAAUAAAACACHTuJAmccyowYCAADUAwAADgAAAAAAAAABACAAAAAkAQAA&#10;ZHJzL2Uyb0RvYy54bWxQSwUGAAAAAAYABgBZAQAAnAUAAAAA&#10;">
                      <v:fill on="f" focussize="0,0"/>
                      <v:stroke color="#000000 [3213]" joinstyle="round" endarrow="open"/>
                      <v:imagedata o:title=""/>
                      <o:lock v:ext="edit" aspectratio="f"/>
                    </v:shape>
                  </w:pict>
                </mc:Fallback>
              </mc:AlternateContent>
            </w:r>
            <w:r>
              <w:rPr>
                <w:rFonts w:hint="default"/>
                <w:color w:val="auto"/>
                <w:sz w:val="24"/>
              </w:rPr>
              <mc:AlternateContent>
                <mc:Choice Requires="wpc">
                  <w:drawing>
                    <wp:inline distT="0" distB="0" distL="114300" distR="114300">
                      <wp:extent cx="5350510" cy="2392680"/>
                      <wp:effectExtent l="4445" t="4445" r="17145" b="22225"/>
                      <wp:docPr id="18" name="画布 18"/>
                      <wp:cNvGraphicFramePr/>
                      <a:graphic xmlns:a="http://schemas.openxmlformats.org/drawingml/2006/main">
                        <a:graphicData uri="http://schemas.microsoft.com/office/word/2010/wordprocessingCanvas">
                          <wpc:wpc>
                            <wpc:bg/>
                            <wpc:whole>
                              <a:ln>
                                <a:solidFill>
                                  <a:schemeClr val="tx1"/>
                                </a:solidFill>
                              </a:ln>
                            </wpc:whole>
                            <wps:wsp>
                              <wps:cNvPr id="20" name="矩形 20"/>
                              <wps:cNvSpPr/>
                              <wps:spPr>
                                <a:xfrm>
                                  <a:off x="249555" y="798830"/>
                                  <a:ext cx="762000" cy="426720"/>
                                </a:xfrm>
                                <a:prstGeom prst="rect">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3FBED70D">
                                    <w:pPr>
                                      <w:jc w:val="center"/>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新鲜水</w:t>
                                    </w:r>
                                  </w:p>
                                  <w:p w14:paraId="128ED4CE">
                                    <w:pPr>
                                      <w:jc w:val="center"/>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80.68</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2" name="矩形 22"/>
                              <wps:cNvSpPr/>
                              <wps:spPr>
                                <a:xfrm>
                                  <a:off x="1562100" y="336550"/>
                                  <a:ext cx="892175" cy="320040"/>
                                </a:xfrm>
                                <a:prstGeom prst="rect">
                                  <a:avLst/>
                                </a:prstGeom>
                                <a:noFill/>
                                <a:ln w="6350">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084DF4B0">
                                    <w:pPr>
                                      <w:jc w:val="center"/>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网版清洗水</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3" name="矩形 23"/>
                              <wps:cNvSpPr/>
                              <wps:spPr>
                                <a:xfrm>
                                  <a:off x="1479550" y="1825625"/>
                                  <a:ext cx="939800" cy="320040"/>
                                </a:xfrm>
                                <a:prstGeom prst="rect">
                                  <a:avLst/>
                                </a:prstGeom>
                                <a:noFill/>
                                <a:ln w="6350">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028B46CB">
                                    <w:pPr>
                                      <w:jc w:val="center"/>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生活用水</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5" name="肘形连接符 25"/>
                              <wps:cNvCnPr>
                                <a:stCxn id="21" idx="1"/>
                                <a:endCxn id="23" idx="1"/>
                              </wps:cNvCnPr>
                              <wps:spPr>
                                <a:xfrm rot="10800000" flipV="1">
                                  <a:off x="1479550" y="492125"/>
                                  <a:ext cx="71755" cy="1493520"/>
                                </a:xfrm>
                                <a:prstGeom prst="bentConnector3">
                                  <a:avLst>
                                    <a:gd name="adj1" fmla="val 789380"/>
                                  </a:avLst>
                                </a:prstGeom>
                                <a:ln w="6350">
                                  <a:solidFill>
                                    <a:schemeClr val="tx1"/>
                                  </a:solidFill>
                                  <a:headEnd type="arrow"/>
                                  <a:tailEnd type="arrow"/>
                                </a:ln>
                              </wps:spPr>
                              <wps:style>
                                <a:lnRef idx="2">
                                  <a:schemeClr val="accent1"/>
                                </a:lnRef>
                                <a:fillRef idx="0">
                                  <a:srgbClr val="FFFFFF"/>
                                </a:fillRef>
                                <a:effectRef idx="0">
                                  <a:srgbClr val="FFFFFF"/>
                                </a:effectRef>
                                <a:fontRef idx="minor">
                                  <a:schemeClr val="tx1"/>
                                </a:fontRef>
                              </wps:style>
                              <wps:bodyPr/>
                            </wps:wsp>
                            <wps:wsp>
                              <wps:cNvPr id="36" name="矩形 36"/>
                              <wps:cNvSpPr/>
                              <wps:spPr>
                                <a:xfrm>
                                  <a:off x="1836420" y="76200"/>
                                  <a:ext cx="732155" cy="320040"/>
                                </a:xfrm>
                                <a:prstGeom prst="rect">
                                  <a:avLst/>
                                </a:prstGeom>
                                <a:noFill/>
                                <a:ln w="6350">
                                  <a:noFill/>
                                </a:ln>
                              </wps:spPr>
                              <wps:style>
                                <a:lnRef idx="2">
                                  <a:schemeClr val="accent1">
                                    <a:lumMod val="75000"/>
                                  </a:schemeClr>
                                </a:lnRef>
                                <a:fillRef idx="1">
                                  <a:schemeClr val="accent1"/>
                                </a:fillRef>
                                <a:effectRef idx="0">
                                  <a:srgbClr val="FFFFFF"/>
                                </a:effectRef>
                                <a:fontRef idx="minor">
                                  <a:schemeClr val="lt1"/>
                                </a:fontRef>
                              </wps:style>
                              <wps:txbx>
                                <w:txbxContent>
                                  <w:p w14:paraId="532AF157">
                                    <w:pPr>
                                      <w:jc w:val="center"/>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损耗0.02</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9" name="直接箭头连接符 39"/>
                              <wps:cNvCnPr/>
                              <wps:spPr>
                                <a:xfrm flipV="1">
                                  <a:off x="2464435" y="414655"/>
                                  <a:ext cx="509905" cy="5080"/>
                                </a:xfrm>
                                <a:prstGeom prst="straightConnector1">
                                  <a:avLst/>
                                </a:prstGeom>
                                <a:ln w="6350">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41" name="矩形 41"/>
                              <wps:cNvSpPr/>
                              <wps:spPr>
                                <a:xfrm>
                                  <a:off x="963295" y="513080"/>
                                  <a:ext cx="626110" cy="304800"/>
                                </a:xfrm>
                                <a:prstGeom prst="rect">
                                  <a:avLst/>
                                </a:prstGeom>
                                <a:noFill/>
                                <a:ln w="6350">
                                  <a:noFill/>
                                </a:ln>
                              </wps:spPr>
                              <wps:style>
                                <a:lnRef idx="2">
                                  <a:schemeClr val="accent1">
                                    <a:lumMod val="75000"/>
                                  </a:schemeClr>
                                </a:lnRef>
                                <a:fillRef idx="1">
                                  <a:schemeClr val="accent1"/>
                                </a:fillRef>
                                <a:effectRef idx="0">
                                  <a:srgbClr val="FFFFFF"/>
                                </a:effectRef>
                                <a:fontRef idx="minor">
                                  <a:schemeClr val="lt1"/>
                                </a:fontRef>
                              </wps:style>
                              <wps:txbx>
                                <w:txbxContent>
                                  <w:p w14:paraId="5107DEDA">
                                    <w:pPr>
                                      <w:jc w:val="center"/>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0.02</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2" name="矩形 42"/>
                              <wps:cNvSpPr/>
                              <wps:spPr>
                                <a:xfrm>
                                  <a:off x="953135" y="1631315"/>
                                  <a:ext cx="626110" cy="304800"/>
                                </a:xfrm>
                                <a:prstGeom prst="rect">
                                  <a:avLst/>
                                </a:prstGeom>
                                <a:noFill/>
                                <a:ln w="6350">
                                  <a:noFill/>
                                </a:ln>
                              </wps:spPr>
                              <wps:style>
                                <a:lnRef idx="2">
                                  <a:schemeClr val="accent1">
                                    <a:lumMod val="75000"/>
                                  </a:schemeClr>
                                </a:lnRef>
                                <a:fillRef idx="1">
                                  <a:schemeClr val="accent1"/>
                                </a:fillRef>
                                <a:effectRef idx="0">
                                  <a:srgbClr val="FFFFFF"/>
                                </a:effectRef>
                                <a:fontRef idx="minor">
                                  <a:schemeClr val="lt1"/>
                                </a:fontRef>
                              </wps:style>
                              <wps:txbx>
                                <w:txbxContent>
                                  <w:p w14:paraId="72AA1DA3">
                                    <w:pPr>
                                      <w:jc w:val="center"/>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80</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3" name="直接箭头连接符 43"/>
                              <wps:cNvCnPr/>
                              <wps:spPr>
                                <a:xfrm>
                                  <a:off x="2411095" y="2009140"/>
                                  <a:ext cx="405130" cy="2540"/>
                                </a:xfrm>
                                <a:prstGeom prst="straightConnector1">
                                  <a:avLst/>
                                </a:prstGeom>
                                <a:ln w="6350">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44" name="矩形 44"/>
                              <wps:cNvSpPr/>
                              <wps:spPr>
                                <a:xfrm>
                                  <a:off x="2816225" y="1745615"/>
                                  <a:ext cx="744855" cy="472440"/>
                                </a:xfrm>
                                <a:prstGeom prst="rect">
                                  <a:avLst/>
                                </a:prstGeom>
                                <a:noFill/>
                                <a:ln w="6350">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03B54DD0">
                                    <w:pPr>
                                      <w:jc w:val="center"/>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隔油池+化粪池</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5" name="直接箭头连接符 45"/>
                              <wps:cNvCnPr/>
                              <wps:spPr>
                                <a:xfrm>
                                  <a:off x="3570605" y="2016125"/>
                                  <a:ext cx="405130" cy="2540"/>
                                </a:xfrm>
                                <a:prstGeom prst="straightConnector1">
                                  <a:avLst/>
                                </a:prstGeom>
                                <a:ln w="6350">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46" name="矩形 46"/>
                              <wps:cNvSpPr/>
                              <wps:spPr>
                                <a:xfrm>
                                  <a:off x="3921125" y="1764665"/>
                                  <a:ext cx="1181100" cy="518160"/>
                                </a:xfrm>
                                <a:prstGeom prst="rect">
                                  <a:avLst/>
                                </a:prstGeom>
                                <a:noFill/>
                                <a:ln w="6350">
                                  <a:noFill/>
                                </a:ln>
                              </wps:spPr>
                              <wps:style>
                                <a:lnRef idx="2">
                                  <a:schemeClr val="accent1">
                                    <a:lumMod val="75000"/>
                                  </a:schemeClr>
                                </a:lnRef>
                                <a:fillRef idx="1">
                                  <a:schemeClr val="accent1"/>
                                </a:fillRef>
                                <a:effectRef idx="0">
                                  <a:srgbClr val="FFFFFF"/>
                                </a:effectRef>
                                <a:fontRef idx="minor">
                                  <a:schemeClr val="lt1"/>
                                </a:fontRef>
                              </wps:style>
                              <wps:txbx>
                                <w:txbxContent>
                                  <w:p w14:paraId="2FB6A329">
                                    <w:pPr>
                                      <w:jc w:val="center"/>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乐平市金山工业园区一期污水站</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7" name="矩形 47"/>
                              <wps:cNvSpPr/>
                              <wps:spPr>
                                <a:xfrm>
                                  <a:off x="2273935" y="1765300"/>
                                  <a:ext cx="626110" cy="304800"/>
                                </a:xfrm>
                                <a:prstGeom prst="rect">
                                  <a:avLst/>
                                </a:prstGeom>
                                <a:noFill/>
                                <a:ln w="6350">
                                  <a:noFill/>
                                </a:ln>
                              </wps:spPr>
                              <wps:style>
                                <a:lnRef idx="2">
                                  <a:schemeClr val="accent1">
                                    <a:lumMod val="75000"/>
                                  </a:schemeClr>
                                </a:lnRef>
                                <a:fillRef idx="1">
                                  <a:schemeClr val="accent1"/>
                                </a:fillRef>
                                <a:effectRef idx="0">
                                  <a:srgbClr val="FFFFFF"/>
                                </a:effectRef>
                                <a:fontRef idx="minor">
                                  <a:schemeClr val="lt1"/>
                                </a:fontRef>
                              </wps:style>
                              <wps:txbx>
                                <w:txbxContent>
                                  <w:p w14:paraId="0DD135E0">
                                    <w:pPr>
                                      <w:jc w:val="center"/>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64</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8" name="矩形 48"/>
                              <wps:cNvSpPr/>
                              <wps:spPr>
                                <a:xfrm>
                                  <a:off x="3448685" y="1749425"/>
                                  <a:ext cx="626110" cy="304800"/>
                                </a:xfrm>
                                <a:prstGeom prst="rect">
                                  <a:avLst/>
                                </a:prstGeom>
                                <a:noFill/>
                                <a:ln w="6350">
                                  <a:noFill/>
                                </a:ln>
                              </wps:spPr>
                              <wps:style>
                                <a:lnRef idx="2">
                                  <a:schemeClr val="accent1">
                                    <a:lumMod val="75000"/>
                                  </a:schemeClr>
                                </a:lnRef>
                                <a:fillRef idx="1">
                                  <a:schemeClr val="accent1"/>
                                </a:fillRef>
                                <a:effectRef idx="0">
                                  <a:srgbClr val="FFFFFF"/>
                                </a:effectRef>
                                <a:fontRef idx="minor">
                                  <a:schemeClr val="lt1"/>
                                </a:fontRef>
                              </wps:style>
                              <wps:txbx>
                                <w:txbxContent>
                                  <w:p w14:paraId="10F736A0">
                                    <w:pPr>
                                      <w:jc w:val="center"/>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64</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9" name="曲线连接符 49"/>
                              <wps:cNvCnPr/>
                              <wps:spPr>
                                <a:xfrm rot="16200000">
                                  <a:off x="2069465" y="1612265"/>
                                  <a:ext cx="130175" cy="297815"/>
                                </a:xfrm>
                                <a:prstGeom prst="curvedConnector2">
                                  <a:avLst/>
                                </a:prstGeom>
                                <a:ln w="6350">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50" name="矩形 50"/>
                              <wps:cNvSpPr/>
                              <wps:spPr>
                                <a:xfrm>
                                  <a:off x="2237105" y="1464310"/>
                                  <a:ext cx="732155" cy="320040"/>
                                </a:xfrm>
                                <a:prstGeom prst="rect">
                                  <a:avLst/>
                                </a:prstGeom>
                                <a:noFill/>
                                <a:ln w="6350">
                                  <a:noFill/>
                                </a:ln>
                              </wps:spPr>
                              <wps:style>
                                <a:lnRef idx="2">
                                  <a:schemeClr val="accent1">
                                    <a:lumMod val="75000"/>
                                  </a:schemeClr>
                                </a:lnRef>
                                <a:fillRef idx="1">
                                  <a:schemeClr val="accent1"/>
                                </a:fillRef>
                                <a:effectRef idx="0">
                                  <a:srgbClr val="FFFFFF"/>
                                </a:effectRef>
                                <a:fontRef idx="minor">
                                  <a:schemeClr val="lt1"/>
                                </a:fontRef>
                              </wps:style>
                              <wps:txbx>
                                <w:txbxContent>
                                  <w:p w14:paraId="01942A95">
                                    <w:pPr>
                                      <w:jc w:val="center"/>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损耗16</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30" name="矩形 230"/>
                              <wps:cNvSpPr/>
                              <wps:spPr>
                                <a:xfrm>
                                  <a:off x="2386965" y="334010"/>
                                  <a:ext cx="626110" cy="304800"/>
                                </a:xfrm>
                                <a:prstGeom prst="rect">
                                  <a:avLst/>
                                </a:prstGeom>
                                <a:noFill/>
                                <a:ln w="6350">
                                  <a:noFill/>
                                </a:ln>
                              </wps:spPr>
                              <wps:style>
                                <a:lnRef idx="2">
                                  <a:schemeClr val="accent1">
                                    <a:lumMod val="75000"/>
                                  </a:schemeClr>
                                </a:lnRef>
                                <a:fillRef idx="1">
                                  <a:schemeClr val="accent1"/>
                                </a:fillRef>
                                <a:effectRef idx="0">
                                  <a:srgbClr val="FFFFFF"/>
                                </a:effectRef>
                                <a:fontRef idx="minor">
                                  <a:schemeClr val="lt1"/>
                                </a:fontRef>
                              </wps:style>
                              <wps:txbx>
                                <w:txbxContent>
                                  <w:p w14:paraId="31215BEF">
                                    <w:pPr>
                                      <w:jc w:val="center"/>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0.08</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33" name="矩形 233"/>
                              <wps:cNvSpPr/>
                              <wps:spPr>
                                <a:xfrm>
                                  <a:off x="2985770" y="344170"/>
                                  <a:ext cx="892175" cy="320040"/>
                                </a:xfrm>
                                <a:prstGeom prst="rect">
                                  <a:avLst/>
                                </a:prstGeom>
                                <a:noFill/>
                                <a:ln w="6350">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7631CB6A">
                                    <w:pPr>
                                      <w:jc w:val="center"/>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循环使用</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43" name="肘形连接符 243"/>
                              <wps:cNvCnPr>
                                <a:endCxn id="233" idx="0"/>
                              </wps:cNvCnPr>
                              <wps:spPr>
                                <a:xfrm flipV="1">
                                  <a:off x="991870" y="344170"/>
                                  <a:ext cx="2440305" cy="850265"/>
                                </a:xfrm>
                                <a:prstGeom prst="bentConnector4">
                                  <a:avLst>
                                    <a:gd name="adj1" fmla="val -286"/>
                                    <a:gd name="adj2" fmla="val 133159"/>
                                  </a:avLst>
                                </a:prstGeom>
                                <a:ln w="10160">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245" name="曲线连接符 245"/>
                              <wps:cNvCnPr/>
                              <wps:spPr>
                                <a:xfrm rot="16200000">
                                  <a:off x="3539490" y="119380"/>
                                  <a:ext cx="130175" cy="297815"/>
                                </a:xfrm>
                                <a:prstGeom prst="curvedConnector2">
                                  <a:avLst/>
                                </a:prstGeom>
                                <a:ln w="6350">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246" name="曲线连接符 246"/>
                              <wps:cNvCnPr/>
                              <wps:spPr>
                                <a:xfrm rot="16200000">
                                  <a:off x="1695450" y="127635"/>
                                  <a:ext cx="130175" cy="297815"/>
                                </a:xfrm>
                                <a:prstGeom prst="curvedConnector2">
                                  <a:avLst/>
                                </a:prstGeom>
                                <a:ln w="6350">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247" name="矩形 247"/>
                              <wps:cNvSpPr/>
                              <wps:spPr>
                                <a:xfrm>
                                  <a:off x="3721100" y="23495"/>
                                  <a:ext cx="732155" cy="320040"/>
                                </a:xfrm>
                                <a:prstGeom prst="rect">
                                  <a:avLst/>
                                </a:prstGeom>
                                <a:noFill/>
                                <a:ln w="6350">
                                  <a:noFill/>
                                </a:ln>
                              </wps:spPr>
                              <wps:style>
                                <a:lnRef idx="2">
                                  <a:schemeClr val="accent1">
                                    <a:lumMod val="75000"/>
                                  </a:schemeClr>
                                </a:lnRef>
                                <a:fillRef idx="1">
                                  <a:schemeClr val="accent1"/>
                                </a:fillRef>
                                <a:effectRef idx="0">
                                  <a:srgbClr val="FFFFFF"/>
                                </a:effectRef>
                                <a:fontRef idx="minor">
                                  <a:schemeClr val="lt1"/>
                                </a:fontRef>
                              </wps:style>
                              <wps:txbx>
                                <w:txbxContent>
                                  <w:p w14:paraId="1B6D0A7B">
                                    <w:pPr>
                                      <w:jc w:val="center"/>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更换0.02</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49" name="直接箭头连接符 249"/>
                              <wps:cNvCnPr/>
                              <wps:spPr>
                                <a:xfrm flipH="1">
                                  <a:off x="2458720" y="608965"/>
                                  <a:ext cx="494030" cy="0"/>
                                </a:xfrm>
                                <a:prstGeom prst="straightConnector1">
                                  <a:avLst/>
                                </a:prstGeom>
                                <a:ln w="6350">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250" name="矩形 250"/>
                              <wps:cNvSpPr/>
                              <wps:spPr>
                                <a:xfrm>
                                  <a:off x="2388235" y="577850"/>
                                  <a:ext cx="626110" cy="304800"/>
                                </a:xfrm>
                                <a:prstGeom prst="rect">
                                  <a:avLst/>
                                </a:prstGeom>
                                <a:noFill/>
                                <a:ln w="6350">
                                  <a:noFill/>
                                </a:ln>
                              </wps:spPr>
                              <wps:style>
                                <a:lnRef idx="2">
                                  <a:schemeClr val="accent1">
                                    <a:lumMod val="75000"/>
                                  </a:schemeClr>
                                </a:lnRef>
                                <a:fillRef idx="1">
                                  <a:schemeClr val="accent1"/>
                                </a:fillRef>
                                <a:effectRef idx="0">
                                  <a:srgbClr val="FFFFFF"/>
                                </a:effectRef>
                                <a:fontRef idx="minor">
                                  <a:schemeClr val="lt1"/>
                                </a:fontRef>
                              </wps:style>
                              <wps:txbx>
                                <w:txbxContent>
                                  <w:p w14:paraId="02C09F30">
                                    <w:pPr>
                                      <w:jc w:val="center"/>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0.08</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51" name="矩形 251"/>
                              <wps:cNvSpPr/>
                              <wps:spPr>
                                <a:xfrm>
                                  <a:off x="967740" y="75565"/>
                                  <a:ext cx="626110" cy="304800"/>
                                </a:xfrm>
                                <a:prstGeom prst="rect">
                                  <a:avLst/>
                                </a:prstGeom>
                                <a:noFill/>
                                <a:ln w="6350">
                                  <a:noFill/>
                                </a:ln>
                              </wps:spPr>
                              <wps:style>
                                <a:lnRef idx="2">
                                  <a:schemeClr val="accent1">
                                    <a:lumMod val="75000"/>
                                  </a:schemeClr>
                                </a:lnRef>
                                <a:fillRef idx="1">
                                  <a:schemeClr val="accent1"/>
                                </a:fillRef>
                                <a:effectRef idx="0">
                                  <a:srgbClr val="FFFFFF"/>
                                </a:effectRef>
                                <a:fontRef idx="minor">
                                  <a:schemeClr val="lt1"/>
                                </a:fontRef>
                              </wps:style>
                              <wps:txbx>
                                <w:txbxContent>
                                  <w:p w14:paraId="148AD95C">
                                    <w:pPr>
                                      <w:jc w:val="center"/>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0.02</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5" name="矩形 15"/>
                              <wps:cNvSpPr/>
                              <wps:spPr>
                                <a:xfrm>
                                  <a:off x="1513205" y="1015365"/>
                                  <a:ext cx="892175" cy="320040"/>
                                </a:xfrm>
                                <a:prstGeom prst="rect">
                                  <a:avLst/>
                                </a:prstGeom>
                                <a:noFill/>
                                <a:ln w="6350">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7610A0E9">
                                    <w:pPr>
                                      <w:jc w:val="center"/>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间接冷却水</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0" name="矩形 40"/>
                              <wps:cNvSpPr/>
                              <wps:spPr>
                                <a:xfrm>
                                  <a:off x="920115" y="888365"/>
                                  <a:ext cx="626110" cy="304800"/>
                                </a:xfrm>
                                <a:prstGeom prst="rect">
                                  <a:avLst/>
                                </a:prstGeom>
                                <a:noFill/>
                                <a:ln w="6350">
                                  <a:noFill/>
                                </a:ln>
                              </wps:spPr>
                              <wps:style>
                                <a:lnRef idx="2">
                                  <a:schemeClr val="accent1">
                                    <a:lumMod val="75000"/>
                                  </a:schemeClr>
                                </a:lnRef>
                                <a:fillRef idx="1">
                                  <a:schemeClr val="accent1"/>
                                </a:fillRef>
                                <a:effectRef idx="0">
                                  <a:srgbClr val="FFFFFF"/>
                                </a:effectRef>
                                <a:fontRef idx="minor">
                                  <a:schemeClr val="lt1"/>
                                </a:fontRef>
                              </wps:style>
                              <wps:txbx>
                                <w:txbxContent>
                                  <w:p w14:paraId="594B50E0">
                                    <w:pPr>
                                      <w:jc w:val="center"/>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0.64</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27" name="曲线连接符 227"/>
                              <wps:cNvCnPr/>
                              <wps:spPr>
                                <a:xfrm rot="16200000">
                                  <a:off x="1661160" y="814705"/>
                                  <a:ext cx="130175" cy="297815"/>
                                </a:xfrm>
                                <a:prstGeom prst="curvedConnector2">
                                  <a:avLst/>
                                </a:prstGeom>
                                <a:ln w="6350">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244" name="矩形 244"/>
                              <wps:cNvSpPr/>
                              <wps:spPr>
                                <a:xfrm>
                                  <a:off x="1691640" y="624205"/>
                                  <a:ext cx="732155" cy="320040"/>
                                </a:xfrm>
                                <a:prstGeom prst="rect">
                                  <a:avLst/>
                                </a:prstGeom>
                                <a:noFill/>
                                <a:ln w="6350">
                                  <a:noFill/>
                                </a:ln>
                              </wps:spPr>
                              <wps:style>
                                <a:lnRef idx="2">
                                  <a:schemeClr val="accent1">
                                    <a:lumMod val="75000"/>
                                  </a:schemeClr>
                                </a:lnRef>
                                <a:fillRef idx="1">
                                  <a:schemeClr val="accent1"/>
                                </a:fillRef>
                                <a:effectRef idx="0">
                                  <a:srgbClr val="FFFFFF"/>
                                </a:effectRef>
                                <a:fontRef idx="minor">
                                  <a:schemeClr val="lt1"/>
                                </a:fontRef>
                              </wps:style>
                              <wps:txbx>
                                <w:txbxContent>
                                  <w:p w14:paraId="6100686C">
                                    <w:pPr>
                                      <w:jc w:val="center"/>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损耗0.64</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57" name="矩形 257"/>
                              <wps:cNvSpPr/>
                              <wps:spPr>
                                <a:xfrm>
                                  <a:off x="2412365" y="931545"/>
                                  <a:ext cx="732155" cy="320040"/>
                                </a:xfrm>
                                <a:prstGeom prst="rect">
                                  <a:avLst/>
                                </a:prstGeom>
                                <a:noFill/>
                                <a:ln w="6350">
                                  <a:noFill/>
                                </a:ln>
                              </wps:spPr>
                              <wps:style>
                                <a:lnRef idx="2">
                                  <a:schemeClr val="accent1">
                                    <a:lumMod val="75000"/>
                                  </a:schemeClr>
                                </a:lnRef>
                                <a:fillRef idx="1">
                                  <a:schemeClr val="accent1"/>
                                </a:fillRef>
                                <a:effectRef idx="0">
                                  <a:srgbClr val="FFFFFF"/>
                                </a:effectRef>
                                <a:fontRef idx="minor">
                                  <a:schemeClr val="lt1"/>
                                </a:fontRef>
                              </wps:style>
                              <wps:txbx>
                                <w:txbxContent>
                                  <w:p w14:paraId="1AE626BA">
                                    <w:pPr>
                                      <w:jc w:val="center"/>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循环使用</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188.4pt;width:421.3pt;" coordsize="5350510,2392680" editas="canvas" o:gfxdata="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">
                      <o:lock v:ext="edit" aspectratio="f"/>
                      <v:shape id="_x0000_s1026" o:spid="_x0000_s1026" style="position:absolute;left:0;top:0;height:2392680;width:5350510;" filled="f" stroked="t" coordsize="21600,21600" o:gfxdata="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">
                        <v:fill on="f" focussize="0,0"/>
                        <v:stroke color="#000000 [3213]" joinstyle="round"/>
                        <v:imagedata o:title=""/>
                        <o:lock v:ext="edit" aspectratio="f"/>
                      </v:shape>
                      <v:rect id="_x0000_s1026" o:spid="_x0000_s1026" o:spt="1" style="position:absolute;left:249555;top:798830;height:426720;width:762000;v-text-anchor:middle;" filled="f" stroked="f" coordsize="21600,21600" o:gfxdata="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CgIV2u1QAA&#10;AAUBAAAPAAAAAAAAAAEAIAAAACIAAABkcnMvZG93bnJldi54bWxQSwECFAAUAAAACACHTuJATWz1&#10;51oCAAChBAAADgAAAAAAAAABACAAAAAkAQAAZHJzL2Uyb0RvYy54bWxQSwUGAAAAAAYABgBZAQAA&#10;8AUAAAAA&#10;">
                        <v:fill on="f" focussize="0,0"/>
                        <v:stroke on="f" weight="2pt"/>
                        <v:imagedata o:title=""/>
                        <o:lock v:ext="edit" aspectratio="f"/>
                        <v:textbox>
                          <w:txbxContent>
                            <w:p w14:paraId="3FBED70D">
                              <w:pPr>
                                <w:jc w:val="center"/>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新鲜水</w:t>
                              </w:r>
                            </w:p>
                            <w:p w14:paraId="128ED4CE">
                              <w:pPr>
                                <w:jc w:val="center"/>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80.68</w:t>
                              </w:r>
                            </w:p>
                          </w:txbxContent>
                        </v:textbox>
                      </v:rect>
                      <v:rect id="_x0000_s1026" o:spid="_x0000_s1026" o:spt="1" style="position:absolute;left:1562100;top:336550;height:320040;width:892175;v-text-anchor:middle;" filled="f" stroked="t" coordsize="21600,21600" o:gfxdata="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C8uRBT1AAAAAUBAAAPAAAAAAAAAAEAIAAAACIAAABkcnMvZG93bnJldi54bWxQ&#10;SwECFAAUAAAACACHTuJA9ihxhW0CAADKBAAADgAAAAAAAAABACAAAAAjAQAAZHJzL2Uyb0RvYy54&#10;bWxQSwUGAAAAAAYABgBZAQAAAgYAAAAA&#10;">
                        <v:fill on="f" focussize="0,0"/>
                        <v:stroke weight="0.5pt" color="#000000 [3213]" joinstyle="round"/>
                        <v:imagedata o:title=""/>
                        <o:lock v:ext="edit" aspectratio="f"/>
                        <v:textbox>
                          <w:txbxContent>
                            <w:p w14:paraId="084DF4B0">
                              <w:pPr>
                                <w:jc w:val="center"/>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网版清洗水</w:t>
                              </w:r>
                            </w:p>
                          </w:txbxContent>
                        </v:textbox>
                      </v:rect>
                      <v:rect id="_x0000_s1026" o:spid="_x0000_s1026" o:spt="1" style="position:absolute;left:1479550;top:1825625;height:320040;width:939800;v-text-anchor:middle;" filled="f" stroked="t" coordsize="21600,21600" o:gfxdata="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C8uRBT1AAAAAUBAAAPAAAAAAAAAAEAIAAAACIAAABkcnMvZG93bnJldi54bWxQ&#10;SwECFAAUAAAACACHTuJA8htUMW0CAADLBAAADgAAAAAAAAABACAAAAAjAQAAZHJzL2Uyb0RvYy54&#10;bWxQSwUGAAAAAAYABgBZAQAAAgYAAAAA&#10;">
                        <v:fill on="f" focussize="0,0"/>
                        <v:stroke weight="0.5pt" color="#000000 [3213]" joinstyle="round"/>
                        <v:imagedata o:title=""/>
                        <o:lock v:ext="edit" aspectratio="f"/>
                        <v:textbox>
                          <w:txbxContent>
                            <w:p w14:paraId="028B46CB">
                              <w:pPr>
                                <w:jc w:val="center"/>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生活用水</w:t>
                              </w:r>
                            </w:p>
                          </w:txbxContent>
                        </v:textbox>
                      </v:rect>
                      <v:shape id="_x0000_s1026" o:spid="_x0000_s1026" o:spt="34" type="#_x0000_t34" style="position:absolute;left:1479550;top:492125;flip:y;height:1493520;width:71755;rotation:11796480f;" filled="f" stroked="t" coordsize="21600,21600" o:gfxdata="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YqJvTdcAAAAFAQAADwAAAAAAAAAB&#10;ACAAAAAiAAAAZHJzL2Rvd25yZXYueG1sUEsBAhQAFAAAAAgAh07iQOpOEf1KAgAAcAQAAA4AAAAA&#10;AAAAAQAgAAAAJgEAAGRycy9lMm9Eb2MueG1sUEsFBgAAAAAGAAYAWQEAAOIFAAAAAA==&#10;" adj="170506">
                        <v:fill on="f" focussize="0,0"/>
                        <v:stroke weight="0.5pt" color="#000000 [3213]" joinstyle="round" startarrow="open" endarrow="open"/>
                        <v:imagedata o:title=""/>
                        <o:lock v:ext="edit" aspectratio="f"/>
                      </v:shape>
                      <v:rect id="_x0000_s1026" o:spid="_x0000_s1026" o:spt="1" style="position:absolute;left:1836420;top:76200;height:320040;width:732155;v-text-anchor:middle;" filled="f" stroked="f" coordsize="21600,21600" o:gfxdata="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HIGB&#10;8NgAAAAFAQAADwAAAAAAAAABACAAAAAiAAAAZHJzL2Rvd25yZXYueG1sUEsBAhQAFAAAAAgAh07i&#10;QMGZbExbAgAAoAQAAA4AAAAAAAAAAQAgAAAAJwEAAGRycy9lMm9Eb2MueG1sUEsFBgAAAAAGAAYA&#10;WQEAAPQFAAAAAA==&#10;">
                        <v:fill on="f" focussize="0,0"/>
                        <v:stroke on="f" weight="0.5pt"/>
                        <v:imagedata o:title=""/>
                        <o:lock v:ext="edit" aspectratio="f"/>
                        <v:textbox>
                          <w:txbxContent>
                            <w:p w14:paraId="532AF157">
                              <w:pPr>
                                <w:jc w:val="center"/>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损耗0.02</w:t>
                              </w:r>
                            </w:p>
                          </w:txbxContent>
                        </v:textbox>
                      </v:rect>
                      <v:shape id="_x0000_s1026" o:spid="_x0000_s1026" o:spt="32" type="#_x0000_t32" style="position:absolute;left:2464435;top:414655;flip:y;height:5080;width:509905;" filled="f" stroked="t" coordsize="21600,21600" o:gfxdata="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CjU1cPWAAAABQEAAA8AAAAAAAAAAQAg&#10;AAAAIgAAAGRycy9kb3ducmV2LnhtbFBLAQIUABQAAAAIAIdO4kDZ8w4rEAIAAOADAAAOAAAAAAAA&#10;AAEAIAAAACUBAABkcnMvZTJvRG9jLnhtbFBLBQYAAAAABgAGAFkBAACnBQAAAAA=&#10;">
                        <v:fill on="f" focussize="0,0"/>
                        <v:stroke weight="0.5pt" color="#000000 [3213]" joinstyle="round" endarrow="open"/>
                        <v:imagedata o:title=""/>
                        <o:lock v:ext="edit" aspectratio="f"/>
                      </v:shape>
                      <v:rect id="_x0000_s1026" o:spid="_x0000_s1026" o:spt="1" style="position:absolute;left:963295;top:513080;height:304800;width:626110;v-text-anchor:middle;" filled="f" stroked="f" coordsize="21600,21600" o:gfxdata="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ByB&#10;gfDYAAAABQEAAA8AAAAAAAAAAQAgAAAAIgAAAGRycy9kb3ducmV2LnhtbFBLAQIUABQAAAAIAIdO&#10;4kC5NmNjXAIAAKAEAAAOAAAAAAAAAAEAIAAAACcBAABkcnMvZTJvRG9jLnhtbFBLBQYAAAAABgAG&#10;AFkBAAD1BQAAAAA=&#10;">
                        <v:fill on="f" focussize="0,0"/>
                        <v:stroke on="f" weight="0.5pt"/>
                        <v:imagedata o:title=""/>
                        <o:lock v:ext="edit" aspectratio="f"/>
                        <v:textbox>
                          <w:txbxContent>
                            <w:p w14:paraId="5107DEDA">
                              <w:pPr>
                                <w:jc w:val="center"/>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0.02</w:t>
                              </w:r>
                            </w:p>
                          </w:txbxContent>
                        </v:textbox>
                      </v:rect>
                      <v:rect id="_x0000_s1026" o:spid="_x0000_s1026" o:spt="1" style="position:absolute;left:953135;top:1631315;height:304800;width:626110;v-text-anchor:middle;" filled="f" stroked="f" coordsize="21600,21600" o:gfxdata="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ByB&#10;gfDYAAAABQEAAA8AAAAAAAAAAQAgAAAAIgAAAGRycy9kb3ducmV2LnhtbFBLAQIUABQAAAAIAIdO&#10;4kDVUWiTXAIAAKEEAAAOAAAAAAAAAAEAIAAAACcBAABkcnMvZTJvRG9jLnhtbFBLBQYAAAAABgAG&#10;AFkBAAD1BQAAAAA=&#10;">
                        <v:fill on="f" focussize="0,0"/>
                        <v:stroke on="f" weight="0.5pt"/>
                        <v:imagedata o:title=""/>
                        <o:lock v:ext="edit" aspectratio="f"/>
                        <v:textbox>
                          <w:txbxContent>
                            <w:p w14:paraId="72AA1DA3">
                              <w:pPr>
                                <w:jc w:val="center"/>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80</w:t>
                              </w:r>
                            </w:p>
                          </w:txbxContent>
                        </v:textbox>
                      </v:rect>
                      <v:shape id="_x0000_s1026" o:spid="_x0000_s1026" o:spt="32" type="#_x0000_t32" style="position:absolute;left:2411095;top:2009140;height:2540;width:405130;" filled="f" stroked="t" coordsize="21600,21600" o:gfxdata="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8gDS1wAAAAUBAAAPAAAAAAAAAAEAIAAAACIAAABk&#10;cnMvZG93bnJldi54bWxQSwECFAAUAAAACACHTuJAODQx2AcCAADXAwAADgAAAAAAAAABACAAAAAm&#10;AQAAZHJzL2Uyb0RvYy54bWxQSwUGAAAAAAYABgBZAQAAnwUAAAAA&#10;">
                        <v:fill on="f" focussize="0,0"/>
                        <v:stroke weight="0.5pt" color="#000000 [3213]" joinstyle="round" endarrow="open"/>
                        <v:imagedata o:title=""/>
                        <o:lock v:ext="edit" aspectratio="f"/>
                      </v:shape>
                      <v:rect id="_x0000_s1026" o:spid="_x0000_s1026" o:spt="1" style="position:absolute;left:2816225;top:1745615;height:472440;width:744855;v-text-anchor:middle;" filled="f" stroked="t" coordsize="21600,21600" o:gfxdata="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C8uRBT1AAAAAUBAAAPAAAAAAAAAAEAIAAAACIAAABkcnMvZG93bnJldi54&#10;bWxQSwECFAAUAAAACACHTuJAmve1JHACAADLBAAADgAAAAAAAAABACAAAAAjAQAAZHJzL2Uyb0Rv&#10;Yy54bWxQSwUGAAAAAAYABgBZAQAABQYAAAAA&#10;">
                        <v:fill on="f" focussize="0,0"/>
                        <v:stroke weight="0.5pt" color="#000000 [3213]" joinstyle="round"/>
                        <v:imagedata o:title=""/>
                        <o:lock v:ext="edit" aspectratio="f"/>
                        <v:textbox>
                          <w:txbxContent>
                            <w:p w14:paraId="03B54DD0">
                              <w:pPr>
                                <w:jc w:val="center"/>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隔油池+化粪池</w:t>
                              </w:r>
                            </w:p>
                          </w:txbxContent>
                        </v:textbox>
                      </v:rect>
                      <v:shape id="_x0000_s1026" o:spid="_x0000_s1026" o:spt="32" type="#_x0000_t32" style="position:absolute;left:3570605;top:2016125;height:2540;width:405130;" filled="f" stroked="t" coordsize="21600,21600" o:gfxdata="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8gDS1wAAAAUBAAAPAAAAAAAAAAEAIAAAACIAAABk&#10;cnMvZG93bnJldi54bWxQSwECFAAUAAAACACHTuJAawJyTwcCAADXAwAADgAAAAAAAAABACAAAAAm&#10;AQAAZHJzL2Uyb0RvYy54bWxQSwUGAAAAAAYABgBZAQAAnwUAAAAA&#10;">
                        <v:fill on="f" focussize="0,0"/>
                        <v:stroke weight="0.5pt" color="#000000 [3213]" joinstyle="round" endarrow="open"/>
                        <v:imagedata o:title=""/>
                        <o:lock v:ext="edit" aspectratio="f"/>
                      </v:shape>
                      <v:rect id="_x0000_s1026" o:spid="_x0000_s1026" o:spt="1" style="position:absolute;left:3921125;top:1764665;height:518160;width:1181100;v-text-anchor:middle;" filled="f" stroked="f" coordsize="21600,21600" o:gfxdata="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AcgYHw2AAAAAUBAAAPAAAAAAAAAAEAIAAAACIAAABkcnMvZG93bnJldi54bWxQSwECFAAUAAAA&#10;CACHTuJA4AyGoGACAACjBAAADgAAAAAAAAABACAAAAAnAQAAZHJzL2Uyb0RvYy54bWxQSwUGAAAA&#10;AAYABgBZAQAA+QUAAAAA&#10;">
                        <v:fill on="f" focussize="0,0"/>
                        <v:stroke on="f" weight="0.5pt"/>
                        <v:imagedata o:title=""/>
                        <o:lock v:ext="edit" aspectratio="f"/>
                        <v:textbox>
                          <w:txbxContent>
                            <w:p w14:paraId="2FB6A329">
                              <w:pPr>
                                <w:jc w:val="center"/>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乐平市金山工业园区一期污水站</w:t>
                              </w:r>
                            </w:p>
                          </w:txbxContent>
                        </v:textbox>
                      </v:rect>
                      <v:rect id="_x0000_s1026" o:spid="_x0000_s1026" o:spt="1" style="position:absolute;left:2273935;top:1765300;height:304800;width:626110;v-text-anchor:middle;" filled="f" stroked="f" coordsize="21600,21600" o:gfxdata="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Ac&#10;gYHw2AAAAAUBAAAPAAAAAAAAAAEAIAAAACIAAABkcnMvZG93bnJldi54bWxQSwECFAAUAAAACACH&#10;TuJAEOZkPV0CAACiBAAADgAAAAAAAAABACAAAAAnAQAAZHJzL2Uyb0RvYy54bWxQSwUGAAAAAAYA&#10;BgBZAQAA9gUAAAAA&#10;">
                        <v:fill on="f" focussize="0,0"/>
                        <v:stroke on="f" weight="0.5pt"/>
                        <v:imagedata o:title=""/>
                        <o:lock v:ext="edit" aspectratio="f"/>
                        <v:textbox>
                          <w:txbxContent>
                            <w:p w14:paraId="0DD135E0">
                              <w:pPr>
                                <w:jc w:val="center"/>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64</w:t>
                              </w:r>
                            </w:p>
                          </w:txbxContent>
                        </v:textbox>
                      </v:rect>
                      <v:rect id="_x0000_s1026" o:spid="_x0000_s1026" o:spt="1" style="position:absolute;left:3448685;top:1749425;height:304800;width:626110;v-text-anchor:middle;" filled="f" stroked="f" coordsize="21600,21600" o:gfxdata="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ByBgfDYAAAABQEAAA8AAAAAAAAAAQAgAAAAIgAAAGRycy9kb3ducmV2LnhtbFBLAQIUABQAAAAI&#10;AIdO4kDwg95lXwIAAKIEAAAOAAAAAAAAAAEAIAAAACcBAABkcnMvZTJvRG9jLnhtbFBLBQYAAAAA&#10;BgAGAFkBAAD4BQAAAAA=&#10;">
                        <v:fill on="f" focussize="0,0"/>
                        <v:stroke on="f" weight="0.5pt"/>
                        <v:imagedata o:title=""/>
                        <o:lock v:ext="edit" aspectratio="f"/>
                        <v:textbox>
                          <w:txbxContent>
                            <w:p w14:paraId="10F736A0">
                              <w:pPr>
                                <w:jc w:val="center"/>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64</w:t>
                              </w:r>
                            </w:p>
                          </w:txbxContent>
                        </v:textbox>
                      </v:rect>
                      <v:shape id="_x0000_s1026" o:spid="_x0000_s1026" o:spt="37" type="#_x0000_t37" style="position:absolute;left:2069465;top:1612265;height:297815;width:130175;rotation:-5898240f;" filled="f" stroked="t" coordsize="21600,21600" o:gfxdata="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E7Z+QtQAAAAFAQAADwAAAAAAAAABACAAAAAi&#10;AAAAZHJzL2Rvd25yZXYueG1sUEsBAhQAFAAAAAgAh07iQHczkn8OAgAA4AMAAA4AAAAAAAAAAQAg&#10;AAAAIwEAAGRycy9lMm9Eb2MueG1sUEsFBgAAAAAGAAYAWQEAAKMFAAAAAA==&#10;">
                        <v:fill on="f" focussize="0,0"/>
                        <v:stroke weight="0.5pt" color="#000000 [3213]" joinstyle="round" endarrow="open"/>
                        <v:imagedata o:title=""/>
                        <o:lock v:ext="edit" aspectratio="f"/>
                      </v:shape>
                      <v:rect id="_x0000_s1026" o:spid="_x0000_s1026" o:spt="1" style="position:absolute;left:2237105;top:1464310;height:320040;width:732155;v-text-anchor:middle;" filled="f" stroked="f" coordsize="21600,21600" o:gfxdata="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Ac&#10;gYHw2AAAAAUBAAAPAAAAAAAAAAEAIAAAACIAAABkcnMvZG93bnJldi54bWxQSwECFAAUAAAACACH&#10;TuJAZ+9+G10CAACiBAAADgAAAAAAAAABACAAAAAnAQAAZHJzL2Uyb0RvYy54bWxQSwUGAAAAAAYA&#10;BgBZAQAA9gUAAAAA&#10;">
                        <v:fill on="f" focussize="0,0"/>
                        <v:stroke on="f" weight="0.5pt"/>
                        <v:imagedata o:title=""/>
                        <o:lock v:ext="edit" aspectratio="f"/>
                        <v:textbox>
                          <w:txbxContent>
                            <w:p w14:paraId="01942A95">
                              <w:pPr>
                                <w:jc w:val="center"/>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损耗16</w:t>
                              </w:r>
                            </w:p>
                          </w:txbxContent>
                        </v:textbox>
                      </v:rect>
                      <v:rect id="_x0000_s1026" o:spid="_x0000_s1026" o:spt="1" style="position:absolute;left:2386965;top:334010;height:304800;width:626110;v-text-anchor:middle;" filled="f" stroked="f" coordsize="21600,21600" o:gfxdata="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HIGB&#10;8NgAAAAFAQAADwAAAAAAAAABACAAAAAiAAAAZHJzL2Rvd25yZXYueG1sUEsBAhQAFAAAAAgAh07i&#10;QC3WSzBbAgAAowQAAA4AAAAAAAAAAQAgAAAAJwEAAGRycy9lMm9Eb2MueG1sUEsFBgAAAAAGAAYA&#10;WQEAAPQFAAAAAA==&#10;">
                        <v:fill on="f" focussize="0,0"/>
                        <v:stroke on="f" weight="0.5pt"/>
                        <v:imagedata o:title=""/>
                        <o:lock v:ext="edit" aspectratio="f"/>
                        <v:textbox>
                          <w:txbxContent>
                            <w:p w14:paraId="31215BEF">
                              <w:pPr>
                                <w:jc w:val="center"/>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0.08</w:t>
                              </w:r>
                            </w:p>
                          </w:txbxContent>
                        </v:textbox>
                      </v:rect>
                      <v:rect id="_x0000_s1026" o:spid="_x0000_s1026" o:spt="1" style="position:absolute;left:2985770;top:344170;height:320040;width:892175;v-text-anchor:middle;" filled="f" stroked="t" coordsize="21600,21600" o:gfxdata="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Ly5EFPUAAAABQEAAA8AAAAAAAAAAQAgAAAAIgAAAGRycy9kb3ducmV2LnhtbFBL&#10;AQIUABQAAAAIAIdO4kAdLhHSbAIAAMwEAAAOAAAAAAAAAAEAIAAAACMBAABkcnMvZTJvRG9jLnht&#10;bFBLBQYAAAAABgAGAFkBAAABBgAAAAA=&#10;">
                        <v:fill on="f" focussize="0,0"/>
                        <v:stroke weight="0.5pt" color="#000000 [3213]" joinstyle="round"/>
                        <v:imagedata o:title=""/>
                        <o:lock v:ext="edit" aspectratio="f"/>
                        <v:textbox>
                          <w:txbxContent>
                            <w:p w14:paraId="7631CB6A">
                              <w:pPr>
                                <w:jc w:val="center"/>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循环使用</w:t>
                              </w:r>
                            </w:p>
                          </w:txbxContent>
                        </v:textbox>
                      </v:rect>
                      <v:shape id="_x0000_s1026" o:spid="_x0000_s1026" o:spt="35" type="#_x0000_t35" style="position:absolute;left:991870;top:344170;flip:y;height:850265;width:2440305;" filled="f" stroked="t" coordsize="21600,21600" o:gfxdata="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BXBeq/UAAAABQEAAA8AAAAAAAAAAQAgAAAAIgAAAGRy&#10;cy9kb3ducmV2LnhtbFBLAQIUABQAAAAIAIdO4kBiMkTBQgIAAFUEAAAOAAAAAAAAAAEAIAAAACMB&#10;AABkcnMvZTJvRG9jLnhtbFBLBQYAAAAABgAGAFkBAADXBQAAAAA=&#10;" adj="-62,28762">
                        <v:fill on="f" focussize="0,0"/>
                        <v:stroke weight="0.8pt" color="#000000 [3213]" joinstyle="round" endarrow="open"/>
                        <v:imagedata o:title=""/>
                        <o:lock v:ext="edit" aspectratio="f"/>
                      </v:shape>
                      <v:shape id="_x0000_s1026" o:spid="_x0000_s1026" o:spt="37" type="#_x0000_t37" style="position:absolute;left:3539490;top:119380;height:297815;width:130175;rotation:-5898240f;" filled="f" stroked="t" coordsize="21600,21600" o:gfxdata="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Ttn5C1AAAAAUBAAAPAAAAAAAAAAEAIAAA&#10;ACIAAABkcnMvZG93bnJldi54bWxQSwECFAAUAAAACACHTuJAULAhGxACAADhAwAADgAAAAAAAAAB&#10;ACAAAAAjAQAAZHJzL2Uyb0RvYy54bWxQSwUGAAAAAAYABgBZAQAApQUAAAAA&#10;">
                        <v:fill on="f" focussize="0,0"/>
                        <v:stroke weight="0.5pt" color="#000000 [3213]" joinstyle="round" endarrow="open"/>
                        <v:imagedata o:title=""/>
                        <o:lock v:ext="edit" aspectratio="f"/>
                      </v:shape>
                      <v:shape id="_x0000_s1026" o:spid="_x0000_s1026" o:spt="37" type="#_x0000_t37" style="position:absolute;left:1695450;top:127635;height:297815;width:130175;rotation:-5898240f;" filled="f" stroked="t" coordsize="21600,21600" o:gfxdata="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Ttn5C1AAAAAUBAAAPAAAAAAAAAAEAIAAAACIA&#10;AABkcnMvZG93bnJldi54bWxQSwECFAAUAAAACACHTuJArYd9IA0CAADhAwAADgAAAAAAAAABACAA&#10;AAAjAQAAZHJzL2Uyb0RvYy54bWxQSwUGAAAAAAYABgBZAQAAogUAAAAA&#10;">
                        <v:fill on="f" focussize="0,0"/>
                        <v:stroke weight="0.5pt" color="#000000 [3213]" joinstyle="round" endarrow="open"/>
                        <v:imagedata o:title=""/>
                        <o:lock v:ext="edit" aspectratio="f"/>
                      </v:shape>
                      <v:rect id="_x0000_s1026" o:spid="_x0000_s1026" o:spt="1" style="position:absolute;left:3721100;top:23495;height:320040;width:732155;v-text-anchor:middle;" filled="f" stroked="f" coordsize="21600,21600" o:gfxdata="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ByBgfDYAAAABQEAAA8AAAAAAAAAAQAgAAAAIgAAAGRycy9kb3ducmV2LnhtbFBLAQIUABQAAAAI&#10;AIdO4kDiPq4/XwIAAKIEAAAOAAAAAAAAAAEAIAAAACcBAABkcnMvZTJvRG9jLnhtbFBLBQYAAAAA&#10;BgAGAFkBAAD4BQAAAAA=&#10;">
                        <v:fill on="f" focussize="0,0"/>
                        <v:stroke on="f" weight="0.5pt"/>
                        <v:imagedata o:title=""/>
                        <o:lock v:ext="edit" aspectratio="f"/>
                        <v:textbox>
                          <w:txbxContent>
                            <w:p w14:paraId="1B6D0A7B">
                              <w:pPr>
                                <w:jc w:val="center"/>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更换0.02</w:t>
                              </w:r>
                            </w:p>
                          </w:txbxContent>
                        </v:textbox>
                      </v:rect>
                      <v:shape id="_x0000_s1026" o:spid="_x0000_s1026" o:spt="32" type="#_x0000_t32" style="position:absolute;left:2458720;top:608965;flip:x;height:0;width:494030;" filled="f" stroked="t" coordsize="21600,21600" o:gfxdata="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CjU1cPWAAAABQEAAA8AAAAAAAAAAQAgAAAA&#10;IgAAAGRycy9kb3ducmV2LnhtbFBLAQIUABQAAAAIAIdO4kCaZDm4DQIAAN8DAAAOAAAAAAAAAAEA&#10;IAAAACUBAABkcnMvZTJvRG9jLnhtbFBLBQYAAAAABgAGAFkBAACkBQAAAAA=&#10;">
                        <v:fill on="f" focussize="0,0"/>
                        <v:stroke weight="0.5pt" color="#000000 [3213]" joinstyle="round" endarrow="open"/>
                        <v:imagedata o:title=""/>
                        <o:lock v:ext="edit" aspectratio="f"/>
                      </v:shape>
                      <v:rect id="_x0000_s1026" o:spid="_x0000_s1026" o:spt="1" style="position:absolute;left:2388235;top:577850;height:304800;width:626110;v-text-anchor:middle;" filled="f" stroked="f" coordsize="21600,21600" o:gfxdata="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Ac&#10;gYHw2AAAAAUBAAAPAAAAAAAAAAEAIAAAACIAAABkcnMvZG93bnJldi54bWxQSwECFAAUAAAACACH&#10;TuJAWGd4eV0CAACjBAAADgAAAAAAAAABACAAAAAnAQAAZHJzL2Uyb0RvYy54bWxQSwUGAAAAAAYA&#10;BgBZAQAA9gUAAAAA&#10;">
                        <v:fill on="f" focussize="0,0"/>
                        <v:stroke on="f" weight="0.5pt"/>
                        <v:imagedata o:title=""/>
                        <o:lock v:ext="edit" aspectratio="f"/>
                        <v:textbox>
                          <w:txbxContent>
                            <w:p w14:paraId="02C09F30">
                              <w:pPr>
                                <w:jc w:val="center"/>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0.08</w:t>
                              </w:r>
                            </w:p>
                          </w:txbxContent>
                        </v:textbox>
                      </v:rect>
                      <v:rect id="_x0000_s1026" o:spid="_x0000_s1026" o:spt="1" style="position:absolute;left:967740;top:75565;height:304800;width:626110;v-text-anchor:middle;" filled="f" stroked="f" coordsize="21600,21600" o:gfxdata="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Ac&#10;gYHw2AAAAAUBAAAPAAAAAAAAAAEAIAAAACIAAABkcnMvZG93bnJldi54bWxQSwECFAAUAAAACACH&#10;TuJAoR7Z3l0CAAChBAAADgAAAAAAAAABACAAAAAnAQAAZHJzL2Uyb0RvYy54bWxQSwUGAAAAAAYA&#10;BgBZAQAA9gUAAAAA&#10;">
                        <v:fill on="f" focussize="0,0"/>
                        <v:stroke on="f" weight="0.5pt"/>
                        <v:imagedata o:title=""/>
                        <o:lock v:ext="edit" aspectratio="f"/>
                        <v:textbox>
                          <w:txbxContent>
                            <w:p w14:paraId="148AD95C">
                              <w:pPr>
                                <w:jc w:val="center"/>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0.02</w:t>
                              </w:r>
                            </w:p>
                          </w:txbxContent>
                        </v:textbox>
                      </v:rect>
                      <v:rect id="_x0000_s1026" o:spid="_x0000_s1026" o:spt="1" style="position:absolute;left:1513205;top:1015365;height:320040;width:892175;v-text-anchor:middle;" filled="f" stroked="t" coordsize="21600,21600" o:gfxdata="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C8uRBT1AAAAAUBAAAPAAAAAAAAAAEAIAAAACIAAABkcnMvZG93bnJldi54bWxQ&#10;SwECFAAUAAAACACHTuJABtwCp20CAADLBAAADgAAAAAAAAABACAAAAAjAQAAZHJzL2Uyb0RvYy54&#10;bWxQSwUGAAAAAAYABgBZAQAAAgYAAAAA&#10;">
                        <v:fill on="f" focussize="0,0"/>
                        <v:stroke weight="0.5pt" color="#000000 [3213]" joinstyle="round"/>
                        <v:imagedata o:title=""/>
                        <o:lock v:ext="edit" aspectratio="f"/>
                        <v:textbox>
                          <w:txbxContent>
                            <w:p w14:paraId="7610A0E9">
                              <w:pPr>
                                <w:jc w:val="center"/>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间接冷却水</w:t>
                              </w:r>
                            </w:p>
                          </w:txbxContent>
                        </v:textbox>
                      </v:rect>
                      <v:rect id="_x0000_s1026" o:spid="_x0000_s1026" o:spt="1" style="position:absolute;left:920115;top:888365;height:304800;width:626110;v-text-anchor:middle;" filled="f" stroked="f" coordsize="21600,21600" o:gfxdata="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ByB&#10;gfDYAAAABQEAAA8AAAAAAAAAAQAgAAAAIgAAAGRycy9kb3ducmV2LnhtbFBLAQIUABQAAAAIAIdO&#10;4kBMsTZBXAIAAKAEAAAOAAAAAAAAAAEAIAAAACcBAABkcnMvZTJvRG9jLnhtbFBLBQYAAAAABgAG&#10;AFkBAAD1BQAAAAA=&#10;">
                        <v:fill on="f" focussize="0,0"/>
                        <v:stroke on="f" weight="0.5pt"/>
                        <v:imagedata o:title=""/>
                        <o:lock v:ext="edit" aspectratio="f"/>
                        <v:textbox>
                          <w:txbxContent>
                            <w:p w14:paraId="594B50E0">
                              <w:pPr>
                                <w:jc w:val="center"/>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0.64</w:t>
                              </w:r>
                            </w:p>
                          </w:txbxContent>
                        </v:textbox>
                      </v:rect>
                      <v:shape id="_x0000_s1026" o:spid="_x0000_s1026" o:spt="37" type="#_x0000_t37" style="position:absolute;left:1661160;top:814705;height:297815;width:130175;rotation:-5898240f;" filled="f" stroked="t" coordsize="21600,21600" o:gfxdata="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E7Z+QtQAAAAFAQAADwAAAAAAAAABACAAAAAi&#10;AAAAZHJzL2Rvd25yZXYueG1sUEsBAhQAFAAAAAgAh07iQE0idUEOAgAA4QMAAA4AAAAAAAAAAQAg&#10;AAAAIwEAAGRycy9lMm9Eb2MueG1sUEsFBgAAAAAGAAYAWQEAAKMFAAAAAA==&#10;">
                        <v:fill on="f" focussize="0,0"/>
                        <v:stroke weight="0.5pt" color="#000000 [3213]" joinstyle="round" endarrow="open"/>
                        <v:imagedata o:title=""/>
                        <o:lock v:ext="edit" aspectratio="f"/>
                      </v:shape>
                      <v:rect id="_x0000_s1026" o:spid="_x0000_s1026" o:spt="1" style="position:absolute;left:1691640;top:624205;height:320040;width:732155;v-text-anchor:middle;" filled="f" stroked="f" coordsize="21600,21600" o:gfxdata="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HIGB8NgAAAAFAQAADwAAAAAAAAABACAAAAAiAAAAZHJzL2Rvd25yZXYueG1sUEsBAhQAFAAAAAgA&#10;h07iQKsmZWxeAgAAowQAAA4AAAAAAAAAAQAgAAAAJwEAAGRycy9lMm9Eb2MueG1sUEsFBgAAAAAG&#10;AAYAWQEAAPcFAAAAAA==&#10;">
                        <v:fill on="f" focussize="0,0"/>
                        <v:stroke on="f" weight="0.5pt"/>
                        <v:imagedata o:title=""/>
                        <o:lock v:ext="edit" aspectratio="f"/>
                        <v:textbox>
                          <w:txbxContent>
                            <w:p w14:paraId="6100686C">
                              <w:pPr>
                                <w:jc w:val="center"/>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损耗0.64</w:t>
                              </w:r>
                            </w:p>
                          </w:txbxContent>
                        </v:textbox>
                      </v:rect>
                      <v:rect id="_x0000_s1026" o:spid="_x0000_s1026" o:spt="1" style="position:absolute;left:2412365;top:931545;height:320040;width:732155;v-text-anchor:middle;" filled="f" stroked="f" coordsize="21600,21600" o:gfxdata="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AcgYHw2AAAAAUBAAAPAAAAAAAAAAEAIAAAACIAAABkcnMvZG93bnJldi54bWxQSwECFAAUAAAA&#10;CACHTuJAANqpG2ACAACjBAAADgAAAAAAAAABACAAAAAnAQAAZHJzL2Uyb0RvYy54bWxQSwUGAAAA&#10;AAYABgBZAQAA+QUAAAAA&#10;">
                        <v:fill on="f" focussize="0,0"/>
                        <v:stroke on="f" weight="0.5pt"/>
                        <v:imagedata o:title=""/>
                        <o:lock v:ext="edit" aspectratio="f"/>
                        <v:textbox>
                          <w:txbxContent>
                            <w:p w14:paraId="1AE626BA">
                              <w:pPr>
                                <w:jc w:val="center"/>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循环使用</w:t>
                              </w:r>
                            </w:p>
                          </w:txbxContent>
                        </v:textbox>
                      </v:rect>
                      <w10:wrap type="none"/>
                      <w10:anchorlock/>
                    </v:group>
                  </w:pict>
                </mc:Fallback>
              </mc:AlternateContent>
            </w:r>
          </w:p>
          <w:p w14:paraId="0E604C0B">
            <w:pPr>
              <w:keepNext w:val="0"/>
              <w:keepLines w:val="0"/>
              <w:pageBreakBefore w:val="0"/>
              <w:widowControl w:val="0"/>
              <w:suppressLineNumbers w:val="0"/>
              <w:kinsoku/>
              <w:wordWrap/>
              <w:overflowPunct/>
              <w:topLinePunct w:val="0"/>
              <w:autoSpaceDE/>
              <w:autoSpaceDN/>
              <w:bidi w:val="0"/>
              <w:adjustRightInd/>
              <w:snapToGrid w:val="0"/>
              <w:spacing w:before="159" w:beforeLines="50" w:beforeAutospacing="0" w:after="0" w:afterAutospacing="0" w:line="240" w:lineRule="auto"/>
              <w:ind w:left="0" w:right="105" w:rightChars="50"/>
              <w:jc w:val="center"/>
              <w:textAlignment w:val="auto"/>
              <w:rPr>
                <w:rFonts w:hint="default" w:ascii="Times New Roman" w:hAnsi="Times New Roman" w:eastAsia="宋体" w:cs="Times New Roman"/>
                <w:b/>
                <w:bCs/>
                <w:color w:val="auto"/>
                <w:kern w:val="2"/>
                <w:sz w:val="21"/>
                <w:szCs w:val="21"/>
                <w:highlight w:val="none"/>
                <w:lang w:val="en-US" w:eastAsia="zh-CN" w:bidi="ar-SA"/>
              </w:rPr>
            </w:pPr>
            <w:r>
              <w:rPr>
                <w:rFonts w:hint="default" w:ascii="Times New Roman" w:hAnsi="Times New Roman" w:eastAsia="宋体" w:cs="Times New Roman"/>
                <w:b/>
                <w:bCs/>
                <w:color w:val="auto"/>
                <w:kern w:val="2"/>
                <w:sz w:val="21"/>
                <w:szCs w:val="21"/>
                <w:highlight w:val="none"/>
                <w:lang w:val="en-US" w:eastAsia="zh-CN" w:bidi="ar-SA"/>
              </w:rPr>
              <mc:AlternateContent>
                <mc:Choice Requires="wps">
                  <w:drawing>
                    <wp:anchor distT="0" distB="0" distL="114300" distR="114300" simplePos="0" relativeHeight="251662336" behindDoc="0" locked="0" layoutInCell="1" allowOverlap="1">
                      <wp:simplePos x="0" y="0"/>
                      <wp:positionH relativeFrom="column">
                        <wp:posOffset>1022350</wp:posOffset>
                      </wp:positionH>
                      <wp:positionV relativeFrom="paragraph">
                        <wp:posOffset>743585</wp:posOffset>
                      </wp:positionV>
                      <wp:extent cx="304800" cy="0"/>
                      <wp:effectExtent l="0" t="0" r="0" b="0"/>
                      <wp:wrapNone/>
                      <wp:docPr id="24" name="直接连接符 24"/>
                      <wp:cNvGraphicFramePr/>
                      <a:graphic xmlns:a="http://schemas.openxmlformats.org/drawingml/2006/main">
                        <a:graphicData uri="http://schemas.microsoft.com/office/word/2010/wordprocessingShape">
                          <wps:wsp>
                            <wps:cNvCnPr/>
                            <wps:spPr>
                              <a:xfrm>
                                <a:off x="0" y="0"/>
                                <a:ext cx="304800" cy="0"/>
                              </a:xfrm>
                              <a:prstGeom prst="line">
                                <a:avLst/>
                              </a:prstGeom>
                              <a:ln>
                                <a:noFill/>
                              </a:ln>
                            </wps:spPr>
                            <wps:bodyPr upright="1"/>
                          </wps:wsp>
                        </a:graphicData>
                      </a:graphic>
                    </wp:anchor>
                  </w:drawing>
                </mc:Choice>
                <mc:Fallback>
                  <w:pict>
                    <v:line id="_x0000_s1026" o:spid="_x0000_s1026" o:spt="20" style="position:absolute;left:0pt;margin-left:80.5pt;margin-top:58.55pt;height:0pt;width:24pt;z-index:251662336;mso-width-relative:page;mso-height-relative:page;" filled="f" stroked="f" coordsize="21600,21600" o:gfxdata="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">
                      <v:fill on="f" focussize="0,0"/>
                      <v:stroke on="f"/>
                      <v:imagedata o:title=""/>
                      <o:lock v:ext="edit" aspectratio="f"/>
                    </v:line>
                  </w:pict>
                </mc:Fallback>
              </mc:AlternateContent>
            </w:r>
            <w:r>
              <w:rPr>
                <w:rFonts w:hint="default" w:ascii="Times New Roman" w:hAnsi="Times New Roman" w:eastAsia="宋体" w:cs="Times New Roman"/>
                <w:b/>
                <w:bCs/>
                <w:color w:val="auto"/>
                <w:kern w:val="2"/>
                <w:sz w:val="21"/>
                <w:szCs w:val="21"/>
                <w:highlight w:val="none"/>
                <w:lang w:val="en-US" w:eastAsia="zh-CN" w:bidi="ar-SA"/>
              </w:rPr>
              <w:t>图</w:t>
            </w:r>
            <w:r>
              <w:rPr>
                <w:rFonts w:hint="eastAsia" w:ascii="Times New Roman" w:hAnsi="Times New Roman" w:eastAsia="宋体" w:cs="Times New Roman"/>
                <w:b/>
                <w:bCs/>
                <w:color w:val="auto"/>
                <w:kern w:val="2"/>
                <w:sz w:val="21"/>
                <w:szCs w:val="21"/>
                <w:highlight w:val="none"/>
                <w:lang w:val="en-US" w:eastAsia="zh-CN" w:bidi="ar-SA"/>
              </w:rPr>
              <w:t>2-</w:t>
            </w:r>
            <w:r>
              <w:rPr>
                <w:rFonts w:hint="eastAsia" w:cs="Times New Roman"/>
                <w:b/>
                <w:bCs/>
                <w:color w:val="auto"/>
                <w:kern w:val="2"/>
                <w:sz w:val="21"/>
                <w:szCs w:val="21"/>
                <w:highlight w:val="none"/>
                <w:lang w:val="en-US" w:eastAsia="zh-CN" w:bidi="ar-SA"/>
              </w:rPr>
              <w:t>1</w:t>
            </w:r>
            <w:r>
              <w:rPr>
                <w:rFonts w:hint="eastAsia" w:ascii="Times New Roman" w:hAnsi="Times New Roman" w:eastAsia="宋体" w:cs="Times New Roman"/>
                <w:b/>
                <w:bCs/>
                <w:color w:val="auto"/>
                <w:kern w:val="2"/>
                <w:sz w:val="21"/>
                <w:szCs w:val="21"/>
                <w:highlight w:val="none"/>
                <w:lang w:val="en-US" w:eastAsia="zh-CN" w:bidi="ar-SA"/>
              </w:rPr>
              <w:t xml:space="preserve">  </w:t>
            </w:r>
            <w:r>
              <w:rPr>
                <w:rFonts w:hint="default" w:ascii="Times New Roman" w:hAnsi="Times New Roman" w:eastAsia="宋体" w:cs="Times New Roman"/>
                <w:b/>
                <w:bCs/>
                <w:color w:val="auto"/>
                <w:kern w:val="2"/>
                <w:sz w:val="21"/>
                <w:szCs w:val="21"/>
                <w:highlight w:val="none"/>
                <w:lang w:val="en-US" w:eastAsia="zh-CN" w:bidi="ar-SA"/>
              </w:rPr>
              <w:t>项目水平衡图（单位：m</w:t>
            </w:r>
            <w:r>
              <w:rPr>
                <w:rFonts w:hint="default" w:ascii="Times New Roman" w:hAnsi="Times New Roman" w:eastAsia="宋体" w:cs="Times New Roman"/>
                <w:b/>
                <w:bCs/>
                <w:color w:val="auto"/>
                <w:kern w:val="2"/>
                <w:sz w:val="21"/>
                <w:szCs w:val="21"/>
                <w:highlight w:val="none"/>
                <w:vertAlign w:val="superscript"/>
                <w:lang w:val="en-US" w:eastAsia="zh-CN" w:bidi="ar-SA"/>
              </w:rPr>
              <w:t>3</w:t>
            </w:r>
            <w:r>
              <w:rPr>
                <w:rFonts w:hint="default" w:ascii="Times New Roman" w:hAnsi="Times New Roman" w:eastAsia="宋体" w:cs="Times New Roman"/>
                <w:b/>
                <w:bCs/>
                <w:color w:val="auto"/>
                <w:kern w:val="2"/>
                <w:sz w:val="21"/>
                <w:szCs w:val="21"/>
                <w:highlight w:val="none"/>
                <w:lang w:val="en-US" w:eastAsia="zh-CN" w:bidi="ar-SA"/>
              </w:rPr>
              <w:t>/d）</w:t>
            </w:r>
          </w:p>
          <w:p w14:paraId="48D889D5">
            <w:pPr>
              <w:keepNext w:val="0"/>
              <w:keepLines w:val="0"/>
              <w:suppressLineNumbers w:val="0"/>
              <w:spacing w:before="0" w:beforeAutospacing="0" w:after="0" w:afterAutospacing="0" w:line="360" w:lineRule="auto"/>
              <w:ind w:left="0" w:right="0" w:firstLine="482" w:firstLineChars="200"/>
              <w:rPr>
                <w:rFonts w:hint="default" w:ascii="Times New Roman" w:hAnsi="Times New Roman" w:eastAsia="宋体" w:cs="Times New Roman"/>
                <w:b/>
                <w:bCs/>
                <w:color w:val="auto"/>
                <w:sz w:val="24"/>
                <w:highlight w:val="none"/>
                <w:shd w:val="clear" w:color="auto" w:fill="auto"/>
                <w:lang w:val="en-US" w:eastAsia="zh-CN"/>
              </w:rPr>
            </w:pPr>
            <w:r>
              <w:rPr>
                <w:rFonts w:hint="eastAsia" w:cs="Times New Roman"/>
                <w:b/>
                <w:bCs/>
                <w:color w:val="auto"/>
                <w:sz w:val="24"/>
                <w:highlight w:val="none"/>
                <w:shd w:val="clear" w:color="auto" w:fill="auto"/>
                <w:lang w:val="en-US" w:eastAsia="zh-CN"/>
              </w:rPr>
              <w:t>10</w:t>
            </w:r>
            <w:r>
              <w:rPr>
                <w:rFonts w:hint="default" w:ascii="Times New Roman" w:hAnsi="Times New Roman" w:eastAsia="宋体" w:cs="Times New Roman"/>
                <w:b/>
                <w:bCs/>
                <w:color w:val="auto"/>
                <w:sz w:val="24"/>
                <w:highlight w:val="none"/>
                <w:shd w:val="clear" w:color="auto" w:fill="auto"/>
                <w:lang w:val="en-US" w:eastAsia="zh-CN"/>
              </w:rPr>
              <w:t>、劳动定员及工作制度</w:t>
            </w:r>
          </w:p>
          <w:p w14:paraId="192FBFDC">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szCs w:val="24"/>
                <w:highlight w:val="none"/>
                <w:shd w:val="clear" w:color="auto" w:fill="auto"/>
                <w:lang w:val="en-US" w:eastAsia="zh-CN"/>
              </w:rPr>
            </w:pPr>
            <w:r>
              <w:rPr>
                <w:rFonts w:hint="default" w:ascii="Times New Roman" w:hAnsi="Times New Roman" w:eastAsia="宋体" w:cs="Times New Roman"/>
                <w:color w:val="auto"/>
                <w:sz w:val="24"/>
                <w:szCs w:val="24"/>
                <w:highlight w:val="none"/>
                <w:shd w:val="clear" w:color="auto" w:fill="auto"/>
                <w:lang w:val="en-US" w:eastAsia="zh-CN"/>
              </w:rPr>
              <w:t>本项目劳动定员</w:t>
            </w:r>
            <w:r>
              <w:rPr>
                <w:rFonts w:hint="eastAsia" w:cs="Times New Roman"/>
                <w:color w:val="auto"/>
                <w:sz w:val="24"/>
                <w:szCs w:val="24"/>
                <w:highlight w:val="none"/>
                <w:shd w:val="clear" w:color="auto" w:fill="auto"/>
                <w:lang w:val="en-US" w:eastAsia="zh-CN"/>
              </w:rPr>
              <w:t>500</w:t>
            </w:r>
            <w:r>
              <w:rPr>
                <w:rFonts w:hint="eastAsia" w:ascii="Times New Roman" w:hAnsi="Times New Roman" w:eastAsia="宋体" w:cs="Times New Roman"/>
                <w:color w:val="auto"/>
                <w:sz w:val="24"/>
                <w:szCs w:val="24"/>
                <w:highlight w:val="none"/>
                <w:shd w:val="clear" w:color="auto" w:fill="auto"/>
                <w:lang w:val="en-US" w:eastAsia="zh-CN"/>
              </w:rPr>
              <w:t>人</w:t>
            </w:r>
            <w:r>
              <w:rPr>
                <w:rFonts w:hint="default" w:ascii="Times New Roman" w:hAnsi="Times New Roman" w:eastAsia="宋体" w:cs="Times New Roman"/>
                <w:color w:val="auto"/>
                <w:sz w:val="24"/>
                <w:szCs w:val="24"/>
                <w:highlight w:val="none"/>
                <w:shd w:val="clear" w:color="auto" w:fill="auto"/>
                <w:lang w:val="en-US" w:eastAsia="zh-CN"/>
              </w:rPr>
              <w:t>，员工在厂内</w:t>
            </w:r>
            <w:r>
              <w:rPr>
                <w:rFonts w:hint="eastAsia" w:cs="Times New Roman"/>
                <w:color w:val="auto"/>
                <w:sz w:val="24"/>
                <w:szCs w:val="24"/>
                <w:highlight w:val="none"/>
                <w:shd w:val="clear" w:color="auto" w:fill="auto"/>
                <w:lang w:val="en-US" w:eastAsia="zh-CN"/>
              </w:rPr>
              <w:t>食堂用餐，无宿舍，休闲鞋（皮鞋、高跟鞋、注塑鞋）产生线、注塑鞋底制造线、鞋垫制造线，</w:t>
            </w:r>
            <w:r>
              <w:rPr>
                <w:rFonts w:hint="default" w:ascii="Times New Roman" w:hAnsi="Times New Roman" w:eastAsia="宋体" w:cs="Times New Roman"/>
                <w:color w:val="auto"/>
                <w:sz w:val="24"/>
                <w:szCs w:val="24"/>
                <w:highlight w:val="none"/>
                <w:shd w:val="clear" w:color="auto" w:fill="auto"/>
                <w:lang w:val="en-US" w:eastAsia="zh-CN"/>
              </w:rPr>
              <w:t>年工作</w:t>
            </w:r>
            <w:r>
              <w:rPr>
                <w:rFonts w:hint="eastAsia" w:cs="Times New Roman"/>
                <w:color w:val="auto"/>
                <w:sz w:val="24"/>
                <w:szCs w:val="24"/>
                <w:highlight w:val="none"/>
                <w:shd w:val="clear" w:color="auto" w:fill="auto"/>
                <w:lang w:val="en-US" w:eastAsia="zh-CN"/>
              </w:rPr>
              <w:t>300</w:t>
            </w:r>
            <w:r>
              <w:rPr>
                <w:rFonts w:hint="default" w:ascii="Times New Roman" w:hAnsi="Times New Roman" w:eastAsia="宋体" w:cs="Times New Roman"/>
                <w:color w:val="auto"/>
                <w:sz w:val="24"/>
                <w:szCs w:val="24"/>
                <w:highlight w:val="none"/>
                <w:shd w:val="clear" w:color="auto" w:fill="auto"/>
                <w:lang w:val="en-US" w:eastAsia="zh-CN"/>
              </w:rPr>
              <w:t>天，</w:t>
            </w:r>
            <w:r>
              <w:rPr>
                <w:rFonts w:hint="eastAsia" w:cs="Times New Roman"/>
                <w:color w:val="auto"/>
                <w:sz w:val="24"/>
                <w:szCs w:val="24"/>
                <w:highlight w:val="none"/>
                <w:shd w:val="clear" w:color="auto" w:fill="auto"/>
                <w:lang w:val="en-US" w:eastAsia="zh-CN"/>
              </w:rPr>
              <w:t>两</w:t>
            </w:r>
            <w:r>
              <w:rPr>
                <w:rFonts w:hint="default" w:ascii="Times New Roman" w:hAnsi="Times New Roman" w:eastAsia="宋体" w:cs="Times New Roman"/>
                <w:color w:val="auto"/>
                <w:sz w:val="24"/>
                <w:szCs w:val="24"/>
                <w:highlight w:val="none"/>
                <w:shd w:val="clear" w:color="auto" w:fill="auto"/>
                <w:lang w:val="en-US" w:eastAsia="zh-CN"/>
              </w:rPr>
              <w:t>班</w:t>
            </w:r>
            <w:r>
              <w:rPr>
                <w:rFonts w:hint="eastAsia" w:cs="Times New Roman"/>
                <w:color w:val="auto"/>
                <w:sz w:val="24"/>
                <w:szCs w:val="24"/>
                <w:highlight w:val="none"/>
                <w:shd w:val="clear" w:color="auto" w:fill="auto"/>
                <w:lang w:val="en-US" w:eastAsia="zh-CN"/>
              </w:rPr>
              <w:t>（6:00~14:00、14:00~22：00）</w:t>
            </w:r>
            <w:r>
              <w:rPr>
                <w:rFonts w:hint="default" w:ascii="Times New Roman" w:hAnsi="Times New Roman" w:eastAsia="宋体" w:cs="Times New Roman"/>
                <w:color w:val="auto"/>
                <w:sz w:val="24"/>
                <w:szCs w:val="24"/>
                <w:highlight w:val="none"/>
                <w:shd w:val="clear" w:color="auto" w:fill="auto"/>
                <w:lang w:val="en-US" w:eastAsia="zh-CN"/>
              </w:rPr>
              <w:t>，每班工作8小时</w:t>
            </w:r>
            <w:r>
              <w:rPr>
                <w:rFonts w:hint="eastAsia" w:cs="Times New Roman"/>
                <w:color w:val="auto"/>
                <w:sz w:val="24"/>
                <w:szCs w:val="24"/>
                <w:highlight w:val="none"/>
                <w:shd w:val="clear" w:color="auto" w:fill="auto"/>
                <w:lang w:val="en-US" w:eastAsia="zh-CN"/>
              </w:rPr>
              <w:t>，年工作时长4800h；</w:t>
            </w:r>
            <w:r>
              <w:rPr>
                <w:rFonts w:hint="eastAsia" w:cs="宋体"/>
                <w:color w:val="auto"/>
                <w:sz w:val="24"/>
                <w:szCs w:val="24"/>
                <w:highlight w:val="none"/>
                <w:lang w:val="en-US" w:eastAsia="zh-CN"/>
              </w:rPr>
              <w:t>裁断、丝网印花区，</w:t>
            </w:r>
            <w:r>
              <w:rPr>
                <w:rFonts w:hint="default" w:ascii="Times New Roman" w:hAnsi="Times New Roman" w:eastAsia="宋体" w:cs="Times New Roman"/>
                <w:color w:val="auto"/>
                <w:sz w:val="24"/>
                <w:szCs w:val="24"/>
                <w:highlight w:val="none"/>
                <w:shd w:val="clear" w:color="auto" w:fill="auto"/>
                <w:lang w:val="en-US" w:eastAsia="zh-CN"/>
              </w:rPr>
              <w:t>年工作</w:t>
            </w:r>
            <w:r>
              <w:rPr>
                <w:rFonts w:hint="eastAsia" w:cs="Times New Roman"/>
                <w:color w:val="auto"/>
                <w:sz w:val="24"/>
                <w:szCs w:val="24"/>
                <w:highlight w:val="none"/>
                <w:shd w:val="clear" w:color="auto" w:fill="auto"/>
                <w:lang w:val="en-US" w:eastAsia="zh-CN"/>
              </w:rPr>
              <w:t>300</w:t>
            </w:r>
            <w:r>
              <w:rPr>
                <w:rFonts w:hint="default" w:ascii="Times New Roman" w:hAnsi="Times New Roman" w:eastAsia="宋体" w:cs="Times New Roman"/>
                <w:color w:val="auto"/>
                <w:sz w:val="24"/>
                <w:szCs w:val="24"/>
                <w:highlight w:val="none"/>
                <w:shd w:val="clear" w:color="auto" w:fill="auto"/>
                <w:lang w:val="en-US" w:eastAsia="zh-CN"/>
              </w:rPr>
              <w:t>天，</w:t>
            </w:r>
            <w:r>
              <w:rPr>
                <w:rFonts w:hint="eastAsia" w:cs="Times New Roman"/>
                <w:color w:val="auto"/>
                <w:sz w:val="24"/>
                <w:szCs w:val="24"/>
                <w:highlight w:val="none"/>
                <w:shd w:val="clear" w:color="auto" w:fill="auto"/>
                <w:lang w:val="en-US" w:eastAsia="zh-CN"/>
              </w:rPr>
              <w:t>一</w:t>
            </w:r>
            <w:r>
              <w:rPr>
                <w:rFonts w:hint="default" w:ascii="Times New Roman" w:hAnsi="Times New Roman" w:eastAsia="宋体" w:cs="Times New Roman"/>
                <w:color w:val="auto"/>
                <w:sz w:val="24"/>
                <w:szCs w:val="24"/>
                <w:highlight w:val="none"/>
                <w:shd w:val="clear" w:color="auto" w:fill="auto"/>
                <w:lang w:val="en-US" w:eastAsia="zh-CN"/>
              </w:rPr>
              <w:t>班</w:t>
            </w:r>
            <w:r>
              <w:rPr>
                <w:rFonts w:hint="eastAsia" w:cs="Times New Roman"/>
                <w:color w:val="auto"/>
                <w:sz w:val="24"/>
                <w:szCs w:val="24"/>
                <w:highlight w:val="none"/>
                <w:shd w:val="clear" w:color="auto" w:fill="auto"/>
                <w:lang w:val="en-US" w:eastAsia="zh-CN"/>
              </w:rPr>
              <w:t>（6:00~14:00）</w:t>
            </w:r>
            <w:r>
              <w:rPr>
                <w:rFonts w:hint="default" w:ascii="Times New Roman" w:hAnsi="Times New Roman" w:eastAsia="宋体" w:cs="Times New Roman"/>
                <w:color w:val="auto"/>
                <w:sz w:val="24"/>
                <w:szCs w:val="24"/>
                <w:highlight w:val="none"/>
                <w:shd w:val="clear" w:color="auto" w:fill="auto"/>
                <w:lang w:val="en-US" w:eastAsia="zh-CN"/>
              </w:rPr>
              <w:t>，每班工作8小时</w:t>
            </w:r>
            <w:r>
              <w:rPr>
                <w:rFonts w:hint="eastAsia" w:cs="Times New Roman"/>
                <w:color w:val="auto"/>
                <w:sz w:val="24"/>
                <w:szCs w:val="24"/>
                <w:highlight w:val="none"/>
                <w:shd w:val="clear" w:color="auto" w:fill="auto"/>
                <w:lang w:val="en-US" w:eastAsia="zh-CN"/>
              </w:rPr>
              <w:t>，年工作时长2400h，</w:t>
            </w:r>
            <w:r>
              <w:rPr>
                <w:rFonts w:hint="eastAsia"/>
                <w:color w:val="auto"/>
                <w:sz w:val="24"/>
                <w:highlight w:val="none"/>
                <w:lang w:val="en-US" w:eastAsia="zh-CN"/>
              </w:rPr>
              <w:t>企业夜间不生产</w:t>
            </w:r>
            <w:r>
              <w:rPr>
                <w:rFonts w:hint="default" w:ascii="Times New Roman" w:hAnsi="Times New Roman" w:eastAsia="宋体" w:cs="Times New Roman"/>
                <w:color w:val="auto"/>
                <w:sz w:val="24"/>
                <w:szCs w:val="24"/>
                <w:highlight w:val="none"/>
                <w:shd w:val="clear" w:color="auto" w:fill="auto"/>
                <w:lang w:val="en-US" w:eastAsia="zh-CN"/>
              </w:rPr>
              <w:t>。</w:t>
            </w:r>
          </w:p>
          <w:p w14:paraId="5EDEC302">
            <w:pPr>
              <w:keepNext w:val="0"/>
              <w:keepLines w:val="0"/>
              <w:suppressLineNumbers w:val="0"/>
              <w:spacing w:before="0" w:beforeAutospacing="0" w:after="0" w:afterAutospacing="0" w:line="360" w:lineRule="auto"/>
              <w:ind w:left="0" w:right="0" w:firstLine="482" w:firstLineChars="200"/>
              <w:rPr>
                <w:rFonts w:hint="default" w:ascii="Times New Roman" w:hAnsi="Times New Roman" w:eastAsia="宋体" w:cs="Times New Roman"/>
                <w:b/>
                <w:bCs/>
                <w:color w:val="auto"/>
                <w:sz w:val="24"/>
                <w:highlight w:val="none"/>
                <w:shd w:val="clear" w:color="auto" w:fill="auto"/>
                <w:lang w:val="en-US" w:eastAsia="zh-CN"/>
              </w:rPr>
            </w:pPr>
            <w:r>
              <w:rPr>
                <w:rFonts w:hint="eastAsia" w:cs="Times New Roman"/>
                <w:b/>
                <w:bCs/>
                <w:color w:val="auto"/>
                <w:sz w:val="24"/>
                <w:highlight w:val="none"/>
                <w:shd w:val="clear" w:color="auto" w:fill="auto"/>
                <w:lang w:val="en-US" w:eastAsia="zh-CN"/>
              </w:rPr>
              <w:t>11</w:t>
            </w:r>
            <w:r>
              <w:rPr>
                <w:rFonts w:hint="eastAsia" w:ascii="Times New Roman" w:hAnsi="Times New Roman" w:eastAsia="宋体" w:cs="Times New Roman"/>
                <w:b/>
                <w:bCs/>
                <w:color w:val="auto"/>
                <w:sz w:val="24"/>
                <w:highlight w:val="none"/>
                <w:shd w:val="clear" w:color="auto" w:fill="auto"/>
                <w:lang w:val="en-US" w:eastAsia="zh-CN"/>
              </w:rPr>
              <w:t>、厂区平面布置</w:t>
            </w:r>
          </w:p>
          <w:p w14:paraId="2955A2DB">
            <w:pPr>
              <w:keepNext w:val="0"/>
              <w:keepLines w:val="0"/>
              <w:suppressLineNumbers w:val="0"/>
              <w:spacing w:before="0" w:beforeAutospacing="0" w:after="0" w:afterAutospacing="0" w:line="360" w:lineRule="auto"/>
              <w:ind w:left="0" w:right="0" w:firstLine="480" w:firstLineChars="200"/>
              <w:rPr>
                <w:rFonts w:hint="default"/>
                <w:bCs/>
                <w:color w:val="auto"/>
                <w:szCs w:val="21"/>
                <w:highlight w:val="none"/>
              </w:rPr>
            </w:pPr>
            <w:r>
              <w:rPr>
                <w:rFonts w:hint="default" w:ascii="Times New Roman" w:hAnsi="Times New Roman" w:eastAsia="宋体" w:cs="Times New Roman"/>
                <w:color w:val="auto"/>
                <w:sz w:val="24"/>
                <w:highlight w:val="none"/>
                <w:shd w:val="clear" w:color="auto" w:fill="auto"/>
                <w:lang w:val="en-US" w:eastAsia="zh-CN"/>
              </w:rPr>
              <w:t>本项目租赁</w:t>
            </w:r>
            <w:r>
              <w:rPr>
                <w:rFonts w:hint="eastAsia" w:ascii="Times New Roman" w:hAnsi="Times New Roman" w:eastAsia="宋体" w:cs="Times New Roman"/>
                <w:color w:val="auto"/>
                <w:sz w:val="24"/>
                <w:highlight w:val="none"/>
                <w:shd w:val="clear" w:color="auto" w:fill="auto"/>
                <w:lang w:val="en-US" w:eastAsia="zh-CN"/>
              </w:rPr>
              <w:t>乐平绿创物流有限公司</w:t>
            </w:r>
            <w:r>
              <w:rPr>
                <w:rFonts w:hint="eastAsia" w:cs="Times New Roman"/>
                <w:color w:val="auto"/>
                <w:sz w:val="24"/>
                <w:highlight w:val="none"/>
                <w:shd w:val="clear" w:color="auto" w:fill="auto"/>
                <w:lang w:val="en-US" w:eastAsia="zh-CN"/>
              </w:rPr>
              <w:t>现有厂房进行生产。</w:t>
            </w:r>
            <w:r>
              <w:rPr>
                <w:rFonts w:hint="eastAsia" w:ascii="Times New Roman" w:hAnsi="Times New Roman" w:eastAsia="宋体" w:cs="Times New Roman"/>
                <w:color w:val="auto"/>
                <w:sz w:val="24"/>
                <w:szCs w:val="24"/>
                <w:lang w:val="en-US" w:eastAsia="zh-CN"/>
              </w:rPr>
              <w:t>厂房</w:t>
            </w:r>
            <w:r>
              <w:rPr>
                <w:rFonts w:hint="eastAsia" w:cs="Times New Roman"/>
                <w:color w:val="auto"/>
                <w:sz w:val="24"/>
                <w:szCs w:val="24"/>
                <w:lang w:val="en-US" w:eastAsia="zh-CN"/>
              </w:rPr>
              <w:t>1层北侧</w:t>
            </w:r>
            <w:r>
              <w:rPr>
                <w:rFonts w:hint="eastAsia" w:ascii="Times New Roman" w:hAnsi="Times New Roman" w:eastAsia="宋体" w:cs="Times New Roman"/>
                <w:color w:val="auto"/>
                <w:sz w:val="24"/>
                <w:szCs w:val="24"/>
                <w:lang w:val="en-US" w:eastAsia="zh-CN"/>
              </w:rPr>
              <w:t>设注塑鞋底制造区，</w:t>
            </w:r>
            <w:r>
              <w:rPr>
                <w:rFonts w:hint="eastAsia" w:cs="Times New Roman"/>
                <w:color w:val="auto"/>
                <w:sz w:val="24"/>
                <w:szCs w:val="24"/>
                <w:lang w:val="en-US" w:eastAsia="zh-CN"/>
              </w:rPr>
              <w:t>东北侧设鞋垫制造区，高跟鞋、皮鞋、注塑鞋三条生产线位于厂房中部</w:t>
            </w:r>
            <w:r>
              <w:rPr>
                <w:rFonts w:hint="eastAsia" w:ascii="Times New Roman" w:hAnsi="Times New Roman" w:eastAsia="宋体" w:cs="Times New Roman"/>
                <w:color w:val="auto"/>
                <w:sz w:val="24"/>
                <w:szCs w:val="24"/>
                <w:lang w:val="en-US" w:eastAsia="zh-CN"/>
              </w:rPr>
              <w:t>，原材料堆放区、半成品暂存区</w:t>
            </w:r>
            <w:r>
              <w:rPr>
                <w:rFonts w:hint="eastAsia" w:cs="Times New Roman"/>
                <w:color w:val="auto"/>
                <w:sz w:val="24"/>
                <w:szCs w:val="24"/>
                <w:lang w:val="en-US" w:eastAsia="zh-CN"/>
              </w:rPr>
              <w:t>和化学品仓库位于厂房内西南侧</w:t>
            </w:r>
            <w:r>
              <w:rPr>
                <w:rFonts w:hint="eastAsia" w:ascii="Times New Roman" w:hAnsi="Times New Roman" w:eastAsia="宋体" w:cs="Times New Roman"/>
                <w:color w:val="auto"/>
                <w:sz w:val="24"/>
                <w:szCs w:val="24"/>
                <w:lang w:val="en-US" w:eastAsia="zh-CN"/>
              </w:rPr>
              <w:t>，</w:t>
            </w:r>
            <w:r>
              <w:rPr>
                <w:rFonts w:hint="eastAsia" w:cs="Times New Roman"/>
                <w:color w:val="auto"/>
                <w:sz w:val="24"/>
                <w:szCs w:val="24"/>
                <w:lang w:val="en-US" w:eastAsia="zh-CN"/>
              </w:rPr>
              <w:t>成品堆放区位于厂房北侧2层，</w:t>
            </w:r>
            <w:r>
              <w:rPr>
                <w:rFonts w:hint="eastAsia" w:ascii="Times New Roman" w:hAnsi="Times New Roman" w:eastAsia="宋体" w:cs="Times New Roman"/>
                <w:color w:val="auto"/>
                <w:sz w:val="24"/>
                <w:szCs w:val="24"/>
                <w:lang w:val="en-US" w:eastAsia="zh-CN"/>
              </w:rPr>
              <w:t>一般固废间及危废暂存间</w:t>
            </w:r>
            <w:r>
              <w:rPr>
                <w:rFonts w:hint="eastAsia" w:cs="Times New Roman"/>
                <w:color w:val="auto"/>
                <w:sz w:val="24"/>
                <w:szCs w:val="24"/>
                <w:lang w:val="en-US" w:eastAsia="zh-CN"/>
              </w:rPr>
              <w:t>位于</w:t>
            </w:r>
            <w:r>
              <w:rPr>
                <w:rFonts w:hint="eastAsia" w:ascii="Times New Roman" w:hAnsi="Times New Roman" w:eastAsia="宋体" w:cs="Times New Roman"/>
                <w:color w:val="auto"/>
                <w:sz w:val="24"/>
                <w:szCs w:val="24"/>
                <w:lang w:val="en-US" w:eastAsia="zh-CN"/>
              </w:rPr>
              <w:t>厂房</w:t>
            </w:r>
            <w:r>
              <w:rPr>
                <w:rFonts w:hint="eastAsia" w:cs="Times New Roman"/>
                <w:color w:val="auto"/>
                <w:sz w:val="24"/>
                <w:szCs w:val="24"/>
                <w:lang w:val="en-US" w:eastAsia="zh-CN"/>
              </w:rPr>
              <w:t>1层东南角，每个分区都采用墙体隔开</w:t>
            </w:r>
            <w:r>
              <w:rPr>
                <w:rFonts w:hint="eastAsia" w:ascii="Times New Roman" w:hAnsi="Times New Roman" w:eastAsia="宋体" w:cs="Times New Roman"/>
                <w:color w:val="auto"/>
                <w:sz w:val="24"/>
                <w:szCs w:val="24"/>
                <w:lang w:val="en-US" w:eastAsia="zh-CN"/>
              </w:rPr>
              <w:t>。厂房内部按工艺流程进行合理区域布局，做到工艺路线短捷通畅，充分合理利用建筑面积，能够满足项目生产要求和相关环保要求。办公区</w:t>
            </w:r>
            <w:r>
              <w:rPr>
                <w:rFonts w:hint="eastAsia" w:cs="Times New Roman"/>
                <w:color w:val="auto"/>
                <w:sz w:val="24"/>
                <w:szCs w:val="24"/>
                <w:lang w:val="en-US" w:eastAsia="zh-CN"/>
              </w:rPr>
              <w:t>和食堂</w:t>
            </w:r>
            <w:r>
              <w:rPr>
                <w:rFonts w:hint="eastAsia" w:ascii="Times New Roman" w:hAnsi="Times New Roman" w:eastAsia="宋体" w:cs="Times New Roman"/>
                <w:color w:val="auto"/>
                <w:sz w:val="24"/>
                <w:szCs w:val="24"/>
                <w:lang w:val="en-US" w:eastAsia="zh-CN"/>
              </w:rPr>
              <w:t>布置在厂房</w:t>
            </w:r>
            <w:r>
              <w:rPr>
                <w:rFonts w:hint="eastAsia" w:cs="Times New Roman"/>
                <w:color w:val="auto"/>
                <w:sz w:val="24"/>
                <w:szCs w:val="24"/>
                <w:lang w:val="en-US" w:eastAsia="zh-CN"/>
              </w:rPr>
              <w:t>一层及二层西北侧</w:t>
            </w:r>
            <w:r>
              <w:rPr>
                <w:rFonts w:hint="eastAsia" w:ascii="Times New Roman" w:hAnsi="Times New Roman" w:eastAsia="宋体" w:cs="Times New Roman"/>
                <w:color w:val="auto"/>
                <w:sz w:val="24"/>
                <w:szCs w:val="24"/>
                <w:lang w:val="en-US" w:eastAsia="zh-CN"/>
              </w:rPr>
              <w:t>，主导风向侧风向，项目生产对办公区</w:t>
            </w:r>
            <w:r>
              <w:rPr>
                <w:rFonts w:hint="eastAsia" w:cs="Times New Roman"/>
                <w:color w:val="auto"/>
                <w:sz w:val="24"/>
                <w:szCs w:val="24"/>
                <w:lang w:val="en-US" w:eastAsia="zh-CN"/>
              </w:rPr>
              <w:t>和食堂</w:t>
            </w:r>
            <w:r>
              <w:rPr>
                <w:rFonts w:hint="eastAsia" w:ascii="Times New Roman" w:hAnsi="Times New Roman" w:eastAsia="宋体" w:cs="Times New Roman"/>
                <w:color w:val="auto"/>
                <w:sz w:val="24"/>
                <w:szCs w:val="24"/>
                <w:lang w:val="en-US" w:eastAsia="zh-CN"/>
              </w:rPr>
              <w:t>影响较小</w:t>
            </w:r>
            <w:r>
              <w:rPr>
                <w:rFonts w:hint="eastAsia" w:ascii="Times New Roman" w:hAnsi="Times New Roman" w:cs="Times New Roman"/>
                <w:color w:val="auto"/>
                <w:sz w:val="24"/>
                <w:szCs w:val="24"/>
                <w:lang w:val="en-US" w:eastAsia="zh-CN"/>
              </w:rPr>
              <w:t>。</w:t>
            </w:r>
            <w:r>
              <w:rPr>
                <w:rFonts w:hint="default" w:ascii="Times New Roman" w:hAnsi="Times New Roman" w:eastAsia="宋体" w:cs="Times New Roman"/>
                <w:color w:val="auto"/>
                <w:sz w:val="24"/>
                <w:highlight w:val="none"/>
                <w:shd w:val="clear" w:color="auto" w:fill="auto"/>
                <w:lang w:val="en-US" w:eastAsia="zh-CN"/>
              </w:rPr>
              <w:t>生活区与生产区</w:t>
            </w:r>
            <w:r>
              <w:rPr>
                <w:rFonts w:hint="eastAsia" w:cs="Times New Roman"/>
                <w:color w:val="auto"/>
                <w:sz w:val="24"/>
                <w:highlight w:val="none"/>
                <w:shd w:val="clear" w:color="auto" w:fill="auto"/>
                <w:lang w:val="en-US" w:eastAsia="zh-CN"/>
              </w:rPr>
              <w:t>分区明确</w:t>
            </w:r>
            <w:r>
              <w:rPr>
                <w:rFonts w:hint="default" w:ascii="Times New Roman" w:hAnsi="Times New Roman" w:eastAsia="宋体" w:cs="Times New Roman"/>
                <w:color w:val="auto"/>
                <w:sz w:val="24"/>
                <w:highlight w:val="none"/>
                <w:shd w:val="clear" w:color="auto" w:fill="auto"/>
                <w:lang w:val="en-US" w:eastAsia="zh-CN"/>
              </w:rPr>
              <w:t>，项目原材料、产品以及物料加工分区合理</w:t>
            </w:r>
            <w:r>
              <w:rPr>
                <w:rFonts w:hint="eastAsia" w:cs="Times New Roman"/>
                <w:color w:val="auto"/>
                <w:sz w:val="24"/>
                <w:highlight w:val="none"/>
                <w:shd w:val="clear" w:color="auto" w:fill="auto"/>
                <w:lang w:val="en-US" w:eastAsia="zh-CN"/>
              </w:rPr>
              <w:t>，</w:t>
            </w:r>
            <w:r>
              <w:rPr>
                <w:rFonts w:hint="default" w:ascii="Times New Roman" w:hAnsi="Times New Roman" w:eastAsia="宋体" w:cs="Times New Roman"/>
                <w:color w:val="auto"/>
                <w:sz w:val="24"/>
                <w:highlight w:val="none"/>
                <w:shd w:val="clear" w:color="auto" w:fill="auto"/>
                <w:lang w:val="en-US" w:eastAsia="zh-CN"/>
              </w:rPr>
              <w:t>保证了生产的流畅性，</w:t>
            </w:r>
            <w:r>
              <w:rPr>
                <w:rFonts w:hint="eastAsia" w:cs="Times New Roman"/>
                <w:color w:val="auto"/>
                <w:sz w:val="24"/>
                <w:highlight w:val="none"/>
                <w:shd w:val="clear" w:color="auto" w:fill="auto"/>
                <w:lang w:val="en-US" w:eastAsia="zh-CN"/>
              </w:rPr>
              <w:t>以及</w:t>
            </w:r>
            <w:r>
              <w:rPr>
                <w:rFonts w:hint="default" w:ascii="Times New Roman" w:hAnsi="Times New Roman" w:eastAsia="宋体" w:cs="Times New Roman"/>
                <w:color w:val="auto"/>
                <w:sz w:val="24"/>
                <w:highlight w:val="none"/>
                <w:shd w:val="clear" w:color="auto" w:fill="auto"/>
                <w:lang w:val="en-US" w:eastAsia="zh-CN"/>
              </w:rPr>
              <w:t>物流和人流畅通。项目总平面布置详见附图</w:t>
            </w:r>
            <w:r>
              <w:rPr>
                <w:rFonts w:hint="eastAsia" w:cs="Times New Roman"/>
                <w:color w:val="auto"/>
                <w:sz w:val="24"/>
                <w:highlight w:val="none"/>
                <w:shd w:val="clear" w:color="auto" w:fill="auto"/>
                <w:lang w:val="en-US" w:eastAsia="zh-CN"/>
              </w:rPr>
              <w:t>2</w:t>
            </w:r>
            <w:r>
              <w:rPr>
                <w:rFonts w:hint="default" w:ascii="Times New Roman" w:hAnsi="Times New Roman" w:eastAsia="宋体" w:cs="Times New Roman"/>
                <w:color w:val="auto"/>
                <w:sz w:val="24"/>
                <w:highlight w:val="none"/>
                <w:shd w:val="clear" w:color="auto" w:fill="auto"/>
                <w:lang w:val="en-US" w:eastAsia="zh-CN"/>
              </w:rPr>
              <w:t>。</w:t>
            </w:r>
          </w:p>
        </w:tc>
      </w:tr>
      <w:tr w14:paraId="2BE9425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907" w:hRule="atLeast"/>
          <w:jc w:val="center"/>
        </w:trPr>
        <w:tc>
          <w:tcPr>
            <w:tcW w:w="434" w:type="dxa"/>
            <w:vAlign w:val="center"/>
          </w:tcPr>
          <w:p w14:paraId="31E73C95">
            <w:pPr>
              <w:pStyle w:val="18"/>
              <w:keepNext w:val="0"/>
              <w:keepLines w:val="0"/>
              <w:suppressLineNumbers w:val="0"/>
              <w:adjustRightInd w:val="0"/>
              <w:snapToGrid w:val="0"/>
              <w:spacing w:before="0" w:beforeAutospacing="0" w:after="0" w:afterAutospacing="0"/>
              <w:ind w:left="0" w:right="0"/>
              <w:jc w:val="center"/>
              <w:rPr>
                <w:rFonts w:hint="default" w:ascii="Times New Roman" w:hAnsi="Times New Roman"/>
                <w:color w:val="auto"/>
                <w:sz w:val="21"/>
                <w:szCs w:val="21"/>
                <w:highlight w:val="none"/>
              </w:rPr>
            </w:pPr>
            <w:r>
              <w:rPr>
                <w:rFonts w:hint="default" w:ascii="Times New Roman" w:hAnsi="Times New Roman"/>
                <w:b/>
                <w:bCs/>
                <w:color w:val="auto"/>
                <w:szCs w:val="24"/>
                <w:highlight w:val="none"/>
              </w:rPr>
              <w:t>工艺流程和产排污环节</w:t>
            </w:r>
          </w:p>
        </w:tc>
        <w:tc>
          <w:tcPr>
            <w:tcW w:w="8626" w:type="dxa"/>
          </w:tcPr>
          <w:p w14:paraId="655F7633">
            <w:pPr>
              <w:keepNext w:val="0"/>
              <w:keepLines w:val="0"/>
              <w:suppressLineNumbers w:val="0"/>
              <w:spacing w:before="0" w:beforeAutospacing="0" w:after="0" w:afterAutospacing="0" w:line="360" w:lineRule="auto"/>
              <w:ind w:left="0" w:right="0" w:firstLine="482" w:firstLineChars="200"/>
              <w:rPr>
                <w:rFonts w:hint="eastAsia" w:ascii="Times New Roman" w:hAnsi="Times New Roman" w:eastAsia="宋体" w:cs="Times New Roman"/>
                <w:b/>
                <w:bCs/>
                <w:color w:val="auto"/>
                <w:sz w:val="24"/>
                <w:highlight w:val="none"/>
                <w:shd w:val="clear" w:color="auto" w:fill="auto"/>
                <w:lang w:val="en-US" w:eastAsia="zh-CN"/>
              </w:rPr>
            </w:pPr>
            <w:r>
              <w:rPr>
                <w:rFonts w:hint="eastAsia" w:ascii="Times New Roman" w:hAnsi="Times New Roman" w:eastAsia="宋体" w:cs="Times New Roman"/>
                <w:b/>
                <w:bCs/>
                <w:color w:val="auto"/>
                <w:sz w:val="24"/>
                <w:highlight w:val="none"/>
                <w:shd w:val="clear" w:color="auto" w:fill="auto"/>
                <w:lang w:val="en-US" w:eastAsia="zh-CN"/>
              </w:rPr>
              <w:t>1、施工期</w:t>
            </w:r>
          </w:p>
          <w:p w14:paraId="3A39DE75">
            <w:pPr>
              <w:keepNext w:val="0"/>
              <w:keepLines w:val="0"/>
              <w:suppressLineNumbers w:val="0"/>
              <w:spacing w:before="0" w:beforeAutospacing="0" w:after="0" w:afterAutospacing="0" w:line="360" w:lineRule="auto"/>
              <w:ind w:left="0" w:right="0" w:firstLine="480" w:firstLineChars="200"/>
              <w:rPr>
                <w:rFonts w:hint="eastAsia" w:cs="Times New Roman"/>
                <w:color w:val="auto"/>
                <w:sz w:val="24"/>
                <w:highlight w:val="none"/>
                <w:shd w:val="clear" w:color="auto" w:fill="auto"/>
                <w:lang w:val="en-US" w:eastAsia="zh-CN"/>
              </w:rPr>
            </w:pPr>
            <w:r>
              <w:rPr>
                <w:rFonts w:hint="eastAsia" w:cs="Times New Roman"/>
                <w:color w:val="auto"/>
                <w:sz w:val="24"/>
                <w:highlight w:val="none"/>
                <w:shd w:val="clear" w:color="auto" w:fill="auto"/>
                <w:lang w:val="en-US" w:eastAsia="zh-CN"/>
              </w:rPr>
              <w:t>本项目租赁</w:t>
            </w:r>
            <w:r>
              <w:rPr>
                <w:rFonts w:hint="eastAsia" w:ascii="Times New Roman" w:hAnsi="Times New Roman" w:eastAsia="宋体" w:cs="Times New Roman"/>
                <w:color w:val="auto"/>
                <w:sz w:val="24"/>
                <w:highlight w:val="none"/>
                <w:shd w:val="clear" w:color="auto" w:fill="auto"/>
                <w:lang w:val="en-US" w:eastAsia="zh-CN"/>
              </w:rPr>
              <w:t>乐平绿创物流有限公司</w:t>
            </w:r>
            <w:r>
              <w:rPr>
                <w:rFonts w:hint="eastAsia" w:cs="Times New Roman"/>
                <w:color w:val="auto"/>
                <w:sz w:val="24"/>
                <w:highlight w:val="none"/>
                <w:shd w:val="clear" w:color="auto" w:fill="auto"/>
                <w:lang w:val="en-US" w:eastAsia="zh-CN"/>
              </w:rPr>
              <w:t>现有空置标准厂房进行生产，施工工艺较简单，施工期主要建设内容为车间改造及设备安装。</w:t>
            </w:r>
          </w:p>
          <w:p w14:paraId="557BDDB1">
            <w:pPr>
              <w:keepNext w:val="0"/>
              <w:keepLines w:val="0"/>
              <w:suppressLineNumbers w:val="0"/>
              <w:spacing w:before="0" w:beforeAutospacing="0" w:after="0" w:afterAutospacing="0" w:line="360" w:lineRule="auto"/>
              <w:ind w:left="0" w:right="0" w:firstLine="482" w:firstLineChars="200"/>
              <w:rPr>
                <w:rFonts w:hint="eastAsia" w:ascii="Times New Roman" w:hAnsi="Times New Roman" w:eastAsia="宋体" w:cs="Times New Roman"/>
                <w:b/>
                <w:bCs/>
                <w:color w:val="auto"/>
                <w:sz w:val="24"/>
                <w:highlight w:val="none"/>
                <w:shd w:val="clear" w:color="auto" w:fill="auto"/>
                <w:lang w:val="en-US" w:eastAsia="zh-CN"/>
              </w:rPr>
            </w:pPr>
            <w:r>
              <w:rPr>
                <w:rFonts w:hint="eastAsia" w:ascii="Times New Roman" w:hAnsi="Times New Roman" w:eastAsia="宋体" w:cs="Times New Roman"/>
                <w:b/>
                <w:bCs/>
                <w:color w:val="auto"/>
                <w:sz w:val="24"/>
                <w:highlight w:val="none"/>
                <w:shd w:val="clear" w:color="auto" w:fill="auto"/>
                <w:lang w:val="en-US" w:eastAsia="zh-CN"/>
              </w:rPr>
              <w:t>2、运营期</w:t>
            </w:r>
          </w:p>
          <w:p w14:paraId="75AE38B0">
            <w:pPr>
              <w:keepNext w:val="0"/>
              <w:keepLines w:val="0"/>
              <w:suppressLineNumbers w:val="0"/>
              <w:spacing w:before="0" w:beforeAutospacing="0" w:after="0" w:afterAutospacing="0" w:line="360" w:lineRule="auto"/>
              <w:ind w:left="0" w:right="0" w:firstLine="480" w:firstLineChars="200"/>
              <w:rPr>
                <w:rFonts w:hint="eastAsia" w:cs="Times New Roman"/>
                <w:color w:val="auto"/>
                <w:sz w:val="24"/>
                <w:highlight w:val="none"/>
                <w:shd w:val="clear" w:color="auto" w:fill="auto"/>
                <w:lang w:val="en-US" w:eastAsia="zh-CN"/>
              </w:rPr>
            </w:pPr>
            <w:r>
              <w:rPr>
                <w:rFonts w:hint="eastAsia" w:cs="Times New Roman"/>
                <w:color w:val="auto"/>
                <w:sz w:val="24"/>
                <w:highlight w:val="none"/>
                <w:shd w:val="clear" w:color="auto" w:fill="auto"/>
                <w:lang w:val="en-US" w:eastAsia="zh-CN"/>
              </w:rPr>
              <w:t>项目共设置3条休闲鞋生产线（皮鞋、高跟鞋、注塑鞋各1条）、1条鞋垫制造线和1条注塑鞋底制造线，都布置于厂房一楼，具体生产工艺流程及污染物产生环节如下：</w:t>
            </w:r>
          </w:p>
          <w:p w14:paraId="482E7A7B">
            <w:pPr>
              <w:keepNext w:val="0"/>
              <w:keepLines w:val="0"/>
              <w:suppressLineNumbers w:val="0"/>
              <w:spacing w:before="0" w:beforeAutospacing="0" w:after="0" w:afterAutospacing="0" w:line="360" w:lineRule="auto"/>
              <w:ind w:left="0" w:right="0" w:firstLine="480" w:firstLineChars="200"/>
              <w:jc w:val="center"/>
              <w:rPr>
                <w:rFonts w:hint="eastAsia" w:cs="Times New Roman"/>
                <w:color w:val="auto"/>
                <w:sz w:val="24"/>
                <w:highlight w:val="none"/>
                <w:shd w:val="clear" w:color="auto" w:fill="auto"/>
                <w:lang w:val="en-US" w:eastAsia="zh-CN"/>
              </w:rPr>
            </w:pPr>
            <w:r>
              <w:rPr>
                <w:rFonts w:hint="eastAsia" w:cs="Times New Roman"/>
                <w:color w:val="auto"/>
                <w:sz w:val="24"/>
                <w:highlight w:val="none"/>
                <w:shd w:val="clear" w:color="auto" w:fill="auto"/>
                <w:lang w:val="en-US" w:eastAsia="zh-CN"/>
              </w:rPr>
              <w:drawing>
                <wp:inline distT="0" distB="0" distL="114300" distR="114300">
                  <wp:extent cx="4180840" cy="1627505"/>
                  <wp:effectExtent l="0" t="0" r="0" b="0"/>
                  <wp:docPr id="261" name="ECB019B1-382A-4266-B25C-5B523AA43C14-1" descr="C:/Users/Administrator/AppData/Local/Temp/wps.OHabJh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ECB019B1-382A-4266-B25C-5B523AA43C14-1" descr="C:/Users/Administrator/AppData/Local/Temp/wps.OHabJhwps"/>
                          <pic:cNvPicPr>
                            <a:picLocks noChangeAspect="1"/>
                          </pic:cNvPicPr>
                        </pic:nvPicPr>
                        <pic:blipFill>
                          <a:blip r:embed="rId8"/>
                          <a:stretch>
                            <a:fillRect/>
                          </a:stretch>
                        </pic:blipFill>
                        <pic:spPr>
                          <a:xfrm>
                            <a:off x="0" y="0"/>
                            <a:ext cx="4180840" cy="1627505"/>
                          </a:xfrm>
                          <a:prstGeom prst="rect">
                            <a:avLst/>
                          </a:prstGeom>
                        </pic:spPr>
                      </pic:pic>
                    </a:graphicData>
                  </a:graphic>
                </wp:inline>
              </w:drawing>
            </w:r>
          </w:p>
          <w:p w14:paraId="4F56B9F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right="0" w:firstLine="422" w:firstLineChars="200"/>
              <w:jc w:val="center"/>
              <w:textAlignment w:val="auto"/>
              <w:rPr>
                <w:rFonts w:hint="eastAsia" w:cs="Times New Roman"/>
                <w:b/>
                <w:color w:val="auto"/>
                <w:sz w:val="21"/>
                <w:szCs w:val="21"/>
                <w:highlight w:val="none"/>
                <w:lang w:val="en-US" w:eastAsia="zh-CN"/>
              </w:rPr>
            </w:pPr>
            <w:r>
              <w:rPr>
                <w:rFonts w:hint="eastAsia" w:ascii="Times New Roman" w:hAnsi="Times New Roman" w:eastAsia="宋体" w:cs="Times New Roman"/>
                <w:b/>
                <w:color w:val="auto"/>
                <w:sz w:val="21"/>
                <w:szCs w:val="21"/>
                <w:highlight w:val="none"/>
              </w:rPr>
              <w:t>图</w:t>
            </w:r>
            <w:r>
              <w:rPr>
                <w:rFonts w:hint="eastAsia" w:cs="Times New Roman"/>
                <w:b/>
                <w:color w:val="auto"/>
                <w:sz w:val="21"/>
                <w:szCs w:val="21"/>
                <w:highlight w:val="none"/>
                <w:lang w:val="en-US" w:eastAsia="zh-CN"/>
              </w:rPr>
              <w:t>2-2  注塑鞋底制造工艺流程及产污节点图</w:t>
            </w:r>
          </w:p>
          <w:p w14:paraId="101B02F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2" w:firstLineChars="200"/>
              <w:jc w:val="both"/>
              <w:textAlignment w:val="auto"/>
              <w:rPr>
                <w:rFonts w:hint="eastAsia" w:ascii="Times New Roman" w:hAnsi="Times New Roman" w:eastAsia="宋体" w:cs="Times New Roman"/>
                <w:b/>
                <w:bCs/>
                <w:color w:val="auto"/>
                <w:sz w:val="24"/>
                <w:highlight w:val="none"/>
                <w:shd w:val="clear" w:color="auto" w:fill="auto"/>
                <w:lang w:val="en-US" w:eastAsia="zh-CN"/>
              </w:rPr>
            </w:pPr>
            <w:r>
              <w:rPr>
                <w:rFonts w:hint="eastAsia" w:ascii="Times New Roman" w:hAnsi="Times New Roman" w:eastAsia="宋体" w:cs="Times New Roman"/>
                <w:b/>
                <w:bCs/>
                <w:color w:val="auto"/>
                <w:sz w:val="24"/>
                <w:highlight w:val="none"/>
                <w:shd w:val="clear" w:color="auto" w:fill="auto"/>
                <w:lang w:val="en-US" w:eastAsia="zh-CN"/>
              </w:rPr>
              <w:t>工艺流程简述：</w:t>
            </w:r>
          </w:p>
          <w:p w14:paraId="6D37614D">
            <w:pPr>
              <w:keepNext w:val="0"/>
              <w:keepLines w:val="0"/>
              <w:suppressLineNumbers w:val="0"/>
              <w:spacing w:before="0" w:beforeAutospacing="0" w:after="0" w:afterAutospacing="0" w:line="360" w:lineRule="auto"/>
              <w:ind w:left="0" w:right="0" w:firstLine="482" w:firstLineChars="200"/>
              <w:rPr>
                <w:rFonts w:hint="eastAsia" w:ascii="Times New Roman" w:hAnsi="Times New Roman" w:eastAsia="宋体" w:cs="Times New Roman"/>
                <w:b w:val="0"/>
                <w:bCs w:val="0"/>
                <w:color w:val="auto"/>
                <w:sz w:val="24"/>
                <w:highlight w:val="none"/>
                <w:shd w:val="clear" w:color="auto" w:fill="auto"/>
                <w:lang w:val="en-US" w:eastAsia="zh-CN"/>
              </w:rPr>
            </w:pPr>
            <w:r>
              <w:rPr>
                <w:rFonts w:hint="eastAsia" w:ascii="Times New Roman" w:hAnsi="Times New Roman" w:eastAsia="宋体" w:cs="Times New Roman"/>
                <w:b/>
                <w:bCs/>
                <w:color w:val="auto"/>
                <w:sz w:val="24"/>
                <w:highlight w:val="none"/>
                <w:shd w:val="clear" w:color="auto" w:fill="auto"/>
                <w:lang w:val="en-US" w:eastAsia="zh-CN"/>
              </w:rPr>
              <w:t>混合搅拌：</w:t>
            </w:r>
            <w:r>
              <w:rPr>
                <w:rFonts w:hint="eastAsia" w:ascii="Times New Roman" w:hAnsi="Times New Roman" w:eastAsia="宋体" w:cs="Times New Roman"/>
                <w:b w:val="0"/>
                <w:bCs w:val="0"/>
                <w:color w:val="auto"/>
                <w:sz w:val="24"/>
                <w:highlight w:val="none"/>
                <w:shd w:val="clear" w:color="auto" w:fill="auto"/>
                <w:lang w:val="en-US" w:eastAsia="zh-CN"/>
              </w:rPr>
              <w:t>将PVC粉、碳酸钙、发泡剂、硬脂酸等人工解包投入拌料机内，同时将邻苯二甲酸二丁酯从储罐内泵入拌料机内，分别按照48：36.5：32：3：1.5：1：2的比例搅拌混合，得到PVC混合料。该工序会产生投拌料粉尘和废包装袋。</w:t>
            </w:r>
          </w:p>
          <w:p w14:paraId="50873A05">
            <w:pPr>
              <w:keepNext w:val="0"/>
              <w:keepLines w:val="0"/>
              <w:suppressLineNumbers w:val="0"/>
              <w:spacing w:before="0" w:beforeAutospacing="0" w:after="0" w:afterAutospacing="0" w:line="360" w:lineRule="auto"/>
              <w:ind w:left="0" w:right="0" w:firstLine="482" w:firstLineChars="200"/>
              <w:rPr>
                <w:rFonts w:hint="eastAsia" w:ascii="Times New Roman" w:hAnsi="Times New Roman" w:eastAsia="宋体" w:cs="Times New Roman"/>
                <w:color w:val="auto"/>
                <w:sz w:val="24"/>
                <w:highlight w:val="none"/>
                <w:shd w:val="clear" w:color="auto" w:fill="auto"/>
                <w:lang w:val="en-US" w:eastAsia="zh-CN"/>
              </w:rPr>
            </w:pPr>
            <w:r>
              <w:rPr>
                <w:rFonts w:hint="eastAsia" w:ascii="Times New Roman" w:hAnsi="Times New Roman" w:eastAsia="宋体" w:cs="Times New Roman"/>
                <w:b/>
                <w:bCs/>
                <w:color w:val="auto"/>
                <w:sz w:val="24"/>
                <w:highlight w:val="none"/>
                <w:shd w:val="clear" w:color="auto" w:fill="auto"/>
                <w:lang w:val="en-US" w:eastAsia="zh-CN"/>
              </w:rPr>
              <w:t>注塑：</w:t>
            </w:r>
            <w:r>
              <w:rPr>
                <w:rFonts w:hint="eastAsia" w:ascii="Times New Roman" w:hAnsi="Times New Roman" w:eastAsia="宋体" w:cs="Times New Roman"/>
                <w:b w:val="0"/>
                <w:bCs w:val="0"/>
                <w:color w:val="auto"/>
                <w:sz w:val="24"/>
                <w:highlight w:val="none"/>
                <w:shd w:val="clear" w:color="auto" w:fill="auto"/>
                <w:lang w:val="en-US" w:eastAsia="zh-CN"/>
              </w:rPr>
              <w:t>将</w:t>
            </w:r>
            <w:r>
              <w:rPr>
                <w:rFonts w:hint="default" w:ascii="Times New Roman" w:hAnsi="Times New Roman" w:eastAsia="宋体" w:cs="Times New Roman"/>
                <w:b w:val="0"/>
                <w:bCs w:val="0"/>
                <w:color w:val="auto"/>
                <w:sz w:val="24"/>
                <w:highlight w:val="none"/>
                <w:shd w:val="clear" w:color="auto" w:fill="auto"/>
                <w:lang w:val="en-US" w:eastAsia="zh-CN"/>
              </w:rPr>
              <w:t>PVC</w:t>
            </w:r>
            <w:r>
              <w:rPr>
                <w:rFonts w:hint="eastAsia" w:ascii="Times New Roman" w:hAnsi="Times New Roman" w:eastAsia="宋体" w:cs="Times New Roman"/>
                <w:b w:val="0"/>
                <w:bCs w:val="0"/>
                <w:color w:val="auto"/>
                <w:sz w:val="24"/>
                <w:highlight w:val="none"/>
                <w:shd w:val="clear" w:color="auto" w:fill="auto"/>
                <w:lang w:val="en-US" w:eastAsia="zh-CN"/>
              </w:rPr>
              <w:t>混合料在圆盘注塑机或立式机注塑内加热熔化后通过圆盘注塑机或立式机注塑内自带注模口注入模具制成鞋底，直接和鞋帮进行黏合（注塑温度</w:t>
            </w:r>
            <w:r>
              <w:rPr>
                <w:rFonts w:hint="default" w:ascii="Times New Roman" w:hAnsi="Times New Roman" w:eastAsia="宋体" w:cs="Times New Roman"/>
                <w:b w:val="0"/>
                <w:bCs w:val="0"/>
                <w:color w:val="auto"/>
                <w:sz w:val="24"/>
                <w:highlight w:val="none"/>
                <w:shd w:val="clear" w:color="auto" w:fill="auto"/>
                <w:lang w:val="en-US" w:eastAsia="zh-CN"/>
              </w:rPr>
              <w:t>180</w:t>
            </w:r>
            <w:r>
              <w:rPr>
                <w:rFonts w:hint="eastAsia" w:ascii="Times New Roman" w:hAnsi="Times New Roman" w:eastAsia="宋体" w:cs="Times New Roman"/>
                <w:b w:val="0"/>
                <w:bCs w:val="0"/>
                <w:color w:val="auto"/>
                <w:sz w:val="24"/>
                <w:highlight w:val="none"/>
                <w:shd w:val="clear" w:color="auto" w:fill="auto"/>
                <w:lang w:val="en-US" w:eastAsia="zh-CN"/>
              </w:rPr>
              <w:t>℃）；注塑加热过程</w:t>
            </w:r>
            <w:r>
              <w:rPr>
                <w:rFonts w:hint="default" w:ascii="Times New Roman" w:hAnsi="Times New Roman" w:eastAsia="宋体" w:cs="Times New Roman"/>
                <w:b w:val="0"/>
                <w:bCs w:val="0"/>
                <w:color w:val="auto"/>
                <w:sz w:val="24"/>
                <w:highlight w:val="none"/>
                <w:shd w:val="clear" w:color="auto" w:fill="auto"/>
                <w:lang w:val="en-US" w:eastAsia="zh-CN"/>
              </w:rPr>
              <w:t>PVC</w:t>
            </w:r>
            <w:r>
              <w:rPr>
                <w:rFonts w:hint="eastAsia" w:ascii="Times New Roman" w:hAnsi="Times New Roman" w:eastAsia="宋体" w:cs="Times New Roman"/>
                <w:b w:val="0"/>
                <w:bCs w:val="0"/>
                <w:color w:val="auto"/>
                <w:sz w:val="24"/>
                <w:highlight w:val="none"/>
                <w:shd w:val="clear" w:color="auto" w:fill="auto"/>
                <w:lang w:val="en-US" w:eastAsia="zh-CN"/>
              </w:rPr>
              <w:t>混合料熔融形变，同时发泡剂部分分解产生氮气等气体，达到发泡效果，形成弹性塑料鞋底。注塑过程需通过冷却水对注塑机头进行间接冷却，保证其温度处于稳定状态，注塑冷却水循环使用不外排。</w:t>
            </w:r>
            <w:r>
              <w:rPr>
                <w:rFonts w:hint="eastAsia" w:cs="Times New Roman"/>
                <w:b w:val="0"/>
                <w:bCs w:val="0"/>
                <w:color w:val="auto"/>
                <w:sz w:val="24"/>
                <w:highlight w:val="none"/>
                <w:shd w:val="clear" w:color="auto" w:fill="auto"/>
                <w:lang w:val="en-US" w:eastAsia="zh-CN"/>
              </w:rPr>
              <w:t>后</w:t>
            </w:r>
            <w:r>
              <w:rPr>
                <w:rFonts w:hint="eastAsia" w:ascii="Times New Roman" w:hAnsi="Times New Roman" w:eastAsia="宋体" w:cs="Times New Roman"/>
                <w:color w:val="auto"/>
                <w:sz w:val="24"/>
                <w:highlight w:val="none"/>
                <w:shd w:val="clear" w:color="auto" w:fill="auto"/>
                <w:lang w:val="en-US" w:eastAsia="zh-CN"/>
              </w:rPr>
              <w:t>将加工好的鞋帮、鞋面等部件通过注塑工艺，与鞋底或其他组件结合，生产出具有完整结构的注塑鞋。</w:t>
            </w:r>
            <w:r>
              <w:rPr>
                <w:rFonts w:hint="eastAsia" w:ascii="Times New Roman" w:hAnsi="Times New Roman" w:eastAsia="宋体" w:cs="Times New Roman"/>
                <w:b w:val="0"/>
                <w:bCs w:val="0"/>
                <w:color w:val="auto"/>
                <w:sz w:val="24"/>
                <w:highlight w:val="none"/>
                <w:shd w:val="clear" w:color="auto" w:fill="auto"/>
                <w:lang w:val="en-US" w:eastAsia="zh-CN"/>
              </w:rPr>
              <w:t>该工序中会产生</w:t>
            </w:r>
            <w:r>
              <w:rPr>
                <w:rFonts w:hint="eastAsia" w:cs="宋体"/>
                <w:color w:val="auto"/>
                <w:sz w:val="24"/>
                <w:szCs w:val="24"/>
                <w:highlight w:val="none"/>
                <w:lang w:val="en-US" w:eastAsia="zh-CN"/>
              </w:rPr>
              <w:t>PVC注塑</w:t>
            </w:r>
            <w:r>
              <w:rPr>
                <w:rFonts w:hint="eastAsia" w:ascii="Times New Roman" w:hAnsi="Times New Roman" w:eastAsia="宋体" w:cs="Times New Roman"/>
                <w:b w:val="0"/>
                <w:bCs w:val="0"/>
                <w:color w:val="auto"/>
                <w:sz w:val="24"/>
                <w:highlight w:val="none"/>
                <w:shd w:val="clear" w:color="auto" w:fill="auto"/>
                <w:lang w:val="en-US" w:eastAsia="zh-CN"/>
              </w:rPr>
              <w:t>有机废气、注塑边角料</w:t>
            </w:r>
            <w:r>
              <w:rPr>
                <w:rFonts w:hint="eastAsia" w:cs="宋体"/>
                <w:color w:val="auto"/>
                <w:sz w:val="24"/>
                <w:szCs w:val="24"/>
                <w:highlight w:val="none"/>
                <w:lang w:val="en-US" w:eastAsia="zh-CN"/>
              </w:rPr>
              <w:t>和</w:t>
            </w:r>
            <w:r>
              <w:rPr>
                <w:rFonts w:hint="eastAsia" w:ascii="Times New Roman" w:hAnsi="Times New Roman" w:eastAsia="宋体" w:cs="Times New Roman"/>
                <w:color w:val="auto"/>
                <w:sz w:val="24"/>
                <w:highlight w:val="none"/>
                <w:shd w:val="clear" w:color="auto" w:fill="auto"/>
                <w:lang w:val="en-US" w:eastAsia="zh-CN"/>
              </w:rPr>
              <w:t>噪声</w:t>
            </w:r>
            <w:r>
              <w:rPr>
                <w:rFonts w:hint="eastAsia" w:ascii="Times New Roman" w:hAnsi="Times New Roman" w:eastAsia="宋体" w:cs="Times New Roman"/>
                <w:b w:val="0"/>
                <w:bCs w:val="0"/>
                <w:color w:val="auto"/>
                <w:sz w:val="24"/>
                <w:highlight w:val="none"/>
                <w:shd w:val="clear" w:color="auto" w:fill="auto"/>
                <w:lang w:val="en-US" w:eastAsia="zh-CN"/>
              </w:rPr>
              <w:t>。</w:t>
            </w:r>
          </w:p>
          <w:p w14:paraId="49C1D6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left"/>
              <w:textAlignment w:val="auto"/>
              <w:rPr>
                <w:rFonts w:hint="default" w:ascii="Times New Roman" w:hAnsi="Times New Roman" w:eastAsia="宋体"/>
                <w:color w:val="auto"/>
                <w:sz w:val="24"/>
              </w:rPr>
            </w:pPr>
            <w:r>
              <w:rPr>
                <w:rFonts w:hint="eastAsia" w:ascii="Times New Roman" w:hAnsi="Times New Roman" w:eastAsia="宋体" w:cs="宋体"/>
                <w:b/>
                <w:bCs/>
                <w:color w:val="auto"/>
                <w:kern w:val="0"/>
                <w:sz w:val="24"/>
                <w:szCs w:val="24"/>
                <w:lang w:val="en-US" w:eastAsia="zh-CN" w:bidi="ar"/>
              </w:rPr>
              <w:t>半成品仓库：</w:t>
            </w:r>
            <w:r>
              <w:rPr>
                <w:rFonts w:hint="eastAsia" w:ascii="Times New Roman" w:hAnsi="Times New Roman" w:eastAsia="宋体" w:cs="宋体"/>
                <w:b w:val="0"/>
                <w:bCs w:val="0"/>
                <w:color w:val="auto"/>
                <w:kern w:val="0"/>
                <w:sz w:val="24"/>
                <w:szCs w:val="24"/>
                <w:lang w:val="en-US" w:eastAsia="zh-CN" w:bidi="ar"/>
              </w:rPr>
              <w:t>注塑鞋底</w:t>
            </w:r>
            <w:r>
              <w:rPr>
                <w:rFonts w:hint="eastAsia" w:ascii="Times New Roman" w:hAnsi="Times New Roman" w:eastAsia="宋体" w:cs="宋体"/>
                <w:color w:val="auto"/>
                <w:kern w:val="0"/>
                <w:sz w:val="24"/>
                <w:szCs w:val="24"/>
                <w:lang w:val="en-US" w:eastAsia="zh-CN" w:bidi="ar"/>
              </w:rPr>
              <w:t>制作完成后存入半成品仓库，待皮鞋和</w:t>
            </w:r>
            <w:r>
              <w:rPr>
                <w:rFonts w:hint="eastAsia" w:cs="宋体"/>
                <w:color w:val="auto"/>
                <w:kern w:val="0"/>
                <w:sz w:val="24"/>
                <w:szCs w:val="24"/>
                <w:lang w:val="en-US" w:eastAsia="zh-CN" w:bidi="ar"/>
              </w:rPr>
              <w:t>PVC注塑鞋生产线</w:t>
            </w:r>
            <w:r>
              <w:rPr>
                <w:rFonts w:hint="eastAsia" w:ascii="Times New Roman" w:hAnsi="Times New Roman" w:eastAsia="宋体" w:cs="宋体"/>
                <w:color w:val="auto"/>
                <w:kern w:val="0"/>
                <w:sz w:val="24"/>
                <w:szCs w:val="24"/>
                <w:lang w:val="en-US" w:eastAsia="zh-CN" w:bidi="ar"/>
              </w:rPr>
              <w:t>使用。</w:t>
            </w:r>
          </w:p>
          <w:p w14:paraId="7C3161B5">
            <w:pPr>
              <w:keepNext w:val="0"/>
              <w:keepLines w:val="0"/>
              <w:suppressLineNumbers w:val="0"/>
              <w:spacing w:before="0" w:beforeAutospacing="0" w:after="0" w:afterAutospacing="0" w:line="360" w:lineRule="auto"/>
              <w:ind w:left="0" w:right="0" w:firstLine="480" w:firstLineChars="200"/>
              <w:jc w:val="center"/>
              <w:rPr>
                <w:rFonts w:hint="eastAsia" w:cs="Times New Roman"/>
                <w:color w:val="auto"/>
                <w:sz w:val="24"/>
                <w:highlight w:val="none"/>
                <w:shd w:val="clear" w:color="auto" w:fill="auto"/>
                <w:lang w:val="en-US" w:eastAsia="zh-CN"/>
              </w:rPr>
            </w:pPr>
            <w:r>
              <w:rPr>
                <w:rFonts w:hint="eastAsia" w:cs="Times New Roman"/>
                <w:color w:val="auto"/>
                <w:sz w:val="24"/>
                <w:highlight w:val="none"/>
                <w:shd w:val="clear" w:color="auto" w:fill="auto"/>
                <w:lang w:val="en-US" w:eastAsia="zh-CN"/>
              </w:rPr>
              <w:drawing>
                <wp:inline distT="0" distB="0" distL="114300" distR="114300">
                  <wp:extent cx="4415155" cy="1427480"/>
                  <wp:effectExtent l="0" t="0" r="0" b="0"/>
                  <wp:docPr id="287" name="ECB019B1-382A-4266-B25C-5B523AA43C14-2" descr="C:/Users/Administrator/AppData/Local/Temp/wps.auoGdr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ECB019B1-382A-4266-B25C-5B523AA43C14-2" descr="C:/Users/Administrator/AppData/Local/Temp/wps.auoGdrwps"/>
                          <pic:cNvPicPr>
                            <a:picLocks noChangeAspect="1"/>
                          </pic:cNvPicPr>
                        </pic:nvPicPr>
                        <pic:blipFill>
                          <a:blip r:embed="rId9"/>
                          <a:stretch>
                            <a:fillRect/>
                          </a:stretch>
                        </pic:blipFill>
                        <pic:spPr>
                          <a:xfrm>
                            <a:off x="0" y="0"/>
                            <a:ext cx="4415155" cy="1427480"/>
                          </a:xfrm>
                          <a:prstGeom prst="rect">
                            <a:avLst/>
                          </a:prstGeom>
                        </pic:spPr>
                      </pic:pic>
                    </a:graphicData>
                  </a:graphic>
                </wp:inline>
              </w:drawing>
            </w:r>
          </w:p>
          <w:p w14:paraId="07F8417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right="0" w:firstLine="422" w:firstLineChars="200"/>
              <w:jc w:val="center"/>
              <w:textAlignment w:val="auto"/>
              <w:rPr>
                <w:rFonts w:hint="eastAsia" w:cs="Times New Roman"/>
                <w:b/>
                <w:color w:val="auto"/>
                <w:sz w:val="21"/>
                <w:szCs w:val="21"/>
                <w:highlight w:val="none"/>
                <w:lang w:val="en-US" w:eastAsia="zh-CN"/>
              </w:rPr>
            </w:pPr>
            <w:r>
              <w:rPr>
                <w:rFonts w:hint="eastAsia" w:ascii="Times New Roman" w:hAnsi="Times New Roman" w:eastAsia="宋体" w:cs="Times New Roman"/>
                <w:b/>
                <w:color w:val="auto"/>
                <w:sz w:val="21"/>
                <w:szCs w:val="21"/>
                <w:highlight w:val="none"/>
              </w:rPr>
              <w:t>图</w:t>
            </w:r>
            <w:r>
              <w:rPr>
                <w:rFonts w:hint="eastAsia" w:cs="Times New Roman"/>
                <w:b/>
                <w:color w:val="auto"/>
                <w:sz w:val="21"/>
                <w:szCs w:val="21"/>
                <w:highlight w:val="none"/>
                <w:lang w:val="en-US" w:eastAsia="zh-CN"/>
              </w:rPr>
              <w:t>2-3  鞋垫制造工艺流程及产污节点图</w:t>
            </w:r>
          </w:p>
          <w:p w14:paraId="0FC6A66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2" w:firstLineChars="200"/>
              <w:jc w:val="both"/>
              <w:textAlignment w:val="auto"/>
              <w:rPr>
                <w:rFonts w:hint="eastAsia" w:ascii="Times New Roman" w:hAnsi="Times New Roman" w:eastAsia="宋体" w:cs="Times New Roman"/>
                <w:b/>
                <w:bCs/>
                <w:color w:val="auto"/>
                <w:sz w:val="24"/>
                <w:highlight w:val="none"/>
                <w:shd w:val="clear" w:color="auto" w:fill="auto"/>
                <w:lang w:val="en-US" w:eastAsia="zh-CN"/>
              </w:rPr>
            </w:pPr>
            <w:r>
              <w:rPr>
                <w:rFonts w:hint="eastAsia" w:ascii="Times New Roman" w:hAnsi="Times New Roman" w:eastAsia="宋体" w:cs="Times New Roman"/>
                <w:b/>
                <w:bCs/>
                <w:color w:val="auto"/>
                <w:sz w:val="24"/>
                <w:highlight w:val="none"/>
                <w:shd w:val="clear" w:color="auto" w:fill="auto"/>
                <w:lang w:val="en-US" w:eastAsia="zh-CN"/>
              </w:rPr>
              <w:t>工艺流程简述：</w:t>
            </w:r>
          </w:p>
          <w:p w14:paraId="527810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left"/>
              <w:textAlignment w:val="auto"/>
              <w:rPr>
                <w:rFonts w:hint="default" w:ascii="Times New Roman" w:hAnsi="Times New Roman" w:eastAsia="宋体"/>
                <w:color w:val="auto"/>
                <w:sz w:val="24"/>
                <w:lang w:val="en-US"/>
              </w:rPr>
            </w:pPr>
            <w:r>
              <w:rPr>
                <w:rFonts w:hint="eastAsia" w:ascii="Times New Roman" w:hAnsi="Times New Roman" w:eastAsia="宋体" w:cs="宋体"/>
                <w:b/>
                <w:bCs/>
                <w:color w:val="auto"/>
                <w:kern w:val="0"/>
                <w:sz w:val="24"/>
                <w:szCs w:val="24"/>
                <w:lang w:val="en-US" w:eastAsia="zh-CN" w:bidi="ar"/>
              </w:rPr>
              <w:t>混合搅拌：</w:t>
            </w:r>
            <w:r>
              <w:rPr>
                <w:rFonts w:hint="eastAsia" w:ascii="Times New Roman" w:hAnsi="Times New Roman" w:eastAsia="宋体" w:cs="宋体"/>
                <w:color w:val="auto"/>
                <w:kern w:val="0"/>
                <w:sz w:val="24"/>
                <w:szCs w:val="24"/>
                <w:lang w:val="en-US" w:eastAsia="zh-CN" w:bidi="ar"/>
              </w:rPr>
              <w:t>将聚醚多元醇组合料</w:t>
            </w:r>
            <w:r>
              <w:rPr>
                <w:rFonts w:hint="eastAsia" w:cs="宋体"/>
                <w:color w:val="auto"/>
                <w:kern w:val="0"/>
                <w:sz w:val="24"/>
                <w:szCs w:val="24"/>
                <w:lang w:val="en-US" w:eastAsia="zh-CN" w:bidi="ar"/>
              </w:rPr>
              <w:t>、改性MDI和色浆</w:t>
            </w:r>
            <w:r>
              <w:rPr>
                <w:rFonts w:hint="eastAsia" w:ascii="Times New Roman" w:hAnsi="Times New Roman" w:eastAsia="宋体" w:cs="宋体"/>
                <w:color w:val="auto"/>
                <w:kern w:val="0"/>
                <w:sz w:val="24"/>
                <w:szCs w:val="24"/>
                <w:lang w:val="en-US" w:eastAsia="zh-CN" w:bidi="ar"/>
              </w:rPr>
              <w:t>分别经各自计量泵按</w:t>
            </w:r>
            <w:r>
              <w:rPr>
                <w:rFonts w:hint="eastAsia" w:cs="宋体"/>
                <w:color w:val="auto"/>
                <w:kern w:val="0"/>
                <w:sz w:val="24"/>
                <w:szCs w:val="24"/>
                <w:lang w:val="en-US" w:eastAsia="zh-CN" w:bidi="ar"/>
              </w:rPr>
              <w:t>56：24:1的</w:t>
            </w:r>
            <w:r>
              <w:rPr>
                <w:rFonts w:hint="eastAsia" w:ascii="Times New Roman" w:hAnsi="Times New Roman" w:eastAsia="宋体" w:cs="宋体"/>
                <w:color w:val="auto"/>
                <w:kern w:val="0"/>
                <w:sz w:val="24"/>
                <w:szCs w:val="24"/>
                <w:lang w:val="en-US" w:eastAsia="zh-CN" w:bidi="ar"/>
              </w:rPr>
              <w:t>配比精确计量后经密闭管道泵入发泡机机头</w:t>
            </w:r>
            <w:r>
              <w:rPr>
                <w:rFonts w:hint="eastAsia" w:cs="宋体"/>
                <w:color w:val="auto"/>
                <w:kern w:val="0"/>
                <w:sz w:val="24"/>
                <w:szCs w:val="24"/>
                <w:lang w:val="en-US" w:eastAsia="zh-CN" w:bidi="ar"/>
              </w:rPr>
              <w:t>（</w:t>
            </w:r>
            <w:r>
              <w:rPr>
                <w:rFonts w:hint="eastAsia" w:ascii="Times New Roman" w:hAnsi="Times New Roman" w:eastAsia="宋体" w:cs="宋体"/>
                <w:color w:val="auto"/>
                <w:kern w:val="0"/>
                <w:sz w:val="24"/>
                <w:szCs w:val="24"/>
                <w:lang w:val="en-US" w:eastAsia="zh-CN" w:bidi="ar"/>
              </w:rPr>
              <w:t>此过程由数控系统控制</w:t>
            </w:r>
            <w:r>
              <w:rPr>
                <w:rFonts w:hint="eastAsia" w:cs="宋体"/>
                <w:color w:val="auto"/>
                <w:kern w:val="0"/>
                <w:sz w:val="24"/>
                <w:szCs w:val="24"/>
                <w:lang w:val="en-US" w:eastAsia="zh-CN" w:bidi="ar"/>
              </w:rPr>
              <w:t>）</w:t>
            </w:r>
            <w:r>
              <w:rPr>
                <w:rFonts w:hint="eastAsia" w:ascii="Times New Roman" w:hAnsi="Times New Roman" w:eastAsia="宋体" w:cs="宋体"/>
                <w:color w:val="auto"/>
                <w:kern w:val="0"/>
                <w:sz w:val="24"/>
                <w:szCs w:val="24"/>
                <w:lang w:val="en-US" w:eastAsia="zh-CN" w:bidi="ar"/>
              </w:rPr>
              <w:t>，物料在发泡机机头内高速搅拌、混合</w:t>
            </w:r>
            <w:r>
              <w:rPr>
                <w:rFonts w:hint="default" w:ascii="Times New Roman" w:hAnsi="Times New Roman" w:eastAsia="宋体" w:cs="Times New Roman"/>
                <w:color w:val="auto"/>
                <w:kern w:val="0"/>
                <w:sz w:val="24"/>
                <w:szCs w:val="24"/>
                <w:lang w:val="en-US" w:eastAsia="zh-CN" w:bidi="ar"/>
              </w:rPr>
              <w:t>1~5</w:t>
            </w:r>
            <w:r>
              <w:rPr>
                <w:rFonts w:hint="eastAsia" w:cs="Times New Roman"/>
                <w:color w:val="auto"/>
                <w:kern w:val="0"/>
                <w:sz w:val="24"/>
                <w:szCs w:val="24"/>
                <w:lang w:val="en-US" w:eastAsia="zh-CN" w:bidi="ar"/>
              </w:rPr>
              <w:t>s</w:t>
            </w:r>
            <w:r>
              <w:rPr>
                <w:rFonts w:hint="eastAsia" w:ascii="Times New Roman" w:hAnsi="Times New Roman" w:eastAsia="宋体" w:cs="宋体"/>
                <w:color w:val="auto"/>
                <w:kern w:val="0"/>
                <w:sz w:val="24"/>
                <w:szCs w:val="24"/>
                <w:lang w:val="en-US" w:eastAsia="zh-CN" w:bidi="ar"/>
              </w:rPr>
              <w:t>，该过程在常温常压、密闭状态下进行操作。该过程为连续操作过程，原辅料不断输送至机头，机头内混合物料连续发泡。该工序产生的污染主要是废包装桶、噪声。</w:t>
            </w:r>
          </w:p>
          <w:p w14:paraId="3F07B8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left"/>
              <w:textAlignment w:val="auto"/>
              <w:rPr>
                <w:rFonts w:hint="eastAsia" w:ascii="Times New Roman" w:hAnsi="Times New Roman" w:eastAsia="宋体" w:cs="宋体"/>
                <w:color w:val="auto"/>
                <w:kern w:val="0"/>
                <w:sz w:val="24"/>
                <w:szCs w:val="24"/>
                <w:lang w:val="en-US" w:eastAsia="zh-CN" w:bidi="ar"/>
              </w:rPr>
            </w:pPr>
            <w:r>
              <w:rPr>
                <w:rFonts w:hint="eastAsia" w:ascii="Times New Roman" w:hAnsi="Times New Roman" w:eastAsia="宋体" w:cs="宋体"/>
                <w:b/>
                <w:bCs/>
                <w:color w:val="auto"/>
                <w:kern w:val="0"/>
                <w:sz w:val="24"/>
                <w:szCs w:val="24"/>
                <w:lang w:val="en-US" w:eastAsia="zh-CN" w:bidi="ar"/>
              </w:rPr>
              <w:t>模具发泡成型：</w:t>
            </w:r>
            <w:r>
              <w:rPr>
                <w:rFonts w:hint="eastAsia" w:ascii="Times New Roman" w:hAnsi="Times New Roman" w:eastAsia="宋体" w:cs="宋体"/>
                <w:color w:val="auto"/>
                <w:kern w:val="0"/>
                <w:sz w:val="24"/>
                <w:szCs w:val="24"/>
                <w:lang w:val="en-US" w:eastAsia="zh-CN" w:bidi="ar"/>
              </w:rPr>
              <w:t>发泡头将均匀混合的物料自动、均匀投入模具中，开始进行发泡，发泡过程物料体积逐渐变大，模具通过电加热控温</w:t>
            </w:r>
            <w:r>
              <w:rPr>
                <w:rFonts w:hint="default" w:ascii="Times New Roman" w:hAnsi="Times New Roman" w:eastAsia="宋体" w:cs="Times New Roman"/>
                <w:color w:val="auto"/>
                <w:kern w:val="0"/>
                <w:sz w:val="24"/>
                <w:szCs w:val="24"/>
                <w:lang w:val="en-US" w:eastAsia="zh-CN" w:bidi="ar"/>
              </w:rPr>
              <w:t>50</w:t>
            </w:r>
            <w:r>
              <w:rPr>
                <w:rFonts w:hint="eastAsia" w:ascii="Times New Roman" w:hAnsi="Times New Roman" w:eastAsia="宋体" w:cs="宋体"/>
                <w:color w:val="auto"/>
                <w:kern w:val="0"/>
                <w:sz w:val="24"/>
                <w:szCs w:val="24"/>
                <w:lang w:val="en-US" w:eastAsia="zh-CN" w:bidi="ar"/>
              </w:rPr>
              <w:t>度，待模具中发泡成型，项目反应过程是在常压下进行，反应时间短为瞬时反应，同时在反应过程中由于发生聚合反应放热，此时</w:t>
            </w:r>
            <w:r>
              <w:rPr>
                <w:rFonts w:hint="default" w:ascii="Times New Roman" w:hAnsi="Times New Roman" w:eastAsia="宋体" w:cs="Times New Roman"/>
                <w:color w:val="auto"/>
                <w:kern w:val="0"/>
                <w:sz w:val="24"/>
                <w:szCs w:val="24"/>
                <w:lang w:val="en-US" w:eastAsia="zh-CN" w:bidi="ar"/>
              </w:rPr>
              <w:t>CO</w:t>
            </w:r>
            <w:r>
              <w:rPr>
                <w:rFonts w:hint="eastAsia" w:ascii="Times New Roman" w:hAnsi="Times New Roman" w:eastAsia="宋体" w:cs="宋体"/>
                <w:color w:val="auto"/>
                <w:kern w:val="0"/>
                <w:sz w:val="24"/>
                <w:szCs w:val="24"/>
                <w:lang w:val="en-US" w:eastAsia="zh-CN" w:bidi="ar"/>
              </w:rPr>
              <w:t>从聚氨酯内部溢出形成鼓泡，发泡时间约为</w:t>
            </w:r>
            <w:r>
              <w:rPr>
                <w:rFonts w:hint="default" w:ascii="Times New Roman" w:hAnsi="Times New Roman" w:eastAsia="宋体" w:cs="Times New Roman"/>
                <w:color w:val="auto"/>
                <w:kern w:val="0"/>
                <w:sz w:val="24"/>
                <w:szCs w:val="24"/>
                <w:lang w:val="en-US" w:eastAsia="zh-CN" w:bidi="ar"/>
              </w:rPr>
              <w:t>1.5</w:t>
            </w:r>
            <w:r>
              <w:rPr>
                <w:rFonts w:hint="eastAsia" w:cs="Times New Roman"/>
                <w:color w:val="auto"/>
                <w:kern w:val="0"/>
                <w:sz w:val="24"/>
                <w:szCs w:val="24"/>
                <w:lang w:val="en-US" w:eastAsia="zh-CN" w:bidi="ar"/>
              </w:rPr>
              <w:t>～</w:t>
            </w:r>
            <w:r>
              <w:rPr>
                <w:rFonts w:hint="default" w:ascii="Times New Roman" w:hAnsi="Times New Roman" w:eastAsia="宋体" w:cs="Times New Roman"/>
                <w:color w:val="auto"/>
                <w:kern w:val="0"/>
                <w:sz w:val="24"/>
                <w:szCs w:val="24"/>
                <w:lang w:val="en-US" w:eastAsia="zh-CN" w:bidi="ar"/>
              </w:rPr>
              <w:t>3min</w:t>
            </w:r>
            <w:r>
              <w:rPr>
                <w:rFonts w:hint="eastAsia" w:ascii="Times New Roman" w:hAnsi="Times New Roman" w:eastAsia="宋体" w:cs="宋体"/>
                <w:color w:val="auto"/>
                <w:kern w:val="0"/>
                <w:sz w:val="24"/>
                <w:szCs w:val="24"/>
                <w:lang w:val="en-US" w:eastAsia="zh-CN" w:bidi="ar"/>
              </w:rPr>
              <w:t>。成型后打开模具</w:t>
            </w:r>
            <w:r>
              <w:rPr>
                <w:rFonts w:hint="eastAsia" w:cs="宋体"/>
                <w:color w:val="auto"/>
                <w:kern w:val="0"/>
                <w:sz w:val="24"/>
                <w:szCs w:val="24"/>
                <w:lang w:val="en-US" w:eastAsia="zh-CN" w:bidi="ar"/>
              </w:rPr>
              <w:t>喷洒脱模剂使</w:t>
            </w:r>
            <w:r>
              <w:rPr>
                <w:rFonts w:hint="eastAsia" w:ascii="Times New Roman" w:hAnsi="Times New Roman" w:eastAsia="宋体" w:cs="宋体"/>
                <w:color w:val="auto"/>
                <w:kern w:val="0"/>
                <w:sz w:val="24"/>
                <w:szCs w:val="24"/>
                <w:lang w:val="en-US" w:eastAsia="zh-CN" w:bidi="ar"/>
              </w:rPr>
              <w:t>鞋垫</w:t>
            </w:r>
            <w:r>
              <w:rPr>
                <w:rFonts w:hint="eastAsia" w:cs="宋体"/>
                <w:color w:val="auto"/>
                <w:kern w:val="0"/>
                <w:sz w:val="24"/>
                <w:szCs w:val="24"/>
                <w:lang w:val="en-US" w:eastAsia="zh-CN" w:bidi="ar"/>
              </w:rPr>
              <w:t>更好</w:t>
            </w:r>
            <w:r>
              <w:rPr>
                <w:rFonts w:hint="eastAsia" w:ascii="Times New Roman" w:hAnsi="Times New Roman" w:eastAsia="宋体" w:cs="宋体"/>
                <w:color w:val="auto"/>
                <w:kern w:val="0"/>
                <w:sz w:val="24"/>
                <w:szCs w:val="24"/>
                <w:lang w:val="en-US" w:eastAsia="zh-CN" w:bidi="ar"/>
              </w:rPr>
              <w:t>取出。该工序产生的污染主要是发泡产生的有机废气</w:t>
            </w:r>
            <w:r>
              <w:rPr>
                <w:rFonts w:hint="eastAsia" w:cs="宋体"/>
                <w:color w:val="auto"/>
                <w:kern w:val="0"/>
                <w:sz w:val="24"/>
                <w:szCs w:val="24"/>
                <w:lang w:val="en-US" w:eastAsia="zh-CN" w:bidi="ar"/>
              </w:rPr>
              <w:t>和脱模</w:t>
            </w:r>
            <w:r>
              <w:rPr>
                <w:rFonts w:hint="eastAsia" w:ascii="Times New Roman" w:hAnsi="Times New Roman" w:eastAsia="宋体" w:cs="宋体"/>
                <w:color w:val="auto"/>
                <w:kern w:val="0"/>
                <w:sz w:val="24"/>
                <w:szCs w:val="24"/>
                <w:lang w:val="en-US" w:eastAsia="zh-CN" w:bidi="ar"/>
              </w:rPr>
              <w:t>有机废气。</w:t>
            </w:r>
          </w:p>
          <w:p w14:paraId="416479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eastAsia="宋体" w:cs="宋体"/>
                <w:b w:val="0"/>
                <w:bCs w:val="0"/>
                <w:color w:val="auto"/>
                <w:kern w:val="0"/>
                <w:sz w:val="24"/>
                <w:szCs w:val="24"/>
                <w:lang w:val="en-US" w:eastAsia="zh-CN" w:bidi="ar"/>
              </w:rPr>
            </w:pPr>
            <w:r>
              <w:rPr>
                <w:rFonts w:hint="eastAsia" w:ascii="Times New Roman" w:hAnsi="Times New Roman" w:eastAsia="宋体" w:cs="宋体"/>
                <w:b w:val="0"/>
                <w:bCs w:val="0"/>
                <w:color w:val="auto"/>
                <w:kern w:val="0"/>
                <w:sz w:val="24"/>
                <w:szCs w:val="24"/>
                <w:lang w:val="en-US" w:eastAsia="zh-CN" w:bidi="ar"/>
              </w:rPr>
              <w:t>化学发泡反应，主要为凝胶、发泡、终止及熟化等4个过程。</w:t>
            </w:r>
          </w:p>
          <w:p w14:paraId="160F79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left"/>
              <w:textAlignment w:val="auto"/>
              <w:rPr>
                <w:rFonts w:hint="default" w:ascii="Times New Roman" w:hAnsi="Times New Roman" w:eastAsia="宋体" w:cs="宋体"/>
                <w:b/>
                <w:bCs/>
                <w:color w:val="auto"/>
                <w:kern w:val="0"/>
                <w:sz w:val="24"/>
                <w:szCs w:val="24"/>
                <w:lang w:val="en-US" w:eastAsia="zh-CN" w:bidi="ar"/>
              </w:rPr>
            </w:pPr>
            <w:r>
              <w:rPr>
                <w:rFonts w:hint="eastAsia" w:ascii="Times New Roman" w:hAnsi="Times New Roman" w:eastAsia="宋体" w:cs="宋体"/>
                <w:b/>
                <w:bCs/>
                <w:color w:val="auto"/>
                <w:kern w:val="0"/>
                <w:sz w:val="24"/>
                <w:szCs w:val="24"/>
                <w:lang w:val="en-US" w:eastAsia="zh-CN" w:bidi="ar"/>
              </w:rPr>
              <w:t>①凝胶过程</w:t>
            </w:r>
          </w:p>
          <w:p w14:paraId="0D9E60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eastAsia="宋体" w:cs="宋体"/>
                <w:b w:val="0"/>
                <w:bCs w:val="0"/>
                <w:color w:val="auto"/>
                <w:kern w:val="0"/>
                <w:sz w:val="24"/>
                <w:szCs w:val="24"/>
                <w:lang w:val="en-US" w:eastAsia="zh-CN" w:bidi="ar"/>
              </w:rPr>
            </w:pPr>
            <w:r>
              <w:rPr>
                <w:rFonts w:hint="eastAsia" w:ascii="Times New Roman" w:hAnsi="Times New Roman" w:eastAsia="宋体" w:cs="宋体"/>
                <w:b w:val="0"/>
                <w:bCs w:val="0"/>
                <w:color w:val="auto"/>
                <w:kern w:val="0"/>
                <w:sz w:val="24"/>
                <w:szCs w:val="24"/>
                <w:lang w:val="en-US" w:eastAsia="zh-CN" w:bidi="ar"/>
              </w:rPr>
              <w:t>聚氨酯泡沫的形成包括连续反应的复杂过程。凝胶反应产生聚氨基甲酸酯。发泡反应产生二氧化碳，导致泡沫膨胀，同时生成聚脲。</w:t>
            </w:r>
          </w:p>
          <w:p w14:paraId="3EC2931A">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80" w:firstLineChars="200"/>
              <w:jc w:val="left"/>
              <w:textAlignment w:val="auto"/>
              <w:rPr>
                <w:rFonts w:hint="eastAsia" w:ascii="Times New Roman" w:hAnsi="Times New Roman" w:eastAsia="宋体" w:cs="宋体"/>
                <w:b w:val="0"/>
                <w:bCs w:val="0"/>
                <w:color w:val="auto"/>
                <w:kern w:val="0"/>
                <w:sz w:val="24"/>
                <w:szCs w:val="24"/>
                <w:lang w:val="en-US" w:eastAsia="zh-CN" w:bidi="ar"/>
              </w:rPr>
            </w:pPr>
            <w:r>
              <w:rPr>
                <w:rFonts w:hint="eastAsia" w:ascii="Times New Roman" w:hAnsi="Times New Roman" w:eastAsia="宋体" w:cs="宋体"/>
                <w:b w:val="0"/>
                <w:bCs w:val="0"/>
                <w:color w:val="auto"/>
                <w:kern w:val="0"/>
                <w:sz w:val="24"/>
                <w:szCs w:val="24"/>
                <w:lang w:val="en-US" w:eastAsia="zh-CN" w:bidi="ar"/>
              </w:rPr>
              <w:t>A</w:t>
            </w:r>
            <w:r>
              <w:rPr>
                <w:rFonts w:hint="eastAsia" w:cs="宋体"/>
                <w:b w:val="0"/>
                <w:bCs w:val="0"/>
                <w:color w:val="auto"/>
                <w:kern w:val="0"/>
                <w:sz w:val="24"/>
                <w:szCs w:val="24"/>
                <w:lang w:val="en-US" w:eastAsia="zh-CN" w:bidi="ar"/>
              </w:rPr>
              <w:t>、</w:t>
            </w:r>
            <w:r>
              <w:rPr>
                <w:rFonts w:hint="eastAsia" w:ascii="Times New Roman" w:hAnsi="Times New Roman" w:eastAsia="宋体" w:cs="宋体"/>
                <w:b w:val="0"/>
                <w:bCs w:val="0"/>
                <w:color w:val="auto"/>
                <w:kern w:val="0"/>
                <w:sz w:val="24"/>
                <w:szCs w:val="24"/>
                <w:lang w:val="en-US" w:eastAsia="zh-CN" w:bidi="ar"/>
              </w:rPr>
              <w:t>凝胶反应：物料经过搅拌后，转入发泡装置内，氰酸酯与聚醚多元醇反应，生成氨基甲酸酯：</w:t>
            </w:r>
          </w:p>
          <w:p w14:paraId="4C73A865">
            <w:pPr>
              <w:pStyle w:val="16"/>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0" w:right="0" w:firstLine="480" w:firstLineChars="200"/>
              <w:textAlignment w:val="auto"/>
              <w:rPr>
                <w:rFonts w:hint="default" w:ascii="Times New Roman" w:hAnsi="Times New Roman" w:cs="Times New Roman"/>
                <w:color w:val="auto"/>
                <w:sz w:val="24"/>
                <w:szCs w:val="24"/>
                <w:lang w:val="en-US" w:eastAsia="zh-CN"/>
              </w:rPr>
            </w:pPr>
            <m:oMath>
              <m:r>
                <m:rPr>
                  <m:nor/>
                </m:rPr>
                <w:rPr>
                  <w:rFonts w:hint="default" w:ascii="Times New Roman" w:hAnsi="Times New Roman" w:cs="Times New Roman"/>
                  <w:i/>
                  <w:color w:val="auto"/>
                  <w:kern w:val="2"/>
                  <w:sz w:val="24"/>
                  <w:szCs w:val="24"/>
                  <w:lang w:val="en-US" w:eastAsia="zh-CN" w:bidi="ar-SA"/>
                </w:rPr>
                <m:t>R</m:t>
              </m:r>
            </m:oMath>
            <w:r>
              <w:rPr>
                <w:rFonts w:hint="default" w:ascii="Times New Roman" w:hAnsi="Times New Roman" w:cs="Times New Roman"/>
                <w:color w:val="auto"/>
                <w:sz w:val="24"/>
                <w:szCs w:val="24"/>
                <w:lang w:val="en-US" w:eastAsia="zh-CN"/>
              </w:rPr>
              <w:t>-NCO</w:t>
            </w:r>
            <w:r>
              <w:rPr>
                <w:rFonts w:hint="eastAsia" w:ascii="Times New Roman" w:hAnsi="Times New Roman" w:cs="Times New Roman"/>
                <w:color w:val="auto"/>
                <w:sz w:val="24"/>
                <w:szCs w:val="24"/>
                <w:lang w:val="en-US" w:eastAsia="zh-CN"/>
              </w:rPr>
              <w:t xml:space="preserve">  </w:t>
            </w:r>
            <w:r>
              <w:rPr>
                <w:rFonts w:hint="default" w:ascii="Times New Roman" w:hAnsi="Times New Roman" w:cs="Times New Roman"/>
                <w:color w:val="auto"/>
                <w:sz w:val="24"/>
                <w:szCs w:val="24"/>
                <w:lang w:val="en-US" w:eastAsia="zh-CN"/>
              </w:rPr>
              <w:t>+</w:t>
            </w:r>
            <w:r>
              <w:rPr>
                <w:rFonts w:hint="eastAsia" w:ascii="Times New Roman" w:hAnsi="Times New Roman" w:cs="Times New Roman"/>
                <w:color w:val="auto"/>
                <w:sz w:val="24"/>
                <w:szCs w:val="24"/>
                <w:lang w:val="en-US" w:eastAsia="zh-CN"/>
              </w:rPr>
              <w:t xml:space="preserve">  </w:t>
            </w:r>
            <m:oMath>
              <m:r>
                <m:rPr>
                  <m:nor/>
                </m:rPr>
                <w:rPr>
                  <w:rFonts w:hint="default" w:ascii="Times New Roman" w:hAnsi="Times New Roman" w:cs="Times New Roman"/>
                  <w:i/>
                  <w:color w:val="auto"/>
                  <w:kern w:val="2"/>
                  <w:sz w:val="24"/>
                  <w:szCs w:val="24"/>
                  <w:lang w:val="en-US" w:eastAsia="zh-CN" w:bidi="ar-SA"/>
                </w:rPr>
                <m:t>R</m:t>
              </m:r>
            </m:oMath>
            <w:r>
              <w:rPr>
                <w:rFonts w:hint="default" w:ascii="Times New Roman" w:hAnsi="Times New Roman" w:eastAsia="宋体" w:cs="Times New Roman"/>
                <w:color w:val="auto"/>
                <w:kern w:val="0"/>
                <w:sz w:val="24"/>
                <w:szCs w:val="24"/>
                <w:lang w:val="en-US" w:eastAsia="zh-CN" w:bidi="ar"/>
              </w:rPr>
              <w:t>'</w:t>
            </w:r>
            <w:r>
              <w:rPr>
                <w:rFonts w:hint="default" w:ascii="Times New Roman" w:hAnsi="Times New Roman" w:cs="Times New Roman"/>
                <w:color w:val="auto"/>
                <w:sz w:val="24"/>
                <w:szCs w:val="24"/>
                <w:lang w:val="en-US" w:eastAsia="zh-CN"/>
              </w:rPr>
              <w:t>-CH</w:t>
            </w:r>
            <w:r>
              <w:rPr>
                <w:rFonts w:hint="default" w:ascii="Times New Roman" w:hAnsi="Times New Roman" w:cs="Times New Roman"/>
                <w:color w:val="auto"/>
                <w:sz w:val="24"/>
                <w:szCs w:val="24"/>
                <w:vertAlign w:val="subscript"/>
                <w:lang w:val="en-US" w:eastAsia="zh-CN"/>
              </w:rPr>
              <w:t>2</w:t>
            </w:r>
            <w:r>
              <w:rPr>
                <w:rFonts w:hint="default" w:ascii="Times New Roman" w:hAnsi="Times New Roman" w:cs="Times New Roman"/>
                <w:color w:val="auto"/>
                <w:sz w:val="24"/>
                <w:szCs w:val="24"/>
                <w:lang w:val="en-US" w:eastAsia="zh-CN"/>
              </w:rPr>
              <w:t>OH→</w:t>
            </w:r>
            <m:oMath>
              <m:r>
                <m:rPr>
                  <m:nor/>
                </m:rPr>
                <w:rPr>
                  <w:rFonts w:hint="default" w:ascii="Times New Roman" w:hAnsi="Times New Roman" w:cs="Times New Roman"/>
                  <w:i/>
                  <w:color w:val="auto"/>
                  <w:kern w:val="2"/>
                  <w:sz w:val="24"/>
                  <w:szCs w:val="24"/>
                  <w:lang w:val="en-US" w:eastAsia="zh-CN" w:bidi="ar-SA"/>
                </w:rPr>
                <m:t>R</m:t>
              </m:r>
            </m:oMath>
            <w:r>
              <w:rPr>
                <w:rFonts w:hint="default" w:ascii="Times New Roman" w:hAnsi="Times New Roman" w:cs="Times New Roman"/>
                <w:color w:val="auto"/>
                <w:sz w:val="24"/>
                <w:szCs w:val="24"/>
                <w:lang w:val="en-US" w:eastAsia="zh-CN"/>
              </w:rPr>
              <w:t>-NHCOCH</w:t>
            </w:r>
            <w:r>
              <w:rPr>
                <w:rFonts w:hint="default" w:ascii="Times New Roman" w:hAnsi="Times New Roman" w:cs="Times New Roman"/>
                <w:color w:val="auto"/>
                <w:sz w:val="24"/>
                <w:szCs w:val="24"/>
                <w:vertAlign w:val="subscript"/>
                <w:lang w:val="en-US" w:eastAsia="zh-CN"/>
              </w:rPr>
              <w:t>2</w:t>
            </w:r>
            <m:oMath>
              <m:r>
                <m:rPr>
                  <m:nor/>
                </m:rPr>
                <w:rPr>
                  <w:rFonts w:hint="default" w:ascii="Times New Roman" w:hAnsi="Times New Roman" w:cs="Times New Roman"/>
                  <w:i/>
                  <w:color w:val="auto"/>
                  <w:kern w:val="2"/>
                  <w:sz w:val="24"/>
                  <w:szCs w:val="24"/>
                  <w:lang w:val="en-US" w:eastAsia="zh-CN" w:bidi="ar-SA"/>
                </w:rPr>
                <m:t>R</m:t>
              </m:r>
            </m:oMath>
            <w:r>
              <w:rPr>
                <w:rFonts w:hint="default" w:ascii="Times New Roman" w:hAnsi="Times New Roman" w:eastAsia="宋体" w:cs="Times New Roman"/>
                <w:color w:val="auto"/>
                <w:kern w:val="0"/>
                <w:sz w:val="24"/>
                <w:szCs w:val="24"/>
                <w:lang w:val="en-US" w:eastAsia="zh-CN" w:bidi="ar"/>
              </w:rPr>
              <w:t>'</w:t>
            </w:r>
            <w:r>
              <w:rPr>
                <w:rFonts w:hint="eastAsia" w:ascii="Times New Roman" w:hAnsi="Times New Roman" w:eastAsia="宋体" w:cs="Times New Roman"/>
                <w:color w:val="auto"/>
                <w:kern w:val="0"/>
                <w:sz w:val="24"/>
                <w:szCs w:val="24"/>
                <w:lang w:val="en-US" w:eastAsia="zh-CN" w:bidi="ar"/>
              </w:rPr>
              <w:t xml:space="preserve">            (</w:t>
            </w:r>
            <w:r>
              <w:rPr>
                <w:rFonts w:hint="default" w:ascii="Times New Roman" w:hAnsi="Times New Roman" w:eastAsia="宋体" w:cs="Times New Roman"/>
                <w:color w:val="auto"/>
                <w:kern w:val="0"/>
                <w:sz w:val="24"/>
                <w:szCs w:val="24"/>
                <w:lang w:val="en-US" w:eastAsia="zh-CN" w:bidi="ar"/>
              </w:rPr>
              <w:t>Ⅰ</w:t>
            </w:r>
            <w:r>
              <w:rPr>
                <w:rFonts w:hint="eastAsia" w:ascii="Times New Roman" w:hAnsi="Times New Roman" w:eastAsia="宋体" w:cs="Times New Roman"/>
                <w:color w:val="auto"/>
                <w:kern w:val="0"/>
                <w:sz w:val="24"/>
                <w:szCs w:val="24"/>
                <w:lang w:val="en-US" w:eastAsia="zh-CN" w:bidi="ar"/>
              </w:rPr>
              <w:t>)</w:t>
            </w:r>
          </w:p>
          <w:p w14:paraId="58E178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leftChars="0" w:right="0" w:firstLine="480" w:firstLineChars="200"/>
              <w:jc w:val="left"/>
              <w:textAlignment w:val="auto"/>
              <w:rPr>
                <w:rFonts w:hint="default"/>
                <w:color w:val="auto"/>
                <w:sz w:val="24"/>
                <w:szCs w:val="24"/>
              </w:rPr>
            </w:pPr>
            <w:r>
              <w:rPr>
                <w:rFonts w:hint="eastAsia" w:ascii="宋体" w:hAnsi="宋体" w:eastAsia="宋体" w:cs="宋体"/>
                <w:color w:val="auto"/>
                <w:kern w:val="0"/>
                <w:sz w:val="24"/>
                <w:szCs w:val="24"/>
                <w:lang w:val="en-US" w:eastAsia="zh-CN" w:bidi="ar"/>
              </w:rPr>
              <w:t>异氰酸酯     多元醇    氨基甲酸酯</w:t>
            </w:r>
          </w:p>
          <w:p w14:paraId="7A1E592E">
            <w:pPr>
              <w:pStyle w:val="16"/>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0" w:right="0" w:firstLine="480" w:firstLineChars="200"/>
              <w:textAlignment w:val="auto"/>
              <w:rPr>
                <w:rFonts w:hint="eastAsia" w:ascii="Times New Roman" w:hAnsi="Times New Roman" w:eastAsia="宋体" w:cs="宋体"/>
                <w:b w:val="0"/>
                <w:bCs w:val="0"/>
                <w:color w:val="auto"/>
                <w:kern w:val="0"/>
                <w:sz w:val="24"/>
                <w:szCs w:val="24"/>
                <w:lang w:val="en-US" w:eastAsia="zh-CN" w:bidi="ar"/>
              </w:rPr>
            </w:pPr>
            <w:r>
              <w:rPr>
                <w:rFonts w:hint="eastAsia" w:ascii="Times New Roman" w:hAnsi="Times New Roman" w:eastAsia="宋体" w:cs="宋体"/>
                <w:b w:val="0"/>
                <w:bCs w:val="0"/>
                <w:color w:val="auto"/>
                <w:kern w:val="0"/>
                <w:sz w:val="24"/>
                <w:szCs w:val="24"/>
                <w:lang w:val="en-US" w:eastAsia="zh-CN" w:bidi="ar"/>
              </w:rPr>
              <w:t>B、发泡及聚脲反应：异氰酸酯与水反应，生成不稳定的氨基甲酸，然后立即分解成伯胺与二氧化碳气体：</w:t>
            </w:r>
          </w:p>
          <w:p w14:paraId="7E18CA75">
            <w:pPr>
              <w:pStyle w:val="16"/>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0" w:right="0" w:firstLine="480" w:firstLineChars="200"/>
              <w:textAlignment w:val="auto"/>
              <w:rPr>
                <w:rFonts w:hint="default" w:ascii="Times New Roman" w:hAnsi="Times New Roman" w:cs="Times New Roman"/>
                <w:color w:val="auto"/>
                <w:sz w:val="24"/>
                <w:szCs w:val="24"/>
                <w:lang w:val="en-US" w:eastAsia="zh-CN"/>
              </w:rPr>
            </w:pPr>
            <m:oMath>
              <m:r>
                <m:rPr>
                  <m:nor/>
                </m:rPr>
                <w:rPr>
                  <w:rFonts w:hint="default" w:ascii="Times New Roman" w:hAnsi="Times New Roman" w:cs="Times New Roman"/>
                  <w:i/>
                  <w:color w:val="auto"/>
                  <w:kern w:val="2"/>
                  <w:sz w:val="24"/>
                  <w:szCs w:val="24"/>
                  <w:lang w:val="en-US" w:eastAsia="zh-CN" w:bidi="ar-SA"/>
                </w:rPr>
                <m:t>R</m:t>
              </m:r>
            </m:oMath>
            <w:r>
              <w:rPr>
                <w:rFonts w:hint="default" w:ascii="Times New Roman" w:hAnsi="Times New Roman" w:cs="Times New Roman"/>
                <w:color w:val="auto"/>
                <w:sz w:val="24"/>
                <w:szCs w:val="24"/>
                <w:lang w:val="en-US" w:eastAsia="zh-CN"/>
              </w:rPr>
              <w:t>-NCO</w:t>
            </w:r>
            <w:r>
              <w:rPr>
                <w:rFonts w:hint="eastAsia" w:ascii="Times New Roman" w:hAnsi="Times New Roman" w:cs="Times New Roman"/>
                <w:color w:val="auto"/>
                <w:sz w:val="24"/>
                <w:szCs w:val="24"/>
                <w:lang w:val="en-US" w:eastAsia="zh-CN"/>
              </w:rPr>
              <w:t xml:space="preserve">  </w:t>
            </w:r>
            <w:r>
              <w:rPr>
                <w:rFonts w:hint="default" w:ascii="Times New Roman" w:hAnsi="Times New Roman" w:cs="Times New Roman"/>
                <w:color w:val="auto"/>
                <w:sz w:val="24"/>
                <w:szCs w:val="24"/>
                <w:lang w:val="en-US" w:eastAsia="zh-CN"/>
              </w:rPr>
              <w:t>+</w:t>
            </w:r>
            <w:r>
              <w:rPr>
                <w:rFonts w:hint="eastAsia" w:ascii="Times New Roman" w:hAnsi="Times New Roman" w:cs="Times New Roman"/>
                <w:color w:val="auto"/>
                <w:sz w:val="24"/>
                <w:szCs w:val="24"/>
                <w:lang w:val="en-US" w:eastAsia="zh-CN"/>
              </w:rPr>
              <w:t xml:space="preserve">  </w:t>
            </w:r>
            <w:r>
              <w:rPr>
                <w:rFonts w:hint="default" w:ascii="Times New Roman" w:hAnsi="Times New Roman" w:cs="Times New Roman"/>
                <w:color w:val="auto"/>
                <w:sz w:val="24"/>
                <w:szCs w:val="24"/>
                <w:lang w:val="en-US" w:eastAsia="zh-CN"/>
              </w:rPr>
              <w:t>H</w:t>
            </w:r>
            <w:r>
              <w:rPr>
                <w:rFonts w:hint="eastAsia" w:ascii="Times New Roman" w:hAnsi="Times New Roman" w:cs="Times New Roman"/>
                <w:color w:val="auto"/>
                <w:sz w:val="24"/>
                <w:szCs w:val="24"/>
                <w:lang w:val="en-US" w:eastAsia="zh-CN"/>
              </w:rPr>
              <w:t>OH</w:t>
            </w:r>
            <w:r>
              <w:rPr>
                <w:rFonts w:hint="default" w:ascii="Times New Roman" w:hAnsi="Times New Roman" w:cs="Times New Roman"/>
                <w:color w:val="auto"/>
                <w:sz w:val="24"/>
                <w:szCs w:val="24"/>
                <w:lang w:val="en-US" w:eastAsia="zh-CN"/>
              </w:rPr>
              <w:t>→</w:t>
            </w:r>
            <m:oMath>
              <m:r>
                <m:rPr>
                  <m:nor/>
                </m:rPr>
                <w:rPr>
                  <w:rFonts w:hint="default" w:ascii="Times New Roman" w:hAnsi="Times New Roman" w:cs="Times New Roman"/>
                  <w:i/>
                  <w:color w:val="auto"/>
                  <w:kern w:val="2"/>
                  <w:sz w:val="24"/>
                  <w:szCs w:val="24"/>
                  <w:lang w:val="en-US" w:eastAsia="zh-CN" w:bidi="ar-SA"/>
                </w:rPr>
                <m:t>R</m:t>
              </m:r>
            </m:oMath>
            <w:r>
              <w:rPr>
                <w:rFonts w:hint="default" w:ascii="Times New Roman" w:hAnsi="Times New Roman" w:cs="Times New Roman"/>
                <w:color w:val="auto"/>
                <w:sz w:val="24"/>
                <w:szCs w:val="24"/>
                <w:lang w:val="en-US" w:eastAsia="zh-CN"/>
              </w:rPr>
              <w:t>-NH</w:t>
            </w:r>
            <w:r>
              <w:rPr>
                <w:rFonts w:hint="eastAsia" w:ascii="Times New Roman" w:hAnsi="Times New Roman" w:cs="Times New Roman"/>
                <w:color w:val="auto"/>
                <w:sz w:val="24"/>
                <w:szCs w:val="24"/>
                <w:vertAlign w:val="subscript"/>
                <w:lang w:val="en-US" w:eastAsia="zh-CN"/>
              </w:rPr>
              <w:t>2</w:t>
            </w:r>
            <w:r>
              <w:rPr>
                <w:rFonts w:hint="eastAsia" w:ascii="Times New Roman" w:hAnsi="Times New Roman" w:cs="Times New Roman"/>
                <w:color w:val="auto"/>
                <w:sz w:val="24"/>
                <w:szCs w:val="24"/>
                <w:lang w:val="en-US" w:eastAsia="zh-CN"/>
              </w:rPr>
              <w:t xml:space="preserve">  </w:t>
            </w:r>
            <w:r>
              <w:rPr>
                <w:rFonts w:hint="default" w:ascii="Times New Roman" w:hAnsi="Times New Roman" w:cs="Times New Roman"/>
                <w:color w:val="auto"/>
                <w:sz w:val="24"/>
                <w:szCs w:val="24"/>
                <w:lang w:val="en-US" w:eastAsia="zh-CN"/>
              </w:rPr>
              <w:t>+CO</w:t>
            </w:r>
            <w:r>
              <w:rPr>
                <w:rFonts w:hint="eastAsia" w:ascii="Times New Roman" w:hAnsi="Times New Roman" w:cs="Times New Roman"/>
                <w:color w:val="auto"/>
                <w:sz w:val="24"/>
                <w:szCs w:val="24"/>
                <w:vertAlign w:val="subscript"/>
                <w:lang w:val="en-US" w:eastAsia="zh-CN"/>
              </w:rPr>
              <w:t>2</w:t>
            </w:r>
            <w:r>
              <w:rPr>
                <w:rFonts w:hint="eastAsia" w:ascii="Times New Roman" w:hAnsi="Times New Roman" w:eastAsia="宋体" w:cs="Times New Roman"/>
                <w:color w:val="auto"/>
                <w:kern w:val="0"/>
                <w:sz w:val="24"/>
                <w:szCs w:val="24"/>
                <w:lang w:val="en-US" w:eastAsia="zh-CN" w:bidi="ar"/>
              </w:rPr>
              <w:t xml:space="preserve">                 (</w:t>
            </w:r>
            <w:r>
              <w:rPr>
                <w:rFonts w:hint="default" w:ascii="Times New Roman" w:hAnsi="Times New Roman" w:eastAsia="宋体" w:cs="Times New Roman"/>
                <w:color w:val="auto"/>
                <w:kern w:val="0"/>
                <w:sz w:val="24"/>
                <w:szCs w:val="24"/>
                <w:lang w:val="en-US" w:eastAsia="zh-CN" w:bidi="ar"/>
              </w:rPr>
              <w:t>Ⅱ</w:t>
            </w:r>
            <w:r>
              <w:rPr>
                <w:rFonts w:hint="eastAsia" w:ascii="Times New Roman" w:hAnsi="Times New Roman" w:eastAsia="宋体" w:cs="Times New Roman"/>
                <w:color w:val="auto"/>
                <w:kern w:val="0"/>
                <w:sz w:val="24"/>
                <w:szCs w:val="24"/>
                <w:lang w:val="en-US" w:eastAsia="zh-CN" w:bidi="ar"/>
              </w:rPr>
              <w:t>)</w:t>
            </w:r>
          </w:p>
          <w:p w14:paraId="718D9C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leftChars="0" w:right="0" w:firstLine="480" w:firstLineChars="200"/>
              <w:jc w:val="left"/>
              <w:textAlignment w:val="auto"/>
              <w:rPr>
                <w:rFonts w:hint="default"/>
                <w:color w:val="auto"/>
                <w:sz w:val="24"/>
                <w:szCs w:val="24"/>
                <w:lang w:val="en-US"/>
              </w:rPr>
            </w:pPr>
            <w:r>
              <w:rPr>
                <w:rFonts w:hint="eastAsia" w:ascii="宋体" w:hAnsi="宋体" w:eastAsia="宋体" w:cs="宋体"/>
                <w:color w:val="auto"/>
                <w:kern w:val="0"/>
                <w:sz w:val="24"/>
                <w:szCs w:val="24"/>
                <w:lang w:val="en-US" w:eastAsia="zh-CN" w:bidi="ar"/>
              </w:rPr>
              <w:t>异氰酸酯    水    胺    二氧化碳</w:t>
            </w:r>
          </w:p>
          <w:p w14:paraId="66902FB2">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80" w:firstLineChars="200"/>
              <w:jc w:val="left"/>
              <w:textAlignment w:val="auto"/>
              <w:rPr>
                <w:rFonts w:hint="eastAsia" w:ascii="Times New Roman" w:hAnsi="Times New Roman" w:eastAsia="宋体" w:cs="宋体"/>
                <w:b w:val="0"/>
                <w:bCs w:val="0"/>
                <w:color w:val="auto"/>
                <w:kern w:val="0"/>
                <w:sz w:val="24"/>
                <w:szCs w:val="24"/>
                <w:lang w:val="en-US" w:eastAsia="zh-CN" w:bidi="ar"/>
              </w:rPr>
            </w:pPr>
            <w:r>
              <w:rPr>
                <w:rFonts w:hint="eastAsia" w:ascii="Times New Roman" w:hAnsi="Times New Roman" w:eastAsia="宋体" w:cs="宋体"/>
                <w:b w:val="0"/>
                <w:bCs w:val="0"/>
                <w:color w:val="auto"/>
                <w:kern w:val="0"/>
                <w:sz w:val="24"/>
                <w:szCs w:val="24"/>
                <w:lang w:val="en-US" w:eastAsia="zh-CN" w:bidi="ar"/>
              </w:rPr>
              <w:t>分解出的伯胺分子中，胺基上的氢原子仍然较活泼，进一步</w:t>
            </w:r>
            <w:r>
              <w:rPr>
                <w:rFonts w:hint="eastAsia" w:cs="宋体"/>
                <w:b w:val="0"/>
                <w:bCs w:val="0"/>
                <w:color w:val="auto"/>
                <w:kern w:val="0"/>
                <w:sz w:val="24"/>
                <w:szCs w:val="24"/>
                <w:lang w:val="en-US" w:eastAsia="zh-CN" w:bidi="ar"/>
              </w:rPr>
              <w:t>地</w:t>
            </w:r>
            <w:r>
              <w:rPr>
                <w:rFonts w:hint="eastAsia" w:ascii="Times New Roman" w:hAnsi="Times New Roman" w:eastAsia="宋体" w:cs="宋体"/>
                <w:b w:val="0"/>
                <w:bCs w:val="0"/>
                <w:color w:val="auto"/>
                <w:kern w:val="0"/>
                <w:sz w:val="24"/>
                <w:szCs w:val="24"/>
                <w:lang w:val="en-US" w:eastAsia="zh-CN" w:bidi="ar"/>
              </w:rPr>
              <w:t>与异氰酸酯基团反应，生成含有脲基的高聚物，取代脲：</w:t>
            </w:r>
          </w:p>
          <w:p w14:paraId="21EB0CD2">
            <w:pPr>
              <w:pStyle w:val="16"/>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0" w:right="0" w:firstLine="480" w:firstLineChars="200"/>
              <w:textAlignment w:val="auto"/>
              <w:rPr>
                <w:rFonts w:hint="default" w:ascii="Times New Roman" w:hAnsi="Times New Roman" w:cs="Times New Roman"/>
                <w:color w:val="auto"/>
                <w:sz w:val="24"/>
                <w:szCs w:val="24"/>
                <w:lang w:val="en-US" w:eastAsia="zh-CN"/>
              </w:rPr>
            </w:pPr>
            <m:oMath>
              <m:r>
                <m:rPr>
                  <m:nor/>
                </m:rPr>
                <w:rPr>
                  <w:rFonts w:hint="default" w:ascii="Times New Roman" w:hAnsi="Times New Roman" w:cs="Times New Roman"/>
                  <w:i/>
                  <w:color w:val="auto"/>
                  <w:kern w:val="2"/>
                  <w:sz w:val="24"/>
                  <w:szCs w:val="24"/>
                  <w:lang w:val="en-US" w:eastAsia="zh-CN" w:bidi="ar-SA"/>
                </w:rPr>
                <m:t>R</m:t>
              </m:r>
            </m:oMath>
            <w:r>
              <w:rPr>
                <w:rFonts w:hint="default" w:ascii="Times New Roman" w:hAnsi="Times New Roman" w:cs="Times New Roman"/>
                <w:color w:val="auto"/>
                <w:sz w:val="24"/>
                <w:szCs w:val="24"/>
                <w:lang w:val="en-US" w:eastAsia="zh-CN"/>
              </w:rPr>
              <w:t>-NCO</w:t>
            </w:r>
            <w:r>
              <w:rPr>
                <w:rFonts w:hint="eastAsia" w:ascii="Times New Roman" w:hAnsi="Times New Roman" w:cs="Times New Roman"/>
                <w:color w:val="auto"/>
                <w:sz w:val="24"/>
                <w:szCs w:val="24"/>
                <w:lang w:val="en-US" w:eastAsia="zh-CN"/>
              </w:rPr>
              <w:t xml:space="preserve">  </w:t>
            </w:r>
            <w:r>
              <w:rPr>
                <w:rFonts w:hint="default" w:ascii="Times New Roman" w:hAnsi="Times New Roman" w:cs="Times New Roman"/>
                <w:color w:val="auto"/>
                <w:sz w:val="24"/>
                <w:szCs w:val="24"/>
                <w:lang w:val="en-US" w:eastAsia="zh-CN"/>
              </w:rPr>
              <w:t>+</w:t>
            </w:r>
            <w:r>
              <w:rPr>
                <w:rFonts w:hint="eastAsia" w:ascii="Times New Roman" w:hAnsi="Times New Roman" w:cs="Times New Roman"/>
                <w:color w:val="auto"/>
                <w:sz w:val="24"/>
                <w:szCs w:val="24"/>
                <w:lang w:val="en-US" w:eastAsia="zh-CN"/>
              </w:rPr>
              <w:t xml:space="preserve">  </w:t>
            </w:r>
            <m:oMath>
              <m:r>
                <m:rPr>
                  <m:nor/>
                </m:rPr>
                <w:rPr>
                  <w:rFonts w:hint="default" w:ascii="Times New Roman" w:hAnsi="Times New Roman" w:cs="Times New Roman"/>
                  <w:i/>
                  <w:color w:val="auto"/>
                  <w:kern w:val="2"/>
                  <w:sz w:val="24"/>
                  <w:szCs w:val="24"/>
                  <w:lang w:val="en-US" w:eastAsia="zh-CN" w:bidi="ar-SA"/>
                </w:rPr>
                <m:t>R</m:t>
              </m:r>
            </m:oMath>
            <w:r>
              <w:rPr>
                <w:rFonts w:hint="default" w:ascii="Times New Roman" w:hAnsi="Times New Roman" w:cs="Times New Roman"/>
                <w:color w:val="auto"/>
                <w:sz w:val="24"/>
                <w:szCs w:val="24"/>
                <w:lang w:val="en-US" w:eastAsia="zh-CN"/>
              </w:rPr>
              <w:t>-NH</w:t>
            </w:r>
            <w:r>
              <w:rPr>
                <w:rFonts w:hint="eastAsia" w:ascii="Times New Roman" w:hAnsi="Times New Roman" w:cs="Times New Roman"/>
                <w:color w:val="auto"/>
                <w:sz w:val="24"/>
                <w:szCs w:val="24"/>
                <w:vertAlign w:val="subscript"/>
                <w:lang w:val="en-US" w:eastAsia="zh-CN"/>
              </w:rPr>
              <w:t xml:space="preserve">2 </w:t>
            </w:r>
            <w:r>
              <w:rPr>
                <w:rFonts w:hint="eastAsia" w:ascii="Times New Roman" w:hAnsi="Times New Roman" w:cs="Times New Roman"/>
                <w:color w:val="auto"/>
                <w:sz w:val="24"/>
                <w:szCs w:val="24"/>
                <w:lang w:val="en-US" w:eastAsia="zh-CN"/>
              </w:rPr>
              <w:t xml:space="preserve"> </w:t>
            </w:r>
            <w:r>
              <w:rPr>
                <w:rFonts w:hint="default" w:ascii="Times New Roman" w:hAnsi="Times New Roman" w:cs="Times New Roman"/>
                <w:color w:val="auto"/>
                <w:sz w:val="24"/>
                <w:szCs w:val="24"/>
                <w:lang w:val="en-US" w:eastAsia="zh-CN"/>
              </w:rPr>
              <w:t>→</w:t>
            </w:r>
            <m:oMath>
              <m:r>
                <m:rPr>
                  <m:nor/>
                </m:rPr>
                <w:rPr>
                  <w:rFonts w:hint="default" w:ascii="Times New Roman" w:hAnsi="Times New Roman" w:cs="Times New Roman"/>
                  <w:i/>
                  <w:color w:val="auto"/>
                  <w:kern w:val="2"/>
                  <w:sz w:val="24"/>
                  <w:szCs w:val="24"/>
                  <w:lang w:val="en-US" w:eastAsia="zh-CN" w:bidi="ar-SA"/>
                </w:rPr>
                <m:t>R</m:t>
              </m:r>
            </m:oMath>
            <w:r>
              <w:rPr>
                <w:rFonts w:hint="default" w:ascii="Times New Roman" w:hAnsi="Times New Roman" w:cs="Times New Roman"/>
                <w:color w:val="auto"/>
                <w:sz w:val="24"/>
                <w:szCs w:val="24"/>
                <w:lang w:val="en-US" w:eastAsia="zh-CN"/>
              </w:rPr>
              <w:t>-NHCO</w:t>
            </w:r>
            <w:r>
              <w:rPr>
                <w:rFonts w:hint="eastAsia" w:ascii="Times New Roman" w:hAnsi="Times New Roman" w:cs="Times New Roman"/>
                <w:color w:val="auto"/>
                <w:sz w:val="24"/>
                <w:szCs w:val="24"/>
                <w:lang w:val="en-US" w:eastAsia="zh-CN"/>
              </w:rPr>
              <w:t>N</w:t>
            </w:r>
            <w:r>
              <w:rPr>
                <w:rFonts w:hint="default" w:ascii="Times New Roman" w:hAnsi="Times New Roman" w:cs="Times New Roman"/>
                <w:color w:val="auto"/>
                <w:sz w:val="24"/>
                <w:szCs w:val="24"/>
                <w:lang w:val="en-US" w:eastAsia="zh-CN"/>
              </w:rPr>
              <w:t>H</w:t>
            </w:r>
            <m:oMath>
              <m:r>
                <m:rPr>
                  <m:nor/>
                </m:rPr>
                <w:rPr>
                  <w:rFonts w:hint="default" w:ascii="Times New Roman" w:hAnsi="Times New Roman" w:cs="Times New Roman"/>
                  <w:i/>
                  <w:color w:val="auto"/>
                  <w:kern w:val="2"/>
                  <w:sz w:val="24"/>
                  <w:szCs w:val="24"/>
                  <w:lang w:val="en-US" w:eastAsia="zh-CN" w:bidi="ar-SA"/>
                </w:rPr>
                <m:t>R</m:t>
              </m:r>
            </m:oMath>
            <w:r>
              <w:rPr>
                <w:rFonts w:hint="default" w:ascii="Times New Roman" w:hAnsi="Times New Roman" w:eastAsia="宋体" w:cs="Times New Roman"/>
                <w:color w:val="auto"/>
                <w:kern w:val="0"/>
                <w:sz w:val="24"/>
                <w:szCs w:val="24"/>
                <w:lang w:val="en-US" w:eastAsia="zh-CN" w:bidi="ar"/>
              </w:rPr>
              <w:t>'</w:t>
            </w:r>
            <w:r>
              <w:rPr>
                <w:rFonts w:hint="eastAsia" w:ascii="Times New Roman" w:hAnsi="Times New Roman" w:eastAsia="宋体" w:cs="Times New Roman"/>
                <w:color w:val="auto"/>
                <w:kern w:val="0"/>
                <w:sz w:val="24"/>
                <w:szCs w:val="24"/>
                <w:lang w:val="en-US" w:eastAsia="zh-CN" w:bidi="ar"/>
              </w:rPr>
              <w:t xml:space="preserve">              (</w:t>
            </w:r>
            <w:r>
              <w:rPr>
                <w:rFonts w:hint="default" w:ascii="Times New Roman" w:hAnsi="Times New Roman" w:eastAsia="宋体" w:cs="Times New Roman"/>
                <w:color w:val="auto"/>
                <w:kern w:val="0"/>
                <w:sz w:val="24"/>
                <w:szCs w:val="24"/>
                <w:lang w:val="en-US" w:eastAsia="zh-CN" w:bidi="ar"/>
              </w:rPr>
              <w:t>Ⅲ</w:t>
            </w:r>
            <w:r>
              <w:rPr>
                <w:rFonts w:hint="eastAsia" w:ascii="Times New Roman" w:hAnsi="Times New Roman" w:eastAsia="宋体" w:cs="Times New Roman"/>
                <w:color w:val="auto"/>
                <w:kern w:val="0"/>
                <w:sz w:val="24"/>
                <w:szCs w:val="24"/>
                <w:lang w:val="en-US" w:eastAsia="zh-CN" w:bidi="ar"/>
              </w:rPr>
              <w:t>)</w:t>
            </w:r>
          </w:p>
          <w:p w14:paraId="443267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leftChars="0" w:right="0" w:firstLine="480" w:firstLineChars="200"/>
              <w:jc w:val="left"/>
              <w:textAlignment w:val="auto"/>
              <w:rPr>
                <w:rFonts w:hint="default"/>
                <w:color w:val="auto"/>
                <w:sz w:val="24"/>
                <w:szCs w:val="24"/>
                <w:lang w:val="en-US"/>
              </w:rPr>
            </w:pPr>
            <w:r>
              <w:rPr>
                <w:rFonts w:hint="eastAsia" w:ascii="宋体" w:hAnsi="宋体" w:eastAsia="宋体" w:cs="宋体"/>
                <w:color w:val="auto"/>
                <w:kern w:val="0"/>
                <w:sz w:val="24"/>
                <w:szCs w:val="24"/>
                <w:lang w:val="en-US" w:eastAsia="zh-CN" w:bidi="ar"/>
              </w:rPr>
              <w:t xml:space="preserve">异氰酸酯     胺       </w:t>
            </w:r>
            <w:r>
              <w:rPr>
                <w:rFonts w:hint="eastAsia" w:ascii="Times New Roman" w:hAnsi="Times New Roman" w:eastAsia="宋体" w:cs="宋体"/>
                <w:b w:val="0"/>
                <w:bCs w:val="0"/>
                <w:color w:val="auto"/>
                <w:kern w:val="0"/>
                <w:sz w:val="24"/>
                <w:szCs w:val="24"/>
                <w:lang w:val="en-US" w:eastAsia="zh-CN" w:bidi="ar"/>
              </w:rPr>
              <w:t>取代脲</w:t>
            </w:r>
          </w:p>
          <w:p w14:paraId="6F65F443">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80" w:firstLineChars="200"/>
              <w:jc w:val="left"/>
              <w:textAlignment w:val="auto"/>
              <w:rPr>
                <w:rFonts w:hint="eastAsia" w:ascii="Times New Roman" w:hAnsi="Times New Roman" w:eastAsia="宋体" w:cs="宋体"/>
                <w:b w:val="0"/>
                <w:bCs w:val="0"/>
                <w:color w:val="auto"/>
                <w:kern w:val="0"/>
                <w:sz w:val="24"/>
                <w:szCs w:val="24"/>
                <w:lang w:val="en-US" w:eastAsia="zh-CN" w:bidi="ar"/>
              </w:rPr>
            </w:pPr>
            <w:r>
              <w:rPr>
                <w:rFonts w:hint="eastAsia" w:ascii="Times New Roman" w:hAnsi="Times New Roman" w:eastAsia="宋体" w:cs="宋体"/>
                <w:b w:val="0"/>
                <w:bCs w:val="0"/>
                <w:color w:val="auto"/>
                <w:kern w:val="0"/>
                <w:sz w:val="24"/>
                <w:szCs w:val="24"/>
                <w:lang w:val="en-US" w:eastAsia="zh-CN" w:bidi="ar"/>
              </w:rPr>
              <w:t>反应（</w:t>
            </w:r>
            <w:r>
              <w:rPr>
                <w:rFonts w:hint="default" w:ascii="Times New Roman" w:hAnsi="Times New Roman" w:eastAsia="宋体" w:cs="宋体"/>
                <w:b w:val="0"/>
                <w:bCs w:val="0"/>
                <w:color w:val="auto"/>
                <w:kern w:val="0"/>
                <w:sz w:val="24"/>
                <w:szCs w:val="24"/>
                <w:lang w:val="en-US" w:eastAsia="zh-CN" w:bidi="ar"/>
              </w:rPr>
              <w:t>I</w:t>
            </w:r>
            <w:r>
              <w:rPr>
                <w:rFonts w:hint="eastAsia" w:ascii="Times New Roman" w:hAnsi="Times New Roman" w:eastAsia="宋体" w:cs="宋体"/>
                <w:b w:val="0"/>
                <w:bCs w:val="0"/>
                <w:color w:val="auto"/>
                <w:kern w:val="0"/>
                <w:sz w:val="24"/>
                <w:szCs w:val="24"/>
                <w:lang w:val="en-US" w:eastAsia="zh-CN" w:bidi="ar"/>
              </w:rPr>
              <w:t>）、（</w:t>
            </w:r>
            <w:r>
              <w:rPr>
                <w:rFonts w:hint="default" w:ascii="Times New Roman" w:hAnsi="Times New Roman" w:eastAsia="宋体" w:cs="宋体"/>
                <w:b w:val="0"/>
                <w:bCs w:val="0"/>
                <w:color w:val="auto"/>
                <w:kern w:val="0"/>
                <w:sz w:val="24"/>
                <w:szCs w:val="24"/>
                <w:lang w:val="en-US" w:eastAsia="zh-CN" w:bidi="ar"/>
              </w:rPr>
              <w:t>II</w:t>
            </w:r>
            <w:r>
              <w:rPr>
                <w:rFonts w:hint="eastAsia" w:ascii="Times New Roman" w:hAnsi="Times New Roman" w:eastAsia="宋体" w:cs="宋体"/>
                <w:b w:val="0"/>
                <w:bCs w:val="0"/>
                <w:color w:val="auto"/>
                <w:kern w:val="0"/>
                <w:sz w:val="24"/>
                <w:szCs w:val="24"/>
                <w:lang w:val="en-US" w:eastAsia="zh-CN" w:bidi="ar"/>
              </w:rPr>
              <w:t>）、（</w:t>
            </w:r>
            <w:r>
              <w:rPr>
                <w:rFonts w:hint="default" w:ascii="Times New Roman" w:hAnsi="Times New Roman" w:eastAsia="宋体" w:cs="宋体"/>
                <w:b w:val="0"/>
                <w:bCs w:val="0"/>
                <w:color w:val="auto"/>
                <w:kern w:val="0"/>
                <w:sz w:val="24"/>
                <w:szCs w:val="24"/>
                <w:lang w:val="en-US" w:eastAsia="zh-CN" w:bidi="ar"/>
              </w:rPr>
              <w:t>III</w:t>
            </w:r>
            <w:r>
              <w:rPr>
                <w:rFonts w:hint="eastAsia" w:ascii="Times New Roman" w:hAnsi="Times New Roman" w:eastAsia="宋体" w:cs="宋体"/>
                <w:b w:val="0"/>
                <w:bCs w:val="0"/>
                <w:color w:val="auto"/>
                <w:kern w:val="0"/>
                <w:sz w:val="24"/>
                <w:szCs w:val="24"/>
                <w:lang w:val="en-US" w:eastAsia="zh-CN" w:bidi="ar"/>
              </w:rPr>
              <w:t>）都属于链增长反应，其中反应（</w:t>
            </w:r>
            <w:r>
              <w:rPr>
                <w:rFonts w:hint="default" w:ascii="Times New Roman" w:hAnsi="Times New Roman" w:eastAsia="宋体" w:cs="宋体"/>
                <w:b w:val="0"/>
                <w:bCs w:val="0"/>
                <w:color w:val="auto"/>
                <w:kern w:val="0"/>
                <w:sz w:val="24"/>
                <w:szCs w:val="24"/>
                <w:lang w:val="en-US" w:eastAsia="zh-CN" w:bidi="ar"/>
              </w:rPr>
              <w:t>II</w:t>
            </w:r>
            <w:r>
              <w:rPr>
                <w:rFonts w:hint="eastAsia" w:ascii="Times New Roman" w:hAnsi="Times New Roman" w:eastAsia="宋体" w:cs="宋体"/>
                <w:b w:val="0"/>
                <w:bCs w:val="0"/>
                <w:color w:val="auto"/>
                <w:kern w:val="0"/>
                <w:sz w:val="24"/>
                <w:szCs w:val="24"/>
                <w:lang w:val="en-US" w:eastAsia="zh-CN" w:bidi="ar"/>
              </w:rPr>
              <w:t>）是放热反应，使体系温度迅速提高，产生的</w:t>
            </w:r>
            <w:r>
              <w:rPr>
                <w:rFonts w:hint="default" w:ascii="Times New Roman" w:hAnsi="Times New Roman" w:eastAsia="宋体" w:cs="宋体"/>
                <w:b w:val="0"/>
                <w:bCs w:val="0"/>
                <w:color w:val="auto"/>
                <w:kern w:val="0"/>
                <w:sz w:val="24"/>
                <w:szCs w:val="24"/>
                <w:lang w:val="en-US" w:eastAsia="zh-CN" w:bidi="ar"/>
              </w:rPr>
              <w:t>CO</w:t>
            </w:r>
            <w:r>
              <w:rPr>
                <w:rFonts w:hint="default" w:ascii="Times New Roman" w:hAnsi="Times New Roman" w:eastAsia="宋体" w:cs="宋体"/>
                <w:b w:val="0"/>
                <w:bCs w:val="0"/>
                <w:color w:val="auto"/>
                <w:kern w:val="0"/>
                <w:sz w:val="24"/>
                <w:szCs w:val="24"/>
                <w:vertAlign w:val="subscript"/>
                <w:lang w:val="en-US" w:eastAsia="zh-CN" w:bidi="ar"/>
              </w:rPr>
              <w:t>2</w:t>
            </w:r>
            <w:r>
              <w:rPr>
                <w:rFonts w:hint="eastAsia" w:ascii="Times New Roman" w:hAnsi="Times New Roman" w:eastAsia="宋体" w:cs="宋体"/>
                <w:b w:val="0"/>
                <w:bCs w:val="0"/>
                <w:color w:val="auto"/>
                <w:kern w:val="0"/>
                <w:sz w:val="24"/>
                <w:szCs w:val="24"/>
                <w:lang w:val="en-US" w:eastAsia="zh-CN" w:bidi="ar"/>
              </w:rPr>
              <w:t>扩散到体系中的小气核内并逐渐扩大。由于气体向气核内扩散，同时反应（</w:t>
            </w:r>
            <w:r>
              <w:rPr>
                <w:rFonts w:hint="default" w:ascii="Times New Roman" w:hAnsi="Times New Roman" w:eastAsia="宋体" w:cs="宋体"/>
                <w:b w:val="0"/>
                <w:bCs w:val="0"/>
                <w:color w:val="auto"/>
                <w:kern w:val="0"/>
                <w:sz w:val="24"/>
                <w:szCs w:val="24"/>
                <w:lang w:val="en-US" w:eastAsia="zh-CN" w:bidi="ar"/>
              </w:rPr>
              <w:t>I</w:t>
            </w:r>
            <w:r>
              <w:rPr>
                <w:rFonts w:hint="eastAsia" w:ascii="Times New Roman" w:hAnsi="Times New Roman" w:eastAsia="宋体" w:cs="宋体"/>
                <w:b w:val="0"/>
                <w:bCs w:val="0"/>
                <w:color w:val="auto"/>
                <w:kern w:val="0"/>
                <w:sz w:val="24"/>
                <w:szCs w:val="24"/>
                <w:lang w:val="en-US" w:eastAsia="zh-CN" w:bidi="ar"/>
              </w:rPr>
              <w:t>）的进行，使体系变成</w:t>
            </w:r>
            <w:r>
              <w:rPr>
                <w:rFonts w:hint="eastAsia" w:cs="宋体"/>
                <w:b w:val="0"/>
                <w:bCs w:val="0"/>
                <w:color w:val="auto"/>
                <w:kern w:val="0"/>
                <w:sz w:val="24"/>
                <w:szCs w:val="24"/>
                <w:lang w:val="en-US" w:eastAsia="zh-CN" w:bidi="ar"/>
              </w:rPr>
              <w:t>有黏性的</w:t>
            </w:r>
            <w:r>
              <w:rPr>
                <w:rFonts w:hint="eastAsia" w:ascii="Times New Roman" w:hAnsi="Times New Roman" w:eastAsia="宋体" w:cs="宋体"/>
                <w:b w:val="0"/>
                <w:bCs w:val="0"/>
                <w:color w:val="auto"/>
                <w:kern w:val="0"/>
                <w:sz w:val="24"/>
                <w:szCs w:val="24"/>
                <w:lang w:val="en-US" w:eastAsia="zh-CN" w:bidi="ar"/>
              </w:rPr>
              <w:t>乳状混合物，混合体系由无色变成乳白色，这一过程就是凝胶过程。</w:t>
            </w:r>
          </w:p>
          <w:p w14:paraId="6E5599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left"/>
              <w:textAlignment w:val="auto"/>
              <w:rPr>
                <w:rFonts w:hint="eastAsia" w:ascii="Times New Roman" w:hAnsi="Times New Roman" w:eastAsia="宋体" w:cs="宋体"/>
                <w:b/>
                <w:bCs/>
                <w:color w:val="auto"/>
                <w:kern w:val="0"/>
                <w:sz w:val="24"/>
                <w:szCs w:val="24"/>
                <w:lang w:val="en-US" w:eastAsia="zh-CN" w:bidi="ar"/>
              </w:rPr>
            </w:pPr>
            <w:r>
              <w:rPr>
                <w:rFonts w:hint="eastAsia" w:ascii="Times New Roman" w:hAnsi="Times New Roman" w:eastAsia="宋体" w:cs="宋体"/>
                <w:b/>
                <w:bCs/>
                <w:color w:val="auto"/>
                <w:kern w:val="0"/>
                <w:sz w:val="24"/>
                <w:szCs w:val="24"/>
                <w:lang w:val="en-US" w:eastAsia="zh-CN" w:bidi="ar"/>
              </w:rPr>
              <w:t>②发泡过程</w:t>
            </w:r>
          </w:p>
          <w:p w14:paraId="55288B6C">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80" w:firstLineChars="200"/>
              <w:jc w:val="left"/>
              <w:textAlignment w:val="auto"/>
              <w:rPr>
                <w:rFonts w:hint="eastAsia" w:ascii="Times New Roman" w:hAnsi="Times New Roman" w:eastAsia="宋体" w:cs="宋体"/>
                <w:b w:val="0"/>
                <w:bCs w:val="0"/>
                <w:color w:val="auto"/>
                <w:kern w:val="0"/>
                <w:sz w:val="24"/>
                <w:szCs w:val="24"/>
                <w:lang w:val="en-US" w:eastAsia="zh-CN" w:bidi="ar"/>
              </w:rPr>
            </w:pPr>
            <w:r>
              <w:rPr>
                <w:rFonts w:hint="eastAsia" w:ascii="Times New Roman" w:hAnsi="Times New Roman" w:eastAsia="宋体" w:cs="宋体"/>
                <w:b w:val="0"/>
                <w:bCs w:val="0"/>
                <w:color w:val="auto"/>
                <w:kern w:val="0"/>
                <w:sz w:val="24"/>
                <w:szCs w:val="24"/>
                <w:lang w:val="en-US" w:eastAsia="zh-CN" w:bidi="ar"/>
              </w:rPr>
              <w:t>在聚氨酯软泡沫生产过程中，</w:t>
            </w:r>
            <w:r>
              <w:rPr>
                <w:rFonts w:hint="eastAsia" w:cs="宋体"/>
                <w:b w:val="0"/>
                <w:bCs w:val="0"/>
                <w:color w:val="auto"/>
                <w:kern w:val="0"/>
                <w:sz w:val="24"/>
                <w:szCs w:val="24"/>
                <w:lang w:val="en-US" w:eastAsia="zh-CN" w:bidi="ar"/>
              </w:rPr>
              <w:t>借助</w:t>
            </w:r>
            <w:r>
              <w:rPr>
                <w:rFonts w:hint="eastAsia" w:ascii="Times New Roman" w:hAnsi="Times New Roman" w:eastAsia="宋体" w:cs="宋体"/>
                <w:b w:val="0"/>
                <w:bCs w:val="0"/>
                <w:color w:val="auto"/>
                <w:kern w:val="0"/>
                <w:sz w:val="24"/>
                <w:szCs w:val="24"/>
                <w:lang w:val="en-US" w:eastAsia="zh-CN" w:bidi="ar"/>
              </w:rPr>
              <w:t>叔胺类催化剂，能够加速聚醚多元醇与异氰酸酯的反应和异氰酸酯与水的反应，并使得反应速度达到均衡。</w:t>
            </w:r>
          </w:p>
          <w:p w14:paraId="5894B754">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80" w:firstLineChars="200"/>
              <w:jc w:val="left"/>
              <w:textAlignment w:val="auto"/>
              <w:rPr>
                <w:rFonts w:hint="eastAsia" w:ascii="Times New Roman" w:hAnsi="Times New Roman" w:eastAsia="宋体" w:cs="宋体"/>
                <w:b w:val="0"/>
                <w:bCs w:val="0"/>
                <w:color w:val="auto"/>
                <w:kern w:val="0"/>
                <w:sz w:val="24"/>
                <w:szCs w:val="24"/>
                <w:lang w:val="en-US" w:eastAsia="zh-CN" w:bidi="ar"/>
              </w:rPr>
            </w:pPr>
            <w:r>
              <w:rPr>
                <w:rFonts w:hint="eastAsia" w:ascii="Times New Roman" w:hAnsi="Times New Roman" w:eastAsia="宋体" w:cs="宋体"/>
                <w:b w:val="0"/>
                <w:bCs w:val="0"/>
                <w:color w:val="auto"/>
                <w:kern w:val="0"/>
                <w:sz w:val="24"/>
                <w:szCs w:val="24"/>
                <w:lang w:val="en-US" w:eastAsia="zh-CN" w:bidi="ar"/>
              </w:rPr>
              <w:t>水与异氰酸酯的反应比多元醇与异氰酸酯的反应快。反应活性的不等导致两种不同微相畴的形成，最终产生相分离。多元醇具有较高的分子量，通常在</w:t>
            </w:r>
            <w:r>
              <w:rPr>
                <w:rFonts w:hint="default" w:ascii="Times New Roman" w:hAnsi="Times New Roman" w:eastAsia="宋体" w:cs="宋体"/>
                <w:b w:val="0"/>
                <w:bCs w:val="0"/>
                <w:color w:val="auto"/>
                <w:kern w:val="0"/>
                <w:sz w:val="24"/>
                <w:szCs w:val="24"/>
                <w:lang w:val="en-US" w:eastAsia="zh-CN" w:bidi="ar"/>
              </w:rPr>
              <w:t>1000</w:t>
            </w:r>
            <w:r>
              <w:rPr>
                <w:rFonts w:hint="eastAsia" w:cs="宋体"/>
                <w:b w:val="0"/>
                <w:bCs w:val="0"/>
                <w:color w:val="auto"/>
                <w:kern w:val="0"/>
                <w:sz w:val="24"/>
                <w:szCs w:val="24"/>
                <w:lang w:val="en-US" w:eastAsia="zh-CN" w:bidi="ar"/>
              </w:rPr>
              <w:t>～</w:t>
            </w:r>
            <w:r>
              <w:rPr>
                <w:rFonts w:hint="default" w:ascii="Times New Roman" w:hAnsi="Times New Roman" w:eastAsia="宋体" w:cs="宋体"/>
                <w:b w:val="0"/>
                <w:bCs w:val="0"/>
                <w:color w:val="auto"/>
                <w:kern w:val="0"/>
                <w:sz w:val="24"/>
                <w:szCs w:val="24"/>
                <w:lang w:val="en-US" w:eastAsia="zh-CN" w:bidi="ar"/>
              </w:rPr>
              <w:t>6000g/mol</w:t>
            </w:r>
            <w:r>
              <w:rPr>
                <w:rFonts w:hint="eastAsia" w:ascii="Times New Roman" w:hAnsi="Times New Roman" w:eastAsia="宋体" w:cs="宋体"/>
                <w:b w:val="0"/>
                <w:bCs w:val="0"/>
                <w:color w:val="auto"/>
                <w:kern w:val="0"/>
                <w:sz w:val="24"/>
                <w:szCs w:val="24"/>
                <w:lang w:val="en-US" w:eastAsia="zh-CN" w:bidi="ar"/>
              </w:rPr>
              <w:t>。聚氨酯泡沫塑料中聚脲硬段相区分散在聚氨酯软段相区中。</w:t>
            </w:r>
          </w:p>
          <w:p w14:paraId="2663DDEC">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80" w:firstLineChars="200"/>
              <w:jc w:val="left"/>
              <w:textAlignment w:val="auto"/>
              <w:rPr>
                <w:rFonts w:hint="eastAsia" w:ascii="Times New Roman" w:hAnsi="Times New Roman" w:eastAsia="宋体" w:cs="宋体"/>
                <w:b w:val="0"/>
                <w:bCs w:val="0"/>
                <w:color w:val="auto"/>
                <w:kern w:val="0"/>
                <w:sz w:val="24"/>
                <w:szCs w:val="24"/>
                <w:lang w:val="en-US" w:eastAsia="zh-CN" w:bidi="ar"/>
              </w:rPr>
            </w:pPr>
            <w:r>
              <w:rPr>
                <w:rFonts w:hint="eastAsia" w:ascii="Times New Roman" w:hAnsi="Times New Roman" w:eastAsia="宋体" w:cs="宋体"/>
                <w:b w:val="0"/>
                <w:bCs w:val="0"/>
                <w:color w:val="auto"/>
                <w:kern w:val="0"/>
                <w:sz w:val="24"/>
                <w:szCs w:val="24"/>
                <w:lang w:val="en-US" w:eastAsia="zh-CN" w:bidi="ar"/>
              </w:rPr>
              <w:t>在两种催化剂的作用下，反应（</w:t>
            </w:r>
            <w:r>
              <w:rPr>
                <w:rFonts w:hint="default" w:ascii="Times New Roman" w:hAnsi="Times New Roman" w:eastAsia="宋体" w:cs="宋体"/>
                <w:b w:val="0"/>
                <w:bCs w:val="0"/>
                <w:color w:val="auto"/>
                <w:kern w:val="0"/>
                <w:sz w:val="24"/>
                <w:szCs w:val="24"/>
                <w:lang w:val="en-US" w:eastAsia="zh-CN" w:bidi="ar"/>
              </w:rPr>
              <w:t>I</w:t>
            </w:r>
            <w:r>
              <w:rPr>
                <w:rFonts w:hint="eastAsia" w:ascii="Times New Roman" w:hAnsi="Times New Roman" w:eastAsia="宋体" w:cs="宋体"/>
                <w:b w:val="0"/>
                <w:bCs w:val="0"/>
                <w:color w:val="auto"/>
                <w:kern w:val="0"/>
                <w:sz w:val="24"/>
                <w:szCs w:val="24"/>
                <w:lang w:val="en-US" w:eastAsia="zh-CN" w:bidi="ar"/>
              </w:rPr>
              <w:t>）迅速</w:t>
            </w:r>
            <w:r>
              <w:rPr>
                <w:rFonts w:hint="eastAsia" w:cs="宋体"/>
                <w:b w:val="0"/>
                <w:bCs w:val="0"/>
                <w:color w:val="auto"/>
                <w:kern w:val="0"/>
                <w:sz w:val="24"/>
                <w:szCs w:val="24"/>
                <w:lang w:val="en-US" w:eastAsia="zh-CN" w:bidi="ar"/>
              </w:rPr>
              <w:t>地</w:t>
            </w:r>
            <w:r>
              <w:rPr>
                <w:rFonts w:hint="eastAsia" w:ascii="Times New Roman" w:hAnsi="Times New Roman" w:eastAsia="宋体" w:cs="宋体"/>
                <w:b w:val="0"/>
                <w:bCs w:val="0"/>
                <w:color w:val="auto"/>
                <w:kern w:val="0"/>
                <w:sz w:val="24"/>
                <w:szCs w:val="24"/>
                <w:lang w:val="en-US" w:eastAsia="zh-CN" w:bidi="ar"/>
              </w:rPr>
              <w:t>进行，使聚合物的分子量迅速增大，</w:t>
            </w:r>
            <w:r>
              <w:rPr>
                <w:rFonts w:hint="eastAsia" w:cs="宋体"/>
                <w:b w:val="0"/>
                <w:bCs w:val="0"/>
                <w:color w:val="auto"/>
                <w:kern w:val="0"/>
                <w:sz w:val="24"/>
                <w:szCs w:val="24"/>
                <w:lang w:val="en-US" w:eastAsia="zh-CN" w:bidi="ar"/>
              </w:rPr>
              <w:t>黏度</w:t>
            </w:r>
            <w:r>
              <w:rPr>
                <w:rFonts w:hint="eastAsia" w:ascii="Times New Roman" w:hAnsi="Times New Roman" w:eastAsia="宋体" w:cs="宋体"/>
                <w:b w:val="0"/>
                <w:bCs w:val="0"/>
                <w:color w:val="auto"/>
                <w:kern w:val="0"/>
                <w:sz w:val="24"/>
                <w:szCs w:val="24"/>
                <w:lang w:val="en-US" w:eastAsia="zh-CN" w:bidi="ar"/>
              </w:rPr>
              <w:t>逐渐增大。同时，反应（</w:t>
            </w:r>
            <w:r>
              <w:rPr>
                <w:rFonts w:hint="default" w:ascii="Times New Roman" w:hAnsi="Times New Roman" w:eastAsia="宋体" w:cs="宋体"/>
                <w:b w:val="0"/>
                <w:bCs w:val="0"/>
                <w:color w:val="auto"/>
                <w:kern w:val="0"/>
                <w:sz w:val="24"/>
                <w:szCs w:val="24"/>
                <w:lang w:val="en-US" w:eastAsia="zh-CN" w:bidi="ar"/>
              </w:rPr>
              <w:t>II</w:t>
            </w:r>
            <w:r>
              <w:rPr>
                <w:rFonts w:hint="eastAsia" w:ascii="Times New Roman" w:hAnsi="Times New Roman" w:eastAsia="宋体" w:cs="宋体"/>
                <w:b w:val="0"/>
                <w:bCs w:val="0"/>
                <w:color w:val="auto"/>
                <w:kern w:val="0"/>
                <w:sz w:val="24"/>
                <w:szCs w:val="24"/>
                <w:lang w:val="en-US" w:eastAsia="zh-CN" w:bidi="ar"/>
              </w:rPr>
              <w:t>）、（</w:t>
            </w:r>
            <w:r>
              <w:rPr>
                <w:rFonts w:hint="default" w:ascii="Times New Roman" w:hAnsi="Times New Roman" w:eastAsia="宋体" w:cs="宋体"/>
                <w:b w:val="0"/>
                <w:bCs w:val="0"/>
                <w:color w:val="auto"/>
                <w:kern w:val="0"/>
                <w:sz w:val="24"/>
                <w:szCs w:val="24"/>
                <w:lang w:val="en-US" w:eastAsia="zh-CN" w:bidi="ar"/>
              </w:rPr>
              <w:t>III</w:t>
            </w:r>
            <w:r>
              <w:rPr>
                <w:rFonts w:hint="eastAsia" w:ascii="Times New Roman" w:hAnsi="Times New Roman" w:eastAsia="宋体" w:cs="宋体"/>
                <w:b w:val="0"/>
                <w:bCs w:val="0"/>
                <w:color w:val="auto"/>
                <w:kern w:val="0"/>
                <w:sz w:val="24"/>
                <w:szCs w:val="24"/>
                <w:lang w:val="en-US" w:eastAsia="zh-CN" w:bidi="ar"/>
              </w:rPr>
              <w:t>）也迅速进行，产生二氧化碳气体，并且放出反应热，气泡膨胀，泡沫体迅速升起。在整个升起过程中，气泡的总数目恒定不变，等于加入的空气通过搅拌形成的气核数目。</w:t>
            </w:r>
          </w:p>
          <w:p w14:paraId="28992D19">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80" w:firstLineChars="200"/>
              <w:jc w:val="left"/>
              <w:textAlignment w:val="auto"/>
              <w:rPr>
                <w:rFonts w:hint="eastAsia" w:ascii="Times New Roman" w:hAnsi="Times New Roman" w:eastAsia="宋体" w:cs="宋体"/>
                <w:b w:val="0"/>
                <w:bCs w:val="0"/>
                <w:color w:val="auto"/>
                <w:kern w:val="0"/>
                <w:sz w:val="24"/>
                <w:szCs w:val="24"/>
                <w:lang w:val="en-US" w:eastAsia="zh-CN" w:bidi="ar"/>
              </w:rPr>
            </w:pPr>
            <w:r>
              <w:rPr>
                <w:rFonts w:hint="eastAsia" w:ascii="Times New Roman" w:hAnsi="Times New Roman" w:eastAsia="宋体" w:cs="宋体"/>
                <w:b w:val="0"/>
                <w:bCs w:val="0"/>
                <w:color w:val="auto"/>
                <w:kern w:val="0"/>
                <w:sz w:val="24"/>
                <w:szCs w:val="24"/>
                <w:lang w:val="en-US" w:eastAsia="zh-CN" w:bidi="ar"/>
              </w:rPr>
              <w:t>在这个过程中，硅油起到稳定泡孔的作用，通过延缓聚脲的分离，防止气泡结合并形成大的气泡而产生破裂，使气泡的泡梗获得足够的强度支撑及抗拒除泡作用，从而防止泡沫体系出现沸腾和泡沫倒塌。</w:t>
            </w:r>
          </w:p>
          <w:p w14:paraId="331310EB">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82" w:firstLineChars="200"/>
              <w:jc w:val="left"/>
              <w:textAlignment w:val="auto"/>
              <w:rPr>
                <w:rFonts w:hint="eastAsia" w:ascii="Times New Roman" w:hAnsi="Times New Roman" w:eastAsia="宋体" w:cs="宋体"/>
                <w:b/>
                <w:bCs/>
                <w:color w:val="auto"/>
                <w:kern w:val="0"/>
                <w:sz w:val="24"/>
                <w:szCs w:val="24"/>
                <w:lang w:val="en-US" w:eastAsia="zh-CN" w:bidi="ar"/>
              </w:rPr>
            </w:pPr>
            <w:r>
              <w:rPr>
                <w:rFonts w:hint="eastAsia" w:ascii="Times New Roman" w:hAnsi="Times New Roman" w:eastAsia="宋体" w:cs="宋体"/>
                <w:b/>
                <w:bCs/>
                <w:color w:val="auto"/>
                <w:kern w:val="0"/>
                <w:sz w:val="24"/>
                <w:szCs w:val="24"/>
                <w:lang w:val="en-US" w:eastAsia="zh-CN" w:bidi="ar"/>
              </w:rPr>
              <w:t>③发泡终止过程</w:t>
            </w:r>
          </w:p>
          <w:p w14:paraId="491A818C">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80" w:firstLineChars="200"/>
              <w:jc w:val="left"/>
              <w:textAlignment w:val="auto"/>
              <w:rPr>
                <w:rFonts w:hint="eastAsia" w:ascii="Times New Roman" w:hAnsi="Times New Roman" w:eastAsia="宋体" w:cs="宋体"/>
                <w:b w:val="0"/>
                <w:bCs w:val="0"/>
                <w:color w:val="auto"/>
                <w:kern w:val="0"/>
                <w:sz w:val="24"/>
                <w:szCs w:val="24"/>
                <w:lang w:val="en-US" w:eastAsia="zh-CN" w:bidi="ar"/>
              </w:rPr>
            </w:pPr>
            <w:r>
              <w:rPr>
                <w:rFonts w:hint="eastAsia" w:ascii="Times New Roman" w:hAnsi="Times New Roman" w:eastAsia="宋体" w:cs="宋体"/>
                <w:b w:val="0"/>
                <w:bCs w:val="0"/>
                <w:color w:val="auto"/>
                <w:kern w:val="0"/>
                <w:sz w:val="24"/>
                <w:szCs w:val="24"/>
                <w:lang w:val="en-US" w:eastAsia="zh-CN" w:bidi="ar"/>
              </w:rPr>
              <w:t>随着反应的进行，气泡逐渐增大，泡壁变薄，又由于脲的最终分离，承受不了内部气体的压力，气泡壁破裂，聚合物紧缩成泡梗。当气体从开裂的气泡中逸出时，泡梗已有足够的强度站立起来。混合后大约两分钟，连续的聚合增强了制品的强度，气体发生反应终止。最终的泡沫体积大约为原料液体积的</w:t>
            </w:r>
            <w:r>
              <w:rPr>
                <w:rFonts w:hint="default" w:ascii="Times New Roman" w:hAnsi="Times New Roman" w:eastAsia="宋体" w:cs="宋体"/>
                <w:b w:val="0"/>
                <w:bCs w:val="0"/>
                <w:color w:val="auto"/>
                <w:kern w:val="0"/>
                <w:sz w:val="24"/>
                <w:szCs w:val="24"/>
                <w:lang w:val="en-US" w:eastAsia="zh-CN" w:bidi="ar"/>
              </w:rPr>
              <w:t>30~50</w:t>
            </w:r>
            <w:r>
              <w:rPr>
                <w:rFonts w:hint="eastAsia" w:ascii="Times New Roman" w:hAnsi="Times New Roman" w:eastAsia="宋体" w:cs="宋体"/>
                <w:b w:val="0"/>
                <w:bCs w:val="0"/>
                <w:color w:val="auto"/>
                <w:kern w:val="0"/>
                <w:sz w:val="24"/>
                <w:szCs w:val="24"/>
                <w:lang w:val="en-US" w:eastAsia="zh-CN" w:bidi="ar"/>
              </w:rPr>
              <w:t>倍。</w:t>
            </w:r>
          </w:p>
          <w:p w14:paraId="719093BB">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82" w:firstLineChars="200"/>
              <w:jc w:val="left"/>
              <w:textAlignment w:val="auto"/>
              <w:rPr>
                <w:rFonts w:hint="eastAsia" w:ascii="Times New Roman" w:hAnsi="Times New Roman" w:eastAsia="宋体" w:cs="宋体"/>
                <w:b/>
                <w:bCs/>
                <w:color w:val="auto"/>
                <w:kern w:val="0"/>
                <w:sz w:val="24"/>
                <w:szCs w:val="24"/>
                <w:lang w:val="en-US" w:eastAsia="zh-CN" w:bidi="ar"/>
              </w:rPr>
            </w:pPr>
            <w:r>
              <w:rPr>
                <w:rFonts w:hint="eastAsia" w:ascii="Times New Roman" w:hAnsi="Times New Roman" w:eastAsia="宋体" w:cs="宋体"/>
                <w:b/>
                <w:bCs/>
                <w:color w:val="auto"/>
                <w:kern w:val="0"/>
                <w:sz w:val="24"/>
                <w:szCs w:val="24"/>
                <w:lang w:val="en-US" w:eastAsia="zh-CN" w:bidi="ar"/>
              </w:rPr>
              <w:t>④熟化过程</w:t>
            </w:r>
          </w:p>
          <w:p w14:paraId="706E5869">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80" w:firstLineChars="200"/>
              <w:jc w:val="left"/>
              <w:textAlignment w:val="auto"/>
              <w:rPr>
                <w:rFonts w:hint="eastAsia" w:ascii="Times New Roman" w:hAnsi="Times New Roman" w:eastAsia="宋体" w:cs="宋体"/>
                <w:b w:val="0"/>
                <w:bCs w:val="0"/>
                <w:color w:val="auto"/>
                <w:kern w:val="0"/>
                <w:sz w:val="24"/>
                <w:szCs w:val="24"/>
                <w:lang w:val="en-US" w:eastAsia="zh-CN" w:bidi="ar"/>
              </w:rPr>
            </w:pPr>
            <w:r>
              <w:rPr>
                <w:rFonts w:hint="eastAsia" w:ascii="Times New Roman" w:hAnsi="Times New Roman" w:eastAsia="宋体" w:cs="宋体"/>
                <w:b w:val="0"/>
                <w:bCs w:val="0"/>
                <w:color w:val="auto"/>
                <w:kern w:val="0"/>
                <w:sz w:val="24"/>
                <w:szCs w:val="24"/>
                <w:lang w:val="en-US" w:eastAsia="zh-CN" w:bidi="ar"/>
              </w:rPr>
              <w:t>混合后经过大约两分钟，气体发泡反应终止，反应（</w:t>
            </w:r>
            <w:r>
              <w:rPr>
                <w:rFonts w:hint="default" w:ascii="Times New Roman" w:hAnsi="Times New Roman" w:eastAsia="宋体" w:cs="宋体"/>
                <w:b w:val="0"/>
                <w:bCs w:val="0"/>
                <w:color w:val="auto"/>
                <w:kern w:val="0"/>
                <w:sz w:val="24"/>
                <w:szCs w:val="24"/>
                <w:lang w:val="en-US" w:eastAsia="zh-CN" w:bidi="ar"/>
              </w:rPr>
              <w:t>I</w:t>
            </w:r>
            <w:r>
              <w:rPr>
                <w:rFonts w:hint="eastAsia" w:ascii="Times New Roman" w:hAnsi="Times New Roman" w:eastAsia="宋体" w:cs="宋体"/>
                <w:b w:val="0"/>
                <w:bCs w:val="0"/>
                <w:color w:val="auto"/>
                <w:kern w:val="0"/>
                <w:sz w:val="24"/>
                <w:szCs w:val="24"/>
                <w:lang w:val="en-US" w:eastAsia="zh-CN" w:bidi="ar"/>
              </w:rPr>
              <w:t>）中生产的聚氨酯甲基酸酯分子中</w:t>
            </w:r>
            <w:r>
              <w:rPr>
                <w:rFonts w:hint="default" w:ascii="Times New Roman" w:hAnsi="Times New Roman" w:eastAsia="宋体" w:cs="宋体"/>
                <w:b w:val="0"/>
                <w:bCs w:val="0"/>
                <w:color w:val="auto"/>
                <w:kern w:val="0"/>
                <w:sz w:val="24"/>
                <w:szCs w:val="24"/>
                <w:lang w:val="en-US" w:eastAsia="zh-CN" w:bidi="ar"/>
              </w:rPr>
              <w:t>N</w:t>
            </w:r>
            <w:r>
              <w:rPr>
                <w:rFonts w:hint="eastAsia" w:ascii="Times New Roman" w:hAnsi="Times New Roman" w:eastAsia="宋体" w:cs="宋体"/>
                <w:b w:val="0"/>
                <w:bCs w:val="0"/>
                <w:color w:val="auto"/>
                <w:kern w:val="0"/>
                <w:sz w:val="24"/>
                <w:szCs w:val="24"/>
                <w:lang w:val="en-US" w:eastAsia="zh-CN" w:bidi="ar"/>
              </w:rPr>
              <w:t>原子上的氢原子仍较活泼，能够进一步与游离的</w:t>
            </w:r>
            <w:r>
              <w:rPr>
                <w:rFonts w:hint="default" w:ascii="Times New Roman" w:hAnsi="Times New Roman" w:eastAsia="宋体" w:cs="宋体"/>
                <w:b w:val="0"/>
                <w:bCs w:val="0"/>
                <w:color w:val="auto"/>
                <w:kern w:val="0"/>
                <w:sz w:val="24"/>
                <w:szCs w:val="24"/>
                <w:lang w:val="en-US" w:eastAsia="zh-CN" w:bidi="ar"/>
              </w:rPr>
              <w:t>MDI</w:t>
            </w:r>
            <w:r>
              <w:rPr>
                <w:rFonts w:hint="eastAsia" w:ascii="Times New Roman" w:hAnsi="Times New Roman" w:eastAsia="宋体" w:cs="宋体"/>
                <w:b w:val="0"/>
                <w:bCs w:val="0"/>
                <w:color w:val="auto"/>
                <w:kern w:val="0"/>
                <w:sz w:val="24"/>
                <w:szCs w:val="24"/>
                <w:lang w:val="en-US" w:eastAsia="zh-CN" w:bidi="ar"/>
              </w:rPr>
              <w:t>反应，生成脲基甲酸酯：</w:t>
            </w:r>
          </w:p>
          <w:p w14:paraId="796F0678">
            <w:pPr>
              <w:pStyle w:val="16"/>
              <w:keepNext w:val="0"/>
              <w:keepLines w:val="0"/>
              <w:suppressLineNumbers w:val="0"/>
              <w:spacing w:before="0" w:beforeAutospacing="0" w:afterAutospacing="0"/>
              <w:ind w:right="0"/>
              <w:rPr>
                <w:rFonts w:hint="eastAsia"/>
                <w:color w:val="auto"/>
                <w:lang w:val="en-US" w:eastAsia="zh-CN"/>
              </w:rPr>
            </w:pPr>
            <w:r>
              <w:rPr>
                <w:rFonts w:hint="eastAsia"/>
                <w:color w:val="auto"/>
                <w:lang w:val="en-US" w:eastAsia="zh-CN"/>
              </w:rPr>
              <w:drawing>
                <wp:inline distT="0" distB="0" distL="114300" distR="114300">
                  <wp:extent cx="3571875" cy="857250"/>
                  <wp:effectExtent l="0" t="0" r="9525" b="11430"/>
                  <wp:docPr id="142" name="图片 142" descr="7a24bdbf-9e1c-4d64-ac0c-c8dd8fef75b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descr="7a24bdbf-9e1c-4d64-ac0c-c8dd8fef75b6"/>
                          <pic:cNvPicPr>
                            <a:picLocks noChangeAspect="1"/>
                          </pic:cNvPicPr>
                        </pic:nvPicPr>
                        <pic:blipFill>
                          <a:blip r:embed="rId10"/>
                          <a:stretch>
                            <a:fillRect/>
                          </a:stretch>
                        </pic:blipFill>
                        <pic:spPr>
                          <a:xfrm>
                            <a:off x="0" y="0"/>
                            <a:ext cx="3571875" cy="857250"/>
                          </a:xfrm>
                          <a:prstGeom prst="rect">
                            <a:avLst/>
                          </a:prstGeom>
                        </pic:spPr>
                      </pic:pic>
                    </a:graphicData>
                  </a:graphic>
                </wp:inline>
              </w:drawing>
            </w:r>
          </w:p>
          <w:p w14:paraId="542D3581">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80" w:firstLineChars="200"/>
              <w:jc w:val="left"/>
              <w:textAlignment w:val="auto"/>
              <w:rPr>
                <w:rFonts w:hint="eastAsia" w:ascii="Times New Roman" w:hAnsi="Times New Roman" w:eastAsia="宋体" w:cs="宋体"/>
                <w:b w:val="0"/>
                <w:bCs w:val="0"/>
                <w:color w:val="auto"/>
                <w:kern w:val="0"/>
                <w:sz w:val="24"/>
                <w:szCs w:val="24"/>
                <w:lang w:val="en-US" w:eastAsia="zh-CN" w:bidi="ar"/>
              </w:rPr>
            </w:pPr>
            <w:r>
              <w:rPr>
                <w:rFonts w:hint="eastAsia" w:ascii="Times New Roman" w:hAnsi="Times New Roman" w:eastAsia="宋体" w:cs="宋体"/>
                <w:b w:val="0"/>
                <w:bCs w:val="0"/>
                <w:color w:val="auto"/>
                <w:kern w:val="0"/>
                <w:sz w:val="24"/>
                <w:szCs w:val="24"/>
                <w:lang w:val="en-US" w:eastAsia="zh-CN" w:bidi="ar"/>
              </w:rPr>
              <w:t>此外，反应（</w:t>
            </w:r>
            <w:r>
              <w:rPr>
                <w:rFonts w:hint="default" w:ascii="Times New Roman" w:hAnsi="Times New Roman" w:eastAsia="宋体" w:cs="宋体"/>
                <w:b w:val="0"/>
                <w:bCs w:val="0"/>
                <w:color w:val="auto"/>
                <w:kern w:val="0"/>
                <w:sz w:val="24"/>
                <w:szCs w:val="24"/>
                <w:lang w:val="en-US" w:eastAsia="zh-CN" w:bidi="ar"/>
              </w:rPr>
              <w:t>III</w:t>
            </w:r>
            <w:r>
              <w:rPr>
                <w:rFonts w:hint="eastAsia" w:ascii="Times New Roman" w:hAnsi="Times New Roman" w:eastAsia="宋体" w:cs="宋体"/>
                <w:b w:val="0"/>
                <w:bCs w:val="0"/>
                <w:color w:val="auto"/>
                <w:kern w:val="0"/>
                <w:sz w:val="24"/>
                <w:szCs w:val="24"/>
                <w:lang w:val="en-US" w:eastAsia="zh-CN" w:bidi="ar"/>
              </w:rPr>
              <w:t>）生成的取代脲中</w:t>
            </w:r>
            <w:r>
              <w:rPr>
                <w:rFonts w:hint="default" w:ascii="Times New Roman" w:hAnsi="Times New Roman" w:eastAsia="宋体" w:cs="宋体"/>
                <w:b w:val="0"/>
                <w:bCs w:val="0"/>
                <w:color w:val="auto"/>
                <w:kern w:val="0"/>
                <w:sz w:val="24"/>
                <w:szCs w:val="24"/>
                <w:lang w:val="en-US" w:eastAsia="zh-CN" w:bidi="ar"/>
              </w:rPr>
              <w:t>N</w:t>
            </w:r>
            <w:r>
              <w:rPr>
                <w:rFonts w:hint="eastAsia" w:ascii="Times New Roman" w:hAnsi="Times New Roman" w:eastAsia="宋体" w:cs="宋体"/>
                <w:b w:val="0"/>
                <w:bCs w:val="0"/>
                <w:color w:val="auto"/>
                <w:kern w:val="0"/>
                <w:sz w:val="24"/>
                <w:szCs w:val="24"/>
                <w:lang w:val="en-US" w:eastAsia="zh-CN" w:bidi="ar"/>
              </w:rPr>
              <w:t>原子上也有仍较活泼的氢，能进一步与游离的甲苯二异氰酸酯反应生产缩二脲：</w:t>
            </w:r>
          </w:p>
          <w:p w14:paraId="6F7A1AF9">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default"/>
                <w:color w:val="auto"/>
              </w:rPr>
            </w:pPr>
            <w:r>
              <w:rPr>
                <w:rFonts w:hint="default"/>
                <w:color w:val="auto"/>
              </w:rPr>
              <w:drawing>
                <wp:inline distT="0" distB="0" distL="114300" distR="114300">
                  <wp:extent cx="3905250" cy="857250"/>
                  <wp:effectExtent l="0" t="0" r="11430" b="11430"/>
                  <wp:docPr id="2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6"/>
                          <pic:cNvPicPr>
                            <a:picLocks noChangeAspect="1"/>
                          </pic:cNvPicPr>
                        </pic:nvPicPr>
                        <pic:blipFill>
                          <a:blip r:embed="rId11"/>
                          <a:stretch>
                            <a:fillRect/>
                          </a:stretch>
                        </pic:blipFill>
                        <pic:spPr>
                          <a:xfrm>
                            <a:off x="0" y="0"/>
                            <a:ext cx="3905250" cy="857250"/>
                          </a:xfrm>
                          <a:prstGeom prst="rect">
                            <a:avLst/>
                          </a:prstGeom>
                          <a:noFill/>
                          <a:ln>
                            <a:noFill/>
                          </a:ln>
                        </pic:spPr>
                      </pic:pic>
                    </a:graphicData>
                  </a:graphic>
                </wp:inline>
              </w:drawing>
            </w:r>
          </w:p>
          <w:p w14:paraId="79314AD2">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80" w:firstLineChars="200"/>
              <w:jc w:val="left"/>
              <w:textAlignment w:val="auto"/>
              <w:rPr>
                <w:rFonts w:hint="eastAsia"/>
                <w:color w:val="auto"/>
                <w:lang w:val="en-US" w:eastAsia="zh-CN"/>
              </w:rPr>
            </w:pPr>
            <w:r>
              <w:rPr>
                <w:rFonts w:hint="eastAsia" w:ascii="Times New Roman" w:hAnsi="Times New Roman" w:eastAsia="宋体" w:cs="宋体"/>
                <w:b w:val="0"/>
                <w:bCs w:val="0"/>
                <w:color w:val="auto"/>
                <w:kern w:val="0"/>
                <w:sz w:val="24"/>
                <w:szCs w:val="24"/>
                <w:lang w:val="en-US" w:eastAsia="zh-CN" w:bidi="ar"/>
              </w:rPr>
              <w:t>叔胺类催化剂对反应（</w:t>
            </w:r>
            <w:r>
              <w:rPr>
                <w:rFonts w:hint="default" w:ascii="Times New Roman" w:hAnsi="Times New Roman" w:eastAsia="宋体" w:cs="宋体"/>
                <w:b w:val="0"/>
                <w:bCs w:val="0"/>
                <w:color w:val="auto"/>
                <w:kern w:val="0"/>
                <w:sz w:val="24"/>
                <w:szCs w:val="24"/>
                <w:lang w:val="en-US" w:eastAsia="zh-CN" w:bidi="ar"/>
              </w:rPr>
              <w:t>V</w:t>
            </w:r>
            <w:r>
              <w:rPr>
                <w:rFonts w:hint="eastAsia" w:ascii="Times New Roman" w:hAnsi="Times New Roman" w:eastAsia="宋体" w:cs="宋体"/>
                <w:b w:val="0"/>
                <w:bCs w:val="0"/>
                <w:color w:val="auto"/>
                <w:kern w:val="0"/>
                <w:sz w:val="24"/>
                <w:szCs w:val="24"/>
                <w:lang w:val="en-US" w:eastAsia="zh-CN" w:bidi="ar"/>
              </w:rPr>
              <w:t>）无催化作用，因此（</w:t>
            </w:r>
            <w:r>
              <w:rPr>
                <w:rFonts w:hint="default" w:ascii="Times New Roman" w:hAnsi="Times New Roman" w:eastAsia="宋体" w:cs="宋体"/>
                <w:b w:val="0"/>
                <w:bCs w:val="0"/>
                <w:color w:val="auto"/>
                <w:kern w:val="0"/>
                <w:sz w:val="24"/>
                <w:szCs w:val="24"/>
                <w:lang w:val="en-US" w:eastAsia="zh-CN" w:bidi="ar"/>
              </w:rPr>
              <w:t>V</w:t>
            </w:r>
            <w:r>
              <w:rPr>
                <w:rFonts w:hint="eastAsia" w:ascii="Times New Roman" w:hAnsi="Times New Roman" w:eastAsia="宋体" w:cs="宋体"/>
                <w:b w:val="0"/>
                <w:bCs w:val="0"/>
                <w:color w:val="auto"/>
                <w:kern w:val="0"/>
                <w:sz w:val="24"/>
                <w:szCs w:val="24"/>
                <w:lang w:val="en-US" w:eastAsia="zh-CN" w:bidi="ar"/>
              </w:rPr>
              <w:t>）反应较慢。泡沫完全升起后，需在常温下放置，海绵制品才能达到最终的物理性能，这一过程即为熟化过程。</w:t>
            </w:r>
          </w:p>
          <w:p w14:paraId="2EE6A5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left"/>
              <w:textAlignment w:val="auto"/>
              <w:rPr>
                <w:rFonts w:hint="default" w:ascii="Times New Roman" w:hAnsi="Times New Roman" w:eastAsia="宋体"/>
                <w:color w:val="auto"/>
                <w:sz w:val="24"/>
              </w:rPr>
            </w:pPr>
            <w:r>
              <w:rPr>
                <w:rFonts w:hint="eastAsia" w:ascii="Times New Roman" w:hAnsi="Times New Roman" w:eastAsia="宋体" w:cs="宋体"/>
                <w:b/>
                <w:bCs/>
                <w:color w:val="auto"/>
                <w:kern w:val="0"/>
                <w:sz w:val="24"/>
                <w:szCs w:val="24"/>
                <w:lang w:val="en-US" w:eastAsia="zh-CN" w:bidi="ar"/>
              </w:rPr>
              <w:t>半成品仓库：</w:t>
            </w:r>
            <w:r>
              <w:rPr>
                <w:rFonts w:hint="eastAsia" w:ascii="Times New Roman" w:hAnsi="Times New Roman" w:eastAsia="宋体" w:cs="宋体"/>
                <w:color w:val="auto"/>
                <w:kern w:val="0"/>
                <w:sz w:val="24"/>
                <w:szCs w:val="24"/>
                <w:lang w:val="en-US" w:eastAsia="zh-CN" w:bidi="ar"/>
              </w:rPr>
              <w:t>鞋垫制作完成后存入半成品仓库，待皮鞋和</w:t>
            </w:r>
            <w:r>
              <w:rPr>
                <w:rFonts w:hint="eastAsia" w:cs="宋体"/>
                <w:color w:val="auto"/>
                <w:kern w:val="0"/>
                <w:sz w:val="24"/>
                <w:szCs w:val="24"/>
                <w:lang w:val="en-US" w:eastAsia="zh-CN" w:bidi="ar"/>
              </w:rPr>
              <w:t>PVC注塑鞋生产线</w:t>
            </w:r>
            <w:r>
              <w:rPr>
                <w:rFonts w:hint="eastAsia" w:ascii="Times New Roman" w:hAnsi="Times New Roman" w:eastAsia="宋体" w:cs="宋体"/>
                <w:color w:val="auto"/>
                <w:kern w:val="0"/>
                <w:sz w:val="24"/>
                <w:szCs w:val="24"/>
                <w:lang w:val="en-US" w:eastAsia="zh-CN" w:bidi="ar"/>
              </w:rPr>
              <w:t>使用。</w:t>
            </w:r>
          </w:p>
          <w:p w14:paraId="6E35DC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Times New Roman" w:hAnsi="Times New Roman" w:eastAsia="宋体"/>
                <w:color w:val="auto"/>
                <w:sz w:val="24"/>
              </w:rPr>
            </w:pPr>
          </w:p>
          <w:p w14:paraId="351A0FED">
            <w:pPr>
              <w:keepNext w:val="0"/>
              <w:keepLines w:val="0"/>
              <w:widowControl/>
              <w:suppressLineNumbers w:val="0"/>
              <w:spacing w:before="0" w:beforeAutospacing="0" w:after="0" w:afterAutospacing="0"/>
              <w:ind w:left="0" w:right="0"/>
              <w:jc w:val="left"/>
              <w:rPr>
                <w:rFonts w:hint="eastAsia" w:eastAsia="宋体"/>
                <w:color w:val="auto"/>
                <w:lang w:eastAsia="zh-CN"/>
              </w:rPr>
            </w:pPr>
            <w:r>
              <w:rPr>
                <w:rFonts w:hint="eastAsia" w:eastAsia="宋体"/>
                <w:color w:val="auto"/>
                <w:lang w:eastAsia="zh-CN"/>
              </w:rPr>
              <w:drawing>
                <wp:inline distT="0" distB="0" distL="114300" distR="114300">
                  <wp:extent cx="5650230" cy="3709035"/>
                  <wp:effectExtent l="0" t="0" r="0" b="0"/>
                  <wp:docPr id="289" name="ECB019B1-382A-4266-B25C-5B523AA43C14-3" descr="C:/Users/13167/AppData/Local/Temp/wps.neCssF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ECB019B1-382A-4266-B25C-5B523AA43C14-3" descr="C:/Users/13167/AppData/Local/Temp/wps.neCssFwps"/>
                          <pic:cNvPicPr>
                            <a:picLocks noChangeAspect="1"/>
                          </pic:cNvPicPr>
                        </pic:nvPicPr>
                        <pic:blipFill>
                          <a:blip r:embed="rId12"/>
                          <a:stretch>
                            <a:fillRect/>
                          </a:stretch>
                        </pic:blipFill>
                        <pic:spPr>
                          <a:xfrm>
                            <a:off x="0" y="0"/>
                            <a:ext cx="5650230" cy="3709035"/>
                          </a:xfrm>
                          <a:prstGeom prst="rect">
                            <a:avLst/>
                          </a:prstGeom>
                        </pic:spPr>
                      </pic:pic>
                    </a:graphicData>
                  </a:graphic>
                </wp:inline>
              </w:drawing>
            </w:r>
          </w:p>
          <w:p w14:paraId="6F3A9820">
            <w:pPr>
              <w:pStyle w:val="69"/>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b/>
                <w:color w:val="auto"/>
                <w:sz w:val="21"/>
                <w:szCs w:val="21"/>
                <w:highlight w:val="none"/>
                <w:lang w:eastAsia="zh-CN"/>
              </w:rPr>
            </w:pPr>
          </w:p>
          <w:p w14:paraId="0817B71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right="0" w:firstLine="422" w:firstLineChars="200"/>
              <w:jc w:val="center"/>
              <w:textAlignment w:val="auto"/>
              <w:rPr>
                <w:rFonts w:hint="eastAsia" w:cs="Times New Roman"/>
                <w:b/>
                <w:color w:val="auto"/>
                <w:sz w:val="21"/>
                <w:szCs w:val="21"/>
                <w:highlight w:val="none"/>
                <w:lang w:val="en-US" w:eastAsia="zh-CN"/>
              </w:rPr>
            </w:pPr>
            <w:r>
              <w:rPr>
                <w:rFonts w:hint="eastAsia" w:ascii="Times New Roman" w:hAnsi="Times New Roman" w:eastAsia="宋体" w:cs="Times New Roman"/>
                <w:b/>
                <w:color w:val="auto"/>
                <w:sz w:val="21"/>
                <w:szCs w:val="21"/>
                <w:highlight w:val="none"/>
              </w:rPr>
              <w:t>图</w:t>
            </w:r>
            <w:r>
              <w:rPr>
                <w:rFonts w:hint="eastAsia" w:cs="Times New Roman"/>
                <w:b/>
                <w:color w:val="auto"/>
                <w:sz w:val="21"/>
                <w:szCs w:val="21"/>
                <w:highlight w:val="none"/>
                <w:lang w:val="en-US" w:eastAsia="zh-CN"/>
              </w:rPr>
              <w:t>2-4  休闲鞋生产线工艺流程及产污节点图（N：噪声；S：固废；G：废气）</w:t>
            </w:r>
          </w:p>
          <w:p w14:paraId="5E3FB1E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2" w:firstLineChars="200"/>
              <w:jc w:val="both"/>
              <w:textAlignment w:val="auto"/>
              <w:rPr>
                <w:rFonts w:hint="eastAsia" w:ascii="Times New Roman" w:hAnsi="Times New Roman" w:eastAsia="宋体" w:cs="Times New Roman"/>
                <w:b/>
                <w:bCs/>
                <w:color w:val="auto"/>
                <w:sz w:val="24"/>
                <w:highlight w:val="none"/>
                <w:shd w:val="clear" w:color="auto" w:fill="auto"/>
                <w:lang w:val="en-US" w:eastAsia="zh-CN"/>
              </w:rPr>
            </w:pPr>
            <w:r>
              <w:rPr>
                <w:rFonts w:hint="eastAsia" w:ascii="Times New Roman" w:hAnsi="Times New Roman" w:eastAsia="宋体" w:cs="Times New Roman"/>
                <w:b/>
                <w:bCs/>
                <w:color w:val="auto"/>
                <w:sz w:val="24"/>
                <w:highlight w:val="none"/>
                <w:shd w:val="clear" w:color="auto" w:fill="auto"/>
                <w:lang w:val="en-US" w:eastAsia="zh-CN"/>
              </w:rPr>
              <w:t>工艺流程简述：</w:t>
            </w:r>
          </w:p>
          <w:p w14:paraId="17E2C87B">
            <w:pPr>
              <w:pStyle w:val="16"/>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default" w:ascii="Times New Roman" w:hAnsi="Times New Roman" w:eastAsia="宋体" w:cs="Times New Roman"/>
                <w:color w:val="auto"/>
                <w:kern w:val="2"/>
                <w:sz w:val="24"/>
                <w:szCs w:val="24"/>
                <w:highlight w:val="none"/>
                <w:shd w:val="clear" w:color="auto" w:fill="auto"/>
                <w:lang w:val="en-US" w:eastAsia="zh-CN" w:bidi="ar-SA"/>
              </w:rPr>
            </w:pPr>
            <w:r>
              <w:rPr>
                <w:rFonts w:hint="eastAsia" w:ascii="Times New Roman" w:hAnsi="Times New Roman" w:eastAsia="宋体" w:cs="Times New Roman"/>
                <w:color w:val="auto"/>
                <w:kern w:val="2"/>
                <w:sz w:val="24"/>
                <w:szCs w:val="24"/>
                <w:highlight w:val="none"/>
                <w:shd w:val="clear" w:color="auto" w:fill="auto"/>
                <w:lang w:val="en-US" w:eastAsia="zh-CN" w:bidi="ar-SA"/>
              </w:rPr>
              <w:t>皮鞋、高跟鞋和注塑鞋的生产工艺一致，高跟鞋底大㡳、中㡳和鞋垫采用外购形式，而皮鞋和注塑鞋的鞋底、鞋垫源于厂内制造。</w:t>
            </w:r>
          </w:p>
          <w:p w14:paraId="779F292C">
            <w:pPr>
              <w:keepNext w:val="0"/>
              <w:keepLines w:val="0"/>
              <w:suppressLineNumbers w:val="0"/>
              <w:spacing w:before="0" w:beforeAutospacing="0" w:after="0" w:afterAutospacing="0" w:line="360" w:lineRule="auto"/>
              <w:ind w:left="0" w:right="0" w:firstLine="482" w:firstLineChars="200"/>
              <w:rPr>
                <w:rFonts w:hint="default" w:ascii="Times New Roman" w:hAnsi="Times New Roman" w:eastAsia="宋体" w:cs="Times New Roman"/>
                <w:color w:val="auto"/>
                <w:sz w:val="24"/>
                <w:highlight w:val="none"/>
                <w:shd w:val="clear" w:color="auto" w:fill="auto"/>
                <w:lang w:val="en-US" w:eastAsia="zh-CN"/>
              </w:rPr>
            </w:pPr>
            <w:r>
              <w:rPr>
                <w:rFonts w:hint="eastAsia" w:ascii="Times New Roman" w:hAnsi="Times New Roman" w:eastAsia="宋体" w:cs="Times New Roman"/>
                <w:b/>
                <w:bCs/>
                <w:color w:val="auto"/>
                <w:sz w:val="24"/>
                <w:highlight w:val="none"/>
                <w:shd w:val="clear" w:color="auto" w:fill="auto"/>
                <w:lang w:val="en-US" w:eastAsia="zh-CN"/>
              </w:rPr>
              <w:t>原材料入库：</w:t>
            </w:r>
            <w:r>
              <w:rPr>
                <w:rFonts w:hint="eastAsia" w:ascii="Times New Roman" w:hAnsi="Times New Roman" w:eastAsia="宋体" w:cs="Times New Roman"/>
                <w:color w:val="auto"/>
                <w:sz w:val="24"/>
                <w:highlight w:val="none"/>
                <w:shd w:val="clear" w:color="auto" w:fill="auto"/>
                <w:lang w:val="en-US" w:eastAsia="zh-CN"/>
              </w:rPr>
              <w:t>将生产所需的原材料（如皮革、帆布料、鞋带、高跟鞋底等）按照入库要求存放在指定区域，并进行分类和登记，确保后续工序的材料供应。</w:t>
            </w:r>
          </w:p>
          <w:p w14:paraId="164611D0">
            <w:pPr>
              <w:keepNext w:val="0"/>
              <w:keepLines w:val="0"/>
              <w:suppressLineNumbers w:val="0"/>
              <w:spacing w:before="0" w:beforeAutospacing="0" w:after="0" w:afterAutospacing="0" w:line="360" w:lineRule="auto"/>
              <w:ind w:left="0" w:right="0" w:firstLine="482" w:firstLineChars="200"/>
              <w:rPr>
                <w:rFonts w:hint="eastAsia" w:ascii="Times New Roman" w:hAnsi="Times New Roman" w:eastAsia="宋体" w:cs="Times New Roman"/>
                <w:color w:val="auto"/>
                <w:sz w:val="24"/>
                <w:highlight w:val="none"/>
                <w:shd w:val="clear" w:color="auto" w:fill="auto"/>
                <w:lang w:val="en-US" w:eastAsia="zh-CN"/>
              </w:rPr>
            </w:pPr>
            <w:r>
              <w:rPr>
                <w:rFonts w:hint="eastAsia" w:ascii="Times New Roman" w:hAnsi="Times New Roman" w:eastAsia="宋体" w:cs="Times New Roman"/>
                <w:b/>
                <w:bCs/>
                <w:color w:val="auto"/>
                <w:sz w:val="24"/>
                <w:highlight w:val="none"/>
                <w:shd w:val="clear" w:color="auto" w:fill="auto"/>
                <w:lang w:val="en-US" w:eastAsia="zh-CN"/>
              </w:rPr>
              <w:t>裁断冲裁：</w:t>
            </w:r>
            <w:r>
              <w:rPr>
                <w:rFonts w:hint="eastAsia" w:ascii="Times New Roman" w:hAnsi="Times New Roman" w:eastAsia="宋体" w:cs="Times New Roman"/>
                <w:color w:val="auto"/>
                <w:sz w:val="24"/>
                <w:highlight w:val="none"/>
                <w:shd w:val="clear" w:color="auto" w:fill="auto"/>
                <w:lang w:val="en-US" w:eastAsia="zh-CN"/>
              </w:rPr>
              <w:t>通过专用设备（如</w:t>
            </w:r>
            <w:r>
              <w:rPr>
                <w:rFonts w:hint="eastAsia" w:cs="Times New Roman"/>
                <w:color w:val="auto"/>
                <w:sz w:val="24"/>
                <w:highlight w:val="none"/>
                <w:shd w:val="clear" w:color="auto" w:fill="auto"/>
                <w:lang w:val="en-US" w:eastAsia="zh-CN"/>
              </w:rPr>
              <w:t>精雕CNC裁断机</w:t>
            </w:r>
            <w:r>
              <w:rPr>
                <w:rFonts w:hint="eastAsia" w:ascii="Times New Roman" w:hAnsi="Times New Roman" w:eastAsia="宋体" w:cs="Times New Roman"/>
                <w:color w:val="auto"/>
                <w:sz w:val="24"/>
                <w:highlight w:val="none"/>
                <w:shd w:val="clear" w:color="auto" w:fill="auto"/>
                <w:lang w:val="en-US" w:eastAsia="zh-CN"/>
              </w:rPr>
              <w:t>、下料机）对大块原材料进行裁剪，根据设计要求切割成所需的形状和大小，以供后续加工。该工序产生废边角料和噪声。</w:t>
            </w:r>
          </w:p>
          <w:p w14:paraId="789844A5">
            <w:pPr>
              <w:keepNext w:val="0"/>
              <w:keepLines w:val="0"/>
              <w:suppressLineNumbers w:val="0"/>
              <w:spacing w:before="0" w:beforeAutospacing="0" w:after="0" w:afterAutospacing="0" w:line="360" w:lineRule="auto"/>
              <w:ind w:left="0" w:right="0" w:firstLine="482" w:firstLineChars="200"/>
              <w:rPr>
                <w:rFonts w:hint="eastAsia" w:ascii="Times New Roman" w:hAnsi="Times New Roman" w:eastAsia="宋体" w:cs="Times New Roman"/>
                <w:color w:val="auto"/>
                <w:sz w:val="24"/>
                <w:highlight w:val="none"/>
                <w:shd w:val="clear" w:color="auto" w:fill="auto"/>
                <w:lang w:val="en-US" w:eastAsia="zh-CN"/>
              </w:rPr>
            </w:pPr>
            <w:r>
              <w:rPr>
                <w:rFonts w:hint="eastAsia" w:ascii="Times New Roman" w:hAnsi="Times New Roman" w:eastAsia="宋体" w:cs="Times New Roman"/>
                <w:b/>
                <w:bCs/>
                <w:color w:val="auto"/>
                <w:sz w:val="24"/>
                <w:highlight w:val="none"/>
                <w:shd w:val="clear" w:color="auto" w:fill="auto"/>
                <w:lang w:val="en-US" w:eastAsia="zh-CN"/>
              </w:rPr>
              <w:t>准备/手工：</w:t>
            </w:r>
            <w:r>
              <w:rPr>
                <w:rFonts w:hint="eastAsia" w:ascii="Times New Roman" w:hAnsi="Times New Roman" w:eastAsia="宋体" w:cs="Times New Roman"/>
                <w:color w:val="auto"/>
                <w:sz w:val="24"/>
                <w:highlight w:val="none"/>
                <w:shd w:val="clear" w:color="auto" w:fill="auto"/>
                <w:lang w:val="en-US" w:eastAsia="zh-CN"/>
              </w:rPr>
              <w:t>对裁剪后的材料进行必要的准备工作，包括边缘修整、拼接、打孔等工序，确保材料符合加工标准。同时，手工完成一些精细操作，提升产品质量。该工序产生废弃边角料和噪声。</w:t>
            </w:r>
          </w:p>
          <w:p w14:paraId="5BAB4AFB">
            <w:pPr>
              <w:keepNext w:val="0"/>
              <w:keepLines w:val="0"/>
              <w:suppressLineNumbers w:val="0"/>
              <w:spacing w:before="0" w:beforeAutospacing="0" w:after="0" w:afterAutospacing="0" w:line="360" w:lineRule="auto"/>
              <w:ind w:left="0" w:right="0" w:firstLine="482" w:firstLineChars="200"/>
              <w:rPr>
                <w:rFonts w:hint="eastAsia" w:ascii="Times New Roman" w:hAnsi="Times New Roman" w:eastAsia="宋体" w:cs="Times New Roman"/>
                <w:b w:val="0"/>
                <w:bCs w:val="0"/>
                <w:color w:val="auto"/>
                <w:sz w:val="24"/>
                <w:highlight w:val="none"/>
                <w:shd w:val="clear" w:color="auto" w:fill="auto"/>
                <w:lang w:val="en-US" w:eastAsia="zh-CN"/>
              </w:rPr>
            </w:pPr>
            <w:r>
              <w:rPr>
                <w:rFonts w:hint="eastAsia" w:ascii="Times New Roman" w:hAnsi="Times New Roman" w:eastAsia="宋体" w:cs="Times New Roman"/>
                <w:b/>
                <w:bCs/>
                <w:color w:val="auto"/>
                <w:sz w:val="24"/>
                <w:highlight w:val="none"/>
                <w:shd w:val="clear" w:color="auto" w:fill="auto"/>
                <w:lang w:val="en-US" w:eastAsia="zh-CN"/>
              </w:rPr>
              <w:t>丝网印花工艺：</w:t>
            </w:r>
            <w:r>
              <w:rPr>
                <w:rFonts w:hint="eastAsia" w:ascii="Times New Roman" w:hAnsi="Times New Roman" w:eastAsia="宋体" w:cs="Times New Roman"/>
                <w:b w:val="0"/>
                <w:bCs w:val="0"/>
                <w:color w:val="auto"/>
                <w:sz w:val="24"/>
                <w:highlight w:val="none"/>
                <w:shd w:val="clear" w:color="auto" w:fill="auto"/>
                <w:lang w:val="en-US" w:eastAsia="zh-CN"/>
              </w:rPr>
              <w:t>将部分需要丝网印花的半成品单独拿出来做印花处理。由于使用的是水性印花油墨，无需调配；丝网印花前需在印刷台板上刷少量台面胶，防止布料印刷过程中松动导致图案印刷位置偏移；部分褶皱布料先采用压烫机进行压平；手工丝网印花时，人工利用刮片将水性印花油墨刮至布料表面，根据产品颜色的种类不同，分批次印刷，自然晾干后即返回生产线。此工序会产生丝网印花、台面胶及晾干有机废气、废包装桶、废网版和噪声。</w:t>
            </w:r>
          </w:p>
          <w:p w14:paraId="65CE0154">
            <w:pPr>
              <w:keepNext w:val="0"/>
              <w:keepLines w:val="0"/>
              <w:suppressLineNumbers w:val="0"/>
              <w:spacing w:before="0" w:beforeAutospacing="0" w:after="0" w:afterAutospacing="0" w:line="360" w:lineRule="auto"/>
              <w:ind w:left="0" w:right="0" w:firstLine="482" w:firstLineChars="200"/>
              <w:rPr>
                <w:rFonts w:hint="eastAsia" w:ascii="Times New Roman" w:hAnsi="Times New Roman" w:eastAsia="宋体" w:cs="Times New Roman"/>
                <w:color w:val="auto"/>
                <w:sz w:val="24"/>
                <w:highlight w:val="none"/>
                <w:shd w:val="clear" w:color="auto" w:fill="auto"/>
                <w:lang w:val="en-US" w:eastAsia="zh-CN"/>
              </w:rPr>
            </w:pPr>
            <w:r>
              <w:rPr>
                <w:rFonts w:hint="eastAsia" w:ascii="Times New Roman" w:hAnsi="Times New Roman" w:eastAsia="宋体" w:cs="Times New Roman"/>
                <w:b/>
                <w:bCs/>
                <w:color w:val="auto"/>
                <w:sz w:val="24"/>
                <w:highlight w:val="none"/>
                <w:shd w:val="clear" w:color="auto" w:fill="auto"/>
                <w:lang w:val="en-US" w:eastAsia="zh-CN"/>
              </w:rPr>
              <w:t>针车：</w:t>
            </w:r>
            <w:r>
              <w:rPr>
                <w:rFonts w:hint="eastAsia" w:ascii="Times New Roman" w:hAnsi="Times New Roman" w:eastAsia="宋体" w:cs="Times New Roman"/>
                <w:color w:val="auto"/>
                <w:sz w:val="24"/>
                <w:highlight w:val="none"/>
                <w:shd w:val="clear" w:color="auto" w:fill="auto"/>
                <w:lang w:val="en-US" w:eastAsia="zh-CN"/>
              </w:rPr>
              <w:t>使用针车设备对</w:t>
            </w:r>
            <w:bookmarkStart w:id="15" w:name="OLE_LINK6"/>
            <w:r>
              <w:rPr>
                <w:rFonts w:hint="eastAsia" w:ascii="Times New Roman" w:hAnsi="Times New Roman" w:eastAsia="宋体" w:cs="Times New Roman"/>
                <w:color w:val="auto"/>
                <w:sz w:val="24"/>
                <w:highlight w:val="none"/>
                <w:shd w:val="clear" w:color="auto" w:fill="auto"/>
                <w:lang w:val="en-US" w:eastAsia="zh-CN"/>
              </w:rPr>
              <w:t>鞋帮、鞋面等</w:t>
            </w:r>
            <w:bookmarkEnd w:id="15"/>
            <w:r>
              <w:rPr>
                <w:rFonts w:hint="eastAsia" w:ascii="Times New Roman" w:hAnsi="Times New Roman" w:eastAsia="宋体" w:cs="Times New Roman"/>
                <w:color w:val="auto"/>
                <w:sz w:val="24"/>
                <w:highlight w:val="none"/>
                <w:shd w:val="clear" w:color="auto" w:fill="auto"/>
                <w:lang w:val="en-US" w:eastAsia="zh-CN"/>
              </w:rPr>
              <w:t>部件进行缝制或拼接，确保部件之间连接牢固，同时达到美观和设计要求。该工序产生噪声。</w:t>
            </w:r>
          </w:p>
          <w:p w14:paraId="46204215">
            <w:pPr>
              <w:keepNext w:val="0"/>
              <w:keepLines w:val="0"/>
              <w:suppressLineNumbers w:val="0"/>
              <w:spacing w:before="0" w:beforeAutospacing="0" w:after="0" w:afterAutospacing="0" w:line="360" w:lineRule="auto"/>
              <w:ind w:left="0" w:right="0" w:firstLine="482" w:firstLineChars="200"/>
              <w:rPr>
                <w:rFonts w:hint="eastAsia" w:ascii="Times New Roman" w:hAnsi="Times New Roman" w:eastAsia="宋体" w:cs="Times New Roman"/>
                <w:b/>
                <w:bCs/>
                <w:color w:val="auto"/>
                <w:sz w:val="24"/>
                <w:highlight w:val="none"/>
                <w:shd w:val="clear" w:color="auto" w:fill="auto"/>
                <w:lang w:val="en-US" w:eastAsia="zh-CN"/>
              </w:rPr>
            </w:pPr>
            <w:r>
              <w:rPr>
                <w:rFonts w:hint="eastAsia" w:ascii="Times New Roman" w:hAnsi="Times New Roman" w:eastAsia="宋体" w:cs="Times New Roman"/>
                <w:b/>
                <w:bCs/>
                <w:color w:val="auto"/>
                <w:sz w:val="24"/>
                <w:highlight w:val="none"/>
                <w:shd w:val="clear" w:color="auto" w:fill="auto"/>
                <w:lang w:val="en-US" w:eastAsia="zh-CN"/>
              </w:rPr>
              <w:t>备料：</w:t>
            </w:r>
            <w:r>
              <w:rPr>
                <w:rFonts w:hint="eastAsia" w:ascii="Times New Roman" w:hAnsi="Times New Roman" w:eastAsia="宋体" w:cs="Times New Roman"/>
                <w:b w:val="0"/>
                <w:bCs w:val="0"/>
                <w:color w:val="auto"/>
                <w:sz w:val="24"/>
                <w:highlight w:val="none"/>
                <w:shd w:val="clear" w:color="auto" w:fill="auto"/>
                <w:lang w:val="en-US" w:eastAsia="zh-CN"/>
              </w:rPr>
              <w:t>准备生产所需的原材料，包括鞋</w:t>
            </w:r>
            <w:r>
              <w:rPr>
                <w:rFonts w:hint="eastAsia" w:cs="Times New Roman"/>
                <w:b w:val="0"/>
                <w:bCs w:val="0"/>
                <w:color w:val="auto"/>
                <w:sz w:val="24"/>
                <w:highlight w:val="none"/>
                <w:shd w:val="clear" w:color="auto" w:fill="auto"/>
                <w:lang w:val="en-US" w:eastAsia="zh-CN"/>
              </w:rPr>
              <w:t>垫</w:t>
            </w:r>
            <w:r>
              <w:rPr>
                <w:rFonts w:hint="eastAsia" w:ascii="Times New Roman" w:hAnsi="Times New Roman" w:eastAsia="宋体" w:cs="Times New Roman"/>
                <w:b w:val="0"/>
                <w:bCs w:val="0"/>
                <w:color w:val="auto"/>
                <w:sz w:val="24"/>
                <w:highlight w:val="none"/>
                <w:shd w:val="clear" w:color="auto" w:fill="auto"/>
                <w:lang w:val="en-US" w:eastAsia="zh-CN"/>
              </w:rPr>
              <w:t>、鞋底及其他辅助材料，确保材料的质量和数量符合生产要求。</w:t>
            </w:r>
          </w:p>
          <w:p w14:paraId="1A85B0B2">
            <w:pPr>
              <w:keepNext w:val="0"/>
              <w:keepLines w:val="0"/>
              <w:suppressLineNumbers w:val="0"/>
              <w:spacing w:before="0" w:beforeAutospacing="0" w:after="0" w:afterAutospacing="0" w:line="360" w:lineRule="auto"/>
              <w:ind w:left="0" w:right="0" w:firstLine="482" w:firstLineChars="200"/>
              <w:rPr>
                <w:rFonts w:hint="eastAsia" w:ascii="Times New Roman" w:hAnsi="Times New Roman" w:eastAsia="宋体" w:cs="Times New Roman"/>
                <w:b/>
                <w:bCs/>
                <w:color w:val="auto"/>
                <w:sz w:val="24"/>
                <w:highlight w:val="none"/>
                <w:shd w:val="clear" w:color="auto" w:fill="auto"/>
                <w:lang w:val="en-US" w:eastAsia="zh-CN"/>
              </w:rPr>
            </w:pPr>
            <w:r>
              <w:rPr>
                <w:rFonts w:hint="eastAsia" w:ascii="Times New Roman" w:hAnsi="Times New Roman" w:eastAsia="宋体" w:cs="Times New Roman"/>
                <w:b/>
                <w:bCs/>
                <w:color w:val="auto"/>
                <w:sz w:val="24"/>
                <w:highlight w:val="none"/>
                <w:shd w:val="clear" w:color="auto" w:fill="auto"/>
                <w:lang w:val="en-US" w:eastAsia="zh-CN"/>
              </w:rPr>
              <w:t>定型：</w:t>
            </w:r>
            <w:r>
              <w:rPr>
                <w:rFonts w:hint="eastAsia" w:ascii="Times New Roman" w:hAnsi="Times New Roman" w:eastAsia="宋体" w:cs="Times New Roman"/>
                <w:b w:val="0"/>
                <w:bCs w:val="0"/>
                <w:color w:val="auto"/>
                <w:sz w:val="24"/>
                <w:highlight w:val="none"/>
                <w:shd w:val="clear" w:color="auto" w:fill="auto"/>
                <w:lang w:val="en-US" w:eastAsia="zh-CN"/>
              </w:rPr>
              <w:t>通过模具，将鞋面材料固定成预定形状，并将裁好的各材料根据尺码要求进行配对，为后续工序奠定基础。</w:t>
            </w:r>
          </w:p>
          <w:p w14:paraId="4BE23670">
            <w:pPr>
              <w:keepNext w:val="0"/>
              <w:keepLines w:val="0"/>
              <w:suppressLineNumbers w:val="0"/>
              <w:spacing w:before="0" w:beforeAutospacing="0" w:after="0" w:afterAutospacing="0" w:line="360" w:lineRule="auto"/>
              <w:ind w:left="0" w:right="0" w:firstLine="482" w:firstLineChars="200"/>
              <w:rPr>
                <w:rFonts w:hint="default" w:ascii="Times New Roman" w:hAnsi="Times New Roman" w:eastAsia="宋体" w:cs="Times New Roman"/>
                <w:b w:val="0"/>
                <w:bCs w:val="0"/>
                <w:color w:val="auto"/>
                <w:sz w:val="24"/>
                <w:highlight w:val="none"/>
                <w:shd w:val="clear" w:color="auto" w:fill="auto"/>
                <w:lang w:val="en-US" w:eastAsia="zh-CN"/>
              </w:rPr>
            </w:pPr>
            <w:r>
              <w:rPr>
                <w:rFonts w:hint="eastAsia" w:ascii="Times New Roman" w:hAnsi="Times New Roman" w:eastAsia="宋体" w:cs="Times New Roman"/>
                <w:b/>
                <w:bCs/>
                <w:color w:val="auto"/>
                <w:sz w:val="24"/>
                <w:highlight w:val="none"/>
                <w:shd w:val="clear" w:color="auto" w:fill="auto"/>
                <w:lang w:val="en-US" w:eastAsia="zh-CN"/>
              </w:rPr>
              <w:t>刷鞋头：</w:t>
            </w:r>
            <w:r>
              <w:rPr>
                <w:rFonts w:hint="eastAsia" w:ascii="Times New Roman" w:hAnsi="Times New Roman" w:eastAsia="宋体" w:cs="Times New Roman"/>
                <w:b w:val="0"/>
                <w:bCs w:val="0"/>
                <w:color w:val="auto"/>
                <w:sz w:val="24"/>
                <w:highlight w:val="none"/>
                <w:shd w:val="clear" w:color="auto" w:fill="auto"/>
                <w:lang w:val="en-US" w:eastAsia="zh-CN"/>
              </w:rPr>
              <w:t>又称打磨鞋头，使用打磨机将鞋头打磨光滑，</w:t>
            </w:r>
            <w:r>
              <w:rPr>
                <w:rFonts w:hint="eastAsia" w:ascii="Times New Roman" w:hAnsi="Times New Roman" w:eastAsia="宋体" w:cs="Times New Roman"/>
                <w:color w:val="auto"/>
                <w:sz w:val="24"/>
                <w:highlight w:val="none"/>
                <w:shd w:val="clear" w:color="auto" w:fill="auto"/>
                <w:lang w:val="en-US" w:eastAsia="zh-CN"/>
              </w:rPr>
              <w:t>该工序产生鞋头打磨粉尘和噪声。</w:t>
            </w:r>
          </w:p>
          <w:p w14:paraId="404F3CA1">
            <w:pPr>
              <w:pStyle w:val="97"/>
              <w:keepNext w:val="0"/>
              <w:keepLines w:val="0"/>
              <w:suppressLineNumbers w:val="0"/>
              <w:kinsoku/>
              <w:overflowPunct w:val="0"/>
              <w:autoSpaceDE/>
              <w:autoSpaceDN/>
              <w:spacing w:before="0" w:beforeAutospacing="0" w:after="0" w:afterAutospacing="0" w:line="360" w:lineRule="auto"/>
              <w:ind w:left="21" w:leftChars="10" w:right="0" w:firstLine="478" w:firstLineChars="200"/>
              <w:rPr>
                <w:rFonts w:hint="eastAsia"/>
                <w:color w:val="auto"/>
                <w:spacing w:val="-1"/>
                <w:lang w:eastAsia="zh-CN"/>
              </w:rPr>
            </w:pPr>
            <w:r>
              <w:rPr>
                <w:rFonts w:hint="eastAsia"/>
                <w:b/>
                <w:bCs/>
                <w:color w:val="auto"/>
                <w:spacing w:val="-1"/>
                <w:lang w:eastAsia="zh-CN"/>
              </w:rPr>
              <w:t>组装成型（套帮、装配件、锤帮面、后帮）</w:t>
            </w:r>
            <w:r>
              <w:rPr>
                <w:rFonts w:hint="eastAsia"/>
                <w:color w:val="auto"/>
                <w:spacing w:val="-1"/>
                <w:lang w:eastAsia="zh-CN"/>
              </w:rPr>
              <w:t>：将鞋头打磨好后，按设计要求装上配件，然后再将后帮全部装上。在捶帮面过程中将会有噪声产生。</w:t>
            </w:r>
          </w:p>
          <w:p w14:paraId="49E14F61">
            <w:pPr>
              <w:pStyle w:val="97"/>
              <w:keepNext w:val="0"/>
              <w:keepLines w:val="0"/>
              <w:suppressLineNumbers w:val="0"/>
              <w:kinsoku/>
              <w:overflowPunct w:val="0"/>
              <w:autoSpaceDE/>
              <w:autoSpaceDN/>
              <w:spacing w:before="0" w:beforeAutospacing="0" w:after="0" w:afterAutospacing="0" w:line="360" w:lineRule="auto"/>
              <w:ind w:left="21" w:leftChars="10" w:right="0" w:firstLine="478" w:firstLineChars="200"/>
              <w:rPr>
                <w:rFonts w:hint="eastAsia" w:ascii="宋体" w:hAnsi="宋体" w:eastAsia="宋体" w:cs="宋体"/>
                <w:b w:val="0"/>
                <w:bCs w:val="0"/>
                <w:color w:val="auto"/>
                <w:spacing w:val="-1"/>
                <w:lang w:val="en-US" w:eastAsia="zh-CN"/>
              </w:rPr>
            </w:pPr>
            <w:r>
              <w:rPr>
                <w:rFonts w:hint="eastAsia" w:ascii="宋体" w:hAnsi="宋体" w:eastAsia="宋体" w:cs="宋体"/>
                <w:b/>
                <w:bCs/>
                <w:color w:val="auto"/>
                <w:spacing w:val="-1"/>
                <w:lang w:eastAsia="zh-CN"/>
              </w:rPr>
              <w:t>入楦：</w:t>
            </w:r>
            <w:r>
              <w:rPr>
                <w:rFonts w:hint="eastAsia" w:ascii="宋体" w:hAnsi="宋体" w:eastAsia="宋体" w:cs="宋体"/>
                <w:b w:val="0"/>
                <w:bCs w:val="0"/>
                <w:color w:val="auto"/>
                <w:spacing w:val="-1"/>
                <w:lang w:eastAsia="zh-CN"/>
              </w:rPr>
              <w:t>将鞋楦放入鞋帮内，进一步固定鞋型，为鞋子提供支撑和标准化的尺寸。</w:t>
            </w:r>
          </w:p>
          <w:p w14:paraId="54D6E727">
            <w:pPr>
              <w:keepNext w:val="0"/>
              <w:keepLines w:val="0"/>
              <w:suppressLineNumbers w:val="0"/>
              <w:spacing w:before="0" w:beforeAutospacing="0" w:after="0" w:afterAutospacing="0" w:line="360" w:lineRule="auto"/>
              <w:ind w:left="0" w:right="0" w:firstLine="482" w:firstLineChars="200"/>
              <w:rPr>
                <w:rFonts w:hint="eastAsia" w:ascii="Times New Roman" w:hAnsi="Times New Roman" w:eastAsia="宋体" w:cs="Times New Roman"/>
                <w:b w:val="0"/>
                <w:bCs w:val="0"/>
                <w:color w:val="auto"/>
                <w:sz w:val="24"/>
                <w:highlight w:val="none"/>
                <w:shd w:val="clear" w:color="auto" w:fill="auto"/>
                <w:lang w:val="en-US" w:eastAsia="zh-CN"/>
              </w:rPr>
            </w:pPr>
            <w:r>
              <w:rPr>
                <w:rFonts w:hint="eastAsia" w:ascii="Times New Roman" w:hAnsi="Times New Roman" w:eastAsia="宋体" w:cs="Times New Roman"/>
                <w:b/>
                <w:bCs/>
                <w:color w:val="auto"/>
                <w:sz w:val="24"/>
                <w:highlight w:val="none"/>
                <w:shd w:val="clear" w:color="auto" w:fill="auto"/>
                <w:lang w:val="en-US" w:eastAsia="zh-CN"/>
              </w:rPr>
              <w:t>画线</w:t>
            </w:r>
            <w:r>
              <w:rPr>
                <w:rFonts w:hint="eastAsia" w:ascii="Times New Roman" w:hAnsi="Times New Roman" w:eastAsia="宋体" w:cs="Times New Roman"/>
                <w:b w:val="0"/>
                <w:bCs w:val="0"/>
                <w:color w:val="auto"/>
                <w:sz w:val="24"/>
                <w:highlight w:val="none"/>
                <w:shd w:val="clear" w:color="auto" w:fill="auto"/>
                <w:lang w:val="en-US" w:eastAsia="zh-CN"/>
              </w:rPr>
              <w:t>：根据设计要求，在鞋帮或鞋底部位标注粘贴或加工的参考线，为后续步骤提供定位。</w:t>
            </w:r>
          </w:p>
          <w:p w14:paraId="76895618">
            <w:pPr>
              <w:pStyle w:val="97"/>
              <w:keepNext w:val="0"/>
              <w:keepLines w:val="0"/>
              <w:suppressLineNumbers w:val="0"/>
              <w:kinsoku/>
              <w:overflowPunct w:val="0"/>
              <w:autoSpaceDE/>
              <w:autoSpaceDN/>
              <w:spacing w:before="0" w:beforeAutospacing="0" w:after="0" w:afterAutospacing="0" w:line="360" w:lineRule="auto"/>
              <w:ind w:left="21" w:leftChars="10" w:right="0" w:firstLine="478" w:firstLineChars="200"/>
              <w:rPr>
                <w:rFonts w:hint="eastAsia" w:ascii="Times New Roman" w:hAnsi="Times New Roman"/>
                <w:color w:val="auto"/>
                <w:spacing w:val="-1"/>
                <w:sz w:val="24"/>
                <w:lang w:eastAsia="zh-CN"/>
              </w:rPr>
            </w:pPr>
            <w:bookmarkStart w:id="16" w:name="OLE_LINK12"/>
            <w:r>
              <w:rPr>
                <w:rFonts w:hint="eastAsia" w:ascii="Times New Roman" w:hAnsi="Times New Roman"/>
                <w:b/>
                <w:bCs/>
                <w:color w:val="auto"/>
                <w:spacing w:val="-1"/>
                <w:sz w:val="24"/>
                <w:lang w:eastAsia="zh-CN"/>
              </w:rPr>
              <w:t>表面</w:t>
            </w:r>
            <w:bookmarkEnd w:id="16"/>
            <w:r>
              <w:rPr>
                <w:rFonts w:hint="eastAsia" w:ascii="Times New Roman" w:hAnsi="Times New Roman"/>
                <w:b/>
                <w:bCs/>
                <w:color w:val="auto"/>
                <w:spacing w:val="-1"/>
                <w:sz w:val="24"/>
                <w:lang w:eastAsia="zh-CN"/>
              </w:rPr>
              <w:t>处理：</w:t>
            </w:r>
            <w:r>
              <w:rPr>
                <w:rFonts w:hint="eastAsia" w:ascii="Times New Roman" w:hAnsi="Times New Roman"/>
                <w:color w:val="auto"/>
                <w:spacing w:val="-1"/>
                <w:sz w:val="24"/>
                <w:lang w:eastAsia="zh-CN"/>
              </w:rPr>
              <w:t>为了提升黏合效果，对鞋底或鞋帮表面进行表面处理，使用</w:t>
            </w:r>
            <w:r>
              <w:rPr>
                <w:rFonts w:hint="eastAsia" w:ascii="Times New Roman" w:hAnsi="Times New Roman"/>
                <w:color w:val="auto"/>
                <w:spacing w:val="-1"/>
                <w:sz w:val="24"/>
                <w:lang w:val="en-US" w:eastAsia="zh-CN"/>
              </w:rPr>
              <w:t>EVA或TPR</w:t>
            </w:r>
            <w:r>
              <w:rPr>
                <w:rFonts w:hint="eastAsia" w:ascii="Times New Roman" w:hAnsi="Times New Roman"/>
                <w:color w:val="auto"/>
                <w:spacing w:val="-1"/>
                <w:sz w:val="24"/>
                <w:lang w:eastAsia="zh-CN"/>
              </w:rPr>
              <w:t>处理剂处理</w:t>
            </w:r>
            <w:bookmarkStart w:id="17" w:name="OLE_LINK7"/>
            <w:r>
              <w:rPr>
                <w:rFonts w:hint="eastAsia" w:ascii="Times New Roman" w:hAnsi="Times New Roman"/>
                <w:color w:val="auto"/>
                <w:spacing w:val="-1"/>
                <w:sz w:val="24"/>
                <w:lang w:eastAsia="zh-CN"/>
              </w:rPr>
              <w:t>后，采用电加热烘干机进行烘干</w:t>
            </w:r>
            <w:bookmarkEnd w:id="17"/>
            <w:r>
              <w:rPr>
                <w:rFonts w:hint="eastAsia" w:ascii="Times New Roman" w:hAnsi="Times New Roman"/>
                <w:color w:val="auto"/>
                <w:spacing w:val="-1"/>
                <w:sz w:val="24"/>
                <w:lang w:eastAsia="zh-CN"/>
              </w:rPr>
              <w:t>。</w:t>
            </w:r>
            <w:bookmarkStart w:id="18" w:name="OLE_LINK8"/>
            <w:r>
              <w:rPr>
                <w:rFonts w:hint="eastAsia" w:ascii="Times New Roman" w:hAnsi="Times New Roman"/>
                <w:color w:val="auto"/>
                <w:spacing w:val="-1"/>
                <w:sz w:val="24"/>
                <w:lang w:eastAsia="zh-CN"/>
              </w:rPr>
              <w:t>烘干温度约50~70℃，烘干时间10~20min，</w:t>
            </w:r>
            <w:bookmarkEnd w:id="18"/>
            <w:r>
              <w:rPr>
                <w:rFonts w:hint="eastAsia" w:ascii="Times New Roman" w:hAnsi="Times New Roman"/>
                <w:color w:val="auto"/>
                <w:spacing w:val="-1"/>
                <w:sz w:val="24"/>
                <w:lang w:eastAsia="zh-CN"/>
              </w:rPr>
              <w:t>确保表面充分干燥后进入后续刷胶工序，</w:t>
            </w:r>
            <w:bookmarkStart w:id="19" w:name="OLE_LINK9"/>
            <w:r>
              <w:rPr>
                <w:rFonts w:hint="eastAsia" w:ascii="Times New Roman" w:hAnsi="Times New Roman"/>
                <w:color w:val="auto"/>
                <w:spacing w:val="-1"/>
                <w:sz w:val="24"/>
                <w:lang w:eastAsia="zh-CN"/>
              </w:rPr>
              <w:t>该部分工序产生</w:t>
            </w:r>
            <w:r>
              <w:rPr>
                <w:rFonts w:hint="eastAsia" w:ascii="Times New Roman" w:hAnsi="Times New Roman"/>
                <w:color w:val="auto"/>
                <w:spacing w:val="-1"/>
                <w:sz w:val="24"/>
                <w:lang w:val="en-US" w:eastAsia="zh-CN"/>
              </w:rPr>
              <w:t>表面处理</w:t>
            </w:r>
            <w:r>
              <w:rPr>
                <w:rFonts w:hint="eastAsia" w:ascii="Times New Roman" w:hAnsi="Times New Roman"/>
                <w:color w:val="auto"/>
                <w:spacing w:val="-1"/>
                <w:sz w:val="24"/>
                <w:lang w:eastAsia="zh-CN"/>
              </w:rPr>
              <w:t>有机物废气。</w:t>
            </w:r>
            <w:bookmarkEnd w:id="19"/>
          </w:p>
          <w:p w14:paraId="5330A8D1">
            <w:pPr>
              <w:pStyle w:val="97"/>
              <w:keepNext w:val="0"/>
              <w:keepLines w:val="0"/>
              <w:suppressLineNumbers w:val="0"/>
              <w:kinsoku/>
              <w:overflowPunct w:val="0"/>
              <w:autoSpaceDE/>
              <w:autoSpaceDN/>
              <w:spacing w:before="0" w:beforeAutospacing="0" w:after="0" w:afterAutospacing="0" w:line="360" w:lineRule="auto"/>
              <w:ind w:left="21" w:leftChars="10" w:right="0" w:firstLine="478" w:firstLineChars="200"/>
              <w:rPr>
                <w:rFonts w:hint="eastAsia" w:ascii="Times New Roman" w:hAnsi="Times New Roman"/>
                <w:color w:val="auto"/>
                <w:spacing w:val="-1"/>
                <w:sz w:val="24"/>
                <w:lang w:eastAsia="zh-CN"/>
              </w:rPr>
            </w:pPr>
            <w:r>
              <w:rPr>
                <w:rFonts w:hint="eastAsia" w:ascii="Times New Roman" w:hAnsi="Times New Roman"/>
                <w:b/>
                <w:bCs/>
                <w:color w:val="auto"/>
                <w:spacing w:val="-1"/>
                <w:sz w:val="24"/>
                <w:lang w:eastAsia="zh-CN"/>
              </w:rPr>
              <w:t>刷胶、烘烤：</w:t>
            </w:r>
            <w:r>
              <w:rPr>
                <w:rFonts w:hint="eastAsia" w:ascii="Times New Roman" w:hAnsi="Times New Roman"/>
                <w:color w:val="auto"/>
                <w:spacing w:val="-1"/>
                <w:sz w:val="24"/>
                <w:lang w:eastAsia="zh-CN"/>
              </w:rPr>
              <w:t>刷上鞋面胶、大底胶后将鞋面与鞋底贴合，然后使用压机贴合，然后打上边胶，然后进配套的烘干机进行烘烤加速胶水的固化（</w:t>
            </w:r>
            <w:r>
              <w:rPr>
                <w:rFonts w:hint="eastAsia" w:ascii="Times New Roman" w:hAnsi="Times New Roman"/>
                <w:color w:val="auto"/>
                <w:sz w:val="24"/>
                <w:lang w:eastAsia="zh-CN" w:bidi="ar"/>
              </w:rPr>
              <w:t>烘烤温度60</w:t>
            </w:r>
            <w:r>
              <w:rPr>
                <w:rFonts w:hint="eastAsia" w:ascii="Times New Roman" w:hAnsi="Times New Roman"/>
                <w:color w:val="auto"/>
                <w:spacing w:val="-1"/>
                <w:sz w:val="24"/>
                <w:lang w:eastAsia="zh-CN"/>
              </w:rPr>
              <w:t>~</w:t>
            </w:r>
            <w:r>
              <w:rPr>
                <w:rFonts w:hint="eastAsia" w:ascii="Times New Roman" w:hAnsi="Times New Roman"/>
                <w:color w:val="auto"/>
                <w:sz w:val="24"/>
                <w:lang w:eastAsia="zh-CN" w:bidi="ar"/>
              </w:rPr>
              <w:t>70℃、时间为3</w:t>
            </w:r>
            <w:r>
              <w:rPr>
                <w:rFonts w:hint="eastAsia" w:ascii="Times New Roman" w:hAnsi="Times New Roman"/>
                <w:color w:val="auto"/>
                <w:spacing w:val="-1"/>
                <w:sz w:val="24"/>
                <w:lang w:eastAsia="zh-CN"/>
              </w:rPr>
              <w:t>~</w:t>
            </w:r>
            <w:r>
              <w:rPr>
                <w:rFonts w:hint="eastAsia" w:ascii="Times New Roman" w:hAnsi="Times New Roman"/>
                <w:color w:val="auto"/>
                <w:sz w:val="24"/>
                <w:lang w:eastAsia="zh-CN" w:bidi="ar"/>
              </w:rPr>
              <w:t>5</w:t>
            </w:r>
            <w:r>
              <w:rPr>
                <w:rFonts w:hint="eastAsia" w:ascii="Times New Roman" w:hAnsi="Times New Roman"/>
                <w:color w:val="auto"/>
                <w:spacing w:val="-1"/>
                <w:sz w:val="24"/>
                <w:lang w:eastAsia="zh-CN"/>
              </w:rPr>
              <w:t>min</w:t>
            </w:r>
            <w:r>
              <w:rPr>
                <w:rFonts w:hint="eastAsia" w:ascii="Times New Roman" w:hAnsi="Times New Roman"/>
                <w:color w:val="auto"/>
                <w:sz w:val="24"/>
                <w:lang w:eastAsia="zh-CN" w:bidi="ar"/>
              </w:rPr>
              <w:t>）</w:t>
            </w:r>
            <w:r>
              <w:rPr>
                <w:rFonts w:hint="eastAsia" w:ascii="Times New Roman" w:hAnsi="Times New Roman"/>
                <w:color w:val="auto"/>
                <w:spacing w:val="-1"/>
                <w:sz w:val="24"/>
                <w:lang w:eastAsia="zh-CN"/>
              </w:rPr>
              <w:t>。在刷胶、烘烤过程中由于胶水的挥发会有少量的有机废气产生。</w:t>
            </w:r>
          </w:p>
          <w:p w14:paraId="51676EC1">
            <w:pPr>
              <w:pStyle w:val="97"/>
              <w:keepNext w:val="0"/>
              <w:keepLines w:val="0"/>
              <w:suppressLineNumbers w:val="0"/>
              <w:kinsoku/>
              <w:overflowPunct w:val="0"/>
              <w:autoSpaceDE/>
              <w:autoSpaceDN/>
              <w:spacing w:before="0" w:beforeAutospacing="0" w:after="0" w:afterAutospacing="0" w:line="360" w:lineRule="auto"/>
              <w:ind w:left="21" w:leftChars="10" w:right="0" w:firstLine="478" w:firstLineChars="200"/>
              <w:rPr>
                <w:rFonts w:hint="eastAsia"/>
                <w:color w:val="auto"/>
                <w:spacing w:val="-1"/>
                <w:lang w:eastAsia="zh-CN"/>
              </w:rPr>
            </w:pPr>
            <w:r>
              <w:rPr>
                <w:rFonts w:hint="eastAsia"/>
                <w:b/>
                <w:bCs/>
                <w:color w:val="auto"/>
                <w:spacing w:val="-1"/>
                <w:lang w:eastAsia="zh-CN"/>
              </w:rPr>
              <w:t>贴底：</w:t>
            </w:r>
            <w:r>
              <w:rPr>
                <w:rFonts w:hint="eastAsia"/>
                <w:color w:val="auto"/>
                <w:spacing w:val="-1"/>
                <w:lang w:eastAsia="zh-CN"/>
              </w:rPr>
              <w:t>将鞋底与鞋帮进行正式粘贴，确保贴合精准且无气泡。</w:t>
            </w:r>
          </w:p>
          <w:p w14:paraId="081A3EDB">
            <w:pPr>
              <w:pStyle w:val="97"/>
              <w:keepNext w:val="0"/>
              <w:keepLines w:val="0"/>
              <w:suppressLineNumbers w:val="0"/>
              <w:kinsoku/>
              <w:overflowPunct w:val="0"/>
              <w:autoSpaceDE/>
              <w:autoSpaceDN/>
              <w:spacing w:before="0" w:beforeAutospacing="0" w:after="0" w:afterAutospacing="0" w:line="360" w:lineRule="auto"/>
              <w:ind w:left="21" w:leftChars="10" w:right="0" w:firstLine="478" w:firstLineChars="200"/>
              <w:rPr>
                <w:rFonts w:hint="eastAsia"/>
                <w:color w:val="auto"/>
                <w:spacing w:val="-1"/>
                <w:lang w:eastAsia="zh-CN"/>
              </w:rPr>
            </w:pPr>
            <w:r>
              <w:rPr>
                <w:rFonts w:hint="eastAsia"/>
                <w:b/>
                <w:bCs/>
                <w:color w:val="auto"/>
                <w:spacing w:val="-1"/>
                <w:lang w:eastAsia="zh-CN"/>
              </w:rPr>
              <w:t>过冷冻机</w:t>
            </w:r>
            <w:r>
              <w:rPr>
                <w:rFonts w:hint="eastAsia"/>
                <w:b/>
                <w:bCs/>
                <w:color w:val="auto"/>
                <w:spacing w:val="-1"/>
                <w:lang w:val="en-US" w:eastAsia="zh-CN"/>
              </w:rPr>
              <w:t>或压机</w:t>
            </w:r>
            <w:r>
              <w:rPr>
                <w:rFonts w:hint="eastAsia"/>
                <w:b/>
                <w:bCs/>
                <w:color w:val="auto"/>
                <w:spacing w:val="-1"/>
                <w:lang w:eastAsia="zh-CN"/>
              </w:rPr>
              <w:t>：</w:t>
            </w:r>
            <w:r>
              <w:rPr>
                <w:rFonts w:hint="eastAsia"/>
                <w:color w:val="auto"/>
                <w:spacing w:val="-1"/>
                <w:lang w:eastAsia="zh-CN"/>
              </w:rPr>
              <w:t>通过冷冻机</w:t>
            </w:r>
            <w:r>
              <w:rPr>
                <w:rFonts w:hint="eastAsia"/>
                <w:color w:val="auto"/>
                <w:spacing w:val="-1"/>
                <w:lang w:val="en-US" w:eastAsia="zh-CN"/>
              </w:rPr>
              <w:t>或压机对</w:t>
            </w:r>
            <w:r>
              <w:rPr>
                <w:rFonts w:hint="eastAsia" w:ascii="Times New Roman" w:hAnsi="Times New Roman" w:eastAsia="宋体" w:cs="Times New Roman"/>
                <w:color w:val="auto"/>
                <w:kern w:val="2"/>
                <w:sz w:val="24"/>
                <w:szCs w:val="24"/>
                <w:highlight w:val="none"/>
                <w:shd w:val="clear" w:color="auto" w:fill="auto"/>
                <w:lang w:val="en-US" w:eastAsia="zh-CN" w:bidi="ar-SA"/>
              </w:rPr>
              <w:t>皮鞋、高跟鞋和注塑鞋</w:t>
            </w:r>
            <w:r>
              <w:rPr>
                <w:rFonts w:hint="eastAsia"/>
                <w:color w:val="auto"/>
                <w:spacing w:val="-1"/>
                <w:lang w:eastAsia="zh-CN"/>
              </w:rPr>
              <w:t>进行定型。</w:t>
            </w:r>
          </w:p>
          <w:p w14:paraId="3A460271">
            <w:pPr>
              <w:pStyle w:val="97"/>
              <w:keepNext w:val="0"/>
              <w:keepLines w:val="0"/>
              <w:suppressLineNumbers w:val="0"/>
              <w:kinsoku/>
              <w:overflowPunct w:val="0"/>
              <w:autoSpaceDE/>
              <w:autoSpaceDN/>
              <w:spacing w:before="0" w:beforeAutospacing="0" w:after="0" w:afterAutospacing="0" w:line="360" w:lineRule="auto"/>
              <w:ind w:left="21" w:leftChars="10" w:right="0" w:firstLine="478" w:firstLineChars="200"/>
              <w:rPr>
                <w:rFonts w:hint="default"/>
                <w:color w:val="auto"/>
                <w:lang w:val="en-US" w:eastAsia="zh-CN"/>
              </w:rPr>
            </w:pPr>
            <w:r>
              <w:rPr>
                <w:rFonts w:hint="eastAsia"/>
                <w:b/>
                <w:bCs/>
                <w:color w:val="auto"/>
                <w:spacing w:val="-1"/>
                <w:lang w:eastAsia="zh-CN"/>
              </w:rPr>
              <w:t>拔楦、整理、</w:t>
            </w:r>
            <w:r>
              <w:rPr>
                <w:rFonts w:hint="eastAsia"/>
                <w:b/>
                <w:bCs/>
                <w:color w:val="auto"/>
                <w:spacing w:val="-1"/>
                <w:lang w:val="en-US" w:eastAsia="zh-CN"/>
              </w:rPr>
              <w:t>检验、</w:t>
            </w:r>
            <w:r>
              <w:rPr>
                <w:rFonts w:hint="eastAsia"/>
                <w:b/>
                <w:bCs/>
                <w:color w:val="auto"/>
                <w:spacing w:val="-1"/>
                <w:lang w:eastAsia="zh-CN"/>
              </w:rPr>
              <w:t>包装：</w:t>
            </w:r>
            <w:r>
              <w:rPr>
                <w:rFonts w:hint="eastAsia"/>
                <w:color w:val="auto"/>
                <w:spacing w:val="-1"/>
                <w:lang w:eastAsia="zh-CN"/>
              </w:rPr>
              <w:t>拔出鞋楦、整理后为成品，</w:t>
            </w:r>
            <w:r>
              <w:rPr>
                <w:rFonts w:hint="eastAsia"/>
                <w:color w:val="auto"/>
                <w:spacing w:val="-1"/>
                <w:lang w:val="en-US" w:eastAsia="zh-CN"/>
              </w:rPr>
              <w:t>采用人工检验，对成品进行检查，未发现问题的休闲鞋</w:t>
            </w:r>
            <w:r>
              <w:rPr>
                <w:rFonts w:hint="default"/>
                <w:color w:val="auto"/>
                <w:kern w:val="0"/>
              </w:rPr>
              <w:t>将</w:t>
            </w:r>
            <w:r>
              <w:rPr>
                <w:rFonts w:hint="eastAsia"/>
                <w:color w:val="auto"/>
                <w:kern w:val="0"/>
                <w:lang w:val="en-US" w:eastAsia="zh-CN"/>
              </w:rPr>
              <w:t>被</w:t>
            </w:r>
            <w:r>
              <w:rPr>
                <w:rFonts w:hint="default"/>
                <w:color w:val="auto"/>
                <w:kern w:val="0"/>
              </w:rPr>
              <w:t>包装好</w:t>
            </w:r>
            <w:r>
              <w:rPr>
                <w:rFonts w:hint="eastAsia"/>
                <w:color w:val="auto"/>
                <w:kern w:val="0"/>
                <w:lang w:val="en-US" w:eastAsia="zh-CN"/>
              </w:rPr>
              <w:t>作为</w:t>
            </w:r>
            <w:r>
              <w:rPr>
                <w:rFonts w:hint="default"/>
                <w:color w:val="auto"/>
                <w:kern w:val="0"/>
              </w:rPr>
              <w:t>成品鞋子入库登记，待发货。</w:t>
            </w:r>
          </w:p>
          <w:p w14:paraId="121DF2E5">
            <w:pPr>
              <w:pStyle w:val="44"/>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Autospacing="0" w:line="240" w:lineRule="auto"/>
              <w:ind w:left="0" w:leftChars="0" w:right="0" w:firstLine="0" w:firstLineChars="0"/>
              <w:textAlignment w:val="auto"/>
              <w:rPr>
                <w:rFonts w:hint="default" w:ascii="Times New Roman" w:hAnsi="Times New Roman" w:eastAsia="宋体" w:cs="Times New Roman"/>
                <w:color w:val="auto"/>
                <w:kern w:val="2"/>
                <w:sz w:val="21"/>
                <w:szCs w:val="21"/>
                <w:highlight w:val="none"/>
                <w:lang w:val="en-US" w:eastAsia="zh-CN"/>
              </w:rPr>
            </w:pPr>
            <w:r>
              <w:rPr>
                <w:rFonts w:hint="default" w:ascii="Times New Roman" w:hAnsi="Times New Roman" w:eastAsia="宋体" w:cs="Times New Roman"/>
                <w:color w:val="auto"/>
                <w:kern w:val="2"/>
                <w:sz w:val="21"/>
                <w:szCs w:val="21"/>
                <w:highlight w:val="none"/>
                <w:lang w:val="en-US" w:eastAsia="zh-CN"/>
              </w:rPr>
              <w:t>表</w:t>
            </w:r>
            <w:r>
              <w:rPr>
                <w:rFonts w:hint="eastAsia" w:cs="Times New Roman"/>
                <w:color w:val="auto"/>
                <w:kern w:val="2"/>
                <w:sz w:val="21"/>
                <w:szCs w:val="21"/>
                <w:highlight w:val="none"/>
                <w:lang w:val="en-US" w:eastAsia="zh-CN"/>
              </w:rPr>
              <w:t>2-10</w:t>
            </w:r>
            <w:r>
              <w:rPr>
                <w:rFonts w:hint="eastAsia" w:ascii="Times New Roman" w:hAnsi="Times New Roman" w:eastAsia="宋体" w:cs="Times New Roman"/>
                <w:color w:val="auto"/>
                <w:kern w:val="2"/>
                <w:sz w:val="21"/>
                <w:szCs w:val="21"/>
                <w:highlight w:val="none"/>
                <w:lang w:val="en-US" w:eastAsia="zh-CN"/>
              </w:rPr>
              <w:t xml:space="preserve">  </w:t>
            </w:r>
            <w:r>
              <w:rPr>
                <w:rFonts w:hint="default" w:ascii="Times New Roman" w:hAnsi="Times New Roman" w:eastAsia="宋体" w:cs="Times New Roman"/>
                <w:color w:val="auto"/>
                <w:kern w:val="2"/>
                <w:sz w:val="21"/>
                <w:szCs w:val="21"/>
                <w:highlight w:val="none"/>
                <w:lang w:val="en-US" w:eastAsia="zh-CN"/>
              </w:rPr>
              <w:t>本项目</w:t>
            </w:r>
            <w:r>
              <w:rPr>
                <w:rFonts w:hint="eastAsia" w:cs="Times New Roman"/>
                <w:color w:val="auto"/>
                <w:kern w:val="2"/>
                <w:sz w:val="21"/>
                <w:szCs w:val="21"/>
                <w:highlight w:val="none"/>
                <w:lang w:val="en-US" w:eastAsia="zh-CN"/>
              </w:rPr>
              <w:t>产</w:t>
            </w:r>
            <w:r>
              <w:rPr>
                <w:rFonts w:hint="default" w:ascii="Times New Roman" w:hAnsi="Times New Roman" w:eastAsia="宋体" w:cs="Times New Roman"/>
                <w:color w:val="auto"/>
                <w:kern w:val="2"/>
                <w:sz w:val="21"/>
                <w:szCs w:val="21"/>
                <w:highlight w:val="none"/>
                <w:lang w:val="en-US" w:eastAsia="zh-CN"/>
              </w:rPr>
              <w:t>排污节点一览表</w:t>
            </w:r>
          </w:p>
          <w:tbl>
            <w:tblPr>
              <w:tblStyle w:val="26"/>
              <w:tblW w:w="4966"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550"/>
              <w:gridCol w:w="1116"/>
              <w:gridCol w:w="1404"/>
              <w:gridCol w:w="1385"/>
              <w:gridCol w:w="2831"/>
              <w:gridCol w:w="1068"/>
            </w:tblGrid>
            <w:tr w14:paraId="1DA0FDF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997" w:type="pct"/>
                  <w:gridSpan w:val="2"/>
                  <w:tcBorders>
                    <w:bottom w:val="single" w:color="auto" w:sz="12" w:space="0"/>
                  </w:tcBorders>
                  <w:noWrap w:val="0"/>
                  <w:vAlign w:val="center"/>
                </w:tcPr>
                <w:p w14:paraId="719AAAEC">
                  <w:pPr>
                    <w:pStyle w:val="9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b/>
                      <w:bCs/>
                      <w:color w:val="auto"/>
                      <w:spacing w:val="0"/>
                      <w:w w:val="100"/>
                      <w:sz w:val="21"/>
                      <w:szCs w:val="21"/>
                      <w:highlight w:val="none"/>
                      <w:lang w:val="en-US" w:eastAsia="zh-CN"/>
                    </w:rPr>
                  </w:pPr>
                  <w:r>
                    <w:rPr>
                      <w:rFonts w:hint="default" w:ascii="Times New Roman" w:hAnsi="Times New Roman" w:eastAsia="宋体" w:cs="Times New Roman"/>
                      <w:b/>
                      <w:bCs/>
                      <w:color w:val="auto"/>
                      <w:spacing w:val="0"/>
                      <w:w w:val="100"/>
                      <w:sz w:val="21"/>
                      <w:szCs w:val="21"/>
                      <w:highlight w:val="none"/>
                    </w:rPr>
                    <w:t>主要污染物</w:t>
                  </w:r>
                  <w:r>
                    <w:rPr>
                      <w:rFonts w:hint="default" w:ascii="Times New Roman" w:hAnsi="Times New Roman" w:eastAsia="宋体" w:cs="Times New Roman"/>
                      <w:b/>
                      <w:bCs/>
                      <w:color w:val="auto"/>
                      <w:spacing w:val="0"/>
                      <w:w w:val="100"/>
                      <w:sz w:val="21"/>
                      <w:szCs w:val="21"/>
                      <w:highlight w:val="none"/>
                      <w:lang w:val="en-US" w:eastAsia="zh-CN"/>
                    </w:rPr>
                    <w:t>种类</w:t>
                  </w:r>
                </w:p>
              </w:tc>
              <w:tc>
                <w:tcPr>
                  <w:tcW w:w="840" w:type="pct"/>
                  <w:tcBorders>
                    <w:bottom w:val="single" w:color="auto" w:sz="12" w:space="0"/>
                  </w:tcBorders>
                  <w:noWrap w:val="0"/>
                  <w:vAlign w:val="center"/>
                </w:tcPr>
                <w:p w14:paraId="7EC77D6E">
                  <w:pPr>
                    <w:pStyle w:val="9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b/>
                      <w:bCs/>
                      <w:color w:val="auto"/>
                      <w:spacing w:val="0"/>
                      <w:w w:val="100"/>
                      <w:sz w:val="21"/>
                      <w:szCs w:val="21"/>
                      <w:highlight w:val="none"/>
                      <w:lang w:val="en-US" w:eastAsia="zh-CN"/>
                    </w:rPr>
                  </w:pPr>
                  <w:r>
                    <w:rPr>
                      <w:rFonts w:hint="default" w:ascii="Times New Roman" w:hAnsi="Times New Roman" w:eastAsia="宋体" w:cs="Times New Roman"/>
                      <w:b/>
                      <w:bCs/>
                      <w:color w:val="auto"/>
                      <w:spacing w:val="0"/>
                      <w:w w:val="100"/>
                      <w:sz w:val="21"/>
                      <w:szCs w:val="21"/>
                      <w:highlight w:val="none"/>
                      <w:lang w:val="en-US" w:eastAsia="zh-CN"/>
                    </w:rPr>
                    <w:t>污染物来源</w:t>
                  </w:r>
                </w:p>
              </w:tc>
              <w:tc>
                <w:tcPr>
                  <w:tcW w:w="828" w:type="pct"/>
                  <w:tcBorders>
                    <w:bottom w:val="single" w:color="auto" w:sz="12" w:space="0"/>
                  </w:tcBorders>
                  <w:noWrap w:val="0"/>
                  <w:vAlign w:val="center"/>
                </w:tcPr>
                <w:p w14:paraId="257A2216">
                  <w:pPr>
                    <w:pStyle w:val="9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b/>
                      <w:bCs/>
                      <w:color w:val="auto"/>
                      <w:spacing w:val="0"/>
                      <w:w w:val="100"/>
                      <w:sz w:val="21"/>
                      <w:szCs w:val="21"/>
                      <w:highlight w:val="none"/>
                    </w:rPr>
                  </w:pPr>
                  <w:r>
                    <w:rPr>
                      <w:rFonts w:hint="default" w:ascii="Times New Roman" w:hAnsi="Times New Roman" w:eastAsia="宋体" w:cs="Times New Roman"/>
                      <w:b/>
                      <w:bCs/>
                      <w:color w:val="auto"/>
                      <w:spacing w:val="0"/>
                      <w:w w:val="100"/>
                      <w:sz w:val="21"/>
                      <w:szCs w:val="21"/>
                      <w:highlight w:val="none"/>
                    </w:rPr>
                    <w:t>污染物名称</w:t>
                  </w:r>
                </w:p>
              </w:tc>
              <w:tc>
                <w:tcPr>
                  <w:tcW w:w="1694" w:type="pct"/>
                  <w:tcBorders>
                    <w:bottom w:val="single" w:color="auto" w:sz="12" w:space="0"/>
                  </w:tcBorders>
                  <w:noWrap w:val="0"/>
                  <w:vAlign w:val="center"/>
                </w:tcPr>
                <w:p w14:paraId="2F758600">
                  <w:pPr>
                    <w:pStyle w:val="9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b/>
                      <w:bCs/>
                      <w:color w:val="auto"/>
                      <w:spacing w:val="0"/>
                      <w:w w:val="100"/>
                      <w:sz w:val="21"/>
                      <w:szCs w:val="21"/>
                      <w:highlight w:val="none"/>
                      <w:lang w:val="en-US" w:eastAsia="zh-CN"/>
                    </w:rPr>
                  </w:pPr>
                  <w:r>
                    <w:rPr>
                      <w:rFonts w:hint="default" w:ascii="Times New Roman" w:hAnsi="Times New Roman" w:eastAsia="宋体" w:cs="Times New Roman"/>
                      <w:b/>
                      <w:bCs/>
                      <w:color w:val="auto"/>
                      <w:spacing w:val="0"/>
                      <w:w w:val="100"/>
                      <w:sz w:val="21"/>
                      <w:szCs w:val="21"/>
                      <w:highlight w:val="none"/>
                      <w:lang w:val="en-US" w:eastAsia="zh-CN"/>
                    </w:rPr>
                    <w:t>排放方式</w:t>
                  </w:r>
                </w:p>
              </w:tc>
              <w:tc>
                <w:tcPr>
                  <w:tcW w:w="639" w:type="pct"/>
                  <w:tcBorders>
                    <w:bottom w:val="single" w:color="auto" w:sz="12" w:space="0"/>
                  </w:tcBorders>
                  <w:noWrap w:val="0"/>
                  <w:vAlign w:val="center"/>
                </w:tcPr>
                <w:p w14:paraId="186F4144">
                  <w:pPr>
                    <w:pStyle w:val="9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b/>
                      <w:bCs/>
                      <w:color w:val="auto"/>
                      <w:spacing w:val="0"/>
                      <w:w w:val="100"/>
                      <w:sz w:val="21"/>
                      <w:szCs w:val="21"/>
                      <w:highlight w:val="none"/>
                      <w:lang w:val="en-US" w:eastAsia="zh-CN"/>
                    </w:rPr>
                  </w:pPr>
                  <w:r>
                    <w:rPr>
                      <w:rFonts w:hint="eastAsia" w:cs="Times New Roman"/>
                      <w:b/>
                      <w:bCs/>
                      <w:color w:val="auto"/>
                      <w:spacing w:val="0"/>
                      <w:w w:val="100"/>
                      <w:sz w:val="21"/>
                      <w:szCs w:val="21"/>
                      <w:highlight w:val="none"/>
                      <w:lang w:val="en-US" w:eastAsia="zh-CN"/>
                    </w:rPr>
                    <w:t>备注</w:t>
                  </w:r>
                </w:p>
              </w:tc>
            </w:tr>
            <w:tr w14:paraId="689642B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29" w:type="pct"/>
                  <w:vMerge w:val="restart"/>
                  <w:tcBorders>
                    <w:top w:val="single" w:color="auto" w:sz="12" w:space="0"/>
                    <w:bottom w:val="single" w:color="auto" w:sz="4" w:space="0"/>
                    <w:right w:val="single" w:color="auto" w:sz="4" w:space="0"/>
                  </w:tcBorders>
                  <w:noWrap w:val="0"/>
                  <w:vAlign w:val="center"/>
                </w:tcPr>
                <w:p w14:paraId="40518B0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r>
                    <w:rPr>
                      <w:rFonts w:hint="default" w:ascii="Times New Roman" w:hAnsi="Times New Roman" w:eastAsia="宋体" w:cs="Times New Roman"/>
                      <w:color w:val="auto"/>
                      <w:spacing w:val="0"/>
                      <w:w w:val="100"/>
                      <w:kern w:val="18"/>
                      <w:sz w:val="21"/>
                      <w:szCs w:val="21"/>
                      <w:highlight w:val="none"/>
                      <w:lang w:val="en-US" w:eastAsia="zh-CN"/>
                    </w:rPr>
                    <w:t>废气</w:t>
                  </w:r>
                </w:p>
              </w:tc>
              <w:tc>
                <w:tcPr>
                  <w:tcW w:w="667" w:type="pct"/>
                  <w:vMerge w:val="restart"/>
                  <w:tcBorders>
                    <w:top w:val="nil"/>
                    <w:left w:val="single" w:color="auto" w:sz="4" w:space="0"/>
                    <w:bottom w:val="single" w:color="auto" w:sz="4" w:space="0"/>
                    <w:right w:val="single" w:color="auto" w:sz="4" w:space="0"/>
                  </w:tcBorders>
                  <w:noWrap w:val="0"/>
                  <w:vAlign w:val="center"/>
                </w:tcPr>
                <w:p w14:paraId="566CB3EA">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r>
                    <w:rPr>
                      <w:rFonts w:hint="eastAsia" w:cs="Times New Roman"/>
                      <w:color w:val="auto"/>
                      <w:spacing w:val="0"/>
                      <w:w w:val="100"/>
                      <w:kern w:val="18"/>
                      <w:sz w:val="21"/>
                      <w:szCs w:val="21"/>
                      <w:highlight w:val="none"/>
                      <w:lang w:val="en-US" w:eastAsia="zh-CN"/>
                    </w:rPr>
                    <w:t>颗粒物</w:t>
                  </w:r>
                </w:p>
              </w:tc>
              <w:tc>
                <w:tcPr>
                  <w:tcW w:w="840" w:type="pct"/>
                  <w:tcBorders>
                    <w:top w:val="nil"/>
                    <w:left w:val="single" w:color="auto" w:sz="4" w:space="0"/>
                    <w:bottom w:val="single" w:color="auto" w:sz="4" w:space="0"/>
                    <w:right w:val="single" w:color="auto" w:sz="4" w:space="0"/>
                  </w:tcBorders>
                  <w:noWrap w:val="0"/>
                  <w:vAlign w:val="center"/>
                </w:tcPr>
                <w:p w14:paraId="7AA2897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rPr>
                      <w:rFonts w:hint="default" w:ascii="Times New Roman" w:hAnsi="Times New Roman" w:eastAsia="宋体" w:cs="Times New Roman"/>
                      <w:color w:val="auto"/>
                      <w:spacing w:val="0"/>
                      <w:w w:val="100"/>
                      <w:kern w:val="18"/>
                      <w:sz w:val="21"/>
                      <w:szCs w:val="21"/>
                      <w:highlight w:val="none"/>
                      <w:lang w:val="en-US" w:eastAsia="zh-CN"/>
                    </w:rPr>
                  </w:pPr>
                  <w:r>
                    <w:rPr>
                      <w:rFonts w:hint="eastAsia" w:cs="Times New Roman"/>
                      <w:color w:val="auto"/>
                      <w:sz w:val="21"/>
                      <w:szCs w:val="21"/>
                      <w:lang w:val="en-US" w:eastAsia="zh-CN"/>
                    </w:rPr>
                    <w:t>PVC注塑</w:t>
                  </w:r>
                  <w:r>
                    <w:rPr>
                      <w:rFonts w:hint="eastAsia" w:ascii="Times New Roman" w:hAnsi="Times New Roman" w:eastAsia="宋体" w:cs="Times New Roman"/>
                      <w:color w:val="auto"/>
                      <w:sz w:val="21"/>
                      <w:szCs w:val="21"/>
                      <w:lang w:val="en-US" w:eastAsia="zh-CN"/>
                    </w:rPr>
                    <w:t>投料粉尘</w:t>
                  </w:r>
                </w:p>
              </w:tc>
              <w:tc>
                <w:tcPr>
                  <w:tcW w:w="828" w:type="pct"/>
                  <w:vMerge w:val="restart"/>
                  <w:tcBorders>
                    <w:top w:val="nil"/>
                    <w:left w:val="single" w:color="auto" w:sz="4" w:space="0"/>
                    <w:bottom w:val="single" w:color="auto" w:sz="4" w:space="0"/>
                    <w:right w:val="single" w:color="auto" w:sz="4" w:space="0"/>
                  </w:tcBorders>
                  <w:noWrap w:val="0"/>
                  <w:vAlign w:val="center"/>
                </w:tcPr>
                <w:p w14:paraId="0304FA7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r>
                    <w:rPr>
                      <w:rFonts w:hint="eastAsia" w:cs="Times New Roman"/>
                      <w:color w:val="auto"/>
                      <w:spacing w:val="0"/>
                      <w:w w:val="100"/>
                      <w:kern w:val="18"/>
                      <w:sz w:val="21"/>
                      <w:szCs w:val="21"/>
                      <w:highlight w:val="none"/>
                      <w:lang w:val="en-US" w:eastAsia="zh-CN"/>
                    </w:rPr>
                    <w:t>颗粒物</w:t>
                  </w:r>
                </w:p>
              </w:tc>
              <w:tc>
                <w:tcPr>
                  <w:tcW w:w="1694" w:type="pct"/>
                  <w:tcBorders>
                    <w:top w:val="nil"/>
                    <w:left w:val="single" w:color="auto" w:sz="4" w:space="0"/>
                    <w:bottom w:val="single" w:color="auto" w:sz="4" w:space="0"/>
                    <w:right w:val="single" w:color="auto" w:sz="4" w:space="0"/>
                  </w:tcBorders>
                  <w:noWrap w:val="0"/>
                  <w:vAlign w:val="center"/>
                </w:tcPr>
                <w:p w14:paraId="4A20361E">
                  <w:pPr>
                    <w:keepNext w:val="0"/>
                    <w:keepLines w:val="0"/>
                    <w:pageBreakBefore w:val="0"/>
                    <w:suppressLineNumbers w:val="0"/>
                    <w:kinsoku/>
                    <w:wordWrap/>
                    <w:overflowPunct/>
                    <w:topLinePunct w:val="0"/>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0"/>
                      <w:w w:val="100"/>
                      <w:kern w:val="18"/>
                      <w:sz w:val="21"/>
                      <w:szCs w:val="21"/>
                      <w:highlight w:val="none"/>
                      <w:lang w:val="en-US" w:eastAsia="zh-CN"/>
                    </w:rPr>
                  </w:pPr>
                  <w:r>
                    <w:rPr>
                      <w:rFonts w:hint="eastAsia" w:cs="Times New Roman"/>
                      <w:color w:val="auto"/>
                      <w:sz w:val="21"/>
                      <w:szCs w:val="21"/>
                      <w:lang w:val="en-US" w:eastAsia="zh-CN"/>
                    </w:rPr>
                    <w:t>半密闭集气罩负压收集</w:t>
                  </w:r>
                  <w:r>
                    <w:rPr>
                      <w:rFonts w:hint="eastAsia" w:ascii="Times New Roman" w:hAnsi="Times New Roman" w:eastAsia="宋体" w:cs="Times New Roman"/>
                      <w:color w:val="auto"/>
                      <w:sz w:val="21"/>
                      <w:szCs w:val="21"/>
                      <w:lang w:val="en-US" w:eastAsia="zh-CN"/>
                    </w:rPr>
                    <w:t>+布袋除尘器+15m高排气筒（DA001）</w:t>
                  </w:r>
                </w:p>
              </w:tc>
              <w:tc>
                <w:tcPr>
                  <w:tcW w:w="639" w:type="pct"/>
                  <w:vMerge w:val="restart"/>
                  <w:tcBorders>
                    <w:top w:val="nil"/>
                    <w:left w:val="single" w:color="auto" w:sz="4" w:space="0"/>
                    <w:bottom w:val="single" w:color="auto" w:sz="4" w:space="0"/>
                    <w:right w:val="nil"/>
                  </w:tcBorders>
                  <w:noWrap w:val="0"/>
                  <w:vAlign w:val="center"/>
                </w:tcPr>
                <w:p w14:paraId="19A5E88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snapToGrid w:val="0"/>
                      <w:color w:val="auto"/>
                      <w:sz w:val="21"/>
                      <w:szCs w:val="21"/>
                      <w:highlight w:val="none"/>
                    </w:rPr>
                  </w:pPr>
                </w:p>
              </w:tc>
            </w:tr>
            <w:tr w14:paraId="3B8E1D7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29" w:type="pct"/>
                  <w:vMerge w:val="continue"/>
                  <w:tcBorders>
                    <w:top w:val="single" w:color="auto" w:sz="4" w:space="0"/>
                    <w:bottom w:val="single" w:color="auto" w:sz="4" w:space="0"/>
                    <w:right w:val="single" w:color="auto" w:sz="4" w:space="0"/>
                  </w:tcBorders>
                  <w:noWrap w:val="0"/>
                  <w:vAlign w:val="center"/>
                </w:tcPr>
                <w:p w14:paraId="0840303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667" w:type="pct"/>
                  <w:vMerge w:val="continue"/>
                  <w:tcBorders>
                    <w:top w:val="single" w:color="auto" w:sz="4" w:space="0"/>
                    <w:left w:val="single" w:color="auto" w:sz="4" w:space="0"/>
                    <w:bottom w:val="single" w:color="auto" w:sz="4" w:space="0"/>
                    <w:right w:val="single" w:color="auto" w:sz="4" w:space="0"/>
                  </w:tcBorders>
                  <w:noWrap w:val="0"/>
                  <w:vAlign w:val="center"/>
                </w:tcPr>
                <w:p w14:paraId="12D222D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eastAsia" w:cs="Times New Roman"/>
                      <w:color w:val="auto"/>
                      <w:spacing w:val="0"/>
                      <w:w w:val="100"/>
                      <w:kern w:val="18"/>
                      <w:sz w:val="21"/>
                      <w:szCs w:val="21"/>
                      <w:highlight w:val="none"/>
                      <w:lang w:val="en-US" w:eastAsia="zh-CN"/>
                    </w:rPr>
                  </w:pPr>
                </w:p>
              </w:tc>
              <w:tc>
                <w:tcPr>
                  <w:tcW w:w="840" w:type="pct"/>
                  <w:tcBorders>
                    <w:top w:val="single" w:color="auto" w:sz="4" w:space="0"/>
                    <w:left w:val="single" w:color="auto" w:sz="4" w:space="0"/>
                    <w:bottom w:val="single" w:color="auto" w:sz="4" w:space="0"/>
                    <w:right w:val="single" w:color="auto" w:sz="4" w:space="0"/>
                  </w:tcBorders>
                  <w:noWrap w:val="0"/>
                  <w:vAlign w:val="center"/>
                </w:tcPr>
                <w:p w14:paraId="663978C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rPr>
                      <w:rFonts w:hint="eastAsia" w:cs="Times New Roman"/>
                      <w:color w:val="auto"/>
                      <w:spacing w:val="0"/>
                      <w:w w:val="100"/>
                      <w:kern w:val="18"/>
                      <w:sz w:val="21"/>
                      <w:szCs w:val="21"/>
                      <w:highlight w:val="none"/>
                      <w:lang w:val="en-US" w:eastAsia="zh-CN"/>
                    </w:rPr>
                  </w:pPr>
                  <w:r>
                    <w:rPr>
                      <w:rFonts w:hint="eastAsia" w:cs="宋体"/>
                      <w:color w:val="auto"/>
                      <w:sz w:val="21"/>
                      <w:szCs w:val="21"/>
                      <w:highlight w:val="none"/>
                      <w:lang w:val="en-US" w:eastAsia="zh-CN"/>
                    </w:rPr>
                    <w:t>鞋头打磨粉尘</w:t>
                  </w:r>
                </w:p>
              </w:tc>
              <w:tc>
                <w:tcPr>
                  <w:tcW w:w="828" w:type="pct"/>
                  <w:vMerge w:val="continue"/>
                  <w:tcBorders>
                    <w:top w:val="single" w:color="auto" w:sz="4" w:space="0"/>
                    <w:left w:val="single" w:color="auto" w:sz="4" w:space="0"/>
                    <w:bottom w:val="single" w:color="auto" w:sz="4" w:space="0"/>
                    <w:right w:val="single" w:color="auto" w:sz="4" w:space="0"/>
                  </w:tcBorders>
                  <w:noWrap w:val="0"/>
                  <w:vAlign w:val="center"/>
                </w:tcPr>
                <w:p w14:paraId="13598C00">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eastAsia" w:cs="Times New Roman"/>
                      <w:color w:val="auto"/>
                      <w:spacing w:val="0"/>
                      <w:w w:val="100"/>
                      <w:kern w:val="18"/>
                      <w:sz w:val="21"/>
                      <w:szCs w:val="21"/>
                      <w:highlight w:val="none"/>
                      <w:lang w:val="en-US" w:eastAsia="zh-CN"/>
                    </w:rPr>
                  </w:pPr>
                </w:p>
              </w:tc>
              <w:tc>
                <w:tcPr>
                  <w:tcW w:w="1694" w:type="pct"/>
                  <w:tcBorders>
                    <w:top w:val="single" w:color="auto" w:sz="4" w:space="0"/>
                    <w:left w:val="single" w:color="auto" w:sz="4" w:space="0"/>
                    <w:bottom w:val="single" w:color="auto" w:sz="4" w:space="0"/>
                    <w:right w:val="single" w:color="auto" w:sz="4" w:space="0"/>
                  </w:tcBorders>
                  <w:noWrap w:val="0"/>
                  <w:vAlign w:val="center"/>
                </w:tcPr>
                <w:p w14:paraId="52647672">
                  <w:pPr>
                    <w:keepNext w:val="0"/>
                    <w:keepLines w:val="0"/>
                    <w:pageBreakBefore w:val="0"/>
                    <w:suppressLineNumbers w:val="0"/>
                    <w:kinsoku/>
                    <w:wordWrap/>
                    <w:overflowPunct/>
                    <w:topLinePunct w:val="0"/>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0"/>
                      <w:w w:val="100"/>
                      <w:kern w:val="18"/>
                      <w:sz w:val="21"/>
                      <w:szCs w:val="21"/>
                      <w:highlight w:val="none"/>
                      <w:lang w:val="en-US" w:eastAsia="zh-CN"/>
                    </w:rPr>
                  </w:pPr>
                  <w:r>
                    <w:rPr>
                      <w:rFonts w:hint="eastAsia" w:cs="Times New Roman"/>
                      <w:color w:val="auto"/>
                      <w:sz w:val="21"/>
                      <w:szCs w:val="21"/>
                      <w:lang w:val="en-US" w:eastAsia="zh-CN"/>
                    </w:rPr>
                    <w:t>半密闭集气罩负压收集</w:t>
                  </w:r>
                  <w:r>
                    <w:rPr>
                      <w:rFonts w:hint="eastAsia" w:ascii="Times New Roman" w:hAnsi="Times New Roman" w:eastAsia="宋体" w:cs="Times New Roman"/>
                      <w:color w:val="auto"/>
                      <w:sz w:val="21"/>
                      <w:szCs w:val="21"/>
                      <w:lang w:val="en-US" w:eastAsia="zh-CN"/>
                    </w:rPr>
                    <w:t>+布袋除尘器+15m高排气筒（DA001）</w:t>
                  </w:r>
                </w:p>
              </w:tc>
              <w:tc>
                <w:tcPr>
                  <w:tcW w:w="639" w:type="pct"/>
                  <w:vMerge w:val="continue"/>
                  <w:tcBorders>
                    <w:top w:val="single" w:color="auto" w:sz="4" w:space="0"/>
                    <w:left w:val="single" w:color="auto" w:sz="4" w:space="0"/>
                    <w:bottom w:val="single" w:color="auto" w:sz="4" w:space="0"/>
                    <w:right w:val="nil"/>
                  </w:tcBorders>
                  <w:noWrap w:val="0"/>
                  <w:vAlign w:val="center"/>
                </w:tcPr>
                <w:p w14:paraId="4F850CA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snapToGrid w:val="0"/>
                      <w:color w:val="auto"/>
                      <w:sz w:val="21"/>
                      <w:szCs w:val="21"/>
                      <w:highlight w:val="none"/>
                      <w:lang w:val="en-US" w:eastAsia="zh-CN"/>
                    </w:rPr>
                  </w:pPr>
                </w:p>
              </w:tc>
            </w:tr>
            <w:tr w14:paraId="0CDEF58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23" w:hRule="atLeast"/>
                <w:jc w:val="center"/>
              </w:trPr>
              <w:tc>
                <w:tcPr>
                  <w:tcW w:w="329" w:type="pct"/>
                  <w:vMerge w:val="continue"/>
                  <w:tcBorders>
                    <w:top w:val="single" w:color="auto" w:sz="4" w:space="0"/>
                    <w:bottom w:val="single" w:color="auto" w:sz="4" w:space="0"/>
                    <w:right w:val="single" w:color="auto" w:sz="4" w:space="0"/>
                  </w:tcBorders>
                  <w:noWrap w:val="0"/>
                  <w:vAlign w:val="center"/>
                </w:tcPr>
                <w:p w14:paraId="02B5864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667" w:type="pct"/>
                  <w:vMerge w:val="restart"/>
                  <w:tcBorders>
                    <w:top w:val="single" w:color="auto" w:sz="4" w:space="0"/>
                    <w:left w:val="single" w:color="auto" w:sz="4" w:space="0"/>
                    <w:bottom w:val="single" w:color="auto" w:sz="4" w:space="0"/>
                    <w:right w:val="single" w:color="auto" w:sz="4" w:space="0"/>
                  </w:tcBorders>
                  <w:noWrap w:val="0"/>
                  <w:vAlign w:val="center"/>
                </w:tcPr>
                <w:p w14:paraId="4FAA055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eastAsia" w:cs="Times New Roman"/>
                      <w:color w:val="auto"/>
                      <w:spacing w:val="0"/>
                      <w:w w:val="100"/>
                      <w:kern w:val="18"/>
                      <w:sz w:val="21"/>
                      <w:szCs w:val="21"/>
                      <w:highlight w:val="none"/>
                      <w:lang w:val="en-US" w:eastAsia="zh-CN"/>
                    </w:rPr>
                  </w:pPr>
                  <w:r>
                    <w:rPr>
                      <w:rFonts w:hint="eastAsia" w:cs="Times New Roman"/>
                      <w:color w:val="auto"/>
                      <w:spacing w:val="0"/>
                      <w:w w:val="100"/>
                      <w:kern w:val="18"/>
                      <w:sz w:val="21"/>
                      <w:szCs w:val="21"/>
                      <w:highlight w:val="none"/>
                      <w:lang w:val="en-US" w:eastAsia="zh-CN"/>
                    </w:rPr>
                    <w:t>有机废气</w:t>
                  </w:r>
                </w:p>
              </w:tc>
              <w:tc>
                <w:tcPr>
                  <w:tcW w:w="840" w:type="pct"/>
                  <w:tcBorders>
                    <w:top w:val="single" w:color="auto" w:sz="4" w:space="0"/>
                    <w:left w:val="single" w:color="auto" w:sz="4" w:space="0"/>
                    <w:bottom w:val="single" w:color="auto" w:sz="4" w:space="0"/>
                    <w:right w:val="single" w:color="auto" w:sz="4" w:space="0"/>
                  </w:tcBorders>
                  <w:noWrap w:val="0"/>
                  <w:vAlign w:val="center"/>
                </w:tcPr>
                <w:p w14:paraId="481FAD1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rPr>
                      <w:rFonts w:hint="eastAsia" w:cs="Times New Roman"/>
                      <w:color w:val="auto"/>
                      <w:spacing w:val="0"/>
                      <w:w w:val="100"/>
                      <w:kern w:val="18"/>
                      <w:sz w:val="21"/>
                      <w:szCs w:val="21"/>
                      <w:highlight w:val="none"/>
                      <w:lang w:val="en-US" w:eastAsia="zh-CN"/>
                    </w:rPr>
                  </w:pPr>
                  <w:r>
                    <w:rPr>
                      <w:rFonts w:hint="eastAsia" w:cs="宋体"/>
                      <w:color w:val="auto"/>
                      <w:sz w:val="21"/>
                      <w:szCs w:val="21"/>
                      <w:highlight w:val="none"/>
                      <w:lang w:val="en-US" w:eastAsia="zh-CN"/>
                    </w:rPr>
                    <w:t>发泡及脱模有机废气</w:t>
                  </w:r>
                </w:p>
              </w:tc>
              <w:tc>
                <w:tcPr>
                  <w:tcW w:w="828" w:type="pct"/>
                  <w:tcBorders>
                    <w:top w:val="single" w:color="auto" w:sz="4" w:space="0"/>
                    <w:left w:val="single" w:color="auto" w:sz="4" w:space="0"/>
                    <w:bottom w:val="single" w:color="auto" w:sz="4" w:space="0"/>
                    <w:right w:val="single" w:color="auto" w:sz="4" w:space="0"/>
                  </w:tcBorders>
                  <w:noWrap w:val="0"/>
                  <w:vAlign w:val="center"/>
                </w:tcPr>
                <w:p w14:paraId="28EE7D1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cs="Times New Roman"/>
                      <w:color w:val="auto"/>
                      <w:spacing w:val="0"/>
                      <w:w w:val="100"/>
                      <w:kern w:val="18"/>
                      <w:sz w:val="21"/>
                      <w:szCs w:val="21"/>
                      <w:highlight w:val="none"/>
                      <w:lang w:val="en-US" w:eastAsia="zh-CN"/>
                    </w:rPr>
                  </w:pPr>
                  <w:r>
                    <w:rPr>
                      <w:rFonts w:hint="eastAsia" w:cs="Times New Roman"/>
                      <w:color w:val="auto"/>
                      <w:spacing w:val="0"/>
                      <w:w w:val="100"/>
                      <w:kern w:val="18"/>
                      <w:sz w:val="21"/>
                      <w:szCs w:val="21"/>
                      <w:highlight w:val="none"/>
                      <w:lang w:val="en-US" w:eastAsia="zh-CN"/>
                    </w:rPr>
                    <w:t>非甲烷总烃</w:t>
                  </w:r>
                </w:p>
              </w:tc>
              <w:tc>
                <w:tcPr>
                  <w:tcW w:w="1694" w:type="pct"/>
                  <w:tcBorders>
                    <w:top w:val="single" w:color="auto" w:sz="4" w:space="0"/>
                    <w:left w:val="single" w:color="auto" w:sz="4" w:space="0"/>
                    <w:bottom w:val="single" w:color="auto" w:sz="4" w:space="0"/>
                    <w:right w:val="single" w:color="auto" w:sz="4" w:space="0"/>
                  </w:tcBorders>
                  <w:noWrap w:val="0"/>
                  <w:vAlign w:val="center"/>
                </w:tcPr>
                <w:p w14:paraId="24280146">
                  <w:pPr>
                    <w:keepNext w:val="0"/>
                    <w:keepLines w:val="0"/>
                    <w:pageBreakBefore w:val="0"/>
                    <w:suppressLineNumbers w:val="0"/>
                    <w:kinsoku/>
                    <w:wordWrap/>
                    <w:overflowPunct/>
                    <w:topLinePunct w:val="0"/>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0"/>
                      <w:w w:val="100"/>
                      <w:kern w:val="18"/>
                      <w:sz w:val="21"/>
                      <w:szCs w:val="21"/>
                      <w:highlight w:val="none"/>
                      <w:lang w:val="en-US" w:eastAsia="zh-CN"/>
                    </w:rPr>
                  </w:pPr>
                  <w:r>
                    <w:rPr>
                      <w:rFonts w:hint="eastAsia" w:cs="Times New Roman"/>
                      <w:color w:val="auto"/>
                      <w:sz w:val="21"/>
                      <w:szCs w:val="21"/>
                      <w:lang w:val="en-US" w:eastAsia="zh-CN"/>
                    </w:rPr>
                    <w:t>半密闭集气罩负压收集</w:t>
                  </w:r>
                  <w:r>
                    <w:rPr>
                      <w:rFonts w:hint="eastAsia" w:ascii="Times New Roman" w:hAnsi="Times New Roman" w:eastAsia="宋体" w:cs="Times New Roman"/>
                      <w:color w:val="auto"/>
                      <w:sz w:val="21"/>
                      <w:szCs w:val="21"/>
                      <w:lang w:val="en-US" w:eastAsia="zh-CN"/>
                    </w:rPr>
                    <w:t>+</w:t>
                  </w:r>
                  <w:r>
                    <w:rPr>
                      <w:rFonts w:hint="eastAsia" w:cs="Times New Roman"/>
                      <w:color w:val="auto"/>
                      <w:sz w:val="21"/>
                      <w:szCs w:val="21"/>
                      <w:lang w:val="en-US" w:eastAsia="zh-CN"/>
                    </w:rPr>
                    <w:t>五级活性炭</w:t>
                  </w:r>
                  <w:r>
                    <w:rPr>
                      <w:rFonts w:hint="eastAsia" w:ascii="Times New Roman" w:hAnsi="Times New Roman" w:eastAsia="宋体" w:cs="Times New Roman"/>
                      <w:color w:val="auto"/>
                      <w:sz w:val="21"/>
                      <w:szCs w:val="21"/>
                      <w:lang w:val="en-US" w:eastAsia="zh-CN"/>
                    </w:rPr>
                    <w:t>吸附+15m高排气筒（DA002）</w:t>
                  </w:r>
                </w:p>
              </w:tc>
              <w:tc>
                <w:tcPr>
                  <w:tcW w:w="639" w:type="pct"/>
                  <w:tcBorders>
                    <w:top w:val="single" w:color="auto" w:sz="4" w:space="0"/>
                    <w:left w:val="single" w:color="auto" w:sz="4" w:space="0"/>
                    <w:bottom w:val="single" w:color="auto" w:sz="4" w:space="0"/>
                    <w:right w:val="nil"/>
                  </w:tcBorders>
                  <w:noWrap w:val="0"/>
                  <w:vAlign w:val="center"/>
                </w:tcPr>
                <w:p w14:paraId="48F2D34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snapToGrid w:val="0"/>
                      <w:color w:val="auto"/>
                      <w:sz w:val="21"/>
                      <w:szCs w:val="21"/>
                      <w:highlight w:val="none"/>
                      <w:lang w:val="en-US" w:eastAsia="zh-CN"/>
                    </w:rPr>
                  </w:pPr>
                </w:p>
              </w:tc>
            </w:tr>
            <w:tr w14:paraId="58756AD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29" w:type="pct"/>
                  <w:vMerge w:val="continue"/>
                  <w:tcBorders>
                    <w:top w:val="single" w:color="auto" w:sz="4" w:space="0"/>
                    <w:bottom w:val="single" w:color="auto" w:sz="4" w:space="0"/>
                    <w:right w:val="single" w:color="auto" w:sz="4" w:space="0"/>
                  </w:tcBorders>
                  <w:noWrap w:val="0"/>
                  <w:vAlign w:val="center"/>
                </w:tcPr>
                <w:p w14:paraId="49D38CB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667" w:type="pct"/>
                  <w:vMerge w:val="continue"/>
                  <w:tcBorders>
                    <w:top w:val="single" w:color="auto" w:sz="4" w:space="0"/>
                    <w:left w:val="single" w:color="auto" w:sz="4" w:space="0"/>
                    <w:bottom w:val="single" w:color="auto" w:sz="4" w:space="0"/>
                    <w:right w:val="single" w:color="auto" w:sz="4" w:space="0"/>
                  </w:tcBorders>
                  <w:noWrap w:val="0"/>
                  <w:vAlign w:val="center"/>
                </w:tcPr>
                <w:p w14:paraId="463669C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eastAsia" w:cs="Times New Roman"/>
                      <w:color w:val="auto"/>
                      <w:spacing w:val="0"/>
                      <w:w w:val="100"/>
                      <w:kern w:val="18"/>
                      <w:sz w:val="21"/>
                      <w:szCs w:val="21"/>
                      <w:highlight w:val="none"/>
                      <w:lang w:val="en-US" w:eastAsia="zh-CN"/>
                    </w:rPr>
                  </w:pPr>
                </w:p>
              </w:tc>
              <w:tc>
                <w:tcPr>
                  <w:tcW w:w="840" w:type="pct"/>
                  <w:tcBorders>
                    <w:top w:val="single" w:color="auto" w:sz="4" w:space="0"/>
                    <w:left w:val="single" w:color="auto" w:sz="4" w:space="0"/>
                    <w:bottom w:val="single" w:color="auto" w:sz="4" w:space="0"/>
                    <w:right w:val="single" w:color="auto" w:sz="4" w:space="0"/>
                  </w:tcBorders>
                  <w:noWrap w:val="0"/>
                  <w:vAlign w:val="center"/>
                </w:tcPr>
                <w:p w14:paraId="6A53537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rPr>
                      <w:rFonts w:hint="eastAsia" w:cs="Times New Roman"/>
                      <w:color w:val="auto"/>
                      <w:spacing w:val="0"/>
                      <w:w w:val="100"/>
                      <w:kern w:val="18"/>
                      <w:sz w:val="21"/>
                      <w:szCs w:val="21"/>
                      <w:highlight w:val="none"/>
                      <w:lang w:val="en-US" w:eastAsia="zh-CN"/>
                    </w:rPr>
                  </w:pPr>
                  <w:r>
                    <w:rPr>
                      <w:rFonts w:hint="eastAsia" w:cs="宋体"/>
                      <w:color w:val="auto"/>
                      <w:sz w:val="21"/>
                      <w:szCs w:val="21"/>
                      <w:highlight w:val="none"/>
                      <w:lang w:val="en-US" w:eastAsia="zh-CN"/>
                    </w:rPr>
                    <w:t>表面处理、刷胶及烘干有机废气</w:t>
                  </w:r>
                </w:p>
              </w:tc>
              <w:tc>
                <w:tcPr>
                  <w:tcW w:w="828" w:type="pct"/>
                  <w:tcBorders>
                    <w:top w:val="single" w:color="auto" w:sz="4" w:space="0"/>
                    <w:left w:val="single" w:color="auto" w:sz="4" w:space="0"/>
                    <w:bottom w:val="single" w:color="auto" w:sz="4" w:space="0"/>
                    <w:right w:val="single" w:color="auto" w:sz="4" w:space="0"/>
                  </w:tcBorders>
                  <w:noWrap w:val="0"/>
                  <w:vAlign w:val="center"/>
                </w:tcPr>
                <w:p w14:paraId="456B7F3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eastAsia" w:cs="Times New Roman"/>
                      <w:color w:val="auto"/>
                      <w:spacing w:val="0"/>
                      <w:w w:val="100"/>
                      <w:kern w:val="18"/>
                      <w:sz w:val="21"/>
                      <w:szCs w:val="21"/>
                      <w:highlight w:val="none"/>
                      <w:lang w:val="en-US" w:eastAsia="zh-CN"/>
                    </w:rPr>
                  </w:pPr>
                  <w:r>
                    <w:rPr>
                      <w:rFonts w:hint="eastAsia" w:cs="Times New Roman"/>
                      <w:color w:val="auto"/>
                      <w:spacing w:val="0"/>
                      <w:w w:val="100"/>
                      <w:kern w:val="18"/>
                      <w:sz w:val="21"/>
                      <w:szCs w:val="21"/>
                      <w:highlight w:val="none"/>
                      <w:lang w:val="en-US" w:eastAsia="zh-CN"/>
                    </w:rPr>
                    <w:t>非甲烷总烃</w:t>
                  </w:r>
                </w:p>
              </w:tc>
              <w:tc>
                <w:tcPr>
                  <w:tcW w:w="1694" w:type="pct"/>
                  <w:tcBorders>
                    <w:top w:val="single" w:color="auto" w:sz="4" w:space="0"/>
                    <w:left w:val="single" w:color="auto" w:sz="4" w:space="0"/>
                    <w:bottom w:val="single" w:color="auto" w:sz="4" w:space="0"/>
                    <w:right w:val="single" w:color="auto" w:sz="4" w:space="0"/>
                  </w:tcBorders>
                  <w:noWrap w:val="0"/>
                  <w:vAlign w:val="center"/>
                </w:tcPr>
                <w:p w14:paraId="6E5DACF1">
                  <w:pPr>
                    <w:keepNext w:val="0"/>
                    <w:keepLines w:val="0"/>
                    <w:pageBreakBefore w:val="0"/>
                    <w:suppressLineNumbers w:val="0"/>
                    <w:kinsoku/>
                    <w:wordWrap/>
                    <w:overflowPunct/>
                    <w:topLinePunct w:val="0"/>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0"/>
                      <w:w w:val="100"/>
                      <w:kern w:val="18"/>
                      <w:sz w:val="21"/>
                      <w:szCs w:val="21"/>
                      <w:highlight w:val="none"/>
                      <w:lang w:val="en-US" w:eastAsia="zh-CN"/>
                    </w:rPr>
                  </w:pPr>
                  <w:r>
                    <w:rPr>
                      <w:rFonts w:hint="eastAsia" w:cs="Times New Roman"/>
                      <w:color w:val="auto"/>
                      <w:sz w:val="21"/>
                      <w:szCs w:val="21"/>
                      <w:lang w:val="en-US" w:eastAsia="zh-CN"/>
                    </w:rPr>
                    <w:t>半密闭集气罩负压收集</w:t>
                  </w:r>
                  <w:r>
                    <w:rPr>
                      <w:rFonts w:hint="eastAsia" w:ascii="Times New Roman" w:hAnsi="Times New Roman" w:eastAsia="宋体" w:cs="Times New Roman"/>
                      <w:color w:val="auto"/>
                      <w:sz w:val="21"/>
                      <w:szCs w:val="21"/>
                      <w:lang w:val="en-US" w:eastAsia="zh-CN"/>
                    </w:rPr>
                    <w:t>+</w:t>
                  </w:r>
                  <w:r>
                    <w:rPr>
                      <w:rFonts w:hint="eastAsia" w:cs="Times New Roman"/>
                      <w:color w:val="auto"/>
                      <w:sz w:val="21"/>
                      <w:szCs w:val="21"/>
                      <w:lang w:val="en-US" w:eastAsia="zh-CN"/>
                    </w:rPr>
                    <w:t>五级活性炭</w:t>
                  </w:r>
                  <w:r>
                    <w:rPr>
                      <w:rFonts w:hint="eastAsia" w:ascii="Times New Roman" w:hAnsi="Times New Roman" w:eastAsia="宋体" w:cs="Times New Roman"/>
                      <w:color w:val="auto"/>
                      <w:sz w:val="21"/>
                      <w:szCs w:val="21"/>
                      <w:lang w:val="en-US" w:eastAsia="zh-CN"/>
                    </w:rPr>
                    <w:t>吸附+15m高排气筒（DA00</w:t>
                  </w:r>
                  <w:r>
                    <w:rPr>
                      <w:rFonts w:hint="eastAsia" w:cs="Times New Roman"/>
                      <w:color w:val="auto"/>
                      <w:sz w:val="21"/>
                      <w:szCs w:val="21"/>
                      <w:lang w:val="en-US" w:eastAsia="zh-CN"/>
                    </w:rPr>
                    <w:t>3</w:t>
                  </w:r>
                  <w:r>
                    <w:rPr>
                      <w:rFonts w:hint="eastAsia" w:ascii="Times New Roman" w:hAnsi="Times New Roman" w:eastAsia="宋体" w:cs="Times New Roman"/>
                      <w:color w:val="auto"/>
                      <w:sz w:val="21"/>
                      <w:szCs w:val="21"/>
                      <w:lang w:val="en-US" w:eastAsia="zh-CN"/>
                    </w:rPr>
                    <w:t>）</w:t>
                  </w:r>
                </w:p>
              </w:tc>
              <w:tc>
                <w:tcPr>
                  <w:tcW w:w="639" w:type="pct"/>
                  <w:tcBorders>
                    <w:top w:val="single" w:color="auto" w:sz="4" w:space="0"/>
                    <w:left w:val="single" w:color="auto" w:sz="4" w:space="0"/>
                    <w:bottom w:val="single" w:color="auto" w:sz="4" w:space="0"/>
                    <w:right w:val="nil"/>
                  </w:tcBorders>
                  <w:noWrap w:val="0"/>
                  <w:vAlign w:val="center"/>
                </w:tcPr>
                <w:p w14:paraId="512F98D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snapToGrid w:val="0"/>
                      <w:color w:val="auto"/>
                      <w:sz w:val="21"/>
                      <w:szCs w:val="21"/>
                      <w:highlight w:val="none"/>
                      <w:lang w:val="en-US" w:eastAsia="zh-CN"/>
                    </w:rPr>
                  </w:pPr>
                </w:p>
              </w:tc>
            </w:tr>
            <w:tr w14:paraId="39CE092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29" w:type="pct"/>
                  <w:vMerge w:val="continue"/>
                  <w:tcBorders>
                    <w:top w:val="single" w:color="auto" w:sz="4" w:space="0"/>
                    <w:bottom w:val="single" w:color="auto" w:sz="4" w:space="0"/>
                    <w:right w:val="single" w:color="auto" w:sz="4" w:space="0"/>
                  </w:tcBorders>
                  <w:noWrap w:val="0"/>
                  <w:vAlign w:val="center"/>
                </w:tcPr>
                <w:p w14:paraId="5A2FE5A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667" w:type="pct"/>
                  <w:vMerge w:val="continue"/>
                  <w:tcBorders>
                    <w:top w:val="single" w:color="auto" w:sz="4" w:space="0"/>
                    <w:left w:val="single" w:color="auto" w:sz="4" w:space="0"/>
                    <w:bottom w:val="single" w:color="auto" w:sz="4" w:space="0"/>
                    <w:right w:val="single" w:color="auto" w:sz="4" w:space="0"/>
                  </w:tcBorders>
                  <w:noWrap w:val="0"/>
                  <w:vAlign w:val="center"/>
                </w:tcPr>
                <w:p w14:paraId="50CEDABA">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eastAsia" w:cs="Times New Roman"/>
                      <w:color w:val="auto"/>
                      <w:spacing w:val="0"/>
                      <w:w w:val="100"/>
                      <w:kern w:val="18"/>
                      <w:sz w:val="21"/>
                      <w:szCs w:val="21"/>
                      <w:highlight w:val="none"/>
                      <w:lang w:val="en-US" w:eastAsia="zh-CN"/>
                    </w:rPr>
                  </w:pPr>
                </w:p>
              </w:tc>
              <w:tc>
                <w:tcPr>
                  <w:tcW w:w="840" w:type="pct"/>
                  <w:tcBorders>
                    <w:top w:val="single" w:color="auto" w:sz="4" w:space="0"/>
                    <w:left w:val="single" w:color="auto" w:sz="4" w:space="0"/>
                    <w:bottom w:val="single" w:color="auto" w:sz="4" w:space="0"/>
                    <w:right w:val="single" w:color="auto" w:sz="4" w:space="0"/>
                  </w:tcBorders>
                  <w:noWrap w:val="0"/>
                  <w:vAlign w:val="center"/>
                </w:tcPr>
                <w:p w14:paraId="41A25FF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rPr>
                      <w:rFonts w:hint="eastAsia" w:cs="Times New Roman"/>
                      <w:color w:val="auto"/>
                      <w:spacing w:val="0"/>
                      <w:w w:val="100"/>
                      <w:kern w:val="18"/>
                      <w:sz w:val="21"/>
                      <w:szCs w:val="21"/>
                      <w:highlight w:val="none"/>
                      <w:lang w:val="en-US" w:eastAsia="zh-CN"/>
                    </w:rPr>
                  </w:pPr>
                  <w:r>
                    <w:rPr>
                      <w:rFonts w:hint="eastAsia" w:cs="宋体"/>
                      <w:color w:val="auto"/>
                      <w:sz w:val="21"/>
                      <w:szCs w:val="21"/>
                      <w:highlight w:val="none"/>
                      <w:lang w:val="en-US" w:eastAsia="zh-CN"/>
                    </w:rPr>
                    <w:t>PVC注塑有机废气</w:t>
                  </w:r>
                </w:p>
              </w:tc>
              <w:tc>
                <w:tcPr>
                  <w:tcW w:w="828" w:type="pct"/>
                  <w:tcBorders>
                    <w:top w:val="single" w:color="auto" w:sz="4" w:space="0"/>
                    <w:left w:val="single" w:color="auto" w:sz="4" w:space="0"/>
                    <w:bottom w:val="single" w:color="auto" w:sz="4" w:space="0"/>
                    <w:right w:val="single" w:color="auto" w:sz="4" w:space="0"/>
                  </w:tcBorders>
                  <w:noWrap w:val="0"/>
                  <w:vAlign w:val="center"/>
                </w:tcPr>
                <w:p w14:paraId="71F6D530">
                  <w:pPr>
                    <w:keepNext w:val="0"/>
                    <w:keepLines w:val="0"/>
                    <w:widowControl/>
                    <w:suppressLineNumbers w:val="0"/>
                    <w:spacing w:before="0" w:beforeAutospacing="0" w:after="0" w:afterAutospacing="0"/>
                    <w:ind w:left="0" w:right="0"/>
                    <w:jc w:val="center"/>
                    <w:rPr>
                      <w:rFonts w:hint="default" w:cs="Times New Roman"/>
                      <w:color w:val="auto"/>
                      <w:spacing w:val="0"/>
                      <w:w w:val="100"/>
                      <w:kern w:val="18"/>
                      <w:sz w:val="21"/>
                      <w:szCs w:val="21"/>
                      <w:highlight w:val="none"/>
                      <w:lang w:val="en-US" w:eastAsia="zh-CN"/>
                    </w:rPr>
                  </w:pPr>
                  <w:r>
                    <w:rPr>
                      <w:rFonts w:hint="eastAsia" w:cs="Times New Roman"/>
                      <w:color w:val="auto"/>
                      <w:spacing w:val="0"/>
                      <w:w w:val="100"/>
                      <w:kern w:val="18"/>
                      <w:sz w:val="21"/>
                      <w:szCs w:val="21"/>
                      <w:highlight w:val="none"/>
                      <w:lang w:val="en-US" w:eastAsia="zh-CN"/>
                    </w:rPr>
                    <w:t>非甲烷总烃、氨</w:t>
                  </w:r>
                  <w:r>
                    <w:rPr>
                      <w:rFonts w:hint="eastAsia" w:ascii="宋体" w:hAnsi="宋体" w:eastAsia="宋体" w:cs="宋体"/>
                      <w:color w:val="auto"/>
                      <w:kern w:val="0"/>
                      <w:sz w:val="21"/>
                      <w:szCs w:val="21"/>
                      <w:lang w:val="en-US" w:eastAsia="zh-CN" w:bidi="ar"/>
                    </w:rPr>
                    <w:t>、氯化氢、臭气浓度</w:t>
                  </w:r>
                </w:p>
              </w:tc>
              <w:tc>
                <w:tcPr>
                  <w:tcW w:w="1694" w:type="pct"/>
                  <w:tcBorders>
                    <w:top w:val="single" w:color="auto" w:sz="4" w:space="0"/>
                    <w:left w:val="single" w:color="auto" w:sz="4" w:space="0"/>
                    <w:bottom w:val="single" w:color="auto" w:sz="4" w:space="0"/>
                    <w:right w:val="single" w:color="auto" w:sz="4" w:space="0"/>
                  </w:tcBorders>
                  <w:noWrap w:val="0"/>
                  <w:vAlign w:val="center"/>
                </w:tcPr>
                <w:p w14:paraId="0C18CF45">
                  <w:pPr>
                    <w:keepNext w:val="0"/>
                    <w:keepLines w:val="0"/>
                    <w:pageBreakBefore w:val="0"/>
                    <w:suppressLineNumbers w:val="0"/>
                    <w:kinsoku/>
                    <w:wordWrap/>
                    <w:overflowPunct/>
                    <w:topLinePunct w:val="0"/>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0"/>
                      <w:w w:val="100"/>
                      <w:kern w:val="18"/>
                      <w:sz w:val="21"/>
                      <w:szCs w:val="21"/>
                      <w:highlight w:val="none"/>
                      <w:lang w:val="en-US" w:eastAsia="zh-CN"/>
                    </w:rPr>
                  </w:pPr>
                  <w:r>
                    <w:rPr>
                      <w:rFonts w:hint="eastAsia" w:cs="Times New Roman"/>
                      <w:color w:val="auto"/>
                      <w:sz w:val="21"/>
                      <w:szCs w:val="21"/>
                      <w:lang w:val="en-US" w:eastAsia="zh-CN"/>
                    </w:rPr>
                    <w:t>半密闭集气罩负压收集</w:t>
                  </w:r>
                  <w:r>
                    <w:rPr>
                      <w:rFonts w:hint="eastAsia" w:ascii="Times New Roman" w:hAnsi="Times New Roman" w:eastAsia="宋体" w:cs="Times New Roman"/>
                      <w:color w:val="auto"/>
                      <w:sz w:val="21"/>
                      <w:szCs w:val="21"/>
                      <w:lang w:val="en-US" w:eastAsia="zh-CN"/>
                    </w:rPr>
                    <w:t>+</w:t>
                  </w:r>
                  <w:r>
                    <w:rPr>
                      <w:rFonts w:hint="eastAsia" w:cs="Times New Roman"/>
                      <w:color w:val="auto"/>
                      <w:sz w:val="21"/>
                      <w:szCs w:val="21"/>
                      <w:lang w:val="en-US" w:eastAsia="zh-CN"/>
                    </w:rPr>
                    <w:t>五级活性炭</w:t>
                  </w:r>
                  <w:r>
                    <w:rPr>
                      <w:rFonts w:hint="eastAsia" w:ascii="Times New Roman" w:hAnsi="Times New Roman" w:eastAsia="宋体" w:cs="Times New Roman"/>
                      <w:color w:val="auto"/>
                      <w:sz w:val="21"/>
                      <w:szCs w:val="21"/>
                      <w:lang w:val="en-US" w:eastAsia="zh-CN"/>
                    </w:rPr>
                    <w:t>吸附+15m高排气筒（DA00</w:t>
                  </w:r>
                  <w:r>
                    <w:rPr>
                      <w:rFonts w:hint="eastAsia" w:cs="Times New Roman"/>
                      <w:color w:val="auto"/>
                      <w:sz w:val="21"/>
                      <w:szCs w:val="21"/>
                      <w:lang w:val="en-US" w:eastAsia="zh-CN"/>
                    </w:rPr>
                    <w:t>4</w:t>
                  </w:r>
                  <w:r>
                    <w:rPr>
                      <w:rFonts w:hint="eastAsia" w:ascii="Times New Roman" w:hAnsi="Times New Roman" w:eastAsia="宋体" w:cs="Times New Roman"/>
                      <w:color w:val="auto"/>
                      <w:sz w:val="21"/>
                      <w:szCs w:val="21"/>
                      <w:lang w:val="en-US" w:eastAsia="zh-CN"/>
                    </w:rPr>
                    <w:t>）</w:t>
                  </w:r>
                </w:p>
              </w:tc>
              <w:tc>
                <w:tcPr>
                  <w:tcW w:w="639" w:type="pct"/>
                  <w:tcBorders>
                    <w:top w:val="single" w:color="auto" w:sz="4" w:space="0"/>
                    <w:left w:val="single" w:color="auto" w:sz="4" w:space="0"/>
                    <w:bottom w:val="single" w:color="auto" w:sz="4" w:space="0"/>
                    <w:right w:val="nil"/>
                  </w:tcBorders>
                  <w:noWrap w:val="0"/>
                  <w:vAlign w:val="center"/>
                </w:tcPr>
                <w:p w14:paraId="204C2EE0">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snapToGrid w:val="0"/>
                      <w:color w:val="auto"/>
                      <w:sz w:val="21"/>
                      <w:szCs w:val="21"/>
                      <w:highlight w:val="none"/>
                      <w:lang w:val="en-US" w:eastAsia="zh-CN"/>
                    </w:rPr>
                  </w:pPr>
                </w:p>
              </w:tc>
            </w:tr>
            <w:tr w14:paraId="7EB35C9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23" w:hRule="atLeast"/>
                <w:jc w:val="center"/>
              </w:trPr>
              <w:tc>
                <w:tcPr>
                  <w:tcW w:w="329" w:type="pct"/>
                  <w:vMerge w:val="continue"/>
                  <w:tcBorders>
                    <w:top w:val="single" w:color="auto" w:sz="4" w:space="0"/>
                    <w:bottom w:val="single" w:color="auto" w:sz="4" w:space="0"/>
                    <w:right w:val="single" w:color="auto" w:sz="4" w:space="0"/>
                  </w:tcBorders>
                  <w:noWrap w:val="0"/>
                  <w:vAlign w:val="center"/>
                </w:tcPr>
                <w:p w14:paraId="14291A4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667" w:type="pct"/>
                  <w:vMerge w:val="continue"/>
                  <w:tcBorders>
                    <w:top w:val="single" w:color="auto" w:sz="4" w:space="0"/>
                    <w:left w:val="single" w:color="auto" w:sz="4" w:space="0"/>
                    <w:bottom w:val="single" w:color="auto" w:sz="4" w:space="0"/>
                    <w:right w:val="single" w:color="auto" w:sz="4" w:space="0"/>
                  </w:tcBorders>
                  <w:noWrap w:val="0"/>
                  <w:vAlign w:val="center"/>
                </w:tcPr>
                <w:p w14:paraId="12A82E5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eastAsia" w:cs="Times New Roman"/>
                      <w:color w:val="auto"/>
                      <w:spacing w:val="0"/>
                      <w:w w:val="100"/>
                      <w:kern w:val="18"/>
                      <w:sz w:val="21"/>
                      <w:szCs w:val="21"/>
                      <w:highlight w:val="none"/>
                      <w:lang w:val="en-US" w:eastAsia="zh-CN"/>
                    </w:rPr>
                  </w:pPr>
                </w:p>
              </w:tc>
              <w:tc>
                <w:tcPr>
                  <w:tcW w:w="840" w:type="pct"/>
                  <w:tcBorders>
                    <w:top w:val="single" w:color="auto" w:sz="4" w:space="0"/>
                    <w:left w:val="single" w:color="auto" w:sz="4" w:space="0"/>
                    <w:bottom w:val="single" w:color="auto" w:sz="4" w:space="0"/>
                    <w:right w:val="single" w:color="auto" w:sz="4" w:space="0"/>
                  </w:tcBorders>
                  <w:noWrap w:val="0"/>
                  <w:vAlign w:val="center"/>
                </w:tcPr>
                <w:p w14:paraId="43629E9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rPr>
                      <w:rFonts w:hint="eastAsia" w:cs="Times New Roman"/>
                      <w:color w:val="auto"/>
                      <w:spacing w:val="0"/>
                      <w:w w:val="100"/>
                      <w:kern w:val="18"/>
                      <w:sz w:val="21"/>
                      <w:szCs w:val="21"/>
                      <w:highlight w:val="none"/>
                      <w:lang w:val="en-US" w:eastAsia="zh-CN"/>
                    </w:rPr>
                  </w:pPr>
                  <w:r>
                    <w:rPr>
                      <w:rFonts w:hint="eastAsia" w:cs="宋体"/>
                      <w:color w:val="auto"/>
                      <w:sz w:val="21"/>
                      <w:szCs w:val="21"/>
                      <w:highlight w:val="none"/>
                      <w:lang w:val="en-US" w:eastAsia="zh-CN"/>
                    </w:rPr>
                    <w:t>丝网印花、台面胶及晾干有机废气</w:t>
                  </w:r>
                </w:p>
              </w:tc>
              <w:tc>
                <w:tcPr>
                  <w:tcW w:w="828" w:type="pct"/>
                  <w:tcBorders>
                    <w:top w:val="single" w:color="auto" w:sz="4" w:space="0"/>
                    <w:left w:val="single" w:color="auto" w:sz="4" w:space="0"/>
                    <w:bottom w:val="single" w:color="auto" w:sz="4" w:space="0"/>
                    <w:right w:val="single" w:color="auto" w:sz="4" w:space="0"/>
                  </w:tcBorders>
                  <w:noWrap w:val="0"/>
                  <w:vAlign w:val="center"/>
                </w:tcPr>
                <w:p w14:paraId="58D8F250">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eastAsia" w:cs="Times New Roman"/>
                      <w:color w:val="auto"/>
                      <w:spacing w:val="0"/>
                      <w:w w:val="100"/>
                      <w:kern w:val="18"/>
                      <w:sz w:val="21"/>
                      <w:szCs w:val="21"/>
                      <w:highlight w:val="none"/>
                      <w:lang w:val="en-US" w:eastAsia="zh-CN"/>
                    </w:rPr>
                  </w:pPr>
                  <w:r>
                    <w:rPr>
                      <w:rFonts w:hint="eastAsia" w:cs="Times New Roman"/>
                      <w:color w:val="auto"/>
                      <w:spacing w:val="0"/>
                      <w:w w:val="100"/>
                      <w:kern w:val="18"/>
                      <w:sz w:val="21"/>
                      <w:szCs w:val="21"/>
                      <w:highlight w:val="none"/>
                      <w:lang w:val="en-US" w:eastAsia="zh-CN"/>
                    </w:rPr>
                    <w:t>非甲烷总烃</w:t>
                  </w:r>
                </w:p>
              </w:tc>
              <w:tc>
                <w:tcPr>
                  <w:tcW w:w="1694" w:type="pct"/>
                  <w:tcBorders>
                    <w:top w:val="single" w:color="auto" w:sz="4" w:space="0"/>
                    <w:left w:val="single" w:color="auto" w:sz="4" w:space="0"/>
                    <w:bottom w:val="single" w:color="auto" w:sz="4" w:space="0"/>
                    <w:right w:val="single" w:color="auto" w:sz="4" w:space="0"/>
                  </w:tcBorders>
                  <w:noWrap w:val="0"/>
                  <w:vAlign w:val="center"/>
                </w:tcPr>
                <w:p w14:paraId="2BB9A5C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snapToGrid/>
                      <w:color w:val="auto"/>
                      <w:kern w:val="2"/>
                      <w:sz w:val="21"/>
                      <w:szCs w:val="21"/>
                      <w:lang w:val="en-US" w:eastAsia="zh-CN"/>
                    </w:rPr>
                  </w:pPr>
                  <w:r>
                    <w:rPr>
                      <w:rFonts w:hint="eastAsia" w:ascii="Times New Roman" w:hAnsi="Times New Roman" w:eastAsia="宋体" w:cs="Times New Roman"/>
                      <w:snapToGrid/>
                      <w:color w:val="auto"/>
                      <w:kern w:val="2"/>
                      <w:sz w:val="21"/>
                      <w:szCs w:val="21"/>
                      <w:lang w:val="en-US" w:eastAsia="zh-CN"/>
                    </w:rPr>
                    <w:t>加强车间通风，无组织排放</w:t>
                  </w:r>
                </w:p>
              </w:tc>
              <w:tc>
                <w:tcPr>
                  <w:tcW w:w="639" w:type="pct"/>
                  <w:tcBorders>
                    <w:top w:val="single" w:color="auto" w:sz="4" w:space="0"/>
                    <w:left w:val="single" w:color="auto" w:sz="4" w:space="0"/>
                    <w:bottom w:val="nil"/>
                    <w:right w:val="nil"/>
                  </w:tcBorders>
                  <w:noWrap w:val="0"/>
                  <w:vAlign w:val="center"/>
                </w:tcPr>
                <w:p w14:paraId="54B3CCD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snapToGrid/>
                      <w:color w:val="auto"/>
                      <w:kern w:val="2"/>
                      <w:sz w:val="21"/>
                      <w:szCs w:val="21"/>
                      <w:lang w:val="en-US" w:eastAsia="zh-CN"/>
                    </w:rPr>
                  </w:pPr>
                </w:p>
              </w:tc>
            </w:tr>
            <w:tr w14:paraId="3C87040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29" w:type="pct"/>
                  <w:tcBorders>
                    <w:top w:val="single" w:color="auto" w:sz="4" w:space="0"/>
                    <w:bottom w:val="single" w:color="auto" w:sz="4" w:space="0"/>
                    <w:right w:val="single" w:color="auto" w:sz="4" w:space="0"/>
                  </w:tcBorders>
                  <w:noWrap w:val="0"/>
                  <w:vAlign w:val="center"/>
                </w:tcPr>
                <w:p w14:paraId="7045120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r>
                    <w:rPr>
                      <w:rFonts w:hint="default" w:ascii="Times New Roman" w:hAnsi="Times New Roman" w:eastAsia="宋体" w:cs="Times New Roman"/>
                      <w:color w:val="auto"/>
                      <w:spacing w:val="0"/>
                      <w:w w:val="100"/>
                      <w:kern w:val="18"/>
                      <w:sz w:val="21"/>
                      <w:szCs w:val="21"/>
                      <w:highlight w:val="none"/>
                      <w:lang w:val="en-US" w:eastAsia="zh-CN"/>
                    </w:rPr>
                    <w:t>噪声</w:t>
                  </w:r>
                </w:p>
              </w:tc>
              <w:tc>
                <w:tcPr>
                  <w:tcW w:w="667" w:type="pct"/>
                  <w:tcBorders>
                    <w:top w:val="single" w:color="auto" w:sz="4" w:space="0"/>
                    <w:left w:val="single" w:color="auto" w:sz="4" w:space="0"/>
                    <w:bottom w:val="single" w:color="auto" w:sz="4" w:space="0"/>
                    <w:right w:val="single" w:color="auto" w:sz="4" w:space="0"/>
                  </w:tcBorders>
                  <w:noWrap w:val="0"/>
                  <w:vAlign w:val="center"/>
                </w:tcPr>
                <w:p w14:paraId="14F590D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r>
                    <w:rPr>
                      <w:rFonts w:hint="default" w:ascii="Times New Roman" w:hAnsi="Times New Roman" w:eastAsia="宋体" w:cs="Times New Roman"/>
                      <w:color w:val="auto"/>
                      <w:spacing w:val="0"/>
                      <w:w w:val="100"/>
                      <w:kern w:val="18"/>
                      <w:sz w:val="21"/>
                      <w:szCs w:val="21"/>
                      <w:highlight w:val="none"/>
                      <w:lang w:val="en-US" w:eastAsia="zh-CN"/>
                    </w:rPr>
                    <w:t>生产设备噪声</w:t>
                  </w:r>
                </w:p>
              </w:tc>
              <w:tc>
                <w:tcPr>
                  <w:tcW w:w="840" w:type="pct"/>
                  <w:tcBorders>
                    <w:top w:val="single" w:color="auto" w:sz="4" w:space="0"/>
                    <w:left w:val="single" w:color="auto" w:sz="4" w:space="0"/>
                    <w:bottom w:val="single" w:color="auto" w:sz="4" w:space="0"/>
                    <w:right w:val="single" w:color="auto" w:sz="4" w:space="0"/>
                  </w:tcBorders>
                  <w:noWrap w:val="0"/>
                  <w:vAlign w:val="center"/>
                </w:tcPr>
                <w:p w14:paraId="787EB3F0">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r>
                    <w:rPr>
                      <w:rFonts w:hint="default" w:ascii="Times New Roman" w:hAnsi="Times New Roman" w:eastAsia="宋体" w:cs="Times New Roman"/>
                      <w:color w:val="auto"/>
                      <w:spacing w:val="0"/>
                      <w:w w:val="100"/>
                      <w:kern w:val="18"/>
                      <w:sz w:val="21"/>
                      <w:szCs w:val="21"/>
                      <w:highlight w:val="none"/>
                      <w:lang w:val="en-US" w:eastAsia="zh-CN"/>
                    </w:rPr>
                    <w:t>生产设备</w:t>
                  </w:r>
                </w:p>
              </w:tc>
              <w:tc>
                <w:tcPr>
                  <w:tcW w:w="828" w:type="pct"/>
                  <w:tcBorders>
                    <w:top w:val="single" w:color="auto" w:sz="4" w:space="0"/>
                    <w:left w:val="single" w:color="auto" w:sz="4" w:space="0"/>
                    <w:bottom w:val="single" w:color="auto" w:sz="4" w:space="0"/>
                    <w:right w:val="single" w:color="auto" w:sz="4" w:space="0"/>
                  </w:tcBorders>
                  <w:noWrap w:val="0"/>
                  <w:vAlign w:val="center"/>
                </w:tcPr>
                <w:p w14:paraId="7D2BE81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r>
                    <w:rPr>
                      <w:rFonts w:hint="default" w:ascii="Times New Roman" w:hAnsi="Times New Roman" w:eastAsia="宋体" w:cs="Times New Roman"/>
                      <w:color w:val="auto"/>
                      <w:spacing w:val="0"/>
                      <w:w w:val="100"/>
                      <w:kern w:val="18"/>
                      <w:sz w:val="21"/>
                      <w:szCs w:val="21"/>
                      <w:highlight w:val="none"/>
                      <w:lang w:val="en-US" w:eastAsia="zh-CN"/>
                    </w:rPr>
                    <w:t>设备噪声</w:t>
                  </w:r>
                </w:p>
              </w:tc>
              <w:tc>
                <w:tcPr>
                  <w:tcW w:w="1694" w:type="pct"/>
                  <w:tcBorders>
                    <w:top w:val="single" w:color="auto" w:sz="4" w:space="0"/>
                    <w:left w:val="single" w:color="auto" w:sz="4" w:space="0"/>
                    <w:bottom w:val="single" w:color="auto" w:sz="4" w:space="0"/>
                  </w:tcBorders>
                  <w:noWrap w:val="0"/>
                  <w:vAlign w:val="center"/>
                </w:tcPr>
                <w:p w14:paraId="436DA84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r>
                    <w:rPr>
                      <w:rFonts w:hint="default" w:ascii="Times New Roman" w:hAnsi="Times New Roman" w:eastAsia="宋体" w:cs="Times New Roman"/>
                      <w:color w:val="auto"/>
                      <w:spacing w:val="0"/>
                      <w:w w:val="100"/>
                      <w:kern w:val="18"/>
                      <w:sz w:val="21"/>
                      <w:szCs w:val="21"/>
                      <w:highlight w:val="none"/>
                      <w:lang w:val="en-US" w:eastAsia="zh-CN"/>
                    </w:rPr>
                    <w:t>选用低噪声的设备，合理布局、采用围墙隔声、安装减振垫距离衰减等</w:t>
                  </w:r>
                </w:p>
              </w:tc>
              <w:tc>
                <w:tcPr>
                  <w:tcW w:w="639" w:type="pct"/>
                  <w:tcBorders>
                    <w:top w:val="nil"/>
                  </w:tcBorders>
                  <w:noWrap w:val="0"/>
                  <w:vAlign w:val="center"/>
                </w:tcPr>
                <w:p w14:paraId="54DE22B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z w:val="21"/>
                      <w:szCs w:val="21"/>
                      <w:highlight w:val="none"/>
                    </w:rPr>
                  </w:pPr>
                </w:p>
              </w:tc>
            </w:tr>
            <w:tr w14:paraId="3D982C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29" w:type="pct"/>
                  <w:vMerge w:val="restart"/>
                  <w:tcBorders>
                    <w:top w:val="single" w:color="auto" w:sz="4" w:space="0"/>
                    <w:bottom w:val="single" w:color="auto" w:sz="4" w:space="0"/>
                    <w:right w:val="single" w:color="auto" w:sz="4" w:space="0"/>
                  </w:tcBorders>
                  <w:noWrap w:val="0"/>
                  <w:vAlign w:val="center"/>
                </w:tcPr>
                <w:p w14:paraId="1FAD09D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r>
                    <w:rPr>
                      <w:rFonts w:hint="default" w:ascii="Times New Roman" w:hAnsi="Times New Roman" w:eastAsia="宋体" w:cs="Times New Roman"/>
                      <w:color w:val="auto"/>
                      <w:spacing w:val="0"/>
                      <w:w w:val="100"/>
                      <w:kern w:val="18"/>
                      <w:sz w:val="21"/>
                      <w:szCs w:val="21"/>
                      <w:highlight w:val="none"/>
                      <w:lang w:val="en-US" w:eastAsia="zh-CN"/>
                    </w:rPr>
                    <w:t>固废</w:t>
                  </w:r>
                </w:p>
              </w:tc>
              <w:tc>
                <w:tcPr>
                  <w:tcW w:w="667" w:type="pct"/>
                  <w:tcBorders>
                    <w:top w:val="single" w:color="auto" w:sz="4" w:space="0"/>
                    <w:left w:val="single" w:color="auto" w:sz="4" w:space="0"/>
                    <w:bottom w:val="single" w:color="auto" w:sz="4" w:space="0"/>
                    <w:right w:val="single" w:color="auto" w:sz="4" w:space="0"/>
                  </w:tcBorders>
                  <w:noWrap w:val="0"/>
                  <w:vAlign w:val="center"/>
                </w:tcPr>
                <w:p w14:paraId="263E3E7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r>
                    <w:rPr>
                      <w:rFonts w:hint="default" w:ascii="Times New Roman" w:hAnsi="Times New Roman" w:eastAsia="宋体" w:cs="Times New Roman"/>
                      <w:color w:val="auto"/>
                      <w:spacing w:val="0"/>
                      <w:w w:val="100"/>
                      <w:kern w:val="18"/>
                      <w:sz w:val="21"/>
                      <w:szCs w:val="21"/>
                      <w:highlight w:val="none"/>
                      <w:lang w:val="en-US" w:eastAsia="zh-CN"/>
                    </w:rPr>
                    <w:t>生活垃圾</w:t>
                  </w:r>
                </w:p>
              </w:tc>
              <w:tc>
                <w:tcPr>
                  <w:tcW w:w="840" w:type="pct"/>
                  <w:tcBorders>
                    <w:top w:val="single" w:color="auto" w:sz="4" w:space="0"/>
                    <w:left w:val="single" w:color="auto" w:sz="4" w:space="0"/>
                    <w:bottom w:val="single" w:color="auto" w:sz="4" w:space="0"/>
                    <w:right w:val="single" w:color="auto" w:sz="4" w:space="0"/>
                  </w:tcBorders>
                  <w:noWrap w:val="0"/>
                  <w:vAlign w:val="center"/>
                </w:tcPr>
                <w:p w14:paraId="4FFBB80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r>
                    <w:rPr>
                      <w:rFonts w:hint="default" w:ascii="Times New Roman" w:hAnsi="Times New Roman" w:eastAsia="宋体" w:cs="Times New Roman"/>
                      <w:color w:val="auto"/>
                      <w:spacing w:val="0"/>
                      <w:w w:val="100"/>
                      <w:kern w:val="18"/>
                      <w:sz w:val="21"/>
                      <w:szCs w:val="21"/>
                      <w:highlight w:val="none"/>
                      <w:lang w:val="en-US" w:eastAsia="zh-CN"/>
                    </w:rPr>
                    <w:t>员工生活</w:t>
                  </w:r>
                </w:p>
              </w:tc>
              <w:tc>
                <w:tcPr>
                  <w:tcW w:w="828" w:type="pct"/>
                  <w:tcBorders>
                    <w:top w:val="single" w:color="auto" w:sz="4" w:space="0"/>
                    <w:left w:val="single" w:color="auto" w:sz="4" w:space="0"/>
                    <w:bottom w:val="single" w:color="auto" w:sz="4" w:space="0"/>
                    <w:right w:val="single" w:color="auto" w:sz="4" w:space="0"/>
                  </w:tcBorders>
                  <w:noWrap w:val="0"/>
                  <w:vAlign w:val="center"/>
                </w:tcPr>
                <w:p w14:paraId="6E65CF8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r>
                    <w:rPr>
                      <w:rFonts w:hint="default" w:ascii="Times New Roman" w:hAnsi="Times New Roman" w:eastAsia="宋体" w:cs="Times New Roman"/>
                      <w:color w:val="auto"/>
                      <w:spacing w:val="0"/>
                      <w:w w:val="100"/>
                      <w:kern w:val="18"/>
                      <w:sz w:val="21"/>
                      <w:szCs w:val="21"/>
                      <w:highlight w:val="none"/>
                      <w:lang w:val="en-US" w:eastAsia="zh-CN"/>
                    </w:rPr>
                    <w:t>生活垃圾</w:t>
                  </w:r>
                </w:p>
              </w:tc>
              <w:tc>
                <w:tcPr>
                  <w:tcW w:w="1694" w:type="pct"/>
                  <w:tcBorders>
                    <w:top w:val="single" w:color="auto" w:sz="4" w:space="0"/>
                    <w:left w:val="single" w:color="auto" w:sz="4" w:space="0"/>
                    <w:bottom w:val="single" w:color="auto" w:sz="4" w:space="0"/>
                  </w:tcBorders>
                  <w:noWrap w:val="0"/>
                  <w:vAlign w:val="center"/>
                </w:tcPr>
                <w:p w14:paraId="56BA6C6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r>
                    <w:rPr>
                      <w:rFonts w:hint="default" w:ascii="Times New Roman" w:hAnsi="Times New Roman" w:eastAsia="宋体" w:cs="Times New Roman"/>
                      <w:color w:val="auto"/>
                      <w:spacing w:val="0"/>
                      <w:w w:val="100"/>
                      <w:kern w:val="18"/>
                      <w:sz w:val="21"/>
                      <w:szCs w:val="21"/>
                      <w:highlight w:val="none"/>
                      <w:lang w:val="en-US" w:eastAsia="zh-CN"/>
                    </w:rPr>
                    <w:t>环卫部门处理</w:t>
                  </w:r>
                </w:p>
              </w:tc>
              <w:tc>
                <w:tcPr>
                  <w:tcW w:w="639" w:type="pct"/>
                  <w:vMerge w:val="restart"/>
                  <w:noWrap w:val="0"/>
                  <w:vAlign w:val="center"/>
                </w:tcPr>
                <w:p w14:paraId="3EF657CB">
                  <w:pPr>
                    <w:pStyle w:val="9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sz w:val="21"/>
                      <w:szCs w:val="21"/>
                      <w:highlight w:val="none"/>
                    </w:rPr>
                  </w:pPr>
                </w:p>
              </w:tc>
            </w:tr>
            <w:tr w14:paraId="43BC1D8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29" w:type="pct"/>
                  <w:vMerge w:val="continue"/>
                  <w:tcBorders>
                    <w:top w:val="single" w:color="auto" w:sz="4" w:space="0"/>
                    <w:bottom w:val="single" w:color="auto" w:sz="4" w:space="0"/>
                    <w:right w:val="single" w:color="auto" w:sz="4" w:space="0"/>
                  </w:tcBorders>
                  <w:noWrap w:val="0"/>
                  <w:vAlign w:val="center"/>
                </w:tcPr>
                <w:p w14:paraId="7CBD8B7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667" w:type="pct"/>
                  <w:vMerge w:val="restart"/>
                  <w:tcBorders>
                    <w:top w:val="single" w:color="auto" w:sz="4" w:space="0"/>
                    <w:left w:val="single" w:color="auto" w:sz="4" w:space="0"/>
                    <w:bottom w:val="single" w:color="auto" w:sz="4" w:space="0"/>
                    <w:right w:val="single" w:color="auto" w:sz="4" w:space="0"/>
                  </w:tcBorders>
                  <w:noWrap w:val="0"/>
                  <w:vAlign w:val="center"/>
                </w:tcPr>
                <w:p w14:paraId="4245F4B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r>
                    <w:rPr>
                      <w:rFonts w:hint="default" w:ascii="Times New Roman" w:hAnsi="Times New Roman" w:eastAsia="宋体" w:cs="Times New Roman"/>
                      <w:color w:val="auto"/>
                      <w:spacing w:val="0"/>
                      <w:w w:val="100"/>
                      <w:kern w:val="18"/>
                      <w:sz w:val="21"/>
                      <w:szCs w:val="21"/>
                      <w:highlight w:val="none"/>
                      <w:lang w:val="en-US" w:eastAsia="zh-CN"/>
                    </w:rPr>
                    <w:t>一般工业固废</w:t>
                  </w:r>
                </w:p>
              </w:tc>
              <w:tc>
                <w:tcPr>
                  <w:tcW w:w="840" w:type="pct"/>
                  <w:tcBorders>
                    <w:top w:val="single" w:color="auto" w:sz="4" w:space="0"/>
                    <w:left w:val="single" w:color="auto" w:sz="4" w:space="0"/>
                    <w:bottom w:val="single" w:color="auto" w:sz="4" w:space="0"/>
                    <w:right w:val="single" w:color="auto" w:sz="4" w:space="0"/>
                  </w:tcBorders>
                  <w:noWrap w:val="0"/>
                  <w:vAlign w:val="center"/>
                </w:tcPr>
                <w:p w14:paraId="6C859147">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eastAsia="宋体" w:cs="Times New Roman"/>
                      <w:color w:val="auto"/>
                      <w:kern w:val="2"/>
                      <w:sz w:val="21"/>
                      <w:szCs w:val="21"/>
                      <w:highlight w:val="none"/>
                      <w:lang w:val="en-US" w:eastAsia="zh-CN" w:bidi="ar-SA"/>
                    </w:rPr>
                    <w:t>原料入库</w:t>
                  </w:r>
                </w:p>
              </w:tc>
              <w:tc>
                <w:tcPr>
                  <w:tcW w:w="828" w:type="pct"/>
                  <w:tcBorders>
                    <w:top w:val="single" w:color="auto" w:sz="4" w:space="0"/>
                    <w:left w:val="single" w:color="auto" w:sz="4" w:space="0"/>
                    <w:bottom w:val="single" w:color="auto" w:sz="4" w:space="0"/>
                    <w:right w:val="single" w:color="auto" w:sz="4" w:space="0"/>
                  </w:tcBorders>
                  <w:noWrap w:val="0"/>
                  <w:vAlign w:val="center"/>
                </w:tcPr>
                <w:p w14:paraId="6BA4A314">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eastAsia="宋体" w:cs="Times New Roman"/>
                      <w:color w:val="auto"/>
                      <w:kern w:val="2"/>
                      <w:sz w:val="21"/>
                      <w:szCs w:val="21"/>
                      <w:highlight w:val="none"/>
                      <w:lang w:val="en-US" w:eastAsia="zh-CN" w:bidi="ar-SA"/>
                    </w:rPr>
                    <w:t>废包装袋</w:t>
                  </w:r>
                </w:p>
              </w:tc>
              <w:tc>
                <w:tcPr>
                  <w:tcW w:w="1694" w:type="pct"/>
                  <w:vMerge w:val="restart"/>
                  <w:tcBorders>
                    <w:top w:val="single" w:color="auto" w:sz="4" w:space="0"/>
                    <w:left w:val="single" w:color="auto" w:sz="4" w:space="0"/>
                    <w:bottom w:val="single" w:color="auto" w:sz="4" w:space="0"/>
                  </w:tcBorders>
                  <w:noWrap w:val="0"/>
                  <w:vAlign w:val="center"/>
                </w:tcPr>
                <w:p w14:paraId="60FFF45A">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外售综合利用</w:t>
                  </w:r>
                </w:p>
              </w:tc>
              <w:tc>
                <w:tcPr>
                  <w:tcW w:w="639" w:type="pct"/>
                  <w:vMerge w:val="continue"/>
                  <w:noWrap w:val="0"/>
                  <w:vAlign w:val="center"/>
                </w:tcPr>
                <w:p w14:paraId="04A33AF2">
                  <w:pPr>
                    <w:pStyle w:val="9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sz w:val="21"/>
                      <w:szCs w:val="21"/>
                      <w:highlight w:val="none"/>
                    </w:rPr>
                  </w:pPr>
                </w:p>
              </w:tc>
            </w:tr>
            <w:tr w14:paraId="6476BB3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23" w:hRule="atLeast"/>
                <w:jc w:val="center"/>
              </w:trPr>
              <w:tc>
                <w:tcPr>
                  <w:tcW w:w="329" w:type="pct"/>
                  <w:vMerge w:val="continue"/>
                  <w:tcBorders>
                    <w:top w:val="single" w:color="auto" w:sz="4" w:space="0"/>
                    <w:bottom w:val="single" w:color="auto" w:sz="4" w:space="0"/>
                    <w:right w:val="single" w:color="auto" w:sz="4" w:space="0"/>
                  </w:tcBorders>
                  <w:noWrap w:val="0"/>
                  <w:vAlign w:val="center"/>
                </w:tcPr>
                <w:p w14:paraId="07E09D45">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667" w:type="pct"/>
                  <w:vMerge w:val="continue"/>
                  <w:tcBorders>
                    <w:top w:val="single" w:color="auto" w:sz="4" w:space="0"/>
                    <w:left w:val="single" w:color="auto" w:sz="4" w:space="0"/>
                    <w:bottom w:val="single" w:color="auto" w:sz="4" w:space="0"/>
                    <w:right w:val="single" w:color="auto" w:sz="4" w:space="0"/>
                  </w:tcBorders>
                  <w:noWrap w:val="0"/>
                  <w:vAlign w:val="center"/>
                </w:tcPr>
                <w:p w14:paraId="2337C11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840" w:type="pct"/>
                  <w:tcBorders>
                    <w:top w:val="single" w:color="auto" w:sz="4" w:space="0"/>
                    <w:left w:val="single" w:color="auto" w:sz="4" w:space="0"/>
                    <w:bottom w:val="single" w:color="auto" w:sz="4" w:space="0"/>
                    <w:right w:val="single" w:color="auto" w:sz="4" w:space="0"/>
                  </w:tcBorders>
                  <w:noWrap w:val="0"/>
                  <w:vAlign w:val="center"/>
                </w:tcPr>
                <w:p w14:paraId="0AFE5B39">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裁断冲裁</w:t>
                  </w:r>
                </w:p>
              </w:tc>
              <w:tc>
                <w:tcPr>
                  <w:tcW w:w="828" w:type="pct"/>
                  <w:tcBorders>
                    <w:top w:val="single" w:color="auto" w:sz="4" w:space="0"/>
                    <w:left w:val="single" w:color="auto" w:sz="4" w:space="0"/>
                    <w:bottom w:val="single" w:color="auto" w:sz="4" w:space="0"/>
                    <w:right w:val="single" w:color="auto" w:sz="4" w:space="0"/>
                  </w:tcBorders>
                  <w:noWrap w:val="0"/>
                  <w:vAlign w:val="center"/>
                </w:tcPr>
                <w:p w14:paraId="5193A1E2">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eastAsia="宋体" w:cs="Times New Roman"/>
                      <w:color w:val="auto"/>
                      <w:kern w:val="2"/>
                      <w:sz w:val="21"/>
                      <w:szCs w:val="21"/>
                      <w:highlight w:val="none"/>
                      <w:lang w:val="en-US" w:eastAsia="zh-CN" w:bidi="ar-SA"/>
                    </w:rPr>
                    <w:t>废边角料</w:t>
                  </w:r>
                </w:p>
              </w:tc>
              <w:tc>
                <w:tcPr>
                  <w:tcW w:w="1694" w:type="pct"/>
                  <w:vMerge w:val="continue"/>
                  <w:tcBorders>
                    <w:top w:val="single" w:color="auto" w:sz="4" w:space="0"/>
                    <w:left w:val="single" w:color="auto" w:sz="4" w:space="0"/>
                    <w:bottom w:val="single" w:color="auto" w:sz="4" w:space="0"/>
                  </w:tcBorders>
                  <w:noWrap w:val="0"/>
                  <w:vAlign w:val="center"/>
                </w:tcPr>
                <w:p w14:paraId="76F5A03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p>
              </w:tc>
              <w:tc>
                <w:tcPr>
                  <w:tcW w:w="639" w:type="pct"/>
                  <w:vMerge w:val="continue"/>
                  <w:noWrap w:val="0"/>
                  <w:vAlign w:val="center"/>
                </w:tcPr>
                <w:p w14:paraId="12481391">
                  <w:pPr>
                    <w:pStyle w:val="9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sz w:val="21"/>
                      <w:szCs w:val="21"/>
                      <w:highlight w:val="none"/>
                    </w:rPr>
                  </w:pPr>
                </w:p>
              </w:tc>
            </w:tr>
            <w:tr w14:paraId="3B0078E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329" w:type="pct"/>
                  <w:vMerge w:val="continue"/>
                  <w:tcBorders>
                    <w:top w:val="single" w:color="auto" w:sz="4" w:space="0"/>
                    <w:bottom w:val="single" w:color="auto" w:sz="4" w:space="0"/>
                    <w:right w:val="single" w:color="auto" w:sz="4" w:space="0"/>
                  </w:tcBorders>
                  <w:noWrap w:val="0"/>
                  <w:vAlign w:val="center"/>
                </w:tcPr>
                <w:p w14:paraId="35B9A14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667" w:type="pct"/>
                  <w:vMerge w:val="continue"/>
                  <w:tcBorders>
                    <w:top w:val="single" w:color="auto" w:sz="4" w:space="0"/>
                    <w:left w:val="single" w:color="auto" w:sz="4" w:space="0"/>
                    <w:bottom w:val="single" w:color="auto" w:sz="4" w:space="0"/>
                    <w:right w:val="single" w:color="auto" w:sz="4" w:space="0"/>
                  </w:tcBorders>
                  <w:noWrap w:val="0"/>
                  <w:vAlign w:val="center"/>
                </w:tcPr>
                <w:p w14:paraId="466C26E5">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840" w:type="pct"/>
                  <w:vMerge w:val="restart"/>
                  <w:tcBorders>
                    <w:top w:val="single" w:color="auto" w:sz="4" w:space="0"/>
                    <w:left w:val="single" w:color="auto" w:sz="4" w:space="0"/>
                    <w:right w:val="single" w:color="auto" w:sz="4" w:space="0"/>
                  </w:tcBorders>
                  <w:noWrap w:val="0"/>
                  <w:vAlign w:val="center"/>
                </w:tcPr>
                <w:p w14:paraId="37776496">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eastAsia="宋体" w:cs="Times New Roman"/>
                      <w:color w:val="auto"/>
                      <w:kern w:val="2"/>
                      <w:sz w:val="21"/>
                      <w:szCs w:val="21"/>
                      <w:highlight w:val="none"/>
                      <w:lang w:val="en-US" w:eastAsia="zh-CN" w:bidi="ar-SA"/>
                    </w:rPr>
                    <w:t>注塑、刷鞋头</w:t>
                  </w:r>
                </w:p>
              </w:tc>
              <w:tc>
                <w:tcPr>
                  <w:tcW w:w="828" w:type="pct"/>
                  <w:tcBorders>
                    <w:top w:val="single" w:color="auto" w:sz="4" w:space="0"/>
                    <w:left w:val="single" w:color="auto" w:sz="4" w:space="0"/>
                    <w:bottom w:val="single" w:color="auto" w:sz="4" w:space="0"/>
                    <w:right w:val="single" w:color="auto" w:sz="4" w:space="0"/>
                  </w:tcBorders>
                  <w:noWrap w:val="0"/>
                  <w:vAlign w:val="center"/>
                </w:tcPr>
                <w:p w14:paraId="6D9D6D39">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eastAsia="宋体" w:cs="Times New Roman"/>
                      <w:color w:val="auto"/>
                      <w:kern w:val="2"/>
                      <w:sz w:val="21"/>
                      <w:szCs w:val="21"/>
                      <w:highlight w:val="none"/>
                      <w:lang w:val="en-US" w:eastAsia="zh-CN" w:bidi="ar-SA"/>
                    </w:rPr>
                    <w:t>收集粉尘</w:t>
                  </w:r>
                </w:p>
              </w:tc>
              <w:tc>
                <w:tcPr>
                  <w:tcW w:w="1694" w:type="pct"/>
                  <w:vMerge w:val="continue"/>
                  <w:tcBorders>
                    <w:top w:val="single" w:color="auto" w:sz="4" w:space="0"/>
                    <w:left w:val="single" w:color="auto" w:sz="4" w:space="0"/>
                    <w:bottom w:val="single" w:color="auto" w:sz="4" w:space="0"/>
                  </w:tcBorders>
                  <w:noWrap w:val="0"/>
                  <w:vAlign w:val="center"/>
                </w:tcPr>
                <w:p w14:paraId="76C290B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p>
              </w:tc>
              <w:tc>
                <w:tcPr>
                  <w:tcW w:w="639" w:type="pct"/>
                  <w:vMerge w:val="continue"/>
                  <w:noWrap w:val="0"/>
                  <w:vAlign w:val="center"/>
                </w:tcPr>
                <w:p w14:paraId="466E049D">
                  <w:pPr>
                    <w:pStyle w:val="9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sz w:val="21"/>
                      <w:szCs w:val="21"/>
                      <w:highlight w:val="none"/>
                    </w:rPr>
                  </w:pPr>
                </w:p>
              </w:tc>
            </w:tr>
            <w:tr w14:paraId="4890398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29" w:type="pct"/>
                  <w:vMerge w:val="continue"/>
                  <w:tcBorders>
                    <w:top w:val="single" w:color="auto" w:sz="4" w:space="0"/>
                    <w:bottom w:val="single" w:color="auto" w:sz="4" w:space="0"/>
                    <w:right w:val="single" w:color="auto" w:sz="4" w:space="0"/>
                  </w:tcBorders>
                  <w:noWrap w:val="0"/>
                  <w:vAlign w:val="center"/>
                </w:tcPr>
                <w:p w14:paraId="6B984AF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667" w:type="pct"/>
                  <w:vMerge w:val="continue"/>
                  <w:tcBorders>
                    <w:top w:val="single" w:color="auto" w:sz="4" w:space="0"/>
                    <w:left w:val="single" w:color="auto" w:sz="4" w:space="0"/>
                    <w:bottom w:val="single" w:color="auto" w:sz="4" w:space="0"/>
                    <w:right w:val="single" w:color="auto" w:sz="4" w:space="0"/>
                  </w:tcBorders>
                  <w:noWrap w:val="0"/>
                  <w:vAlign w:val="center"/>
                </w:tcPr>
                <w:p w14:paraId="0A0C862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840" w:type="pct"/>
                  <w:vMerge w:val="continue"/>
                  <w:tcBorders>
                    <w:left w:val="single" w:color="auto" w:sz="4" w:space="0"/>
                    <w:right w:val="single" w:color="auto" w:sz="4" w:space="0"/>
                  </w:tcBorders>
                  <w:noWrap w:val="0"/>
                  <w:vAlign w:val="center"/>
                </w:tcPr>
                <w:p w14:paraId="68D6166A">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eastAsia="宋体" w:cs="Times New Roman"/>
                      <w:color w:val="auto"/>
                      <w:kern w:val="2"/>
                      <w:sz w:val="21"/>
                      <w:szCs w:val="21"/>
                      <w:highlight w:val="none"/>
                      <w:lang w:val="en-US" w:eastAsia="zh-CN" w:bidi="ar-SA"/>
                    </w:rPr>
                  </w:pPr>
                </w:p>
              </w:tc>
              <w:tc>
                <w:tcPr>
                  <w:tcW w:w="828" w:type="pct"/>
                  <w:tcBorders>
                    <w:top w:val="single" w:color="auto" w:sz="4" w:space="0"/>
                    <w:left w:val="single" w:color="auto" w:sz="4" w:space="0"/>
                    <w:bottom w:val="single" w:color="auto" w:sz="4" w:space="0"/>
                    <w:right w:val="single" w:color="auto" w:sz="4" w:space="0"/>
                  </w:tcBorders>
                  <w:noWrap w:val="0"/>
                  <w:vAlign w:val="center"/>
                </w:tcPr>
                <w:p w14:paraId="530841ED">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eastAsia="宋体" w:cs="Times New Roman"/>
                      <w:color w:val="auto"/>
                      <w:kern w:val="2"/>
                      <w:sz w:val="21"/>
                      <w:szCs w:val="21"/>
                      <w:highlight w:val="none"/>
                      <w:lang w:val="en-US" w:eastAsia="zh-CN" w:bidi="ar-SA"/>
                    </w:rPr>
                  </w:pPr>
                  <w:r>
                    <w:rPr>
                      <w:rFonts w:hint="eastAsia" w:eastAsia="宋体" w:cs="Times New Roman"/>
                      <w:color w:val="auto"/>
                      <w:kern w:val="2"/>
                      <w:sz w:val="21"/>
                      <w:szCs w:val="21"/>
                      <w:highlight w:val="none"/>
                      <w:lang w:val="en-US" w:eastAsia="zh-CN" w:bidi="ar-SA"/>
                    </w:rPr>
                    <w:t>废布袋</w:t>
                  </w:r>
                </w:p>
              </w:tc>
              <w:tc>
                <w:tcPr>
                  <w:tcW w:w="1694" w:type="pct"/>
                  <w:vMerge w:val="continue"/>
                  <w:tcBorders>
                    <w:top w:val="single" w:color="auto" w:sz="4" w:space="0"/>
                    <w:left w:val="single" w:color="auto" w:sz="4" w:space="0"/>
                    <w:bottom w:val="single" w:color="auto" w:sz="4" w:space="0"/>
                  </w:tcBorders>
                  <w:noWrap w:val="0"/>
                  <w:vAlign w:val="center"/>
                </w:tcPr>
                <w:p w14:paraId="3D5D4E6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p>
              </w:tc>
              <w:tc>
                <w:tcPr>
                  <w:tcW w:w="639" w:type="pct"/>
                  <w:vMerge w:val="continue"/>
                  <w:noWrap w:val="0"/>
                  <w:vAlign w:val="center"/>
                </w:tcPr>
                <w:p w14:paraId="4DDC71FC">
                  <w:pPr>
                    <w:pStyle w:val="9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sz w:val="21"/>
                      <w:szCs w:val="21"/>
                      <w:highlight w:val="none"/>
                    </w:rPr>
                  </w:pPr>
                </w:p>
              </w:tc>
            </w:tr>
            <w:tr w14:paraId="5794E75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29" w:type="pct"/>
                  <w:vMerge w:val="continue"/>
                  <w:tcBorders>
                    <w:top w:val="single" w:color="auto" w:sz="4" w:space="0"/>
                    <w:bottom w:val="single" w:color="auto" w:sz="4" w:space="0"/>
                    <w:right w:val="single" w:color="auto" w:sz="4" w:space="0"/>
                  </w:tcBorders>
                  <w:noWrap w:val="0"/>
                  <w:vAlign w:val="center"/>
                </w:tcPr>
                <w:p w14:paraId="37A95C1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667" w:type="pct"/>
                  <w:vMerge w:val="continue"/>
                  <w:tcBorders>
                    <w:top w:val="single" w:color="auto" w:sz="4" w:space="0"/>
                    <w:left w:val="single" w:color="auto" w:sz="4" w:space="0"/>
                    <w:bottom w:val="single" w:color="auto" w:sz="4" w:space="0"/>
                    <w:right w:val="single" w:color="auto" w:sz="4" w:space="0"/>
                  </w:tcBorders>
                  <w:noWrap w:val="0"/>
                  <w:vAlign w:val="center"/>
                </w:tcPr>
                <w:p w14:paraId="290EF3F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840" w:type="pct"/>
                  <w:vMerge w:val="continue"/>
                  <w:tcBorders>
                    <w:left w:val="single" w:color="auto" w:sz="4" w:space="0"/>
                    <w:bottom w:val="single" w:color="auto" w:sz="4" w:space="0"/>
                    <w:right w:val="single" w:color="auto" w:sz="4" w:space="0"/>
                  </w:tcBorders>
                  <w:noWrap w:val="0"/>
                  <w:vAlign w:val="center"/>
                </w:tcPr>
                <w:p w14:paraId="70F3E144">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eastAsia="宋体" w:cs="Times New Roman"/>
                      <w:color w:val="auto"/>
                      <w:kern w:val="2"/>
                      <w:sz w:val="21"/>
                      <w:szCs w:val="21"/>
                      <w:highlight w:val="none"/>
                      <w:lang w:val="en-US" w:eastAsia="zh-CN" w:bidi="ar-SA"/>
                    </w:rPr>
                  </w:pPr>
                </w:p>
              </w:tc>
              <w:tc>
                <w:tcPr>
                  <w:tcW w:w="828" w:type="pct"/>
                  <w:tcBorders>
                    <w:top w:val="single" w:color="auto" w:sz="4" w:space="0"/>
                    <w:left w:val="single" w:color="auto" w:sz="4" w:space="0"/>
                    <w:bottom w:val="single" w:color="auto" w:sz="4" w:space="0"/>
                    <w:right w:val="single" w:color="auto" w:sz="4" w:space="0"/>
                  </w:tcBorders>
                  <w:noWrap w:val="0"/>
                  <w:vAlign w:val="center"/>
                </w:tcPr>
                <w:p w14:paraId="3921460F">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eastAsia="宋体" w:cs="Times New Roman"/>
                      <w:color w:val="auto"/>
                      <w:kern w:val="2"/>
                      <w:sz w:val="21"/>
                      <w:szCs w:val="21"/>
                      <w:highlight w:val="none"/>
                      <w:lang w:val="en-US" w:eastAsia="zh-CN" w:bidi="ar-SA"/>
                    </w:rPr>
                  </w:pPr>
                  <w:r>
                    <w:rPr>
                      <w:rFonts w:hint="eastAsia" w:eastAsia="宋体" w:cs="Times New Roman"/>
                      <w:color w:val="auto"/>
                      <w:kern w:val="2"/>
                      <w:sz w:val="21"/>
                      <w:szCs w:val="21"/>
                      <w:highlight w:val="none"/>
                      <w:lang w:val="en-US" w:eastAsia="zh-CN" w:bidi="ar-SA"/>
                    </w:rPr>
                    <w:t>注塑废边角料</w:t>
                  </w:r>
                </w:p>
              </w:tc>
              <w:tc>
                <w:tcPr>
                  <w:tcW w:w="1694" w:type="pct"/>
                  <w:vMerge w:val="continue"/>
                  <w:tcBorders>
                    <w:top w:val="single" w:color="auto" w:sz="4" w:space="0"/>
                    <w:left w:val="single" w:color="auto" w:sz="4" w:space="0"/>
                    <w:bottom w:val="single" w:color="auto" w:sz="4" w:space="0"/>
                  </w:tcBorders>
                  <w:noWrap w:val="0"/>
                  <w:vAlign w:val="center"/>
                </w:tcPr>
                <w:p w14:paraId="368FBA4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p>
              </w:tc>
              <w:tc>
                <w:tcPr>
                  <w:tcW w:w="639" w:type="pct"/>
                  <w:vMerge w:val="continue"/>
                  <w:noWrap w:val="0"/>
                  <w:vAlign w:val="center"/>
                </w:tcPr>
                <w:p w14:paraId="682663C7">
                  <w:pPr>
                    <w:pStyle w:val="9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sz w:val="21"/>
                      <w:szCs w:val="21"/>
                      <w:highlight w:val="none"/>
                    </w:rPr>
                  </w:pPr>
                </w:p>
              </w:tc>
            </w:tr>
            <w:tr w14:paraId="7AE5E4F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29" w:type="pct"/>
                  <w:vMerge w:val="continue"/>
                  <w:tcBorders>
                    <w:top w:val="single" w:color="auto" w:sz="4" w:space="0"/>
                    <w:bottom w:val="single" w:color="auto" w:sz="4" w:space="0"/>
                    <w:right w:val="single" w:color="auto" w:sz="4" w:space="0"/>
                  </w:tcBorders>
                  <w:noWrap w:val="0"/>
                  <w:vAlign w:val="center"/>
                </w:tcPr>
                <w:p w14:paraId="41ACBCF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667" w:type="pct"/>
                  <w:vMerge w:val="continue"/>
                  <w:tcBorders>
                    <w:top w:val="single" w:color="auto" w:sz="4" w:space="0"/>
                    <w:left w:val="single" w:color="auto" w:sz="4" w:space="0"/>
                    <w:bottom w:val="single" w:color="auto" w:sz="4" w:space="0"/>
                    <w:right w:val="single" w:color="auto" w:sz="4" w:space="0"/>
                  </w:tcBorders>
                  <w:noWrap w:val="0"/>
                  <w:vAlign w:val="center"/>
                </w:tcPr>
                <w:p w14:paraId="01228AA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840" w:type="pct"/>
                  <w:tcBorders>
                    <w:top w:val="single" w:color="auto" w:sz="4" w:space="0"/>
                    <w:left w:val="single" w:color="auto" w:sz="4" w:space="0"/>
                    <w:bottom w:val="single" w:color="auto" w:sz="4" w:space="0"/>
                    <w:right w:val="single" w:color="auto" w:sz="4" w:space="0"/>
                  </w:tcBorders>
                  <w:noWrap w:val="0"/>
                  <w:vAlign w:val="center"/>
                </w:tcPr>
                <w:p w14:paraId="510701CE">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eastAsia="宋体" w:cs="Times New Roman"/>
                      <w:color w:val="auto"/>
                      <w:kern w:val="2"/>
                      <w:sz w:val="21"/>
                      <w:szCs w:val="21"/>
                      <w:highlight w:val="none"/>
                      <w:lang w:val="en-US" w:eastAsia="zh-CN" w:bidi="ar-SA"/>
                    </w:rPr>
                    <w:t>检验、发泡</w:t>
                  </w:r>
                </w:p>
              </w:tc>
              <w:tc>
                <w:tcPr>
                  <w:tcW w:w="828" w:type="pct"/>
                  <w:tcBorders>
                    <w:top w:val="single" w:color="auto" w:sz="4" w:space="0"/>
                    <w:left w:val="single" w:color="auto" w:sz="4" w:space="0"/>
                    <w:bottom w:val="single" w:color="auto" w:sz="4" w:space="0"/>
                    <w:right w:val="single" w:color="auto" w:sz="4" w:space="0"/>
                  </w:tcBorders>
                  <w:noWrap w:val="0"/>
                  <w:vAlign w:val="center"/>
                </w:tcPr>
                <w:p w14:paraId="5ACC484B">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eastAsia="宋体" w:cs="Times New Roman"/>
                      <w:color w:val="auto"/>
                      <w:kern w:val="2"/>
                      <w:sz w:val="21"/>
                      <w:szCs w:val="21"/>
                      <w:highlight w:val="none"/>
                      <w:lang w:val="en-US" w:eastAsia="zh-CN" w:bidi="ar-SA"/>
                    </w:rPr>
                    <w:t>不合格品</w:t>
                  </w:r>
                </w:p>
              </w:tc>
              <w:tc>
                <w:tcPr>
                  <w:tcW w:w="1694" w:type="pct"/>
                  <w:vMerge w:val="continue"/>
                  <w:tcBorders>
                    <w:top w:val="single" w:color="auto" w:sz="4" w:space="0"/>
                    <w:left w:val="single" w:color="auto" w:sz="4" w:space="0"/>
                    <w:bottom w:val="single" w:color="auto" w:sz="4" w:space="0"/>
                  </w:tcBorders>
                  <w:noWrap w:val="0"/>
                  <w:vAlign w:val="center"/>
                </w:tcPr>
                <w:p w14:paraId="1410E54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jc w:val="center"/>
                    <w:textAlignment w:val="auto"/>
                    <w:rPr>
                      <w:rFonts w:hint="default" w:ascii="Times New Roman" w:hAnsi="Times New Roman" w:eastAsia="宋体" w:cs="Times New Roman"/>
                      <w:color w:val="auto"/>
                      <w:kern w:val="2"/>
                      <w:sz w:val="21"/>
                      <w:szCs w:val="21"/>
                      <w:highlight w:val="none"/>
                      <w:lang w:val="en-US" w:eastAsia="zh-CN" w:bidi="ar-SA"/>
                    </w:rPr>
                  </w:pPr>
                </w:p>
              </w:tc>
              <w:tc>
                <w:tcPr>
                  <w:tcW w:w="639" w:type="pct"/>
                  <w:vMerge w:val="continue"/>
                  <w:noWrap w:val="0"/>
                  <w:vAlign w:val="center"/>
                </w:tcPr>
                <w:p w14:paraId="4FEC1AFE">
                  <w:pPr>
                    <w:pStyle w:val="9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sz w:val="21"/>
                      <w:szCs w:val="21"/>
                      <w:highlight w:val="none"/>
                    </w:rPr>
                  </w:pPr>
                </w:p>
              </w:tc>
            </w:tr>
            <w:tr w14:paraId="64E79DF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29" w:type="pct"/>
                  <w:vMerge w:val="continue"/>
                  <w:tcBorders>
                    <w:top w:val="single" w:color="auto" w:sz="4" w:space="0"/>
                    <w:right w:val="single" w:color="auto" w:sz="4" w:space="0"/>
                  </w:tcBorders>
                  <w:noWrap w:val="0"/>
                  <w:vAlign w:val="center"/>
                </w:tcPr>
                <w:p w14:paraId="7234580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667" w:type="pct"/>
                  <w:vMerge w:val="restart"/>
                  <w:tcBorders>
                    <w:top w:val="single" w:color="auto" w:sz="4" w:space="0"/>
                    <w:left w:val="single" w:color="auto" w:sz="4" w:space="0"/>
                    <w:right w:val="single" w:color="auto" w:sz="4" w:space="0"/>
                  </w:tcBorders>
                  <w:noWrap w:val="0"/>
                  <w:vAlign w:val="center"/>
                </w:tcPr>
                <w:p w14:paraId="7BE9141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r>
                    <w:rPr>
                      <w:rFonts w:hint="default" w:ascii="Times New Roman" w:hAnsi="Times New Roman" w:eastAsia="宋体" w:cs="Times New Roman"/>
                      <w:color w:val="auto"/>
                      <w:spacing w:val="0"/>
                      <w:w w:val="100"/>
                      <w:kern w:val="18"/>
                      <w:sz w:val="21"/>
                      <w:szCs w:val="21"/>
                      <w:highlight w:val="none"/>
                      <w:lang w:val="en-US" w:eastAsia="zh-CN"/>
                    </w:rPr>
                    <w:t>危险废物</w:t>
                  </w:r>
                </w:p>
              </w:tc>
              <w:tc>
                <w:tcPr>
                  <w:tcW w:w="840" w:type="pct"/>
                  <w:vMerge w:val="restart"/>
                  <w:tcBorders>
                    <w:top w:val="single" w:color="auto" w:sz="4" w:space="0"/>
                    <w:left w:val="single" w:color="auto" w:sz="4" w:space="0"/>
                    <w:right w:val="single" w:color="auto" w:sz="4" w:space="0"/>
                  </w:tcBorders>
                  <w:noWrap w:val="0"/>
                  <w:vAlign w:val="center"/>
                </w:tcPr>
                <w:p w14:paraId="16799E76">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eastAsia="宋体" w:cs="Times New Roman"/>
                      <w:color w:val="auto"/>
                      <w:kern w:val="2"/>
                      <w:sz w:val="21"/>
                      <w:szCs w:val="21"/>
                      <w:highlight w:val="none"/>
                      <w:lang w:val="en-US" w:eastAsia="zh-CN" w:bidi="ar-SA"/>
                    </w:rPr>
                    <w:t>丝印</w:t>
                  </w:r>
                </w:p>
              </w:tc>
              <w:tc>
                <w:tcPr>
                  <w:tcW w:w="828" w:type="pct"/>
                  <w:tcBorders>
                    <w:top w:val="single" w:color="auto" w:sz="4" w:space="0"/>
                    <w:left w:val="single" w:color="auto" w:sz="4" w:space="0"/>
                    <w:right w:val="single" w:color="auto" w:sz="4" w:space="0"/>
                  </w:tcBorders>
                  <w:noWrap w:val="0"/>
                  <w:vAlign w:val="center"/>
                </w:tcPr>
                <w:p w14:paraId="51211E8A">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eastAsia="宋体" w:cs="Times New Roman"/>
                      <w:color w:val="auto"/>
                      <w:kern w:val="2"/>
                      <w:sz w:val="21"/>
                      <w:szCs w:val="21"/>
                      <w:highlight w:val="none"/>
                      <w:lang w:val="en-US" w:eastAsia="zh-CN" w:bidi="ar-SA"/>
                    </w:rPr>
                    <w:t>废网版</w:t>
                  </w:r>
                </w:p>
              </w:tc>
              <w:tc>
                <w:tcPr>
                  <w:tcW w:w="1694" w:type="pct"/>
                  <w:vMerge w:val="restart"/>
                  <w:tcBorders>
                    <w:top w:val="single" w:color="auto" w:sz="4" w:space="0"/>
                    <w:left w:val="single" w:color="auto" w:sz="4" w:space="0"/>
                  </w:tcBorders>
                  <w:noWrap w:val="0"/>
                  <w:vAlign w:val="center"/>
                </w:tcPr>
                <w:p w14:paraId="62CB45A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r>
                    <w:rPr>
                      <w:rFonts w:hint="default" w:ascii="Times New Roman" w:hAnsi="Times New Roman" w:eastAsia="宋体" w:cs="Times New Roman"/>
                      <w:color w:val="auto"/>
                      <w:spacing w:val="0"/>
                      <w:w w:val="100"/>
                      <w:kern w:val="18"/>
                      <w:sz w:val="21"/>
                      <w:szCs w:val="21"/>
                      <w:highlight w:val="none"/>
                      <w:lang w:val="en-US" w:eastAsia="zh-CN"/>
                    </w:rPr>
                    <w:t>交由有资质单位</w:t>
                  </w:r>
                </w:p>
              </w:tc>
              <w:tc>
                <w:tcPr>
                  <w:tcW w:w="639" w:type="pct"/>
                  <w:vMerge w:val="continue"/>
                  <w:noWrap w:val="0"/>
                  <w:vAlign w:val="center"/>
                </w:tcPr>
                <w:p w14:paraId="7AD24402">
                  <w:pPr>
                    <w:pStyle w:val="9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sz w:val="21"/>
                      <w:szCs w:val="21"/>
                      <w:highlight w:val="none"/>
                    </w:rPr>
                  </w:pPr>
                </w:p>
              </w:tc>
            </w:tr>
            <w:tr w14:paraId="7696FB5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29" w:type="pct"/>
                  <w:vMerge w:val="continue"/>
                  <w:noWrap w:val="0"/>
                  <w:vAlign w:val="center"/>
                </w:tcPr>
                <w:p w14:paraId="22E4A2D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667" w:type="pct"/>
                  <w:vMerge w:val="continue"/>
                  <w:noWrap w:val="0"/>
                  <w:vAlign w:val="center"/>
                </w:tcPr>
                <w:p w14:paraId="770E02C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840" w:type="pct"/>
                  <w:vMerge w:val="continue"/>
                  <w:noWrap w:val="0"/>
                  <w:vAlign w:val="center"/>
                </w:tcPr>
                <w:p w14:paraId="20ACA2E1">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p>
              </w:tc>
              <w:tc>
                <w:tcPr>
                  <w:tcW w:w="828" w:type="pct"/>
                  <w:noWrap w:val="0"/>
                  <w:vAlign w:val="center"/>
                </w:tcPr>
                <w:p w14:paraId="1AC4AD77">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eastAsia="宋体" w:cs="Times New Roman"/>
                      <w:color w:val="auto"/>
                      <w:kern w:val="2"/>
                      <w:sz w:val="21"/>
                      <w:szCs w:val="21"/>
                      <w:highlight w:val="none"/>
                      <w:lang w:val="en-US" w:eastAsia="zh-CN" w:bidi="ar-SA"/>
                    </w:rPr>
                    <w:t>网版清洗水</w:t>
                  </w:r>
                </w:p>
              </w:tc>
              <w:tc>
                <w:tcPr>
                  <w:tcW w:w="1694" w:type="pct"/>
                  <w:vMerge w:val="continue"/>
                  <w:noWrap w:val="0"/>
                  <w:vAlign w:val="center"/>
                </w:tcPr>
                <w:p w14:paraId="20778F25">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639" w:type="pct"/>
                  <w:vMerge w:val="continue"/>
                  <w:noWrap w:val="0"/>
                  <w:vAlign w:val="center"/>
                </w:tcPr>
                <w:p w14:paraId="2F74B2E8">
                  <w:pPr>
                    <w:pStyle w:val="9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sz w:val="21"/>
                      <w:szCs w:val="21"/>
                      <w:highlight w:val="none"/>
                    </w:rPr>
                  </w:pPr>
                </w:p>
              </w:tc>
            </w:tr>
            <w:tr w14:paraId="404E46D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29" w:type="pct"/>
                  <w:vMerge w:val="continue"/>
                  <w:noWrap w:val="0"/>
                  <w:vAlign w:val="center"/>
                </w:tcPr>
                <w:p w14:paraId="2FFB52F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667" w:type="pct"/>
                  <w:vMerge w:val="continue"/>
                  <w:noWrap w:val="0"/>
                  <w:vAlign w:val="center"/>
                </w:tcPr>
                <w:p w14:paraId="6BD82F8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840" w:type="pct"/>
                  <w:vMerge w:val="continue"/>
                  <w:noWrap w:val="0"/>
                  <w:vAlign w:val="center"/>
                </w:tcPr>
                <w:p w14:paraId="2BE2CDB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p>
              </w:tc>
              <w:tc>
                <w:tcPr>
                  <w:tcW w:w="828" w:type="pct"/>
                  <w:noWrap w:val="0"/>
                  <w:vAlign w:val="center"/>
                </w:tcPr>
                <w:p w14:paraId="63FABC13">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eastAsia="宋体" w:cs="Times New Roman"/>
                      <w:color w:val="auto"/>
                      <w:kern w:val="2"/>
                      <w:sz w:val="21"/>
                      <w:szCs w:val="21"/>
                      <w:highlight w:val="none"/>
                      <w:lang w:val="en-US" w:eastAsia="zh-CN" w:bidi="ar-SA"/>
                    </w:rPr>
                    <w:t>废油墨桶</w:t>
                  </w:r>
                </w:p>
              </w:tc>
              <w:tc>
                <w:tcPr>
                  <w:tcW w:w="1694" w:type="pct"/>
                  <w:vMerge w:val="continue"/>
                  <w:noWrap w:val="0"/>
                  <w:vAlign w:val="center"/>
                </w:tcPr>
                <w:p w14:paraId="2211932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639" w:type="pct"/>
                  <w:vMerge w:val="continue"/>
                  <w:noWrap w:val="0"/>
                  <w:vAlign w:val="center"/>
                </w:tcPr>
                <w:p w14:paraId="4410ACDA">
                  <w:pPr>
                    <w:pStyle w:val="9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sz w:val="21"/>
                      <w:szCs w:val="21"/>
                      <w:highlight w:val="none"/>
                    </w:rPr>
                  </w:pPr>
                </w:p>
              </w:tc>
            </w:tr>
            <w:tr w14:paraId="52ECA41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29" w:type="pct"/>
                  <w:vMerge w:val="continue"/>
                  <w:noWrap w:val="0"/>
                  <w:vAlign w:val="center"/>
                </w:tcPr>
                <w:p w14:paraId="41D667E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667" w:type="pct"/>
                  <w:vMerge w:val="continue"/>
                  <w:noWrap w:val="0"/>
                  <w:vAlign w:val="center"/>
                </w:tcPr>
                <w:p w14:paraId="0B4532A5">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840" w:type="pct"/>
                  <w:noWrap w:val="0"/>
                  <w:vAlign w:val="center"/>
                </w:tcPr>
                <w:p w14:paraId="4368B03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eastAsia="宋体" w:cs="Times New Roman"/>
                      <w:color w:val="auto"/>
                      <w:kern w:val="2"/>
                      <w:sz w:val="21"/>
                      <w:szCs w:val="21"/>
                      <w:highlight w:val="none"/>
                      <w:lang w:val="en-US" w:eastAsia="zh-CN" w:bidi="ar-SA"/>
                    </w:rPr>
                    <w:t>丝印、刷胶</w:t>
                  </w:r>
                </w:p>
              </w:tc>
              <w:tc>
                <w:tcPr>
                  <w:tcW w:w="828" w:type="pct"/>
                  <w:noWrap w:val="0"/>
                  <w:vAlign w:val="center"/>
                </w:tcPr>
                <w:p w14:paraId="6E4E21E0">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eastAsia="宋体" w:cs="Times New Roman"/>
                      <w:color w:val="auto"/>
                      <w:kern w:val="2"/>
                      <w:sz w:val="21"/>
                      <w:szCs w:val="21"/>
                      <w:highlight w:val="none"/>
                      <w:lang w:val="en-US" w:eastAsia="zh-CN" w:bidi="ar-SA"/>
                    </w:rPr>
                  </w:pPr>
                  <w:r>
                    <w:rPr>
                      <w:rFonts w:hint="eastAsia" w:eastAsia="宋体" w:cs="Times New Roman"/>
                      <w:color w:val="auto"/>
                      <w:kern w:val="2"/>
                      <w:sz w:val="21"/>
                      <w:szCs w:val="21"/>
                      <w:highlight w:val="none"/>
                      <w:lang w:val="en-US" w:eastAsia="zh-CN" w:bidi="ar-SA"/>
                    </w:rPr>
                    <w:t>废包装桶</w:t>
                  </w:r>
                </w:p>
              </w:tc>
              <w:tc>
                <w:tcPr>
                  <w:tcW w:w="1694" w:type="pct"/>
                  <w:vMerge w:val="continue"/>
                  <w:noWrap w:val="0"/>
                  <w:vAlign w:val="center"/>
                </w:tcPr>
                <w:p w14:paraId="11D95C0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639" w:type="pct"/>
                  <w:vMerge w:val="continue"/>
                  <w:noWrap w:val="0"/>
                  <w:vAlign w:val="center"/>
                </w:tcPr>
                <w:p w14:paraId="5D865C81">
                  <w:pPr>
                    <w:pStyle w:val="9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sz w:val="21"/>
                      <w:szCs w:val="21"/>
                      <w:highlight w:val="none"/>
                    </w:rPr>
                  </w:pPr>
                </w:p>
              </w:tc>
            </w:tr>
            <w:tr w14:paraId="4542DC3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29" w:type="pct"/>
                  <w:vMerge w:val="continue"/>
                  <w:noWrap w:val="0"/>
                  <w:vAlign w:val="center"/>
                </w:tcPr>
                <w:p w14:paraId="5832C945">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667" w:type="pct"/>
                  <w:vMerge w:val="continue"/>
                  <w:noWrap w:val="0"/>
                  <w:vAlign w:val="center"/>
                </w:tcPr>
                <w:p w14:paraId="499C3FFA">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840" w:type="pct"/>
                  <w:noWrap w:val="0"/>
                  <w:vAlign w:val="center"/>
                </w:tcPr>
                <w:p w14:paraId="24A21C09">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eastAsia="宋体" w:cs="Times New Roman"/>
                      <w:color w:val="auto"/>
                      <w:kern w:val="2"/>
                      <w:sz w:val="21"/>
                      <w:szCs w:val="21"/>
                      <w:highlight w:val="none"/>
                      <w:lang w:val="en-US" w:eastAsia="zh-CN" w:bidi="ar-SA"/>
                    </w:rPr>
                  </w:pPr>
                  <w:r>
                    <w:rPr>
                      <w:rFonts w:hint="eastAsia" w:eastAsia="宋体" w:cs="Times New Roman"/>
                      <w:color w:val="auto"/>
                      <w:kern w:val="2"/>
                      <w:sz w:val="21"/>
                      <w:szCs w:val="21"/>
                      <w:highlight w:val="none"/>
                      <w:lang w:val="en-US" w:eastAsia="zh-CN" w:bidi="ar-SA"/>
                    </w:rPr>
                    <w:t>废气处理</w:t>
                  </w:r>
                </w:p>
              </w:tc>
              <w:tc>
                <w:tcPr>
                  <w:tcW w:w="828" w:type="pct"/>
                  <w:noWrap w:val="0"/>
                  <w:vAlign w:val="center"/>
                </w:tcPr>
                <w:p w14:paraId="1247B4AF">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eastAsia="宋体" w:cs="Times New Roman"/>
                      <w:color w:val="auto"/>
                      <w:kern w:val="2"/>
                      <w:sz w:val="21"/>
                      <w:szCs w:val="21"/>
                      <w:highlight w:val="none"/>
                      <w:lang w:val="en-US" w:eastAsia="zh-CN" w:bidi="ar-SA"/>
                    </w:rPr>
                  </w:pPr>
                  <w:r>
                    <w:rPr>
                      <w:rFonts w:hint="eastAsia" w:eastAsia="宋体" w:cs="Times New Roman"/>
                      <w:color w:val="auto"/>
                      <w:kern w:val="2"/>
                      <w:sz w:val="21"/>
                      <w:szCs w:val="21"/>
                      <w:highlight w:val="none"/>
                      <w:lang w:val="en-US" w:eastAsia="zh-CN" w:bidi="ar-SA"/>
                    </w:rPr>
                    <w:t>废活性炭</w:t>
                  </w:r>
                </w:p>
              </w:tc>
              <w:tc>
                <w:tcPr>
                  <w:tcW w:w="1694" w:type="pct"/>
                  <w:vMerge w:val="continue"/>
                  <w:noWrap w:val="0"/>
                  <w:vAlign w:val="center"/>
                </w:tcPr>
                <w:p w14:paraId="65A58C1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639" w:type="pct"/>
                  <w:vMerge w:val="continue"/>
                  <w:noWrap w:val="0"/>
                  <w:vAlign w:val="center"/>
                </w:tcPr>
                <w:p w14:paraId="27BAEB02">
                  <w:pPr>
                    <w:pStyle w:val="9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sz w:val="21"/>
                      <w:szCs w:val="21"/>
                      <w:highlight w:val="none"/>
                    </w:rPr>
                  </w:pPr>
                </w:p>
              </w:tc>
            </w:tr>
            <w:tr w14:paraId="627FC75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29" w:type="pct"/>
                  <w:vMerge w:val="continue"/>
                  <w:noWrap w:val="0"/>
                  <w:vAlign w:val="center"/>
                </w:tcPr>
                <w:p w14:paraId="249F90B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667" w:type="pct"/>
                  <w:vMerge w:val="continue"/>
                  <w:noWrap w:val="0"/>
                  <w:vAlign w:val="center"/>
                </w:tcPr>
                <w:p w14:paraId="4F7BDC8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840" w:type="pct"/>
                  <w:vMerge w:val="restart"/>
                  <w:noWrap w:val="0"/>
                  <w:vAlign w:val="center"/>
                </w:tcPr>
                <w:p w14:paraId="4A5A97EE">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eastAsia="宋体" w:cs="Times New Roman"/>
                      <w:color w:val="auto"/>
                      <w:kern w:val="2"/>
                      <w:sz w:val="21"/>
                      <w:szCs w:val="21"/>
                      <w:highlight w:val="none"/>
                      <w:lang w:val="en-US" w:eastAsia="zh-CN" w:bidi="ar-SA"/>
                    </w:rPr>
                  </w:pPr>
                  <w:r>
                    <w:rPr>
                      <w:rFonts w:hint="eastAsia" w:eastAsia="宋体" w:cs="Times New Roman"/>
                      <w:color w:val="auto"/>
                      <w:kern w:val="2"/>
                      <w:sz w:val="21"/>
                      <w:szCs w:val="21"/>
                      <w:highlight w:val="none"/>
                      <w:lang w:val="en-US" w:eastAsia="zh-CN" w:bidi="ar-SA"/>
                    </w:rPr>
                    <w:t>设备维护</w:t>
                  </w:r>
                </w:p>
              </w:tc>
              <w:tc>
                <w:tcPr>
                  <w:tcW w:w="828" w:type="pct"/>
                  <w:noWrap w:val="0"/>
                  <w:vAlign w:val="center"/>
                </w:tcPr>
                <w:p w14:paraId="2BE5FDE7">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eastAsia="宋体" w:cs="Times New Roman"/>
                      <w:color w:val="auto"/>
                      <w:kern w:val="2"/>
                      <w:sz w:val="21"/>
                      <w:szCs w:val="21"/>
                      <w:highlight w:val="none"/>
                      <w:lang w:val="en-US" w:eastAsia="zh-CN" w:bidi="ar-SA"/>
                    </w:rPr>
                  </w:pPr>
                  <w:r>
                    <w:rPr>
                      <w:rFonts w:hint="eastAsia" w:eastAsia="宋体" w:cs="Times New Roman"/>
                      <w:color w:val="auto"/>
                      <w:kern w:val="2"/>
                      <w:sz w:val="21"/>
                      <w:szCs w:val="21"/>
                      <w:highlight w:val="none"/>
                      <w:lang w:val="en-US" w:eastAsia="zh-CN" w:bidi="ar-SA"/>
                    </w:rPr>
                    <w:t>废机油</w:t>
                  </w:r>
                </w:p>
              </w:tc>
              <w:tc>
                <w:tcPr>
                  <w:tcW w:w="1694" w:type="pct"/>
                  <w:vMerge w:val="continue"/>
                  <w:noWrap w:val="0"/>
                  <w:vAlign w:val="center"/>
                </w:tcPr>
                <w:p w14:paraId="71BE45C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639" w:type="pct"/>
                  <w:vMerge w:val="continue"/>
                  <w:noWrap w:val="0"/>
                  <w:vAlign w:val="center"/>
                </w:tcPr>
                <w:p w14:paraId="0F15BD0F">
                  <w:pPr>
                    <w:pStyle w:val="9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sz w:val="21"/>
                      <w:szCs w:val="21"/>
                      <w:highlight w:val="none"/>
                    </w:rPr>
                  </w:pPr>
                </w:p>
              </w:tc>
            </w:tr>
            <w:tr w14:paraId="74EE8CE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29" w:type="pct"/>
                  <w:vMerge w:val="continue"/>
                  <w:noWrap w:val="0"/>
                  <w:vAlign w:val="center"/>
                </w:tcPr>
                <w:p w14:paraId="02E6C0E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667" w:type="pct"/>
                  <w:vMerge w:val="continue"/>
                  <w:noWrap w:val="0"/>
                  <w:vAlign w:val="center"/>
                </w:tcPr>
                <w:p w14:paraId="30C4AAC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840" w:type="pct"/>
                  <w:vMerge w:val="continue"/>
                  <w:noWrap w:val="0"/>
                  <w:vAlign w:val="center"/>
                </w:tcPr>
                <w:p w14:paraId="65560F0E">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eastAsia="宋体" w:cs="Times New Roman"/>
                      <w:color w:val="auto"/>
                      <w:kern w:val="2"/>
                      <w:sz w:val="21"/>
                      <w:szCs w:val="21"/>
                      <w:highlight w:val="none"/>
                      <w:lang w:val="en-US" w:eastAsia="zh-CN" w:bidi="ar-SA"/>
                    </w:rPr>
                  </w:pPr>
                </w:p>
              </w:tc>
              <w:tc>
                <w:tcPr>
                  <w:tcW w:w="828" w:type="pct"/>
                  <w:shd w:val="clear" w:color="auto" w:fill="auto"/>
                  <w:noWrap w:val="0"/>
                  <w:vAlign w:val="center"/>
                </w:tcPr>
                <w:p w14:paraId="34D2DA87">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eastAsia="宋体" w:cs="Times New Roman"/>
                      <w:color w:val="auto"/>
                      <w:kern w:val="2"/>
                      <w:sz w:val="21"/>
                      <w:szCs w:val="21"/>
                      <w:highlight w:val="none"/>
                      <w:lang w:val="en-US" w:eastAsia="zh-CN" w:bidi="ar-SA"/>
                    </w:rPr>
                    <w:t>废机油桶</w:t>
                  </w:r>
                </w:p>
              </w:tc>
              <w:tc>
                <w:tcPr>
                  <w:tcW w:w="1694" w:type="pct"/>
                  <w:vMerge w:val="continue"/>
                  <w:noWrap w:val="0"/>
                  <w:vAlign w:val="center"/>
                </w:tcPr>
                <w:p w14:paraId="0917070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639" w:type="pct"/>
                  <w:vMerge w:val="continue"/>
                  <w:noWrap w:val="0"/>
                  <w:vAlign w:val="center"/>
                </w:tcPr>
                <w:p w14:paraId="1D0E4FB5">
                  <w:pPr>
                    <w:pStyle w:val="9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sz w:val="21"/>
                      <w:szCs w:val="21"/>
                      <w:highlight w:val="none"/>
                    </w:rPr>
                  </w:pPr>
                </w:p>
              </w:tc>
            </w:tr>
            <w:tr w14:paraId="6CD9621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29" w:type="pct"/>
                  <w:vMerge w:val="continue"/>
                  <w:noWrap w:val="0"/>
                  <w:vAlign w:val="center"/>
                </w:tcPr>
                <w:p w14:paraId="351DA37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667" w:type="pct"/>
                  <w:vMerge w:val="continue"/>
                  <w:noWrap w:val="0"/>
                  <w:vAlign w:val="center"/>
                </w:tcPr>
                <w:p w14:paraId="4954D79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840" w:type="pct"/>
                  <w:vMerge w:val="continue"/>
                  <w:noWrap w:val="0"/>
                  <w:vAlign w:val="center"/>
                </w:tcPr>
                <w:p w14:paraId="2417DD6B">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eastAsia="宋体" w:cs="Times New Roman"/>
                      <w:color w:val="auto"/>
                      <w:kern w:val="2"/>
                      <w:sz w:val="21"/>
                      <w:szCs w:val="21"/>
                      <w:highlight w:val="none"/>
                      <w:lang w:val="en-US" w:eastAsia="zh-CN" w:bidi="ar-SA"/>
                    </w:rPr>
                  </w:pPr>
                </w:p>
              </w:tc>
              <w:tc>
                <w:tcPr>
                  <w:tcW w:w="828" w:type="pct"/>
                  <w:noWrap w:val="0"/>
                  <w:vAlign w:val="center"/>
                </w:tcPr>
                <w:p w14:paraId="759DE165">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rPr>
                    <w:t>废抹布和手套</w:t>
                  </w:r>
                </w:p>
              </w:tc>
              <w:tc>
                <w:tcPr>
                  <w:tcW w:w="1694" w:type="pct"/>
                  <w:vMerge w:val="continue"/>
                  <w:noWrap w:val="0"/>
                  <w:vAlign w:val="center"/>
                </w:tcPr>
                <w:p w14:paraId="584F958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639" w:type="pct"/>
                  <w:vMerge w:val="continue"/>
                  <w:noWrap w:val="0"/>
                  <w:vAlign w:val="center"/>
                </w:tcPr>
                <w:p w14:paraId="5952871C">
                  <w:pPr>
                    <w:pStyle w:val="9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sz w:val="21"/>
                      <w:szCs w:val="21"/>
                      <w:highlight w:val="none"/>
                    </w:rPr>
                  </w:pPr>
                </w:p>
              </w:tc>
            </w:tr>
            <w:tr w14:paraId="161CDFF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29" w:type="pct"/>
                  <w:vMerge w:val="continue"/>
                  <w:noWrap w:val="0"/>
                  <w:vAlign w:val="center"/>
                </w:tcPr>
                <w:p w14:paraId="363D252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667" w:type="pct"/>
                  <w:vMerge w:val="continue"/>
                  <w:noWrap w:val="0"/>
                  <w:vAlign w:val="center"/>
                </w:tcPr>
                <w:p w14:paraId="0EECCB5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840" w:type="pct"/>
                  <w:vMerge w:val="continue"/>
                  <w:noWrap w:val="0"/>
                  <w:vAlign w:val="center"/>
                </w:tcPr>
                <w:p w14:paraId="7182E2D2">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eastAsia="宋体" w:cs="Times New Roman"/>
                      <w:color w:val="auto"/>
                      <w:kern w:val="2"/>
                      <w:sz w:val="21"/>
                      <w:szCs w:val="21"/>
                      <w:highlight w:val="none"/>
                      <w:lang w:val="en-US" w:eastAsia="zh-CN" w:bidi="ar-SA"/>
                    </w:rPr>
                  </w:pPr>
                </w:p>
              </w:tc>
              <w:tc>
                <w:tcPr>
                  <w:tcW w:w="828" w:type="pct"/>
                  <w:noWrap w:val="0"/>
                  <w:vAlign w:val="center"/>
                </w:tcPr>
                <w:p w14:paraId="211244CC">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eastAsia="宋体" w:cs="Times New Roman"/>
                      <w:color w:val="auto"/>
                      <w:kern w:val="2"/>
                      <w:sz w:val="21"/>
                      <w:szCs w:val="21"/>
                      <w:highlight w:val="none"/>
                      <w:lang w:val="en-US" w:eastAsia="zh-CN" w:bidi="ar-SA"/>
                    </w:rPr>
                  </w:pPr>
                  <w:r>
                    <w:rPr>
                      <w:rFonts w:hint="eastAsia" w:eastAsia="宋体" w:cs="Times New Roman"/>
                      <w:color w:val="auto"/>
                      <w:kern w:val="2"/>
                      <w:sz w:val="21"/>
                      <w:szCs w:val="21"/>
                      <w:highlight w:val="none"/>
                      <w:lang w:val="en-US" w:eastAsia="zh-CN" w:bidi="ar-SA"/>
                    </w:rPr>
                    <w:t>废润滑油</w:t>
                  </w:r>
                </w:p>
              </w:tc>
              <w:tc>
                <w:tcPr>
                  <w:tcW w:w="1694" w:type="pct"/>
                  <w:vMerge w:val="continue"/>
                  <w:noWrap w:val="0"/>
                  <w:vAlign w:val="center"/>
                </w:tcPr>
                <w:p w14:paraId="42A99AFA">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639" w:type="pct"/>
                  <w:vMerge w:val="continue"/>
                  <w:noWrap w:val="0"/>
                  <w:vAlign w:val="center"/>
                </w:tcPr>
                <w:p w14:paraId="07716438">
                  <w:pPr>
                    <w:pStyle w:val="9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sz w:val="21"/>
                      <w:szCs w:val="21"/>
                      <w:highlight w:val="none"/>
                    </w:rPr>
                  </w:pPr>
                </w:p>
              </w:tc>
            </w:tr>
            <w:tr w14:paraId="05B8F0B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29" w:type="pct"/>
                  <w:vMerge w:val="restart"/>
                  <w:noWrap w:val="0"/>
                  <w:vAlign w:val="center"/>
                </w:tcPr>
                <w:p w14:paraId="0842369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r>
                    <w:rPr>
                      <w:rFonts w:hint="default" w:ascii="Times New Roman" w:hAnsi="Times New Roman" w:eastAsia="宋体" w:cs="Times New Roman"/>
                      <w:color w:val="auto"/>
                      <w:spacing w:val="0"/>
                      <w:w w:val="100"/>
                      <w:kern w:val="18"/>
                      <w:sz w:val="21"/>
                      <w:szCs w:val="21"/>
                      <w:highlight w:val="none"/>
                      <w:lang w:val="en-US" w:eastAsia="zh-CN"/>
                    </w:rPr>
                    <w:t>废水</w:t>
                  </w:r>
                </w:p>
              </w:tc>
              <w:tc>
                <w:tcPr>
                  <w:tcW w:w="667" w:type="pct"/>
                  <w:vMerge w:val="restart"/>
                  <w:noWrap w:val="0"/>
                  <w:vAlign w:val="center"/>
                </w:tcPr>
                <w:p w14:paraId="2AFE43F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r>
                    <w:rPr>
                      <w:rFonts w:hint="default" w:ascii="Times New Roman" w:hAnsi="Times New Roman" w:eastAsia="宋体" w:cs="Times New Roman"/>
                      <w:color w:val="auto"/>
                      <w:spacing w:val="0"/>
                      <w:w w:val="100"/>
                      <w:kern w:val="18"/>
                      <w:sz w:val="21"/>
                      <w:szCs w:val="21"/>
                      <w:highlight w:val="none"/>
                      <w:lang w:val="en-US" w:eastAsia="zh-CN"/>
                    </w:rPr>
                    <w:t>生活污水</w:t>
                  </w:r>
                </w:p>
              </w:tc>
              <w:tc>
                <w:tcPr>
                  <w:tcW w:w="840" w:type="pct"/>
                  <w:vMerge w:val="restart"/>
                  <w:noWrap w:val="0"/>
                  <w:vAlign w:val="center"/>
                </w:tcPr>
                <w:p w14:paraId="563F155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bidi="ar-SA"/>
                    </w:rPr>
                  </w:pPr>
                  <w:r>
                    <w:rPr>
                      <w:rFonts w:hint="default" w:ascii="Times New Roman" w:hAnsi="Times New Roman" w:eastAsia="宋体" w:cs="Times New Roman"/>
                      <w:color w:val="auto"/>
                      <w:spacing w:val="0"/>
                      <w:w w:val="100"/>
                      <w:kern w:val="18"/>
                      <w:sz w:val="21"/>
                      <w:szCs w:val="21"/>
                      <w:highlight w:val="none"/>
                      <w:lang w:val="en-US" w:eastAsia="zh-CN" w:bidi="ar-SA"/>
                    </w:rPr>
                    <w:t>员工生活</w:t>
                  </w:r>
                </w:p>
              </w:tc>
              <w:tc>
                <w:tcPr>
                  <w:tcW w:w="828" w:type="pct"/>
                  <w:noWrap w:val="0"/>
                  <w:vAlign w:val="center"/>
                </w:tcPr>
                <w:p w14:paraId="2F5D4E3A">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bidi="ar-SA"/>
                    </w:rPr>
                  </w:pPr>
                  <w:r>
                    <w:rPr>
                      <w:rFonts w:hint="default" w:ascii="Times New Roman" w:hAnsi="Times New Roman" w:eastAsia="宋体" w:cs="Times New Roman"/>
                      <w:color w:val="auto"/>
                      <w:spacing w:val="0"/>
                      <w:w w:val="100"/>
                      <w:kern w:val="18"/>
                      <w:sz w:val="21"/>
                      <w:szCs w:val="21"/>
                      <w:highlight w:val="none"/>
                      <w:lang w:val="en-US" w:eastAsia="zh-CN" w:bidi="ar-SA"/>
                    </w:rPr>
                    <w:t>pH</w:t>
                  </w:r>
                </w:p>
              </w:tc>
              <w:tc>
                <w:tcPr>
                  <w:tcW w:w="1694" w:type="pct"/>
                  <w:vMerge w:val="restart"/>
                  <w:noWrap w:val="0"/>
                  <w:vAlign w:val="center"/>
                </w:tcPr>
                <w:p w14:paraId="1A5493E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r>
                    <w:rPr>
                      <w:rFonts w:hint="default" w:ascii="Times New Roman" w:hAnsi="Times New Roman" w:eastAsia="宋体" w:cs="Times New Roman"/>
                      <w:color w:val="auto"/>
                      <w:spacing w:val="0"/>
                      <w:w w:val="100"/>
                      <w:kern w:val="18"/>
                      <w:sz w:val="21"/>
                      <w:szCs w:val="21"/>
                      <w:highlight w:val="none"/>
                      <w:lang w:val="en-US" w:eastAsia="zh-CN"/>
                    </w:rPr>
                    <w:t>隔油池+化粪池处理后排入园区污水管网</w:t>
                  </w:r>
                  <w:r>
                    <w:rPr>
                      <w:rFonts w:hint="eastAsia" w:cs="Times New Roman"/>
                      <w:color w:val="auto"/>
                      <w:spacing w:val="0"/>
                      <w:w w:val="100"/>
                      <w:kern w:val="18"/>
                      <w:sz w:val="21"/>
                      <w:szCs w:val="21"/>
                      <w:highlight w:val="none"/>
                      <w:lang w:val="en-US" w:eastAsia="zh-CN"/>
                    </w:rPr>
                    <w:t>，</w:t>
                  </w:r>
                  <w:r>
                    <w:rPr>
                      <w:rFonts w:hint="default" w:ascii="Times New Roman" w:hAnsi="Times New Roman" w:eastAsia="宋体" w:cs="Times New Roman"/>
                      <w:color w:val="auto"/>
                      <w:spacing w:val="0"/>
                      <w:w w:val="100"/>
                      <w:kern w:val="18"/>
                      <w:sz w:val="21"/>
                      <w:szCs w:val="21"/>
                      <w:highlight w:val="none"/>
                      <w:lang w:val="en-US" w:eastAsia="zh-CN"/>
                    </w:rPr>
                    <w:t>接入乐平市金山工业区</w:t>
                  </w:r>
                  <w:r>
                    <w:rPr>
                      <w:rFonts w:hint="eastAsia" w:cs="Times New Roman"/>
                      <w:color w:val="auto"/>
                      <w:spacing w:val="0"/>
                      <w:w w:val="100"/>
                      <w:kern w:val="18"/>
                      <w:sz w:val="21"/>
                      <w:szCs w:val="21"/>
                      <w:highlight w:val="none"/>
                      <w:lang w:val="en-US" w:eastAsia="zh-CN"/>
                    </w:rPr>
                    <w:t>一期</w:t>
                  </w:r>
                  <w:r>
                    <w:rPr>
                      <w:rFonts w:hint="default" w:ascii="Times New Roman" w:hAnsi="Times New Roman" w:eastAsia="宋体" w:cs="Times New Roman"/>
                      <w:color w:val="auto"/>
                      <w:spacing w:val="0"/>
                      <w:w w:val="100"/>
                      <w:kern w:val="18"/>
                      <w:sz w:val="21"/>
                      <w:szCs w:val="21"/>
                      <w:highlight w:val="none"/>
                      <w:lang w:val="en-US" w:eastAsia="zh-CN"/>
                    </w:rPr>
                    <w:t>污水站</w:t>
                  </w:r>
                </w:p>
              </w:tc>
              <w:tc>
                <w:tcPr>
                  <w:tcW w:w="639" w:type="pct"/>
                  <w:vMerge w:val="restart"/>
                  <w:noWrap w:val="0"/>
                  <w:vAlign w:val="center"/>
                </w:tcPr>
                <w:p w14:paraId="6642F4DF">
                  <w:pPr>
                    <w:pStyle w:val="9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w w:val="100"/>
                      <w:sz w:val="21"/>
                      <w:szCs w:val="21"/>
                      <w:highlight w:val="none"/>
                    </w:rPr>
                  </w:pPr>
                </w:p>
              </w:tc>
            </w:tr>
            <w:tr w14:paraId="3D447F6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29" w:type="pct"/>
                  <w:vMerge w:val="continue"/>
                  <w:noWrap w:val="0"/>
                  <w:vAlign w:val="center"/>
                </w:tcPr>
                <w:p w14:paraId="6A55B41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z w:val="21"/>
                      <w:szCs w:val="21"/>
                      <w:highlight w:val="none"/>
                    </w:rPr>
                  </w:pPr>
                </w:p>
              </w:tc>
              <w:tc>
                <w:tcPr>
                  <w:tcW w:w="667" w:type="pct"/>
                  <w:vMerge w:val="continue"/>
                  <w:noWrap w:val="0"/>
                  <w:vAlign w:val="center"/>
                </w:tcPr>
                <w:p w14:paraId="0F7EFDA5">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z w:val="21"/>
                      <w:szCs w:val="21"/>
                      <w:highlight w:val="none"/>
                    </w:rPr>
                  </w:pPr>
                </w:p>
              </w:tc>
              <w:tc>
                <w:tcPr>
                  <w:tcW w:w="840" w:type="pct"/>
                  <w:vMerge w:val="continue"/>
                  <w:noWrap w:val="0"/>
                  <w:vAlign w:val="center"/>
                </w:tcPr>
                <w:p w14:paraId="1701D0C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828" w:type="pct"/>
                  <w:noWrap w:val="0"/>
                  <w:vAlign w:val="center"/>
                </w:tcPr>
                <w:p w14:paraId="4D831FB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bidi="ar-SA"/>
                    </w:rPr>
                  </w:pPr>
                  <w:r>
                    <w:rPr>
                      <w:rFonts w:hint="default" w:ascii="Times New Roman" w:hAnsi="Times New Roman" w:eastAsia="宋体" w:cs="Times New Roman"/>
                      <w:color w:val="auto"/>
                      <w:spacing w:val="0"/>
                      <w:w w:val="100"/>
                      <w:kern w:val="18"/>
                      <w:sz w:val="21"/>
                      <w:szCs w:val="21"/>
                      <w:highlight w:val="none"/>
                      <w:lang w:val="en-US" w:eastAsia="zh-CN"/>
                    </w:rPr>
                    <w:t>CODcr</w:t>
                  </w:r>
                </w:p>
              </w:tc>
              <w:tc>
                <w:tcPr>
                  <w:tcW w:w="1694" w:type="pct"/>
                  <w:vMerge w:val="continue"/>
                  <w:noWrap w:val="0"/>
                  <w:vAlign w:val="center"/>
                </w:tcPr>
                <w:p w14:paraId="2875291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639" w:type="pct"/>
                  <w:vMerge w:val="continue"/>
                  <w:noWrap w:val="0"/>
                  <w:vAlign w:val="center"/>
                </w:tcPr>
                <w:p w14:paraId="5B02E2D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r>
            <w:tr w14:paraId="30C65D0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29" w:type="pct"/>
                  <w:vMerge w:val="continue"/>
                  <w:noWrap w:val="0"/>
                  <w:vAlign w:val="center"/>
                </w:tcPr>
                <w:p w14:paraId="7923939A">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667" w:type="pct"/>
                  <w:vMerge w:val="continue"/>
                  <w:noWrap w:val="0"/>
                  <w:vAlign w:val="center"/>
                </w:tcPr>
                <w:p w14:paraId="2384A61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840" w:type="pct"/>
                  <w:vMerge w:val="continue"/>
                  <w:noWrap w:val="0"/>
                  <w:vAlign w:val="center"/>
                </w:tcPr>
                <w:p w14:paraId="742CC41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828" w:type="pct"/>
                  <w:noWrap w:val="0"/>
                  <w:vAlign w:val="center"/>
                </w:tcPr>
                <w:p w14:paraId="4B92795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bidi="ar-SA"/>
                    </w:rPr>
                  </w:pPr>
                  <w:r>
                    <w:rPr>
                      <w:rFonts w:hint="default" w:ascii="Times New Roman" w:hAnsi="Times New Roman" w:eastAsia="宋体" w:cs="Times New Roman"/>
                      <w:color w:val="auto"/>
                      <w:spacing w:val="0"/>
                      <w:w w:val="100"/>
                      <w:kern w:val="18"/>
                      <w:sz w:val="21"/>
                      <w:szCs w:val="21"/>
                      <w:highlight w:val="none"/>
                      <w:lang w:val="en-US" w:eastAsia="zh-CN"/>
                    </w:rPr>
                    <w:t>BOD</w:t>
                  </w:r>
                  <w:r>
                    <w:rPr>
                      <w:rFonts w:hint="default" w:ascii="Times New Roman" w:hAnsi="Times New Roman" w:eastAsia="宋体" w:cs="Times New Roman"/>
                      <w:color w:val="auto"/>
                      <w:spacing w:val="0"/>
                      <w:w w:val="100"/>
                      <w:kern w:val="18"/>
                      <w:sz w:val="21"/>
                      <w:szCs w:val="21"/>
                      <w:highlight w:val="none"/>
                      <w:vertAlign w:val="subscript"/>
                      <w:lang w:val="en-US" w:eastAsia="zh-CN"/>
                    </w:rPr>
                    <w:t>5</w:t>
                  </w:r>
                </w:p>
              </w:tc>
              <w:tc>
                <w:tcPr>
                  <w:tcW w:w="1694" w:type="pct"/>
                  <w:vMerge w:val="continue"/>
                  <w:noWrap w:val="0"/>
                  <w:vAlign w:val="center"/>
                </w:tcPr>
                <w:p w14:paraId="4AE33B8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639" w:type="pct"/>
                  <w:vMerge w:val="continue"/>
                  <w:noWrap w:val="0"/>
                  <w:vAlign w:val="center"/>
                </w:tcPr>
                <w:p w14:paraId="75A6E94B">
                  <w:pPr>
                    <w:pStyle w:val="9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w w:val="100"/>
                      <w:sz w:val="21"/>
                      <w:szCs w:val="21"/>
                      <w:highlight w:val="none"/>
                    </w:rPr>
                  </w:pPr>
                </w:p>
              </w:tc>
            </w:tr>
            <w:tr w14:paraId="64BB383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29" w:type="pct"/>
                  <w:vMerge w:val="continue"/>
                  <w:noWrap w:val="0"/>
                  <w:vAlign w:val="center"/>
                </w:tcPr>
                <w:p w14:paraId="6D490E7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667" w:type="pct"/>
                  <w:vMerge w:val="continue"/>
                  <w:noWrap w:val="0"/>
                  <w:vAlign w:val="center"/>
                </w:tcPr>
                <w:p w14:paraId="7D2346B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840" w:type="pct"/>
                  <w:vMerge w:val="continue"/>
                  <w:noWrap w:val="0"/>
                  <w:vAlign w:val="center"/>
                </w:tcPr>
                <w:p w14:paraId="2BA1740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828" w:type="pct"/>
                  <w:noWrap w:val="0"/>
                  <w:vAlign w:val="center"/>
                </w:tcPr>
                <w:p w14:paraId="24E02F4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bidi="ar-SA"/>
                    </w:rPr>
                  </w:pPr>
                  <w:r>
                    <w:rPr>
                      <w:rFonts w:hint="default" w:ascii="Times New Roman" w:hAnsi="Times New Roman" w:eastAsia="宋体" w:cs="Times New Roman"/>
                      <w:color w:val="auto"/>
                      <w:spacing w:val="0"/>
                      <w:w w:val="100"/>
                      <w:kern w:val="18"/>
                      <w:sz w:val="21"/>
                      <w:szCs w:val="21"/>
                      <w:highlight w:val="none"/>
                      <w:lang w:val="en-US" w:eastAsia="zh-CN"/>
                    </w:rPr>
                    <w:t>SS</w:t>
                  </w:r>
                </w:p>
              </w:tc>
              <w:tc>
                <w:tcPr>
                  <w:tcW w:w="1694" w:type="pct"/>
                  <w:vMerge w:val="continue"/>
                  <w:noWrap w:val="0"/>
                  <w:vAlign w:val="center"/>
                </w:tcPr>
                <w:p w14:paraId="388F06E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639" w:type="pct"/>
                  <w:vMerge w:val="continue"/>
                  <w:noWrap w:val="0"/>
                  <w:vAlign w:val="center"/>
                </w:tcPr>
                <w:p w14:paraId="43D1D9BD">
                  <w:pPr>
                    <w:pStyle w:val="9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w w:val="100"/>
                      <w:sz w:val="21"/>
                      <w:szCs w:val="21"/>
                      <w:highlight w:val="none"/>
                    </w:rPr>
                  </w:pPr>
                </w:p>
              </w:tc>
            </w:tr>
            <w:tr w14:paraId="385A771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29" w:type="pct"/>
                  <w:vMerge w:val="continue"/>
                  <w:noWrap w:val="0"/>
                  <w:vAlign w:val="center"/>
                </w:tcPr>
                <w:p w14:paraId="0375F8C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667" w:type="pct"/>
                  <w:vMerge w:val="continue"/>
                  <w:noWrap w:val="0"/>
                  <w:vAlign w:val="center"/>
                </w:tcPr>
                <w:p w14:paraId="0B2DA63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840" w:type="pct"/>
                  <w:vMerge w:val="continue"/>
                  <w:noWrap w:val="0"/>
                  <w:vAlign w:val="center"/>
                </w:tcPr>
                <w:p w14:paraId="5021304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828" w:type="pct"/>
                  <w:noWrap w:val="0"/>
                  <w:vAlign w:val="center"/>
                </w:tcPr>
                <w:p w14:paraId="599D866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bidi="ar-SA"/>
                    </w:rPr>
                  </w:pPr>
                  <w:r>
                    <w:rPr>
                      <w:rFonts w:hint="default" w:ascii="Times New Roman" w:hAnsi="Times New Roman" w:eastAsia="宋体" w:cs="Times New Roman"/>
                      <w:color w:val="auto"/>
                      <w:spacing w:val="0"/>
                      <w:w w:val="100"/>
                      <w:kern w:val="18"/>
                      <w:sz w:val="21"/>
                      <w:szCs w:val="21"/>
                      <w:highlight w:val="none"/>
                      <w:lang w:val="en-US" w:eastAsia="zh-CN"/>
                    </w:rPr>
                    <w:t>NH</w:t>
                  </w:r>
                  <w:r>
                    <w:rPr>
                      <w:rFonts w:hint="default" w:ascii="Times New Roman" w:hAnsi="Times New Roman" w:eastAsia="宋体" w:cs="Times New Roman"/>
                      <w:color w:val="auto"/>
                      <w:spacing w:val="0"/>
                      <w:w w:val="100"/>
                      <w:kern w:val="18"/>
                      <w:sz w:val="21"/>
                      <w:szCs w:val="21"/>
                      <w:highlight w:val="none"/>
                      <w:vertAlign w:val="subscript"/>
                      <w:lang w:val="en-US" w:eastAsia="zh-CN"/>
                    </w:rPr>
                    <w:t>3-</w:t>
                  </w:r>
                  <w:r>
                    <w:rPr>
                      <w:rFonts w:hint="default" w:ascii="Times New Roman" w:hAnsi="Times New Roman" w:eastAsia="宋体" w:cs="Times New Roman"/>
                      <w:color w:val="auto"/>
                      <w:spacing w:val="0"/>
                      <w:w w:val="100"/>
                      <w:kern w:val="18"/>
                      <w:sz w:val="21"/>
                      <w:szCs w:val="21"/>
                      <w:highlight w:val="none"/>
                      <w:lang w:val="en-US" w:eastAsia="zh-CN"/>
                    </w:rPr>
                    <w:t>N</w:t>
                  </w:r>
                </w:p>
              </w:tc>
              <w:tc>
                <w:tcPr>
                  <w:tcW w:w="1694" w:type="pct"/>
                  <w:vMerge w:val="continue"/>
                  <w:noWrap w:val="0"/>
                  <w:vAlign w:val="center"/>
                </w:tcPr>
                <w:p w14:paraId="033A308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639" w:type="pct"/>
                  <w:vMerge w:val="continue"/>
                  <w:noWrap w:val="0"/>
                  <w:vAlign w:val="center"/>
                </w:tcPr>
                <w:p w14:paraId="578E69AB">
                  <w:pPr>
                    <w:pStyle w:val="9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w w:val="100"/>
                      <w:sz w:val="21"/>
                      <w:szCs w:val="21"/>
                      <w:highlight w:val="none"/>
                    </w:rPr>
                  </w:pPr>
                </w:p>
              </w:tc>
            </w:tr>
            <w:tr w14:paraId="1CD1D43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29" w:type="pct"/>
                  <w:vMerge w:val="continue"/>
                  <w:noWrap w:val="0"/>
                  <w:vAlign w:val="center"/>
                </w:tcPr>
                <w:p w14:paraId="7249F0F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667" w:type="pct"/>
                  <w:vMerge w:val="continue"/>
                  <w:noWrap w:val="0"/>
                  <w:vAlign w:val="center"/>
                </w:tcPr>
                <w:p w14:paraId="18BFEF2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840" w:type="pct"/>
                  <w:vMerge w:val="continue"/>
                  <w:noWrap w:val="0"/>
                  <w:vAlign w:val="center"/>
                </w:tcPr>
                <w:p w14:paraId="34EDF16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828" w:type="pct"/>
                  <w:noWrap w:val="0"/>
                  <w:vAlign w:val="center"/>
                </w:tcPr>
                <w:p w14:paraId="1E0C725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r>
                    <w:rPr>
                      <w:rFonts w:hint="default" w:ascii="Times New Roman" w:hAnsi="Times New Roman" w:eastAsia="宋体" w:cs="Times New Roman"/>
                      <w:color w:val="auto"/>
                      <w:spacing w:val="0"/>
                      <w:w w:val="100"/>
                      <w:kern w:val="18"/>
                      <w:sz w:val="21"/>
                      <w:szCs w:val="21"/>
                      <w:highlight w:val="none"/>
                      <w:lang w:val="en-US" w:eastAsia="zh-CN"/>
                    </w:rPr>
                    <w:t>TP</w:t>
                  </w:r>
                </w:p>
              </w:tc>
              <w:tc>
                <w:tcPr>
                  <w:tcW w:w="1694" w:type="pct"/>
                  <w:vMerge w:val="continue"/>
                  <w:noWrap w:val="0"/>
                  <w:vAlign w:val="center"/>
                </w:tcPr>
                <w:p w14:paraId="1729BA2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639" w:type="pct"/>
                  <w:vMerge w:val="continue"/>
                  <w:noWrap w:val="0"/>
                  <w:vAlign w:val="center"/>
                </w:tcPr>
                <w:p w14:paraId="069EA822">
                  <w:pPr>
                    <w:pStyle w:val="9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w w:val="100"/>
                      <w:sz w:val="21"/>
                      <w:szCs w:val="21"/>
                      <w:highlight w:val="none"/>
                    </w:rPr>
                  </w:pPr>
                </w:p>
              </w:tc>
            </w:tr>
            <w:tr w14:paraId="5EDACD6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29" w:type="pct"/>
                  <w:vMerge w:val="continue"/>
                  <w:noWrap w:val="0"/>
                  <w:vAlign w:val="center"/>
                </w:tcPr>
                <w:p w14:paraId="5686F75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667" w:type="pct"/>
                  <w:vMerge w:val="continue"/>
                  <w:noWrap w:val="0"/>
                  <w:vAlign w:val="center"/>
                </w:tcPr>
                <w:p w14:paraId="10183DB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840" w:type="pct"/>
                  <w:vMerge w:val="continue"/>
                  <w:noWrap w:val="0"/>
                  <w:vAlign w:val="center"/>
                </w:tcPr>
                <w:p w14:paraId="6C68228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828" w:type="pct"/>
                  <w:noWrap w:val="0"/>
                  <w:vAlign w:val="center"/>
                </w:tcPr>
                <w:p w14:paraId="6A7A4E4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r>
                    <w:rPr>
                      <w:rFonts w:hint="default" w:ascii="Times New Roman" w:hAnsi="Times New Roman" w:eastAsia="宋体" w:cs="Times New Roman"/>
                      <w:color w:val="auto"/>
                      <w:spacing w:val="0"/>
                      <w:w w:val="100"/>
                      <w:kern w:val="18"/>
                      <w:sz w:val="21"/>
                      <w:szCs w:val="21"/>
                      <w:highlight w:val="none"/>
                      <w:lang w:val="en-US" w:eastAsia="zh-CN"/>
                    </w:rPr>
                    <w:t>动植物油</w:t>
                  </w:r>
                </w:p>
              </w:tc>
              <w:tc>
                <w:tcPr>
                  <w:tcW w:w="1694" w:type="pct"/>
                  <w:vMerge w:val="continue"/>
                  <w:noWrap w:val="0"/>
                  <w:vAlign w:val="center"/>
                </w:tcPr>
                <w:p w14:paraId="77DDEE7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639" w:type="pct"/>
                  <w:vMerge w:val="continue"/>
                  <w:noWrap w:val="0"/>
                  <w:vAlign w:val="center"/>
                </w:tcPr>
                <w:p w14:paraId="5B08D0EE">
                  <w:pPr>
                    <w:pStyle w:val="9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w w:val="100"/>
                      <w:sz w:val="21"/>
                      <w:szCs w:val="21"/>
                      <w:highlight w:val="none"/>
                    </w:rPr>
                  </w:pPr>
                </w:p>
              </w:tc>
            </w:tr>
            <w:tr w14:paraId="5FD6196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29" w:type="pct"/>
                  <w:vMerge w:val="continue"/>
                  <w:noWrap w:val="0"/>
                  <w:vAlign w:val="center"/>
                </w:tcPr>
                <w:p w14:paraId="0768A0C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667" w:type="pct"/>
                  <w:vMerge w:val="restart"/>
                  <w:noWrap w:val="0"/>
                  <w:vAlign w:val="center"/>
                </w:tcPr>
                <w:p w14:paraId="5679FD9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r>
                    <w:rPr>
                      <w:rFonts w:hint="eastAsia" w:ascii="Times New Roman" w:hAnsi="Times New Roman" w:eastAsia="宋体" w:cs="Times New Roman"/>
                      <w:color w:val="auto"/>
                      <w:spacing w:val="0"/>
                      <w:w w:val="100"/>
                      <w:kern w:val="18"/>
                      <w:sz w:val="21"/>
                      <w:szCs w:val="21"/>
                      <w:highlight w:val="none"/>
                      <w:lang w:val="en-US" w:eastAsia="zh-CN"/>
                    </w:rPr>
                    <w:t>生产废水</w:t>
                  </w:r>
                </w:p>
              </w:tc>
              <w:tc>
                <w:tcPr>
                  <w:tcW w:w="840" w:type="pct"/>
                  <w:noWrap w:val="0"/>
                  <w:vAlign w:val="center"/>
                </w:tcPr>
                <w:p w14:paraId="34A06D6A">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outlineLvl w:val="9"/>
                    <w:rPr>
                      <w:rFonts w:hint="default" w:cs="Times New Roman"/>
                      <w:color w:val="auto"/>
                      <w:spacing w:val="0"/>
                      <w:w w:val="100"/>
                      <w:kern w:val="18"/>
                      <w:sz w:val="21"/>
                      <w:szCs w:val="21"/>
                      <w:highlight w:val="none"/>
                      <w:lang w:val="en-US" w:eastAsia="zh-CN"/>
                    </w:rPr>
                  </w:pPr>
                  <w:r>
                    <w:rPr>
                      <w:rFonts w:hint="eastAsia" w:ascii="宋体" w:hAnsi="宋体" w:eastAsia="宋体" w:cs="宋体"/>
                      <w:color w:val="auto"/>
                      <w:kern w:val="0"/>
                      <w:sz w:val="21"/>
                      <w:szCs w:val="21"/>
                      <w:lang w:val="en-US" w:eastAsia="zh-CN" w:bidi="ar"/>
                    </w:rPr>
                    <w:t>网板清洗废水</w:t>
                  </w:r>
                </w:p>
              </w:tc>
              <w:tc>
                <w:tcPr>
                  <w:tcW w:w="828" w:type="pct"/>
                  <w:noWrap w:val="0"/>
                  <w:vAlign w:val="center"/>
                </w:tcPr>
                <w:p w14:paraId="3E3F9BFC">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w:t>
                  </w:r>
                </w:p>
              </w:tc>
              <w:tc>
                <w:tcPr>
                  <w:tcW w:w="1694" w:type="pct"/>
                  <w:noWrap w:val="0"/>
                  <w:vAlign w:val="center"/>
                </w:tcPr>
                <w:p w14:paraId="1DC10CF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r>
                    <w:rPr>
                      <w:rFonts w:hint="default" w:ascii="Times New Roman" w:hAnsi="Times New Roman" w:eastAsia="宋体" w:cs="宋体"/>
                      <w:color w:val="auto"/>
                      <w:sz w:val="21"/>
                      <w:szCs w:val="21"/>
                      <w:highlight w:val="none"/>
                      <w:lang w:val="en-US" w:eastAsia="zh-CN"/>
                    </w:rPr>
                    <w:t>网板清洗废水循环使用，更换的清洗废水作为危废送有资质的单位处理，不外排</w:t>
                  </w:r>
                </w:p>
              </w:tc>
              <w:tc>
                <w:tcPr>
                  <w:tcW w:w="639" w:type="pct"/>
                  <w:noWrap w:val="0"/>
                  <w:vAlign w:val="center"/>
                </w:tcPr>
                <w:p w14:paraId="7C86BE25">
                  <w:pPr>
                    <w:pStyle w:val="9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w w:val="100"/>
                      <w:sz w:val="21"/>
                      <w:szCs w:val="21"/>
                      <w:highlight w:val="none"/>
                    </w:rPr>
                  </w:pPr>
                </w:p>
              </w:tc>
            </w:tr>
            <w:tr w14:paraId="7711112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23" w:hRule="atLeast"/>
                <w:jc w:val="center"/>
              </w:trPr>
              <w:tc>
                <w:tcPr>
                  <w:tcW w:w="329" w:type="pct"/>
                  <w:vMerge w:val="continue"/>
                  <w:noWrap w:val="0"/>
                  <w:vAlign w:val="center"/>
                </w:tcPr>
                <w:p w14:paraId="408D4CB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spacing w:val="0"/>
                      <w:w w:val="100"/>
                      <w:kern w:val="18"/>
                      <w:sz w:val="21"/>
                      <w:szCs w:val="21"/>
                      <w:highlight w:val="none"/>
                      <w:lang w:val="en-US" w:eastAsia="zh-CN"/>
                    </w:rPr>
                  </w:pPr>
                </w:p>
              </w:tc>
              <w:tc>
                <w:tcPr>
                  <w:tcW w:w="667" w:type="pct"/>
                  <w:vMerge w:val="continue"/>
                  <w:noWrap w:val="0"/>
                  <w:vAlign w:val="center"/>
                </w:tcPr>
                <w:p w14:paraId="0914692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eastAsia" w:ascii="Times New Roman" w:hAnsi="Times New Roman" w:eastAsia="宋体" w:cs="Times New Roman"/>
                      <w:color w:val="auto"/>
                      <w:spacing w:val="0"/>
                      <w:w w:val="100"/>
                      <w:kern w:val="18"/>
                      <w:sz w:val="21"/>
                      <w:szCs w:val="21"/>
                      <w:highlight w:val="none"/>
                      <w:lang w:val="en-US" w:eastAsia="zh-CN"/>
                    </w:rPr>
                  </w:pPr>
                </w:p>
              </w:tc>
              <w:tc>
                <w:tcPr>
                  <w:tcW w:w="840" w:type="pct"/>
                  <w:shd w:val="clear" w:color="auto" w:fill="auto"/>
                  <w:noWrap w:val="0"/>
                  <w:vAlign w:val="center"/>
                </w:tcPr>
                <w:p w14:paraId="26B3E19D">
                  <w:pPr>
                    <w:keepNext w:val="0"/>
                    <w:keepLines w:val="0"/>
                    <w:widowControl/>
                    <w:suppressLineNumbers w:val="0"/>
                    <w:spacing w:before="0" w:beforeAutospacing="0" w:after="0" w:afterAutospacing="0"/>
                    <w:ind w:left="0" w:right="0"/>
                    <w:jc w:val="center"/>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注塑间接冷却水</w:t>
                  </w:r>
                </w:p>
              </w:tc>
              <w:tc>
                <w:tcPr>
                  <w:tcW w:w="828" w:type="pct"/>
                  <w:shd w:val="clear" w:color="auto" w:fill="auto"/>
                  <w:noWrap w:val="0"/>
                  <w:vAlign w:val="center"/>
                </w:tcPr>
                <w:p w14:paraId="5E397FB7">
                  <w:pPr>
                    <w:keepNext w:val="0"/>
                    <w:keepLines w:val="0"/>
                    <w:widowControl/>
                    <w:suppressLineNumbers w:val="0"/>
                    <w:spacing w:before="0" w:beforeAutospacing="0" w:after="0" w:afterAutospacing="0"/>
                    <w:ind w:left="0" w:right="0"/>
                    <w:jc w:val="center"/>
                    <w:rPr>
                      <w:rFonts w:hint="eastAsia" w:ascii="宋体" w:hAnsi="宋体" w:eastAsia="宋体" w:cs="宋体"/>
                      <w:color w:val="auto"/>
                      <w:kern w:val="0"/>
                      <w:sz w:val="21"/>
                      <w:szCs w:val="21"/>
                      <w:lang w:val="en-US" w:eastAsia="zh-CN" w:bidi="ar"/>
                    </w:rPr>
                  </w:pPr>
                  <w:r>
                    <w:rPr>
                      <w:rFonts w:hint="eastAsia" w:ascii="Times New Roman" w:hAnsi="Times New Roman" w:eastAsia="宋体" w:cs="Times New Roman"/>
                      <w:color w:val="auto"/>
                      <w:kern w:val="2"/>
                      <w:sz w:val="21"/>
                      <w:szCs w:val="21"/>
                      <w:highlight w:val="none"/>
                      <w:lang w:val="en-US" w:eastAsia="zh-CN" w:bidi="ar-SA"/>
                    </w:rPr>
                    <w:t>/</w:t>
                  </w:r>
                </w:p>
              </w:tc>
              <w:tc>
                <w:tcPr>
                  <w:tcW w:w="1694" w:type="pct"/>
                  <w:noWrap w:val="0"/>
                  <w:vAlign w:val="center"/>
                </w:tcPr>
                <w:p w14:paraId="54A2267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宋体"/>
                      <w:color w:val="auto"/>
                      <w:sz w:val="21"/>
                      <w:szCs w:val="21"/>
                      <w:highlight w:val="none"/>
                      <w:lang w:val="en-US" w:eastAsia="zh-CN"/>
                    </w:rPr>
                  </w:pPr>
                  <w:r>
                    <w:rPr>
                      <w:rFonts w:hint="eastAsia" w:ascii="宋体" w:hAnsi="宋体" w:eastAsia="宋体" w:cs="宋体"/>
                      <w:color w:val="auto"/>
                      <w:kern w:val="0"/>
                      <w:sz w:val="21"/>
                      <w:szCs w:val="21"/>
                      <w:lang w:val="en-US" w:eastAsia="zh-CN" w:bidi="ar"/>
                    </w:rPr>
                    <w:t>循环使用，不外排</w:t>
                  </w:r>
                </w:p>
              </w:tc>
              <w:tc>
                <w:tcPr>
                  <w:tcW w:w="639" w:type="pct"/>
                  <w:noWrap w:val="0"/>
                  <w:vAlign w:val="center"/>
                </w:tcPr>
                <w:p w14:paraId="2CAC4671">
                  <w:pPr>
                    <w:pStyle w:val="9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outlineLvl w:val="9"/>
                    <w:rPr>
                      <w:rFonts w:hint="default" w:ascii="Times New Roman" w:hAnsi="Times New Roman" w:eastAsia="宋体" w:cs="Times New Roman"/>
                      <w:color w:val="auto"/>
                      <w:w w:val="100"/>
                      <w:sz w:val="21"/>
                      <w:szCs w:val="21"/>
                      <w:highlight w:val="none"/>
                    </w:rPr>
                  </w:pPr>
                </w:p>
              </w:tc>
            </w:tr>
          </w:tbl>
          <w:p w14:paraId="27E6A8D2">
            <w:pPr>
              <w:pStyle w:val="48"/>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Autospacing="0" w:line="360" w:lineRule="auto"/>
              <w:ind w:left="0" w:right="0"/>
              <w:textAlignment w:val="auto"/>
              <w:rPr>
                <w:rFonts w:hint="default"/>
                <w:bCs/>
                <w:color w:val="auto"/>
                <w:sz w:val="24"/>
                <w:highlight w:val="none"/>
              </w:rPr>
            </w:pPr>
          </w:p>
        </w:tc>
      </w:tr>
      <w:tr w14:paraId="4319F0D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327" w:hRule="atLeast"/>
          <w:jc w:val="center"/>
        </w:trPr>
        <w:tc>
          <w:tcPr>
            <w:tcW w:w="434" w:type="dxa"/>
            <w:vAlign w:val="center"/>
          </w:tcPr>
          <w:p w14:paraId="248F4E21">
            <w:pPr>
              <w:pStyle w:val="18"/>
              <w:keepNext w:val="0"/>
              <w:keepLines w:val="0"/>
              <w:suppressLineNumbers w:val="0"/>
              <w:adjustRightInd w:val="0"/>
              <w:snapToGrid w:val="0"/>
              <w:spacing w:before="0" w:beforeAutospacing="0" w:after="0" w:afterAutospacing="0"/>
              <w:ind w:left="0" w:right="0"/>
              <w:jc w:val="center"/>
              <w:rPr>
                <w:rFonts w:hint="default" w:ascii="Times New Roman" w:hAnsi="Times New Roman"/>
                <w:color w:val="auto"/>
                <w:szCs w:val="24"/>
                <w:highlight w:val="none"/>
              </w:rPr>
            </w:pPr>
            <w:r>
              <w:rPr>
                <w:rFonts w:hint="default" w:ascii="Times New Roman" w:hAnsi="Times New Roman"/>
                <w:b/>
                <w:color w:val="auto"/>
                <w:kern w:val="2"/>
                <w:szCs w:val="24"/>
                <w:highlight w:val="none"/>
              </w:rPr>
              <w:t>与项目有关的原有环境污染问题</w:t>
            </w:r>
          </w:p>
        </w:tc>
        <w:tc>
          <w:tcPr>
            <w:tcW w:w="8626" w:type="dxa"/>
            <w:vAlign w:val="center"/>
          </w:tcPr>
          <w:p w14:paraId="230F16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cs="Times New Roman"/>
                <w:color w:val="auto"/>
                <w:sz w:val="24"/>
                <w:highlight w:val="none"/>
                <w:shd w:val="clear" w:color="auto" w:fill="auto"/>
                <w:lang w:val="en-US" w:eastAsia="zh-CN"/>
              </w:rPr>
            </w:pPr>
            <w:r>
              <w:rPr>
                <w:rFonts w:hint="eastAsia" w:ascii="Times New Roman" w:hAnsi="Times New Roman" w:eastAsia="宋体" w:cs="Times New Roman"/>
                <w:color w:val="auto"/>
                <w:sz w:val="24"/>
                <w:highlight w:val="none"/>
                <w:shd w:val="clear" w:color="auto" w:fill="auto"/>
                <w:lang w:val="en-US" w:eastAsia="zh-CN"/>
              </w:rPr>
              <w:t>本项目为新建项目，项目用地位于江西省景德镇市乐平市金山工业园区汽摩配小镇厂区（NKY-A1-04-A11地块），租赁乐平绿创物流有限公司空置标准厂房，乐平绿创物流有限公司成立于2023年8月21日，从事道路货物运输（不含危险货物），城市配送运输服务（不含危险货物）等服务，该公司将厂房均规划为外租，未进行生产，未开展环保“三同时”，未申领</w:t>
            </w:r>
            <w:r>
              <w:rPr>
                <w:rFonts w:hint="default" w:ascii="宋体" w:hAnsi="宋体" w:eastAsia="宋体" w:cs="宋体"/>
                <w:color w:val="auto"/>
                <w:sz w:val="24"/>
                <w:szCs w:val="24"/>
              </w:rPr>
              <w:t>排污许可证</w:t>
            </w:r>
            <w:r>
              <w:rPr>
                <w:rFonts w:hint="eastAsia" w:ascii="宋体" w:hAnsi="宋体" w:eastAsia="宋体" w:cs="宋体"/>
                <w:color w:val="auto"/>
                <w:sz w:val="24"/>
                <w:szCs w:val="24"/>
                <w:lang w:eastAsia="zh-CN"/>
              </w:rPr>
              <w:t>。</w:t>
            </w:r>
            <w:r>
              <w:rPr>
                <w:rFonts w:hint="eastAsia" w:ascii="Times New Roman" w:hAnsi="Times New Roman" w:eastAsia="宋体" w:cs="Times New Roman"/>
                <w:color w:val="auto"/>
                <w:sz w:val="24"/>
                <w:highlight w:val="none"/>
                <w:shd w:val="clear" w:color="auto" w:fill="auto"/>
                <w:lang w:val="en-US" w:eastAsia="zh-CN"/>
              </w:rPr>
              <w:t>根据现场踏勘</w:t>
            </w:r>
            <w:r>
              <w:rPr>
                <w:rFonts w:hint="eastAsia" w:cs="Times New Roman"/>
                <w:color w:val="auto"/>
                <w:sz w:val="24"/>
                <w:highlight w:val="none"/>
                <w:shd w:val="clear" w:color="auto" w:fill="auto"/>
                <w:lang w:val="en-US" w:eastAsia="zh-CN"/>
              </w:rPr>
              <w:t>租赁</w:t>
            </w:r>
            <w:r>
              <w:rPr>
                <w:rFonts w:hint="eastAsia" w:ascii="Times New Roman" w:hAnsi="Times New Roman" w:eastAsia="宋体" w:cs="Times New Roman"/>
                <w:color w:val="auto"/>
                <w:sz w:val="24"/>
                <w:highlight w:val="none"/>
                <w:shd w:val="clear" w:color="auto" w:fill="auto"/>
                <w:lang w:val="en-US" w:eastAsia="zh-CN"/>
              </w:rPr>
              <w:t>厂房为空置状态，未进行任何生产活动，且本项目未开工建设，因此不存在原有环境问题。</w:t>
            </w:r>
            <w:r>
              <w:rPr>
                <w:rFonts w:hint="eastAsia" w:cs="Times New Roman"/>
                <w:color w:val="auto"/>
                <w:sz w:val="24"/>
                <w:highlight w:val="none"/>
                <w:shd w:val="clear" w:color="auto" w:fill="auto"/>
                <w:lang w:val="en-US" w:eastAsia="zh-CN"/>
              </w:rPr>
              <w:t>项目废气、</w:t>
            </w:r>
            <w:r>
              <w:rPr>
                <w:rFonts w:hint="eastAsia" w:cs="Times New Roman"/>
                <w:b w:val="0"/>
                <w:bCs w:val="0"/>
                <w:color w:val="auto"/>
                <w:sz w:val="24"/>
                <w:szCs w:val="24"/>
                <w:lang w:val="en-US" w:eastAsia="zh-CN"/>
              </w:rPr>
              <w:t>生活污水、厂区雨水、厂界噪声、固体废物</w:t>
            </w:r>
            <w:r>
              <w:rPr>
                <w:rFonts w:hint="eastAsia" w:ascii="Times New Roman" w:hAnsi="Times New Roman" w:eastAsia="宋体" w:cs="Times New Roman"/>
                <w:color w:val="auto"/>
                <w:sz w:val="24"/>
                <w:szCs w:val="24"/>
                <w:lang w:val="en-US" w:eastAsia="zh-CN"/>
              </w:rPr>
              <w:t>环保责任主体为江西红鲤鱼鞋业有限公司</w:t>
            </w:r>
            <w:r>
              <w:rPr>
                <w:rFonts w:hint="eastAsia" w:cs="Times New Roman"/>
                <w:b w:val="0"/>
                <w:bCs w:val="0"/>
                <w:color w:val="auto"/>
                <w:sz w:val="24"/>
                <w:szCs w:val="24"/>
                <w:lang w:val="en-US" w:eastAsia="zh-CN"/>
              </w:rPr>
              <w:t>。</w:t>
            </w:r>
          </w:p>
          <w:p w14:paraId="1108CFB4">
            <w:pPr>
              <w:keepNext w:val="0"/>
              <w:keepLines w:val="0"/>
              <w:suppressLineNumbers w:val="0"/>
              <w:spacing w:before="0" w:beforeAutospacing="0" w:after="0" w:afterAutospacing="0"/>
              <w:ind w:left="0" w:right="0"/>
              <w:rPr>
                <w:rFonts w:hint="default"/>
                <w:color w:val="auto"/>
                <w:highlight w:val="none"/>
              </w:rPr>
            </w:pPr>
          </w:p>
        </w:tc>
      </w:tr>
    </w:tbl>
    <w:p w14:paraId="069B7871">
      <w:pPr>
        <w:rPr>
          <w:rFonts w:hint="default" w:ascii="Times New Roman" w:hAnsi="Times New Roman" w:eastAsia="宋体" w:cs="Times New Roman"/>
          <w:color w:val="auto"/>
          <w:highlight w:val="none"/>
        </w:rPr>
      </w:pPr>
    </w:p>
    <w:p w14:paraId="282D5950">
      <w:pPr>
        <w:rPr>
          <w:rFonts w:hint="default" w:ascii="Times New Roman" w:hAnsi="Times New Roman" w:eastAsia="宋体" w:cs="Times New Roman"/>
          <w:color w:val="auto"/>
          <w:highlight w:val="none"/>
        </w:rPr>
        <w:sectPr>
          <w:footerReference r:id="rId5" w:type="default"/>
          <w:pgSz w:w="11906" w:h="16838"/>
          <w:pgMar w:top="1701" w:right="1531" w:bottom="1701" w:left="1531" w:header="851" w:footer="851" w:gutter="0"/>
          <w:pgBorders>
            <w:top w:val="none" w:sz="0" w:space="0"/>
            <w:left w:val="none" w:sz="0" w:space="0"/>
            <w:bottom w:val="none" w:sz="0" w:space="0"/>
            <w:right w:val="none" w:sz="0" w:space="0"/>
          </w:pgBorders>
          <w:pgNumType w:fmt="decimal"/>
          <w:cols w:space="720" w:num="1"/>
          <w:docGrid w:linePitch="312" w:charSpace="0"/>
        </w:sectPr>
      </w:pPr>
    </w:p>
    <w:p w14:paraId="0AA00D42">
      <w:pPr>
        <w:pStyle w:val="18"/>
        <w:jc w:val="center"/>
        <w:outlineLvl w:val="0"/>
        <w:rPr>
          <w:rFonts w:cs="宋体"/>
          <w:b/>
          <w:bCs/>
          <w:snapToGrid w:val="0"/>
          <w:color w:val="auto"/>
          <w:sz w:val="30"/>
          <w:szCs w:val="30"/>
          <w:highlight w:val="none"/>
        </w:rPr>
      </w:pPr>
      <w:bookmarkStart w:id="20" w:name="_Toc7785"/>
      <w:r>
        <w:rPr>
          <w:rFonts w:hint="eastAsia" w:cs="宋体"/>
          <w:b/>
          <w:bCs/>
          <w:snapToGrid w:val="0"/>
          <w:color w:val="auto"/>
          <w:sz w:val="30"/>
          <w:szCs w:val="30"/>
          <w:highlight w:val="none"/>
        </w:rPr>
        <w:t>三、区域环境质量现状、环境保护目标及评价标准</w:t>
      </w:r>
      <w:bookmarkEnd w:id="20"/>
    </w:p>
    <w:tbl>
      <w:tblPr>
        <w:tblStyle w:val="26"/>
        <w:tblW w:w="9404"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512"/>
        <w:gridCol w:w="8892"/>
      </w:tblGrid>
      <w:tr w14:paraId="76AEE5F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12" w:type="dxa"/>
            <w:vAlign w:val="center"/>
          </w:tcPr>
          <w:p w14:paraId="34EAA453">
            <w:pPr>
              <w:keepNext w:val="0"/>
              <w:keepLines w:val="0"/>
              <w:suppressLineNumbers w:val="0"/>
              <w:adjustRightInd w:val="0"/>
              <w:snapToGrid w:val="0"/>
              <w:spacing w:before="0" w:beforeAutospacing="0" w:after="0" w:afterAutospacing="0"/>
              <w:ind w:left="0" w:right="0"/>
              <w:jc w:val="center"/>
              <w:rPr>
                <w:rFonts w:hint="default" w:ascii="宋体" w:hAnsi="宋体" w:cs="宋体"/>
                <w:b/>
                <w:bCs/>
                <w:color w:val="auto"/>
                <w:kern w:val="0"/>
                <w:sz w:val="24"/>
                <w:highlight w:val="none"/>
              </w:rPr>
            </w:pPr>
            <w:r>
              <w:rPr>
                <w:rFonts w:hint="eastAsia" w:ascii="宋体" w:hAnsi="宋体" w:cs="宋体"/>
                <w:b/>
                <w:bCs/>
                <w:color w:val="auto"/>
                <w:kern w:val="0"/>
                <w:sz w:val="24"/>
                <w:highlight w:val="none"/>
              </w:rPr>
              <w:t>区域</w:t>
            </w:r>
          </w:p>
          <w:p w14:paraId="638080AC">
            <w:pPr>
              <w:keepNext w:val="0"/>
              <w:keepLines w:val="0"/>
              <w:suppressLineNumbers w:val="0"/>
              <w:adjustRightInd w:val="0"/>
              <w:snapToGrid w:val="0"/>
              <w:spacing w:before="0" w:beforeAutospacing="0" w:after="0" w:afterAutospacing="0"/>
              <w:ind w:left="0" w:right="0"/>
              <w:jc w:val="center"/>
              <w:rPr>
                <w:rFonts w:hint="default" w:ascii="宋体" w:hAnsi="宋体" w:cs="宋体"/>
                <w:b/>
                <w:bCs/>
                <w:color w:val="auto"/>
                <w:kern w:val="0"/>
                <w:sz w:val="24"/>
                <w:highlight w:val="none"/>
              </w:rPr>
            </w:pPr>
            <w:r>
              <w:rPr>
                <w:rFonts w:hint="eastAsia" w:ascii="宋体" w:hAnsi="宋体" w:cs="宋体"/>
                <w:b/>
                <w:bCs/>
                <w:color w:val="auto"/>
                <w:kern w:val="0"/>
                <w:sz w:val="24"/>
                <w:highlight w:val="none"/>
              </w:rPr>
              <w:t>环境</w:t>
            </w:r>
          </w:p>
          <w:p w14:paraId="2C44E14C">
            <w:pPr>
              <w:keepNext w:val="0"/>
              <w:keepLines w:val="0"/>
              <w:suppressLineNumbers w:val="0"/>
              <w:adjustRightInd w:val="0"/>
              <w:snapToGrid w:val="0"/>
              <w:spacing w:before="0" w:beforeAutospacing="0" w:after="0" w:afterAutospacing="0"/>
              <w:ind w:left="0" w:right="0"/>
              <w:jc w:val="center"/>
              <w:rPr>
                <w:rFonts w:hint="default" w:ascii="宋体" w:hAnsi="宋体" w:cs="宋体"/>
                <w:b/>
                <w:bCs/>
                <w:color w:val="auto"/>
                <w:kern w:val="0"/>
                <w:sz w:val="24"/>
                <w:highlight w:val="none"/>
              </w:rPr>
            </w:pPr>
            <w:r>
              <w:rPr>
                <w:rFonts w:hint="eastAsia" w:ascii="宋体" w:hAnsi="宋体" w:cs="宋体"/>
                <w:b/>
                <w:bCs/>
                <w:color w:val="auto"/>
                <w:kern w:val="0"/>
                <w:sz w:val="24"/>
                <w:highlight w:val="none"/>
              </w:rPr>
              <w:t>质量</w:t>
            </w:r>
          </w:p>
          <w:p w14:paraId="5DD5EF80">
            <w:pPr>
              <w:keepNext w:val="0"/>
              <w:keepLines w:val="0"/>
              <w:suppressLineNumbers w:val="0"/>
              <w:adjustRightInd w:val="0"/>
              <w:snapToGrid w:val="0"/>
              <w:spacing w:before="0" w:beforeAutospacing="0" w:after="0" w:afterAutospacing="0"/>
              <w:ind w:left="0" w:right="0"/>
              <w:jc w:val="center"/>
              <w:rPr>
                <w:rFonts w:hint="default" w:ascii="宋体" w:hAnsi="宋体" w:cs="宋体"/>
                <w:color w:val="auto"/>
                <w:kern w:val="0"/>
                <w:szCs w:val="21"/>
                <w:highlight w:val="none"/>
              </w:rPr>
            </w:pPr>
            <w:r>
              <w:rPr>
                <w:rFonts w:hint="eastAsia" w:ascii="宋体" w:hAnsi="宋体" w:cs="宋体"/>
                <w:b/>
                <w:bCs/>
                <w:color w:val="auto"/>
                <w:kern w:val="0"/>
                <w:sz w:val="24"/>
                <w:highlight w:val="none"/>
              </w:rPr>
              <w:t>现状</w:t>
            </w:r>
          </w:p>
        </w:tc>
        <w:tc>
          <w:tcPr>
            <w:tcW w:w="8892" w:type="dxa"/>
            <w:vAlign w:val="center"/>
          </w:tcPr>
          <w:p w14:paraId="3FA2B5EF">
            <w:pPr>
              <w:keepNext w:val="0"/>
              <w:keepLines w:val="0"/>
              <w:pageBreakBefore w:val="0"/>
              <w:widowControl w:val="0"/>
              <w:numPr>
                <w:ilvl w:val="0"/>
                <w:numId w:val="5"/>
              </w:numPr>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firstLine="482" w:firstLineChars="200"/>
              <w:jc w:val="left"/>
              <w:textAlignment w:val="auto"/>
              <w:outlineLvl w:val="9"/>
              <w:rPr>
                <w:rFonts w:hint="default" w:ascii="Times New Roman" w:hAnsi="Times New Roman" w:eastAsia="宋体" w:cs="Times New Roman"/>
                <w:b/>
                <w:bCs/>
                <w:color w:val="auto"/>
                <w:sz w:val="24"/>
                <w:highlight w:val="none"/>
                <w:shd w:val="clear" w:color="auto" w:fill="auto"/>
                <w:lang w:val="en-US" w:eastAsia="zh-CN"/>
              </w:rPr>
            </w:pPr>
            <w:r>
              <w:rPr>
                <w:rFonts w:hint="default" w:ascii="Times New Roman" w:hAnsi="Times New Roman" w:eastAsia="宋体" w:cs="Times New Roman"/>
                <w:b/>
                <w:bCs/>
                <w:color w:val="auto"/>
                <w:sz w:val="24"/>
                <w:highlight w:val="none"/>
                <w:shd w:val="clear" w:color="auto" w:fill="auto"/>
                <w:lang w:val="en-US" w:eastAsia="zh-CN"/>
              </w:rPr>
              <w:t>大气环境</w:t>
            </w:r>
          </w:p>
          <w:p w14:paraId="41CD326B">
            <w:pPr>
              <w:keepNext w:val="0"/>
              <w:keepLines w:val="0"/>
              <w:suppressLineNumbers w:val="0"/>
              <w:snapToGrid w:val="0"/>
              <w:spacing w:before="0" w:beforeAutospacing="0" w:after="0" w:afterAutospacing="0" w:line="360" w:lineRule="auto"/>
              <w:ind w:left="0" w:right="0" w:firstLine="480" w:firstLineChars="200"/>
              <w:jc w:val="left"/>
              <w:rPr>
                <w:rFonts w:hint="default"/>
                <w:color w:val="auto"/>
                <w:sz w:val="24"/>
                <w:highlight w:val="none"/>
                <w:lang w:val="en-GB"/>
              </w:rPr>
            </w:pPr>
            <w:r>
              <w:rPr>
                <w:rFonts w:hint="default" w:ascii="Times New Roman" w:hAnsi="Times New Roman" w:eastAsia="宋体" w:cs="Times New Roman"/>
                <w:color w:val="auto"/>
                <w:sz w:val="24"/>
                <w:szCs w:val="24"/>
                <w:highlight w:val="none"/>
                <w:lang w:val="en-GB" w:eastAsia="zh-CN"/>
              </w:rPr>
              <w:t>根据《建设项目环境影响报告表编制技术指南（污染影响类）（试行）》，环境空气常规污染物引用与建设项目距离近的有效数据，包括近3年的规划环境影响评价的监测数据，国家、地方环境空气质量监测网数据或生态环境主管部门公开发布的质量数据等。排放国家、地方环境空气质量标准中有标准限值要求的特征污染物时，引用建设项目周边5km范围内近3年的现有监测数据，无相关数据的选择当季主导风向下风向1个点位，补充不少于3天的监测数据。</w:t>
            </w:r>
          </w:p>
          <w:p w14:paraId="2A1B7647">
            <w:pPr>
              <w:keepNext w:val="0"/>
              <w:keepLines w:val="0"/>
              <w:suppressLineNumbers w:val="0"/>
              <w:bidi w:val="0"/>
              <w:spacing w:before="0" w:beforeAutospacing="0" w:after="0" w:afterAutospacing="0" w:line="360" w:lineRule="auto"/>
              <w:ind w:left="0" w:right="0" w:firstLine="480" w:firstLineChars="200"/>
              <w:rPr>
                <w:rFonts w:hint="default" w:ascii="Times New Roman" w:hAnsi="Times New Roman"/>
                <w:color w:val="auto"/>
                <w:sz w:val="24"/>
                <w:highlight w:val="none"/>
              </w:rPr>
            </w:pPr>
            <w:r>
              <w:rPr>
                <w:rFonts w:hint="eastAsia" w:ascii="Times New Roman" w:hAnsi="Times New Roman"/>
                <w:color w:val="auto"/>
                <w:sz w:val="24"/>
                <w:highlight w:val="none"/>
                <w:lang w:eastAsia="zh-CN"/>
              </w:rPr>
              <w:t>（</w:t>
            </w:r>
            <w:r>
              <w:rPr>
                <w:rFonts w:hint="eastAsia" w:ascii="Times New Roman" w:hAnsi="Times New Roman"/>
                <w:color w:val="auto"/>
                <w:sz w:val="24"/>
                <w:highlight w:val="none"/>
                <w:lang w:val="en-US" w:eastAsia="zh-CN"/>
              </w:rPr>
              <w:t>1</w:t>
            </w:r>
            <w:r>
              <w:rPr>
                <w:rFonts w:hint="eastAsia" w:ascii="Times New Roman" w:hAnsi="Times New Roman"/>
                <w:color w:val="auto"/>
                <w:sz w:val="24"/>
                <w:highlight w:val="none"/>
                <w:lang w:eastAsia="zh-CN"/>
              </w:rPr>
              <w:t>）</w:t>
            </w:r>
            <w:r>
              <w:rPr>
                <w:rFonts w:hint="default" w:ascii="Times New Roman" w:hAnsi="Times New Roman"/>
                <w:color w:val="auto"/>
                <w:sz w:val="24"/>
                <w:highlight w:val="none"/>
                <w:lang w:val="en-US" w:eastAsia="zh-CN"/>
              </w:rPr>
              <w:t>基本污染物</w:t>
            </w:r>
          </w:p>
          <w:p w14:paraId="78908400">
            <w:pPr>
              <w:pStyle w:val="37"/>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360" w:lineRule="auto"/>
              <w:ind w:left="0" w:right="0" w:firstLine="480" w:firstLineChars="200"/>
              <w:jc w:val="both"/>
              <w:textAlignment w:val="auto"/>
              <w:rPr>
                <w:rFonts w:hint="default" w:ascii="Times New Roman" w:eastAsia="宋体" w:cs="Times New Roman"/>
                <w:b/>
                <w:bCs/>
                <w:color w:val="auto"/>
                <w:sz w:val="21"/>
                <w:szCs w:val="21"/>
                <w:highlight w:val="none"/>
              </w:rPr>
            </w:pPr>
            <w:r>
              <w:rPr>
                <w:rFonts w:hint="default" w:ascii="Times New Roman" w:hAnsi="Times New Roman" w:eastAsia="宋体" w:cs="Times New Roman"/>
                <w:color w:val="auto"/>
                <w:sz w:val="24"/>
                <w:szCs w:val="24"/>
                <w:highlight w:val="none"/>
                <w:shd w:val="clear" w:color="FFFFFF" w:fill="auto"/>
              </w:rPr>
              <w:t>根据《环境影响评价技术导则 大气环境》（HJ</w:t>
            </w:r>
            <w:r>
              <w:rPr>
                <w:rFonts w:hint="default" w:ascii="Times New Roman" w:hAnsi="Times New Roman" w:eastAsia="宋体" w:cs="Times New Roman"/>
                <w:color w:val="auto"/>
                <w:sz w:val="24"/>
                <w:szCs w:val="24"/>
                <w:highlight w:val="none"/>
                <w:shd w:val="clear" w:color="FFFFFF" w:fill="auto"/>
                <w:lang w:val="en-US" w:eastAsia="zh-CN"/>
              </w:rPr>
              <w:t xml:space="preserve"> </w:t>
            </w:r>
            <w:r>
              <w:rPr>
                <w:rFonts w:hint="default" w:ascii="Times New Roman" w:hAnsi="Times New Roman" w:eastAsia="宋体" w:cs="Times New Roman"/>
                <w:color w:val="auto"/>
                <w:sz w:val="24"/>
                <w:szCs w:val="24"/>
                <w:highlight w:val="none"/>
                <w:shd w:val="clear" w:color="FFFFFF" w:fill="auto"/>
              </w:rPr>
              <w:t>2.2-2018）规定，评价项目需调查项目所在区域环境质量</w:t>
            </w:r>
            <w:r>
              <w:rPr>
                <w:rFonts w:hint="eastAsia" w:ascii="宋体" w:hAnsi="宋体" w:eastAsia="宋体" w:cs="宋体"/>
                <w:color w:val="auto"/>
                <w:sz w:val="24"/>
                <w:szCs w:val="24"/>
                <w:highlight w:val="none"/>
                <w:shd w:val="clear" w:color="FFFFFF" w:fill="auto"/>
              </w:rPr>
              <w:t>达标情况，本</w:t>
            </w:r>
            <w:r>
              <w:rPr>
                <w:rFonts w:hint="eastAsia" w:ascii="宋体" w:hAnsi="宋体" w:eastAsia="宋体" w:cs="宋体"/>
                <w:color w:val="auto"/>
                <w:sz w:val="24"/>
                <w:szCs w:val="24"/>
                <w:highlight w:val="none"/>
                <w:shd w:val="clear" w:color="FFFFFF" w:fill="auto"/>
                <w:lang w:val="en-US" w:eastAsia="zh-CN"/>
              </w:rPr>
              <w:t>次</w:t>
            </w:r>
            <w:r>
              <w:rPr>
                <w:rFonts w:hint="eastAsia" w:ascii="宋体" w:hAnsi="宋体" w:eastAsia="宋体" w:cs="宋体"/>
                <w:color w:val="auto"/>
                <w:sz w:val="24"/>
                <w:szCs w:val="24"/>
                <w:highlight w:val="none"/>
                <w:shd w:val="clear" w:color="FFFFFF" w:fill="auto"/>
              </w:rPr>
              <w:t>评价引用江西省环境监测中心站于江西省生态环境厅网站发布的</w:t>
            </w:r>
            <w:r>
              <w:rPr>
                <w:rFonts w:hint="eastAsia" w:hAnsi="宋体" w:eastAsia="宋体" w:cs="宋体"/>
                <w:color w:val="auto"/>
                <w:sz w:val="24"/>
                <w:szCs w:val="24"/>
                <w:highlight w:val="none"/>
                <w:shd w:val="clear" w:color="FFFFFF" w:fill="auto"/>
                <w:lang w:eastAsia="zh-CN"/>
              </w:rPr>
              <w:t>“</w:t>
            </w:r>
            <w:r>
              <w:rPr>
                <w:rFonts w:hint="default" w:ascii="Times New Roman" w:hAnsi="Times New Roman" w:eastAsia="宋体" w:cs="Times New Roman"/>
                <w:color w:val="auto"/>
                <w:sz w:val="24"/>
                <w:szCs w:val="24"/>
                <w:highlight w:val="none"/>
                <w:shd w:val="clear" w:color="FFFFFF" w:fill="auto"/>
                <w:lang w:eastAsia="zh-CN"/>
              </w:rPr>
              <w:t>20</w:t>
            </w:r>
            <w:r>
              <w:rPr>
                <w:rFonts w:hint="default" w:ascii="Times New Roman" w:hAnsi="Times New Roman" w:eastAsia="宋体" w:cs="Times New Roman"/>
                <w:color w:val="auto"/>
                <w:sz w:val="24"/>
                <w:szCs w:val="24"/>
                <w:highlight w:val="none"/>
                <w:shd w:val="clear" w:color="FFFFFF" w:fill="auto"/>
                <w:lang w:val="en-US" w:eastAsia="zh-CN"/>
              </w:rPr>
              <w:t>2</w:t>
            </w:r>
            <w:r>
              <w:rPr>
                <w:rFonts w:hint="eastAsia" w:ascii="Times New Roman" w:cs="Times New Roman"/>
                <w:color w:val="auto"/>
                <w:sz w:val="24"/>
                <w:szCs w:val="24"/>
                <w:highlight w:val="none"/>
                <w:shd w:val="clear" w:color="FFFFFF" w:fill="auto"/>
                <w:lang w:val="en-US" w:eastAsia="zh-CN"/>
              </w:rPr>
              <w:t>4</w:t>
            </w:r>
            <w:r>
              <w:rPr>
                <w:rFonts w:hint="eastAsia" w:hAnsi="宋体" w:eastAsia="宋体" w:cs="宋体"/>
                <w:color w:val="auto"/>
                <w:sz w:val="24"/>
                <w:szCs w:val="24"/>
                <w:highlight w:val="none"/>
                <w:shd w:val="clear" w:color="FFFFFF" w:fill="auto"/>
                <w:lang w:eastAsia="zh-CN"/>
              </w:rPr>
              <w:t>年江西省各县（市、区）六项污染物浓度年均值”</w:t>
            </w:r>
            <w:r>
              <w:rPr>
                <w:rFonts w:hint="eastAsia" w:hAnsi="宋体" w:cs="宋体"/>
                <w:color w:val="auto"/>
                <w:sz w:val="24"/>
                <w:szCs w:val="24"/>
                <w:highlight w:val="none"/>
                <w:shd w:val="clear" w:color="FFFFFF" w:fill="auto"/>
                <w:lang w:val="en-US" w:eastAsia="zh-CN"/>
              </w:rPr>
              <w:t>中乐平市数据</w:t>
            </w:r>
            <w:r>
              <w:rPr>
                <w:rFonts w:hint="default" w:ascii="Times New Roman" w:hAnsi="Times New Roman" w:cs="Times New Roman"/>
                <w:color w:val="auto"/>
                <w:sz w:val="24"/>
                <w:szCs w:val="24"/>
                <w:highlight w:val="none"/>
                <w:shd w:val="clear" w:color="FFFFFF" w:fill="auto"/>
              </w:rPr>
              <w:t>对本项目</w:t>
            </w:r>
            <w:r>
              <w:rPr>
                <w:rFonts w:hint="eastAsia" w:ascii="Times New Roman" w:hAnsi="Times New Roman" w:cs="Times New Roman"/>
                <w:color w:val="auto"/>
                <w:sz w:val="24"/>
                <w:szCs w:val="24"/>
                <w:highlight w:val="none"/>
                <w:shd w:val="clear" w:color="FFFFFF" w:fill="auto"/>
                <w:lang w:val="en-US" w:eastAsia="zh-CN"/>
              </w:rPr>
              <w:t>所在</w:t>
            </w:r>
            <w:r>
              <w:rPr>
                <w:rFonts w:hint="default" w:ascii="Times New Roman" w:hAnsi="Times New Roman" w:cs="Times New Roman"/>
                <w:color w:val="auto"/>
                <w:sz w:val="24"/>
                <w:szCs w:val="24"/>
                <w:highlight w:val="none"/>
                <w:shd w:val="clear" w:color="FFFFFF" w:fill="auto"/>
              </w:rPr>
              <w:t>区域达标性进行判定，统计结果见表3-1。</w:t>
            </w:r>
          </w:p>
          <w:p w14:paraId="58A32037">
            <w:pPr>
              <w:pStyle w:val="44"/>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Autospacing="0"/>
              <w:ind w:left="0" w:leftChars="0" w:right="0" w:firstLine="0" w:firstLineChars="0"/>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表3-1 区域空气质量现状评价表</w:t>
            </w:r>
          </w:p>
          <w:tbl>
            <w:tblPr>
              <w:tblStyle w:val="26"/>
              <w:tblW w:w="4997"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3" w:type="dxa"/>
                <w:bottom w:w="0" w:type="dxa"/>
                <w:right w:w="23" w:type="dxa"/>
              </w:tblCellMar>
            </w:tblPr>
            <w:tblGrid>
              <w:gridCol w:w="574"/>
              <w:gridCol w:w="755"/>
              <w:gridCol w:w="2835"/>
              <w:gridCol w:w="1216"/>
              <w:gridCol w:w="1402"/>
              <w:gridCol w:w="1001"/>
              <w:gridCol w:w="888"/>
            </w:tblGrid>
            <w:tr w14:paraId="757BF87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cantSplit/>
                <w:trHeight w:val="397" w:hRule="atLeast"/>
                <w:jc w:val="center"/>
              </w:trPr>
              <w:tc>
                <w:tcPr>
                  <w:tcW w:w="331" w:type="pct"/>
                  <w:tcBorders>
                    <w:bottom w:val="single" w:color="auto" w:sz="12" w:space="0"/>
                  </w:tcBorders>
                  <w:noWrap w:val="0"/>
                  <w:vAlign w:val="center"/>
                </w:tcPr>
                <w:p w14:paraId="45107186">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bCs/>
                      <w:color w:val="auto"/>
                      <w:kern w:val="0"/>
                      <w:szCs w:val="21"/>
                      <w:highlight w:val="none"/>
                    </w:rPr>
                  </w:pPr>
                  <w:r>
                    <w:rPr>
                      <w:rFonts w:hint="default" w:ascii="Times New Roman" w:hAnsi="Times New Roman" w:eastAsia="宋体" w:cs="Times New Roman"/>
                      <w:b/>
                      <w:bCs/>
                      <w:color w:val="auto"/>
                      <w:kern w:val="0"/>
                      <w:szCs w:val="21"/>
                      <w:highlight w:val="none"/>
                    </w:rPr>
                    <w:t>序号</w:t>
                  </w:r>
                </w:p>
              </w:tc>
              <w:tc>
                <w:tcPr>
                  <w:tcW w:w="435" w:type="pct"/>
                  <w:tcBorders>
                    <w:bottom w:val="single" w:color="auto" w:sz="12" w:space="0"/>
                  </w:tcBorders>
                  <w:noWrap w:val="0"/>
                  <w:vAlign w:val="center"/>
                </w:tcPr>
                <w:p w14:paraId="17DC302A">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bCs/>
                      <w:color w:val="auto"/>
                      <w:kern w:val="0"/>
                      <w:szCs w:val="21"/>
                      <w:highlight w:val="none"/>
                    </w:rPr>
                  </w:pPr>
                  <w:r>
                    <w:rPr>
                      <w:rFonts w:hint="default" w:ascii="Times New Roman" w:hAnsi="Times New Roman" w:eastAsia="宋体" w:cs="Times New Roman"/>
                      <w:b/>
                      <w:bCs/>
                      <w:color w:val="auto"/>
                      <w:kern w:val="0"/>
                      <w:szCs w:val="21"/>
                      <w:highlight w:val="none"/>
                    </w:rPr>
                    <w:t>污染物</w:t>
                  </w:r>
                </w:p>
              </w:tc>
              <w:tc>
                <w:tcPr>
                  <w:tcW w:w="1634" w:type="pct"/>
                  <w:tcBorders>
                    <w:bottom w:val="single" w:color="auto" w:sz="12" w:space="0"/>
                  </w:tcBorders>
                  <w:noWrap w:val="0"/>
                  <w:vAlign w:val="center"/>
                </w:tcPr>
                <w:p w14:paraId="63B68336">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bCs/>
                      <w:color w:val="auto"/>
                      <w:kern w:val="0"/>
                      <w:szCs w:val="21"/>
                      <w:highlight w:val="none"/>
                    </w:rPr>
                  </w:pPr>
                  <w:r>
                    <w:rPr>
                      <w:rFonts w:hint="default" w:ascii="Times New Roman" w:hAnsi="Times New Roman" w:eastAsia="宋体" w:cs="Times New Roman"/>
                      <w:b/>
                      <w:bCs/>
                      <w:color w:val="auto"/>
                      <w:kern w:val="0"/>
                      <w:szCs w:val="21"/>
                      <w:highlight w:val="none"/>
                    </w:rPr>
                    <w:t>年评价指标</w:t>
                  </w:r>
                </w:p>
              </w:tc>
              <w:tc>
                <w:tcPr>
                  <w:tcW w:w="701" w:type="pct"/>
                  <w:tcBorders>
                    <w:bottom w:val="single" w:color="auto" w:sz="12" w:space="0"/>
                  </w:tcBorders>
                  <w:noWrap w:val="0"/>
                  <w:vAlign w:val="center"/>
                </w:tcPr>
                <w:p w14:paraId="258309BA">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bCs/>
                      <w:color w:val="auto"/>
                      <w:kern w:val="0"/>
                      <w:szCs w:val="21"/>
                      <w:highlight w:val="none"/>
                    </w:rPr>
                  </w:pPr>
                  <w:r>
                    <w:rPr>
                      <w:rFonts w:hint="default" w:ascii="Times New Roman" w:hAnsi="Times New Roman" w:eastAsia="宋体" w:cs="Times New Roman"/>
                      <w:b/>
                      <w:bCs/>
                      <w:color w:val="auto"/>
                      <w:kern w:val="0"/>
                      <w:szCs w:val="21"/>
                      <w:highlight w:val="none"/>
                    </w:rPr>
                    <w:t>现状浓度</w:t>
                  </w:r>
                </w:p>
                <w:p w14:paraId="42F1D2A1">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bCs/>
                      <w:color w:val="auto"/>
                      <w:kern w:val="0"/>
                      <w:szCs w:val="21"/>
                      <w:highlight w:val="none"/>
                    </w:rPr>
                  </w:pPr>
                  <w:r>
                    <w:rPr>
                      <w:rFonts w:hint="default" w:ascii="Times New Roman" w:hAnsi="Times New Roman" w:eastAsia="宋体" w:cs="Times New Roman"/>
                      <w:b/>
                      <w:bCs/>
                      <w:color w:val="auto"/>
                      <w:kern w:val="0"/>
                      <w:szCs w:val="21"/>
                      <w:highlight w:val="none"/>
                    </w:rPr>
                    <w:t>（μg/m</w:t>
                  </w:r>
                  <w:r>
                    <w:rPr>
                      <w:rFonts w:hint="default" w:ascii="Times New Roman" w:hAnsi="Times New Roman" w:eastAsia="宋体" w:cs="Times New Roman"/>
                      <w:b/>
                      <w:bCs/>
                      <w:color w:val="auto"/>
                      <w:kern w:val="0"/>
                      <w:szCs w:val="21"/>
                      <w:highlight w:val="none"/>
                      <w:vertAlign w:val="superscript"/>
                    </w:rPr>
                    <w:t>3</w:t>
                  </w:r>
                  <w:r>
                    <w:rPr>
                      <w:rFonts w:hint="default" w:ascii="Times New Roman" w:hAnsi="Times New Roman" w:eastAsia="宋体" w:cs="Times New Roman"/>
                      <w:b/>
                      <w:bCs/>
                      <w:color w:val="auto"/>
                      <w:kern w:val="0"/>
                      <w:szCs w:val="21"/>
                      <w:highlight w:val="none"/>
                    </w:rPr>
                    <w:t>）</w:t>
                  </w:r>
                </w:p>
              </w:tc>
              <w:tc>
                <w:tcPr>
                  <w:tcW w:w="808" w:type="pct"/>
                  <w:tcBorders>
                    <w:bottom w:val="single" w:color="auto" w:sz="12" w:space="0"/>
                  </w:tcBorders>
                  <w:noWrap w:val="0"/>
                  <w:vAlign w:val="center"/>
                </w:tcPr>
                <w:p w14:paraId="0B3AD245">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bCs/>
                      <w:color w:val="auto"/>
                      <w:kern w:val="0"/>
                      <w:szCs w:val="21"/>
                      <w:highlight w:val="none"/>
                    </w:rPr>
                  </w:pPr>
                  <w:r>
                    <w:rPr>
                      <w:rFonts w:hint="default" w:ascii="Times New Roman" w:hAnsi="Times New Roman" w:eastAsia="宋体" w:cs="Times New Roman"/>
                      <w:b/>
                      <w:bCs/>
                      <w:color w:val="auto"/>
                      <w:kern w:val="0"/>
                      <w:szCs w:val="21"/>
                      <w:highlight w:val="none"/>
                    </w:rPr>
                    <w:t>标准值</w:t>
                  </w:r>
                </w:p>
                <w:p w14:paraId="2CD5176E">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bCs/>
                      <w:color w:val="auto"/>
                      <w:kern w:val="0"/>
                      <w:szCs w:val="21"/>
                      <w:highlight w:val="none"/>
                    </w:rPr>
                  </w:pPr>
                  <w:r>
                    <w:rPr>
                      <w:rFonts w:hint="default" w:ascii="Times New Roman" w:hAnsi="Times New Roman" w:eastAsia="宋体" w:cs="Times New Roman"/>
                      <w:b/>
                      <w:bCs/>
                      <w:color w:val="auto"/>
                      <w:kern w:val="0"/>
                      <w:szCs w:val="21"/>
                      <w:highlight w:val="none"/>
                    </w:rPr>
                    <w:t>（μg/m</w:t>
                  </w:r>
                  <w:r>
                    <w:rPr>
                      <w:rFonts w:hint="default" w:ascii="Times New Roman" w:hAnsi="Times New Roman" w:eastAsia="宋体" w:cs="Times New Roman"/>
                      <w:b/>
                      <w:bCs/>
                      <w:color w:val="auto"/>
                      <w:kern w:val="0"/>
                      <w:szCs w:val="21"/>
                      <w:highlight w:val="none"/>
                      <w:vertAlign w:val="superscript"/>
                    </w:rPr>
                    <w:t>3</w:t>
                  </w:r>
                  <w:r>
                    <w:rPr>
                      <w:rFonts w:hint="default" w:ascii="Times New Roman" w:hAnsi="Times New Roman" w:eastAsia="宋体" w:cs="Times New Roman"/>
                      <w:b/>
                      <w:bCs/>
                      <w:color w:val="auto"/>
                      <w:kern w:val="0"/>
                      <w:szCs w:val="21"/>
                      <w:highlight w:val="none"/>
                    </w:rPr>
                    <w:t>）</w:t>
                  </w:r>
                </w:p>
              </w:tc>
              <w:tc>
                <w:tcPr>
                  <w:tcW w:w="577" w:type="pct"/>
                  <w:tcBorders>
                    <w:bottom w:val="single" w:color="auto" w:sz="12" w:space="0"/>
                  </w:tcBorders>
                  <w:noWrap w:val="0"/>
                  <w:vAlign w:val="center"/>
                </w:tcPr>
                <w:p w14:paraId="1FCF3848">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bCs/>
                      <w:color w:val="auto"/>
                      <w:kern w:val="0"/>
                      <w:szCs w:val="21"/>
                      <w:highlight w:val="none"/>
                    </w:rPr>
                  </w:pPr>
                  <w:r>
                    <w:rPr>
                      <w:rFonts w:hint="default" w:ascii="Times New Roman" w:hAnsi="Times New Roman" w:eastAsia="宋体" w:cs="Times New Roman"/>
                      <w:b/>
                      <w:bCs/>
                      <w:color w:val="auto"/>
                      <w:kern w:val="0"/>
                      <w:szCs w:val="21"/>
                      <w:highlight w:val="none"/>
                    </w:rPr>
                    <w:t>占标率</w:t>
                  </w:r>
                </w:p>
                <w:p w14:paraId="333F1D2C">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bCs/>
                      <w:color w:val="auto"/>
                      <w:kern w:val="0"/>
                      <w:szCs w:val="21"/>
                      <w:highlight w:val="none"/>
                    </w:rPr>
                  </w:pPr>
                  <w:r>
                    <w:rPr>
                      <w:rFonts w:hint="default" w:ascii="Times New Roman" w:hAnsi="Times New Roman" w:eastAsia="宋体" w:cs="Times New Roman"/>
                      <w:b/>
                      <w:bCs/>
                      <w:color w:val="auto"/>
                      <w:kern w:val="0"/>
                      <w:szCs w:val="21"/>
                      <w:highlight w:val="none"/>
                    </w:rPr>
                    <w:t>%</w:t>
                  </w:r>
                </w:p>
              </w:tc>
              <w:tc>
                <w:tcPr>
                  <w:tcW w:w="512" w:type="pct"/>
                  <w:tcBorders>
                    <w:bottom w:val="single" w:color="auto" w:sz="12" w:space="0"/>
                  </w:tcBorders>
                  <w:noWrap w:val="0"/>
                  <w:vAlign w:val="center"/>
                </w:tcPr>
                <w:p w14:paraId="5F1BE8C0">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bCs/>
                      <w:color w:val="auto"/>
                      <w:kern w:val="0"/>
                      <w:szCs w:val="21"/>
                      <w:highlight w:val="none"/>
                    </w:rPr>
                  </w:pPr>
                  <w:r>
                    <w:rPr>
                      <w:rFonts w:hint="default" w:ascii="Times New Roman" w:hAnsi="Times New Roman" w:eastAsia="宋体" w:cs="Times New Roman"/>
                      <w:b/>
                      <w:bCs/>
                      <w:color w:val="auto"/>
                      <w:kern w:val="0"/>
                      <w:szCs w:val="21"/>
                      <w:highlight w:val="none"/>
                    </w:rPr>
                    <w:t>达标</w:t>
                  </w:r>
                </w:p>
                <w:p w14:paraId="31DE0D05">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bCs/>
                      <w:color w:val="auto"/>
                      <w:kern w:val="0"/>
                      <w:szCs w:val="21"/>
                      <w:highlight w:val="none"/>
                    </w:rPr>
                  </w:pPr>
                  <w:r>
                    <w:rPr>
                      <w:rFonts w:hint="default" w:ascii="Times New Roman" w:hAnsi="Times New Roman" w:eastAsia="宋体" w:cs="Times New Roman"/>
                      <w:b/>
                      <w:bCs/>
                      <w:color w:val="auto"/>
                      <w:kern w:val="0"/>
                      <w:szCs w:val="21"/>
                      <w:highlight w:val="none"/>
                    </w:rPr>
                    <w:t>情况</w:t>
                  </w:r>
                </w:p>
              </w:tc>
            </w:tr>
            <w:tr w14:paraId="79A5626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cantSplit/>
                <w:trHeight w:val="397" w:hRule="atLeast"/>
                <w:jc w:val="center"/>
              </w:trPr>
              <w:tc>
                <w:tcPr>
                  <w:tcW w:w="331" w:type="pct"/>
                  <w:tcBorders>
                    <w:top w:val="single" w:color="auto" w:sz="12" w:space="0"/>
                    <w:tl2br w:val="nil"/>
                    <w:tr2bl w:val="nil"/>
                  </w:tcBorders>
                  <w:noWrap w:val="0"/>
                  <w:vAlign w:val="center"/>
                </w:tcPr>
                <w:p w14:paraId="1893A5EA">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0"/>
                      <w:szCs w:val="21"/>
                      <w:highlight w:val="none"/>
                    </w:rPr>
                  </w:pPr>
                  <w:r>
                    <w:rPr>
                      <w:rFonts w:hint="default" w:ascii="Times New Roman" w:hAnsi="Times New Roman" w:eastAsia="宋体" w:cs="Times New Roman"/>
                      <w:color w:val="auto"/>
                      <w:kern w:val="0"/>
                      <w:szCs w:val="21"/>
                      <w:highlight w:val="none"/>
                    </w:rPr>
                    <w:t>1</w:t>
                  </w:r>
                </w:p>
              </w:tc>
              <w:tc>
                <w:tcPr>
                  <w:tcW w:w="730" w:type="dxa"/>
                  <w:tcBorders>
                    <w:top w:val="single" w:color="auto" w:sz="12" w:space="0"/>
                    <w:tl2br w:val="nil"/>
                    <w:tr2bl w:val="nil"/>
                  </w:tcBorders>
                  <w:noWrap w:val="0"/>
                  <w:vAlign w:val="center"/>
                </w:tcPr>
                <w:p w14:paraId="4C8CCDF2">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0"/>
                      <w:szCs w:val="21"/>
                      <w:highlight w:val="none"/>
                    </w:rPr>
                  </w:pPr>
                  <w:r>
                    <w:rPr>
                      <w:rFonts w:hint="default" w:ascii="Times New Roman" w:hAnsi="Times New Roman" w:eastAsia="宋体" w:cs="Times New Roman"/>
                      <w:color w:val="auto"/>
                      <w:kern w:val="0"/>
                      <w:szCs w:val="21"/>
                      <w:highlight w:val="none"/>
                    </w:rPr>
                    <w:t>SO</w:t>
                  </w:r>
                  <w:r>
                    <w:rPr>
                      <w:rFonts w:hint="default" w:ascii="Times New Roman" w:hAnsi="Times New Roman" w:eastAsia="宋体" w:cs="Times New Roman"/>
                      <w:color w:val="auto"/>
                      <w:kern w:val="0"/>
                      <w:szCs w:val="21"/>
                      <w:highlight w:val="none"/>
                      <w:vertAlign w:val="subscript"/>
                    </w:rPr>
                    <w:t>2</w:t>
                  </w:r>
                </w:p>
              </w:tc>
              <w:tc>
                <w:tcPr>
                  <w:tcW w:w="2741" w:type="dxa"/>
                  <w:tcBorders>
                    <w:top w:val="single" w:color="auto" w:sz="12" w:space="0"/>
                    <w:tl2br w:val="nil"/>
                    <w:tr2bl w:val="nil"/>
                  </w:tcBorders>
                  <w:noWrap w:val="0"/>
                  <w:vAlign w:val="center"/>
                </w:tcPr>
                <w:p w14:paraId="6F0309BD">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0"/>
                      <w:szCs w:val="21"/>
                      <w:highlight w:val="none"/>
                    </w:rPr>
                  </w:pPr>
                  <w:r>
                    <w:rPr>
                      <w:rFonts w:hint="default" w:ascii="Times New Roman" w:hAnsi="Times New Roman" w:eastAsia="宋体" w:cs="Times New Roman"/>
                      <w:color w:val="auto"/>
                      <w:kern w:val="0"/>
                      <w:szCs w:val="21"/>
                      <w:highlight w:val="none"/>
                    </w:rPr>
                    <w:t>年平均质量浓度</w:t>
                  </w:r>
                </w:p>
              </w:tc>
              <w:tc>
                <w:tcPr>
                  <w:tcW w:w="1176" w:type="dxa"/>
                  <w:tcBorders>
                    <w:top w:val="single" w:color="auto" w:sz="12" w:space="0"/>
                    <w:tl2br w:val="nil"/>
                    <w:tr2bl w:val="nil"/>
                  </w:tcBorders>
                  <w:noWrap w:val="0"/>
                  <w:vAlign w:val="center"/>
                </w:tcPr>
                <w:p w14:paraId="1450385D">
                  <w:pPr>
                    <w:pStyle w:val="18"/>
                    <w:keepNext w:val="0"/>
                    <w:keepLines w:val="0"/>
                    <w:suppressLineNumbers w:val="0"/>
                    <w:shd w:val="clear" w:color="auto" w:fill="auto"/>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Cs w:val="21"/>
                      <w:highlight w:val="none"/>
                      <w:lang w:val="en-US" w:eastAsia="zh-CN"/>
                    </w:rPr>
                  </w:pPr>
                  <w:r>
                    <w:rPr>
                      <w:rFonts w:hint="default" w:ascii="Times New Roman" w:hAnsi="Times New Roman" w:cs="Times New Roman"/>
                      <w:color w:val="auto"/>
                      <w:sz w:val="21"/>
                      <w:szCs w:val="21"/>
                      <w:highlight w:val="none"/>
                      <w:lang w:val="en-US" w:eastAsia="zh-CN" w:bidi="ar"/>
                    </w:rPr>
                    <w:t>7</w:t>
                  </w:r>
                </w:p>
              </w:tc>
              <w:tc>
                <w:tcPr>
                  <w:tcW w:w="1355" w:type="dxa"/>
                  <w:tcBorders>
                    <w:top w:val="single" w:color="auto" w:sz="12" w:space="0"/>
                    <w:tl2br w:val="nil"/>
                    <w:tr2bl w:val="nil"/>
                  </w:tcBorders>
                  <w:noWrap w:val="0"/>
                  <w:vAlign w:val="center"/>
                </w:tcPr>
                <w:p w14:paraId="20E2A9F4">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0"/>
                      <w:szCs w:val="21"/>
                      <w:highlight w:val="none"/>
                    </w:rPr>
                  </w:pPr>
                  <w:r>
                    <w:rPr>
                      <w:rFonts w:hint="default" w:ascii="Times New Roman" w:hAnsi="Times New Roman" w:eastAsia="宋体" w:cs="Times New Roman"/>
                      <w:color w:val="auto"/>
                      <w:kern w:val="0"/>
                      <w:szCs w:val="21"/>
                      <w:highlight w:val="none"/>
                      <w:lang w:val="en-US" w:eastAsia="zh-CN"/>
                    </w:rPr>
                    <w:t>60</w:t>
                  </w:r>
                </w:p>
              </w:tc>
              <w:tc>
                <w:tcPr>
                  <w:tcW w:w="968" w:type="dxa"/>
                  <w:tcBorders>
                    <w:top w:val="single" w:color="auto" w:sz="12" w:space="0"/>
                    <w:tl2br w:val="nil"/>
                    <w:tr2bl w:val="nil"/>
                  </w:tcBorders>
                  <w:noWrap w:val="0"/>
                  <w:vAlign w:val="center"/>
                </w:tcPr>
                <w:p w14:paraId="1BA64D62">
                  <w:pPr>
                    <w:pStyle w:val="18"/>
                    <w:keepNext w:val="0"/>
                    <w:keepLines w:val="0"/>
                    <w:suppressLineNumbers w:val="0"/>
                    <w:shd w:val="clear" w:color="auto" w:fill="auto"/>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Cs w:val="21"/>
                      <w:highlight w:val="none"/>
                      <w:lang w:val="en-US" w:eastAsia="zh-CN"/>
                    </w:rPr>
                  </w:pPr>
                  <w:r>
                    <w:rPr>
                      <w:rFonts w:hint="default" w:ascii="Times New Roman" w:hAnsi="Times New Roman" w:cs="Times New Roman"/>
                      <w:color w:val="auto"/>
                      <w:sz w:val="21"/>
                      <w:szCs w:val="21"/>
                      <w:highlight w:val="none"/>
                      <w:lang w:val="en-US" w:eastAsia="zh-CN" w:bidi="ar"/>
                    </w:rPr>
                    <w:t>11.7</w:t>
                  </w:r>
                </w:p>
              </w:tc>
              <w:tc>
                <w:tcPr>
                  <w:tcW w:w="512" w:type="pct"/>
                  <w:tcBorders>
                    <w:top w:val="single" w:color="auto" w:sz="12" w:space="0"/>
                    <w:tl2br w:val="nil"/>
                    <w:tr2bl w:val="nil"/>
                  </w:tcBorders>
                  <w:noWrap w:val="0"/>
                  <w:vAlign w:val="center"/>
                </w:tcPr>
                <w:p w14:paraId="100D4BF9">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0"/>
                      <w:szCs w:val="21"/>
                      <w:highlight w:val="none"/>
                    </w:rPr>
                  </w:pPr>
                  <w:r>
                    <w:rPr>
                      <w:rFonts w:hint="default" w:ascii="Times New Roman" w:hAnsi="Times New Roman" w:eastAsia="宋体" w:cs="Times New Roman"/>
                      <w:color w:val="auto"/>
                      <w:kern w:val="0"/>
                      <w:szCs w:val="21"/>
                      <w:highlight w:val="none"/>
                    </w:rPr>
                    <w:t>达标</w:t>
                  </w:r>
                </w:p>
              </w:tc>
            </w:tr>
            <w:tr w14:paraId="148F520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cantSplit/>
                <w:trHeight w:val="397" w:hRule="atLeast"/>
                <w:jc w:val="center"/>
              </w:trPr>
              <w:tc>
                <w:tcPr>
                  <w:tcW w:w="331" w:type="pct"/>
                  <w:tcBorders>
                    <w:tl2br w:val="nil"/>
                    <w:tr2bl w:val="nil"/>
                  </w:tcBorders>
                  <w:noWrap w:val="0"/>
                  <w:vAlign w:val="center"/>
                </w:tcPr>
                <w:p w14:paraId="668CCD4D">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0"/>
                      <w:szCs w:val="21"/>
                      <w:highlight w:val="none"/>
                    </w:rPr>
                  </w:pPr>
                  <w:r>
                    <w:rPr>
                      <w:rFonts w:hint="default" w:ascii="Times New Roman" w:hAnsi="Times New Roman" w:eastAsia="宋体" w:cs="Times New Roman"/>
                      <w:color w:val="auto"/>
                      <w:kern w:val="0"/>
                      <w:szCs w:val="21"/>
                      <w:highlight w:val="none"/>
                    </w:rPr>
                    <w:t>2</w:t>
                  </w:r>
                </w:p>
              </w:tc>
              <w:tc>
                <w:tcPr>
                  <w:tcW w:w="730" w:type="dxa"/>
                  <w:tcBorders>
                    <w:tl2br w:val="nil"/>
                    <w:tr2bl w:val="nil"/>
                  </w:tcBorders>
                  <w:noWrap w:val="0"/>
                  <w:vAlign w:val="center"/>
                </w:tcPr>
                <w:p w14:paraId="4E5EBB49">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0"/>
                      <w:szCs w:val="21"/>
                      <w:highlight w:val="none"/>
                    </w:rPr>
                  </w:pPr>
                  <w:r>
                    <w:rPr>
                      <w:rFonts w:hint="default" w:ascii="Times New Roman" w:hAnsi="Times New Roman" w:eastAsia="宋体" w:cs="Times New Roman"/>
                      <w:color w:val="auto"/>
                      <w:kern w:val="0"/>
                      <w:szCs w:val="21"/>
                      <w:highlight w:val="none"/>
                    </w:rPr>
                    <w:t>NO</w:t>
                  </w:r>
                  <w:r>
                    <w:rPr>
                      <w:rFonts w:hint="default" w:ascii="Times New Roman" w:hAnsi="Times New Roman" w:eastAsia="宋体" w:cs="Times New Roman"/>
                      <w:color w:val="auto"/>
                      <w:kern w:val="0"/>
                      <w:szCs w:val="21"/>
                      <w:highlight w:val="none"/>
                      <w:vertAlign w:val="subscript"/>
                    </w:rPr>
                    <w:t>2</w:t>
                  </w:r>
                </w:p>
              </w:tc>
              <w:tc>
                <w:tcPr>
                  <w:tcW w:w="2741" w:type="dxa"/>
                  <w:tcBorders>
                    <w:tl2br w:val="nil"/>
                    <w:tr2bl w:val="nil"/>
                  </w:tcBorders>
                  <w:noWrap w:val="0"/>
                  <w:vAlign w:val="center"/>
                </w:tcPr>
                <w:p w14:paraId="212CC14E">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0"/>
                      <w:szCs w:val="21"/>
                      <w:highlight w:val="none"/>
                    </w:rPr>
                  </w:pPr>
                  <w:r>
                    <w:rPr>
                      <w:rFonts w:hint="default" w:ascii="Times New Roman" w:hAnsi="Times New Roman" w:eastAsia="宋体" w:cs="Times New Roman"/>
                      <w:color w:val="auto"/>
                      <w:kern w:val="0"/>
                      <w:szCs w:val="21"/>
                      <w:highlight w:val="none"/>
                    </w:rPr>
                    <w:t>年平均质量浓度</w:t>
                  </w:r>
                </w:p>
              </w:tc>
              <w:tc>
                <w:tcPr>
                  <w:tcW w:w="1176" w:type="dxa"/>
                  <w:tcBorders>
                    <w:tl2br w:val="nil"/>
                    <w:tr2bl w:val="nil"/>
                  </w:tcBorders>
                  <w:noWrap w:val="0"/>
                  <w:vAlign w:val="center"/>
                </w:tcPr>
                <w:p w14:paraId="0E7893D7">
                  <w:pPr>
                    <w:pStyle w:val="18"/>
                    <w:keepNext w:val="0"/>
                    <w:keepLines w:val="0"/>
                    <w:suppressLineNumbers w:val="0"/>
                    <w:shd w:val="clear" w:color="auto" w:fill="auto"/>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Cs w:val="21"/>
                      <w:highlight w:val="none"/>
                      <w:lang w:val="en-US" w:eastAsia="zh-CN"/>
                    </w:rPr>
                  </w:pPr>
                  <w:r>
                    <w:rPr>
                      <w:rFonts w:hint="default" w:ascii="Times New Roman" w:hAnsi="Times New Roman" w:cs="Times New Roman"/>
                      <w:color w:val="auto"/>
                      <w:sz w:val="21"/>
                      <w:szCs w:val="21"/>
                      <w:highlight w:val="none"/>
                      <w:lang w:val="en-US" w:eastAsia="zh-CN" w:bidi="ar"/>
                    </w:rPr>
                    <w:t>12</w:t>
                  </w:r>
                </w:p>
              </w:tc>
              <w:tc>
                <w:tcPr>
                  <w:tcW w:w="1355" w:type="dxa"/>
                  <w:tcBorders>
                    <w:tl2br w:val="nil"/>
                    <w:tr2bl w:val="nil"/>
                  </w:tcBorders>
                  <w:noWrap w:val="0"/>
                  <w:vAlign w:val="center"/>
                </w:tcPr>
                <w:p w14:paraId="4D2A5A64">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0"/>
                      <w:szCs w:val="21"/>
                      <w:highlight w:val="none"/>
                    </w:rPr>
                  </w:pPr>
                  <w:r>
                    <w:rPr>
                      <w:rFonts w:hint="default" w:ascii="Times New Roman" w:hAnsi="Times New Roman" w:eastAsia="宋体" w:cs="Times New Roman"/>
                      <w:color w:val="auto"/>
                      <w:kern w:val="0"/>
                      <w:szCs w:val="21"/>
                      <w:highlight w:val="none"/>
                      <w:lang w:val="en-US" w:eastAsia="zh-CN"/>
                    </w:rPr>
                    <w:t>40</w:t>
                  </w:r>
                </w:p>
              </w:tc>
              <w:tc>
                <w:tcPr>
                  <w:tcW w:w="968" w:type="dxa"/>
                  <w:tcBorders>
                    <w:tl2br w:val="nil"/>
                    <w:tr2bl w:val="nil"/>
                  </w:tcBorders>
                  <w:noWrap w:val="0"/>
                  <w:vAlign w:val="center"/>
                </w:tcPr>
                <w:p w14:paraId="38582DD1">
                  <w:pPr>
                    <w:pStyle w:val="18"/>
                    <w:keepNext w:val="0"/>
                    <w:keepLines w:val="0"/>
                    <w:suppressLineNumbers w:val="0"/>
                    <w:shd w:val="clear" w:color="auto" w:fill="auto"/>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Cs w:val="21"/>
                      <w:highlight w:val="none"/>
                      <w:lang w:val="en-US" w:eastAsia="zh-CN"/>
                    </w:rPr>
                  </w:pPr>
                  <w:r>
                    <w:rPr>
                      <w:rFonts w:hint="default" w:ascii="Times New Roman" w:hAnsi="Times New Roman" w:cs="Times New Roman"/>
                      <w:color w:val="auto"/>
                      <w:sz w:val="21"/>
                      <w:szCs w:val="21"/>
                      <w:highlight w:val="none"/>
                      <w:lang w:val="en-US" w:eastAsia="zh-CN" w:bidi="ar"/>
                    </w:rPr>
                    <w:t>30.0</w:t>
                  </w:r>
                </w:p>
              </w:tc>
              <w:tc>
                <w:tcPr>
                  <w:tcW w:w="512" w:type="pct"/>
                  <w:tcBorders>
                    <w:tl2br w:val="nil"/>
                    <w:tr2bl w:val="nil"/>
                  </w:tcBorders>
                  <w:noWrap w:val="0"/>
                  <w:vAlign w:val="center"/>
                </w:tcPr>
                <w:p w14:paraId="3253B94B">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0"/>
                      <w:szCs w:val="21"/>
                      <w:highlight w:val="none"/>
                    </w:rPr>
                  </w:pPr>
                  <w:r>
                    <w:rPr>
                      <w:rFonts w:hint="default" w:ascii="Times New Roman" w:hAnsi="Times New Roman" w:eastAsia="宋体" w:cs="Times New Roman"/>
                      <w:color w:val="auto"/>
                      <w:kern w:val="0"/>
                      <w:szCs w:val="21"/>
                      <w:highlight w:val="none"/>
                    </w:rPr>
                    <w:t>达标</w:t>
                  </w:r>
                </w:p>
              </w:tc>
            </w:tr>
            <w:tr w14:paraId="0C1640E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cantSplit/>
                <w:trHeight w:val="397" w:hRule="atLeast"/>
                <w:jc w:val="center"/>
              </w:trPr>
              <w:tc>
                <w:tcPr>
                  <w:tcW w:w="331" w:type="pct"/>
                  <w:tcBorders>
                    <w:tl2br w:val="nil"/>
                    <w:tr2bl w:val="nil"/>
                  </w:tcBorders>
                  <w:noWrap w:val="0"/>
                  <w:vAlign w:val="center"/>
                </w:tcPr>
                <w:p w14:paraId="0608DAC3">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0"/>
                      <w:szCs w:val="21"/>
                      <w:highlight w:val="none"/>
                    </w:rPr>
                  </w:pPr>
                  <w:r>
                    <w:rPr>
                      <w:rFonts w:hint="default" w:ascii="Times New Roman" w:hAnsi="Times New Roman" w:eastAsia="宋体" w:cs="Times New Roman"/>
                      <w:color w:val="auto"/>
                      <w:kern w:val="0"/>
                      <w:szCs w:val="21"/>
                      <w:highlight w:val="none"/>
                    </w:rPr>
                    <w:t>3</w:t>
                  </w:r>
                </w:p>
              </w:tc>
              <w:tc>
                <w:tcPr>
                  <w:tcW w:w="730" w:type="dxa"/>
                  <w:tcBorders>
                    <w:tl2br w:val="nil"/>
                    <w:tr2bl w:val="nil"/>
                  </w:tcBorders>
                  <w:noWrap w:val="0"/>
                  <w:vAlign w:val="center"/>
                </w:tcPr>
                <w:p w14:paraId="2DA33A6C">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0"/>
                      <w:szCs w:val="21"/>
                      <w:highlight w:val="none"/>
                    </w:rPr>
                  </w:pPr>
                  <w:r>
                    <w:rPr>
                      <w:rFonts w:hint="default" w:ascii="Times New Roman" w:hAnsi="Times New Roman" w:eastAsia="宋体" w:cs="Times New Roman"/>
                      <w:color w:val="auto"/>
                      <w:kern w:val="0"/>
                      <w:szCs w:val="21"/>
                      <w:highlight w:val="none"/>
                    </w:rPr>
                    <w:t>PM</w:t>
                  </w:r>
                  <w:r>
                    <w:rPr>
                      <w:rFonts w:hint="default" w:ascii="Times New Roman" w:hAnsi="Times New Roman" w:eastAsia="宋体" w:cs="Times New Roman"/>
                      <w:color w:val="auto"/>
                      <w:kern w:val="0"/>
                      <w:szCs w:val="21"/>
                      <w:highlight w:val="none"/>
                      <w:vertAlign w:val="subscript"/>
                    </w:rPr>
                    <w:t>10</w:t>
                  </w:r>
                </w:p>
              </w:tc>
              <w:tc>
                <w:tcPr>
                  <w:tcW w:w="2741" w:type="dxa"/>
                  <w:tcBorders>
                    <w:tl2br w:val="nil"/>
                    <w:tr2bl w:val="nil"/>
                  </w:tcBorders>
                  <w:noWrap w:val="0"/>
                  <w:vAlign w:val="center"/>
                </w:tcPr>
                <w:p w14:paraId="0E5A9565">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0"/>
                      <w:szCs w:val="21"/>
                      <w:highlight w:val="none"/>
                    </w:rPr>
                  </w:pPr>
                  <w:r>
                    <w:rPr>
                      <w:rFonts w:hint="default" w:ascii="Times New Roman" w:hAnsi="Times New Roman" w:eastAsia="宋体" w:cs="Times New Roman"/>
                      <w:color w:val="auto"/>
                      <w:kern w:val="0"/>
                      <w:szCs w:val="21"/>
                      <w:highlight w:val="none"/>
                    </w:rPr>
                    <w:t>年平均质量浓度</w:t>
                  </w:r>
                </w:p>
              </w:tc>
              <w:tc>
                <w:tcPr>
                  <w:tcW w:w="1176" w:type="dxa"/>
                  <w:tcBorders>
                    <w:tl2br w:val="nil"/>
                    <w:tr2bl w:val="nil"/>
                  </w:tcBorders>
                  <w:noWrap w:val="0"/>
                  <w:vAlign w:val="center"/>
                </w:tcPr>
                <w:p w14:paraId="5A6633A0">
                  <w:pPr>
                    <w:pStyle w:val="18"/>
                    <w:keepNext w:val="0"/>
                    <w:keepLines w:val="0"/>
                    <w:suppressLineNumbers w:val="0"/>
                    <w:shd w:val="clear" w:color="auto" w:fill="auto"/>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Cs w:val="21"/>
                      <w:highlight w:val="none"/>
                      <w:lang w:val="en-US" w:eastAsia="zh-CN"/>
                    </w:rPr>
                  </w:pPr>
                  <w:r>
                    <w:rPr>
                      <w:rFonts w:hint="default" w:ascii="Times New Roman" w:hAnsi="Times New Roman" w:cs="Times New Roman"/>
                      <w:color w:val="auto"/>
                      <w:sz w:val="21"/>
                      <w:szCs w:val="21"/>
                      <w:highlight w:val="none"/>
                      <w:lang w:val="en-US" w:eastAsia="zh-CN" w:bidi="ar"/>
                    </w:rPr>
                    <w:t>47</w:t>
                  </w:r>
                </w:p>
              </w:tc>
              <w:tc>
                <w:tcPr>
                  <w:tcW w:w="1355" w:type="dxa"/>
                  <w:tcBorders>
                    <w:tl2br w:val="nil"/>
                    <w:tr2bl w:val="nil"/>
                  </w:tcBorders>
                  <w:noWrap w:val="0"/>
                  <w:vAlign w:val="center"/>
                </w:tcPr>
                <w:p w14:paraId="079D5D70">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0"/>
                      <w:szCs w:val="21"/>
                      <w:highlight w:val="none"/>
                      <w:lang w:val="en-US"/>
                    </w:rPr>
                  </w:pPr>
                  <w:r>
                    <w:rPr>
                      <w:rFonts w:hint="eastAsia" w:cs="Times New Roman"/>
                      <w:color w:val="auto"/>
                      <w:kern w:val="0"/>
                      <w:szCs w:val="21"/>
                      <w:highlight w:val="none"/>
                      <w:lang w:val="en-US" w:eastAsia="zh-CN"/>
                    </w:rPr>
                    <w:t>60</w:t>
                  </w:r>
                </w:p>
              </w:tc>
              <w:tc>
                <w:tcPr>
                  <w:tcW w:w="968" w:type="dxa"/>
                  <w:tcBorders>
                    <w:tl2br w:val="nil"/>
                    <w:tr2bl w:val="nil"/>
                  </w:tcBorders>
                  <w:noWrap w:val="0"/>
                  <w:vAlign w:val="center"/>
                </w:tcPr>
                <w:p w14:paraId="5976FC9C">
                  <w:pPr>
                    <w:pStyle w:val="18"/>
                    <w:keepNext w:val="0"/>
                    <w:keepLines w:val="0"/>
                    <w:suppressLineNumbers w:val="0"/>
                    <w:shd w:val="clear" w:color="auto" w:fill="auto"/>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Cs w:val="21"/>
                      <w:highlight w:val="none"/>
                      <w:lang w:val="en-US" w:eastAsia="zh-CN"/>
                    </w:rPr>
                  </w:pPr>
                  <w:r>
                    <w:rPr>
                      <w:rFonts w:hint="eastAsia" w:ascii="Times New Roman" w:hAnsi="Times New Roman" w:cs="Times New Roman"/>
                      <w:color w:val="auto"/>
                      <w:sz w:val="21"/>
                      <w:szCs w:val="21"/>
                      <w:highlight w:val="none"/>
                      <w:lang w:val="en-US" w:eastAsia="zh-CN" w:bidi="ar"/>
                    </w:rPr>
                    <w:t>78.33</w:t>
                  </w:r>
                </w:p>
              </w:tc>
              <w:tc>
                <w:tcPr>
                  <w:tcW w:w="512" w:type="pct"/>
                  <w:tcBorders>
                    <w:tl2br w:val="nil"/>
                    <w:tr2bl w:val="nil"/>
                  </w:tcBorders>
                  <w:noWrap w:val="0"/>
                  <w:vAlign w:val="center"/>
                </w:tcPr>
                <w:p w14:paraId="51E4643B">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0"/>
                      <w:szCs w:val="21"/>
                      <w:highlight w:val="none"/>
                    </w:rPr>
                  </w:pPr>
                  <w:r>
                    <w:rPr>
                      <w:rFonts w:hint="default" w:ascii="Times New Roman" w:hAnsi="Times New Roman" w:eastAsia="宋体" w:cs="Times New Roman"/>
                      <w:color w:val="auto"/>
                      <w:kern w:val="0"/>
                      <w:szCs w:val="21"/>
                      <w:highlight w:val="none"/>
                    </w:rPr>
                    <w:t>达标</w:t>
                  </w:r>
                </w:p>
              </w:tc>
            </w:tr>
            <w:tr w14:paraId="3F17AAF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cantSplit/>
                <w:trHeight w:val="397" w:hRule="atLeast"/>
                <w:jc w:val="center"/>
              </w:trPr>
              <w:tc>
                <w:tcPr>
                  <w:tcW w:w="331" w:type="pct"/>
                  <w:tcBorders>
                    <w:tl2br w:val="nil"/>
                    <w:tr2bl w:val="nil"/>
                  </w:tcBorders>
                  <w:noWrap w:val="0"/>
                  <w:vAlign w:val="center"/>
                </w:tcPr>
                <w:p w14:paraId="2B4CA4DF">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0"/>
                      <w:szCs w:val="21"/>
                      <w:highlight w:val="none"/>
                    </w:rPr>
                  </w:pPr>
                  <w:r>
                    <w:rPr>
                      <w:rFonts w:hint="default" w:ascii="Times New Roman" w:hAnsi="Times New Roman" w:eastAsia="宋体" w:cs="Times New Roman"/>
                      <w:color w:val="auto"/>
                      <w:kern w:val="0"/>
                      <w:szCs w:val="21"/>
                      <w:highlight w:val="none"/>
                    </w:rPr>
                    <w:t>4</w:t>
                  </w:r>
                </w:p>
              </w:tc>
              <w:tc>
                <w:tcPr>
                  <w:tcW w:w="730" w:type="dxa"/>
                  <w:tcBorders>
                    <w:tl2br w:val="nil"/>
                    <w:tr2bl w:val="nil"/>
                  </w:tcBorders>
                  <w:noWrap w:val="0"/>
                  <w:vAlign w:val="center"/>
                </w:tcPr>
                <w:p w14:paraId="0A6F3932">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0"/>
                      <w:szCs w:val="21"/>
                      <w:highlight w:val="none"/>
                    </w:rPr>
                  </w:pPr>
                  <w:r>
                    <w:rPr>
                      <w:rFonts w:hint="default" w:ascii="Times New Roman" w:hAnsi="Times New Roman" w:eastAsia="宋体" w:cs="Times New Roman"/>
                      <w:color w:val="auto"/>
                      <w:kern w:val="0"/>
                      <w:szCs w:val="21"/>
                      <w:highlight w:val="none"/>
                    </w:rPr>
                    <w:t>PM</w:t>
                  </w:r>
                  <w:r>
                    <w:rPr>
                      <w:rFonts w:hint="default" w:ascii="Times New Roman" w:hAnsi="Times New Roman" w:eastAsia="宋体" w:cs="Times New Roman"/>
                      <w:color w:val="auto"/>
                      <w:kern w:val="0"/>
                      <w:szCs w:val="21"/>
                      <w:highlight w:val="none"/>
                      <w:vertAlign w:val="subscript"/>
                    </w:rPr>
                    <w:t>2.5</w:t>
                  </w:r>
                </w:p>
              </w:tc>
              <w:tc>
                <w:tcPr>
                  <w:tcW w:w="2741" w:type="dxa"/>
                  <w:tcBorders>
                    <w:tl2br w:val="nil"/>
                    <w:tr2bl w:val="nil"/>
                  </w:tcBorders>
                  <w:noWrap w:val="0"/>
                  <w:vAlign w:val="center"/>
                </w:tcPr>
                <w:p w14:paraId="6811404A">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0"/>
                      <w:szCs w:val="21"/>
                      <w:highlight w:val="none"/>
                    </w:rPr>
                  </w:pPr>
                  <w:r>
                    <w:rPr>
                      <w:rFonts w:hint="default" w:ascii="Times New Roman" w:hAnsi="Times New Roman" w:eastAsia="宋体" w:cs="Times New Roman"/>
                      <w:color w:val="auto"/>
                      <w:kern w:val="0"/>
                      <w:szCs w:val="21"/>
                      <w:highlight w:val="none"/>
                    </w:rPr>
                    <w:t>年平均质量浓度</w:t>
                  </w:r>
                </w:p>
              </w:tc>
              <w:tc>
                <w:tcPr>
                  <w:tcW w:w="1176" w:type="dxa"/>
                  <w:tcBorders>
                    <w:tl2br w:val="nil"/>
                    <w:tr2bl w:val="nil"/>
                  </w:tcBorders>
                  <w:noWrap w:val="0"/>
                  <w:vAlign w:val="center"/>
                </w:tcPr>
                <w:p w14:paraId="2FAB850F">
                  <w:pPr>
                    <w:pStyle w:val="18"/>
                    <w:keepNext w:val="0"/>
                    <w:keepLines w:val="0"/>
                    <w:suppressLineNumbers w:val="0"/>
                    <w:shd w:val="clear" w:color="auto" w:fill="auto"/>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Cs w:val="21"/>
                      <w:highlight w:val="none"/>
                      <w:lang w:val="en-US" w:eastAsia="zh-CN"/>
                    </w:rPr>
                  </w:pPr>
                  <w:r>
                    <w:rPr>
                      <w:rFonts w:hint="default" w:ascii="Times New Roman" w:hAnsi="Times New Roman" w:cs="Times New Roman"/>
                      <w:color w:val="auto"/>
                      <w:sz w:val="21"/>
                      <w:szCs w:val="21"/>
                      <w:highlight w:val="none"/>
                      <w:lang w:val="en-US" w:eastAsia="zh-CN" w:bidi="ar"/>
                    </w:rPr>
                    <w:t>22</w:t>
                  </w:r>
                </w:p>
              </w:tc>
              <w:tc>
                <w:tcPr>
                  <w:tcW w:w="1355" w:type="dxa"/>
                  <w:tcBorders>
                    <w:tl2br w:val="nil"/>
                    <w:tr2bl w:val="nil"/>
                  </w:tcBorders>
                  <w:noWrap w:val="0"/>
                  <w:vAlign w:val="center"/>
                </w:tcPr>
                <w:p w14:paraId="3B348443">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0"/>
                      <w:szCs w:val="21"/>
                      <w:highlight w:val="none"/>
                      <w:lang w:val="en-US"/>
                    </w:rPr>
                  </w:pPr>
                  <w:r>
                    <w:rPr>
                      <w:rFonts w:hint="eastAsia" w:cs="Times New Roman"/>
                      <w:color w:val="auto"/>
                      <w:kern w:val="0"/>
                      <w:szCs w:val="21"/>
                      <w:highlight w:val="none"/>
                      <w:lang w:val="en-US" w:eastAsia="zh-CN"/>
                    </w:rPr>
                    <w:t>30</w:t>
                  </w:r>
                </w:p>
              </w:tc>
              <w:tc>
                <w:tcPr>
                  <w:tcW w:w="968" w:type="dxa"/>
                  <w:tcBorders>
                    <w:tl2br w:val="nil"/>
                    <w:tr2bl w:val="nil"/>
                  </w:tcBorders>
                  <w:noWrap w:val="0"/>
                  <w:vAlign w:val="center"/>
                </w:tcPr>
                <w:p w14:paraId="59A78055">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0"/>
                      <w:szCs w:val="21"/>
                      <w:highlight w:val="none"/>
                      <w:lang w:val="en-US" w:eastAsia="zh-CN"/>
                    </w:rPr>
                  </w:pPr>
                  <w:r>
                    <w:rPr>
                      <w:rFonts w:hint="eastAsia" w:cs="Times New Roman"/>
                      <w:color w:val="auto"/>
                      <w:sz w:val="21"/>
                      <w:szCs w:val="21"/>
                      <w:highlight w:val="none"/>
                      <w:lang w:val="en-US" w:eastAsia="zh-CN" w:bidi="ar"/>
                    </w:rPr>
                    <w:t>73.33</w:t>
                  </w:r>
                </w:p>
              </w:tc>
              <w:tc>
                <w:tcPr>
                  <w:tcW w:w="512" w:type="pct"/>
                  <w:tcBorders>
                    <w:tl2br w:val="nil"/>
                    <w:tr2bl w:val="nil"/>
                  </w:tcBorders>
                  <w:noWrap w:val="0"/>
                  <w:vAlign w:val="center"/>
                </w:tcPr>
                <w:p w14:paraId="09C06BB7">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0"/>
                      <w:szCs w:val="21"/>
                      <w:highlight w:val="none"/>
                    </w:rPr>
                  </w:pPr>
                  <w:r>
                    <w:rPr>
                      <w:rFonts w:hint="default" w:ascii="Times New Roman" w:hAnsi="Times New Roman" w:eastAsia="宋体" w:cs="Times New Roman"/>
                      <w:color w:val="auto"/>
                      <w:kern w:val="0"/>
                      <w:szCs w:val="21"/>
                      <w:highlight w:val="none"/>
                    </w:rPr>
                    <w:t>达标</w:t>
                  </w:r>
                </w:p>
              </w:tc>
            </w:tr>
            <w:tr w14:paraId="6764CB7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cantSplit/>
                <w:trHeight w:val="397" w:hRule="atLeast"/>
                <w:jc w:val="center"/>
              </w:trPr>
              <w:tc>
                <w:tcPr>
                  <w:tcW w:w="331" w:type="pct"/>
                  <w:tcBorders>
                    <w:tl2br w:val="nil"/>
                    <w:tr2bl w:val="nil"/>
                  </w:tcBorders>
                  <w:noWrap w:val="0"/>
                  <w:vAlign w:val="center"/>
                </w:tcPr>
                <w:p w14:paraId="18465DFE">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0"/>
                      <w:szCs w:val="21"/>
                      <w:highlight w:val="none"/>
                    </w:rPr>
                  </w:pPr>
                  <w:r>
                    <w:rPr>
                      <w:rFonts w:hint="default" w:ascii="Times New Roman" w:hAnsi="Times New Roman" w:eastAsia="宋体" w:cs="Times New Roman"/>
                      <w:color w:val="auto"/>
                      <w:kern w:val="0"/>
                      <w:szCs w:val="21"/>
                      <w:highlight w:val="none"/>
                    </w:rPr>
                    <w:t>5</w:t>
                  </w:r>
                </w:p>
              </w:tc>
              <w:tc>
                <w:tcPr>
                  <w:tcW w:w="730" w:type="dxa"/>
                  <w:tcBorders>
                    <w:tl2br w:val="nil"/>
                    <w:tr2bl w:val="nil"/>
                  </w:tcBorders>
                  <w:noWrap w:val="0"/>
                  <w:vAlign w:val="center"/>
                </w:tcPr>
                <w:p w14:paraId="1D5DBE4A">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0"/>
                      <w:szCs w:val="21"/>
                      <w:highlight w:val="none"/>
                    </w:rPr>
                  </w:pPr>
                  <w:r>
                    <w:rPr>
                      <w:rFonts w:hint="default" w:ascii="Times New Roman" w:hAnsi="Times New Roman" w:eastAsia="宋体" w:cs="Times New Roman"/>
                      <w:color w:val="auto"/>
                      <w:kern w:val="0"/>
                      <w:szCs w:val="21"/>
                      <w:highlight w:val="none"/>
                    </w:rPr>
                    <w:t>CO</w:t>
                  </w:r>
                </w:p>
              </w:tc>
              <w:tc>
                <w:tcPr>
                  <w:tcW w:w="2741" w:type="dxa"/>
                  <w:tcBorders>
                    <w:tl2br w:val="nil"/>
                    <w:tr2bl w:val="nil"/>
                  </w:tcBorders>
                  <w:noWrap w:val="0"/>
                  <w:vAlign w:val="center"/>
                </w:tcPr>
                <w:p w14:paraId="2FAE6E2A">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0"/>
                      <w:szCs w:val="21"/>
                      <w:highlight w:val="none"/>
                    </w:rPr>
                  </w:pPr>
                  <w:r>
                    <w:rPr>
                      <w:rFonts w:hint="default" w:ascii="Times New Roman" w:hAnsi="Times New Roman" w:eastAsia="宋体" w:cs="Times New Roman"/>
                      <w:color w:val="auto"/>
                      <w:kern w:val="0"/>
                      <w:szCs w:val="21"/>
                      <w:highlight w:val="none"/>
                    </w:rPr>
                    <w:t>日平均质量浓度95%位数值</w:t>
                  </w:r>
                </w:p>
              </w:tc>
              <w:tc>
                <w:tcPr>
                  <w:tcW w:w="1176" w:type="dxa"/>
                  <w:tcBorders>
                    <w:tl2br w:val="nil"/>
                    <w:tr2bl w:val="nil"/>
                  </w:tcBorders>
                  <w:noWrap w:val="0"/>
                  <w:vAlign w:val="center"/>
                </w:tcPr>
                <w:p w14:paraId="176FEF96">
                  <w:pPr>
                    <w:pStyle w:val="18"/>
                    <w:keepNext w:val="0"/>
                    <w:keepLines w:val="0"/>
                    <w:suppressLineNumbers w:val="0"/>
                    <w:shd w:val="clear" w:color="auto" w:fill="auto"/>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Cs w:val="21"/>
                      <w:highlight w:val="none"/>
                      <w:lang w:val="en-US" w:eastAsia="zh-CN"/>
                    </w:rPr>
                  </w:pPr>
                  <w:r>
                    <w:rPr>
                      <w:rFonts w:hint="default" w:ascii="Times New Roman" w:hAnsi="Times New Roman" w:cs="Times New Roman"/>
                      <w:color w:val="auto"/>
                      <w:sz w:val="21"/>
                      <w:szCs w:val="21"/>
                      <w:highlight w:val="none"/>
                      <w:lang w:val="en-US" w:eastAsia="zh-CN" w:bidi="ar"/>
                    </w:rPr>
                    <w:t>1000</w:t>
                  </w:r>
                </w:p>
              </w:tc>
              <w:tc>
                <w:tcPr>
                  <w:tcW w:w="1355" w:type="dxa"/>
                  <w:tcBorders>
                    <w:tl2br w:val="nil"/>
                    <w:tr2bl w:val="nil"/>
                  </w:tcBorders>
                  <w:noWrap w:val="0"/>
                  <w:vAlign w:val="center"/>
                </w:tcPr>
                <w:p w14:paraId="1EF9F7E3">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0"/>
                      <w:szCs w:val="21"/>
                      <w:highlight w:val="none"/>
                      <w:lang w:val="en-US" w:eastAsia="zh-CN"/>
                    </w:rPr>
                  </w:pPr>
                  <w:r>
                    <w:rPr>
                      <w:rFonts w:hint="default" w:ascii="Times New Roman" w:hAnsi="Times New Roman" w:eastAsia="宋体" w:cs="Times New Roman"/>
                      <w:color w:val="auto"/>
                      <w:kern w:val="0"/>
                      <w:szCs w:val="21"/>
                      <w:highlight w:val="none"/>
                      <w:lang w:val="en-US" w:eastAsia="zh-CN"/>
                    </w:rPr>
                    <w:t>4000</w:t>
                  </w:r>
                </w:p>
              </w:tc>
              <w:tc>
                <w:tcPr>
                  <w:tcW w:w="968" w:type="dxa"/>
                  <w:tcBorders>
                    <w:tl2br w:val="nil"/>
                    <w:tr2bl w:val="nil"/>
                  </w:tcBorders>
                  <w:noWrap w:val="0"/>
                  <w:vAlign w:val="center"/>
                </w:tcPr>
                <w:p w14:paraId="07BD7790">
                  <w:pPr>
                    <w:pStyle w:val="18"/>
                    <w:keepNext w:val="0"/>
                    <w:keepLines w:val="0"/>
                    <w:suppressLineNumbers w:val="0"/>
                    <w:shd w:val="clear" w:color="auto" w:fill="auto"/>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Cs w:val="21"/>
                      <w:highlight w:val="none"/>
                      <w:lang w:val="en-US" w:eastAsia="zh-CN"/>
                    </w:rPr>
                  </w:pPr>
                  <w:r>
                    <w:rPr>
                      <w:rFonts w:hint="default" w:ascii="Times New Roman" w:hAnsi="Times New Roman" w:cs="Times New Roman"/>
                      <w:color w:val="auto"/>
                      <w:sz w:val="21"/>
                      <w:szCs w:val="21"/>
                      <w:highlight w:val="none"/>
                      <w:lang w:val="en-US" w:eastAsia="zh-CN" w:bidi="ar"/>
                    </w:rPr>
                    <w:t>25.0</w:t>
                  </w:r>
                </w:p>
              </w:tc>
              <w:tc>
                <w:tcPr>
                  <w:tcW w:w="512" w:type="pct"/>
                  <w:tcBorders>
                    <w:tl2br w:val="nil"/>
                    <w:tr2bl w:val="nil"/>
                  </w:tcBorders>
                  <w:noWrap w:val="0"/>
                  <w:vAlign w:val="center"/>
                </w:tcPr>
                <w:p w14:paraId="029A3508">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0"/>
                      <w:szCs w:val="21"/>
                      <w:highlight w:val="none"/>
                    </w:rPr>
                  </w:pPr>
                  <w:r>
                    <w:rPr>
                      <w:rFonts w:hint="default" w:ascii="Times New Roman" w:hAnsi="Times New Roman" w:eastAsia="宋体" w:cs="Times New Roman"/>
                      <w:color w:val="auto"/>
                      <w:kern w:val="0"/>
                      <w:szCs w:val="21"/>
                      <w:highlight w:val="none"/>
                    </w:rPr>
                    <w:t>达标</w:t>
                  </w:r>
                </w:p>
              </w:tc>
            </w:tr>
            <w:tr w14:paraId="3FF000B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cantSplit/>
                <w:trHeight w:val="397" w:hRule="atLeast"/>
                <w:jc w:val="center"/>
              </w:trPr>
              <w:tc>
                <w:tcPr>
                  <w:tcW w:w="331" w:type="pct"/>
                  <w:tcBorders>
                    <w:tl2br w:val="nil"/>
                    <w:tr2bl w:val="nil"/>
                  </w:tcBorders>
                  <w:noWrap w:val="0"/>
                  <w:vAlign w:val="center"/>
                </w:tcPr>
                <w:p w14:paraId="5660762E">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0"/>
                      <w:szCs w:val="21"/>
                      <w:highlight w:val="none"/>
                    </w:rPr>
                  </w:pPr>
                  <w:r>
                    <w:rPr>
                      <w:rFonts w:hint="default" w:ascii="Times New Roman" w:hAnsi="Times New Roman" w:eastAsia="宋体" w:cs="Times New Roman"/>
                      <w:color w:val="auto"/>
                      <w:kern w:val="0"/>
                      <w:szCs w:val="21"/>
                      <w:highlight w:val="none"/>
                    </w:rPr>
                    <w:t>6</w:t>
                  </w:r>
                </w:p>
              </w:tc>
              <w:tc>
                <w:tcPr>
                  <w:tcW w:w="730" w:type="dxa"/>
                  <w:tcBorders>
                    <w:tl2br w:val="nil"/>
                    <w:tr2bl w:val="nil"/>
                  </w:tcBorders>
                  <w:noWrap w:val="0"/>
                  <w:vAlign w:val="center"/>
                </w:tcPr>
                <w:p w14:paraId="67FB710E">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0"/>
                      <w:szCs w:val="21"/>
                      <w:highlight w:val="none"/>
                    </w:rPr>
                  </w:pPr>
                  <w:r>
                    <w:rPr>
                      <w:rFonts w:hint="default" w:ascii="Times New Roman" w:hAnsi="Times New Roman" w:eastAsia="宋体" w:cs="Times New Roman"/>
                      <w:color w:val="auto"/>
                      <w:kern w:val="0"/>
                      <w:szCs w:val="21"/>
                      <w:highlight w:val="none"/>
                    </w:rPr>
                    <w:t>O</w:t>
                  </w:r>
                  <w:r>
                    <w:rPr>
                      <w:rFonts w:hint="default" w:ascii="Times New Roman" w:hAnsi="Times New Roman" w:eastAsia="宋体" w:cs="Times New Roman"/>
                      <w:color w:val="auto"/>
                      <w:kern w:val="0"/>
                      <w:szCs w:val="21"/>
                      <w:highlight w:val="none"/>
                      <w:vertAlign w:val="subscript"/>
                      <w:lang w:val="en-US" w:eastAsia="zh-CN"/>
                    </w:rPr>
                    <w:t>3</w:t>
                  </w:r>
                </w:p>
              </w:tc>
              <w:tc>
                <w:tcPr>
                  <w:tcW w:w="2741" w:type="dxa"/>
                  <w:tcBorders>
                    <w:tl2br w:val="nil"/>
                    <w:tr2bl w:val="nil"/>
                  </w:tcBorders>
                  <w:noWrap w:val="0"/>
                  <w:vAlign w:val="center"/>
                </w:tcPr>
                <w:p w14:paraId="3B74726D">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0"/>
                      <w:szCs w:val="21"/>
                      <w:highlight w:val="none"/>
                    </w:rPr>
                  </w:pPr>
                  <w:r>
                    <w:rPr>
                      <w:rFonts w:hint="default" w:ascii="Times New Roman" w:hAnsi="Times New Roman" w:eastAsia="宋体" w:cs="Times New Roman"/>
                      <w:color w:val="auto"/>
                      <w:kern w:val="0"/>
                      <w:szCs w:val="21"/>
                      <w:highlight w:val="none"/>
                    </w:rPr>
                    <w:t>日最大8h平均质量浓度90%位数值</w:t>
                  </w:r>
                </w:p>
              </w:tc>
              <w:tc>
                <w:tcPr>
                  <w:tcW w:w="1176" w:type="dxa"/>
                  <w:tcBorders>
                    <w:tl2br w:val="nil"/>
                    <w:tr2bl w:val="nil"/>
                  </w:tcBorders>
                  <w:noWrap w:val="0"/>
                  <w:vAlign w:val="center"/>
                </w:tcPr>
                <w:p w14:paraId="3E16E522">
                  <w:pPr>
                    <w:pStyle w:val="18"/>
                    <w:keepNext w:val="0"/>
                    <w:keepLines w:val="0"/>
                    <w:suppressLineNumbers w:val="0"/>
                    <w:shd w:val="clear" w:color="auto" w:fill="auto"/>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Cs w:val="21"/>
                      <w:highlight w:val="none"/>
                      <w:lang w:val="en-US" w:eastAsia="zh-CN"/>
                    </w:rPr>
                  </w:pPr>
                  <w:r>
                    <w:rPr>
                      <w:rFonts w:hint="default" w:ascii="Times New Roman" w:hAnsi="Times New Roman" w:cs="Times New Roman"/>
                      <w:color w:val="auto"/>
                      <w:sz w:val="21"/>
                      <w:szCs w:val="21"/>
                      <w:highlight w:val="none"/>
                      <w:lang w:val="en-US" w:eastAsia="zh-CN" w:bidi="ar"/>
                    </w:rPr>
                    <w:t>126</w:t>
                  </w:r>
                </w:p>
              </w:tc>
              <w:tc>
                <w:tcPr>
                  <w:tcW w:w="1355" w:type="dxa"/>
                  <w:tcBorders>
                    <w:tl2br w:val="nil"/>
                    <w:tr2bl w:val="nil"/>
                  </w:tcBorders>
                  <w:noWrap w:val="0"/>
                  <w:vAlign w:val="center"/>
                </w:tcPr>
                <w:p w14:paraId="2F2439F7">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0"/>
                      <w:szCs w:val="21"/>
                      <w:highlight w:val="none"/>
                    </w:rPr>
                  </w:pPr>
                  <w:r>
                    <w:rPr>
                      <w:rFonts w:hint="default" w:ascii="Times New Roman" w:hAnsi="Times New Roman" w:eastAsia="宋体" w:cs="Times New Roman"/>
                      <w:color w:val="auto"/>
                      <w:kern w:val="0"/>
                      <w:szCs w:val="21"/>
                      <w:highlight w:val="none"/>
                      <w:lang w:val="en-US" w:eastAsia="zh-CN"/>
                    </w:rPr>
                    <w:t>160</w:t>
                  </w:r>
                </w:p>
              </w:tc>
              <w:tc>
                <w:tcPr>
                  <w:tcW w:w="968" w:type="dxa"/>
                  <w:tcBorders>
                    <w:tl2br w:val="nil"/>
                    <w:tr2bl w:val="nil"/>
                  </w:tcBorders>
                  <w:noWrap w:val="0"/>
                  <w:vAlign w:val="center"/>
                </w:tcPr>
                <w:p w14:paraId="5507E609">
                  <w:pPr>
                    <w:pStyle w:val="18"/>
                    <w:keepNext w:val="0"/>
                    <w:keepLines w:val="0"/>
                    <w:suppressLineNumbers w:val="0"/>
                    <w:shd w:val="clear" w:color="auto" w:fill="auto"/>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Cs w:val="21"/>
                      <w:highlight w:val="none"/>
                      <w:lang w:val="en-US" w:eastAsia="zh-CN"/>
                    </w:rPr>
                  </w:pPr>
                  <w:r>
                    <w:rPr>
                      <w:rFonts w:hint="default" w:ascii="Times New Roman" w:hAnsi="Times New Roman" w:cs="Times New Roman"/>
                      <w:color w:val="auto"/>
                      <w:sz w:val="21"/>
                      <w:szCs w:val="21"/>
                      <w:highlight w:val="none"/>
                      <w:lang w:val="en-US" w:eastAsia="zh-CN" w:bidi="ar"/>
                    </w:rPr>
                    <w:t>78.8</w:t>
                  </w:r>
                </w:p>
              </w:tc>
              <w:tc>
                <w:tcPr>
                  <w:tcW w:w="512" w:type="pct"/>
                  <w:tcBorders>
                    <w:tl2br w:val="nil"/>
                    <w:tr2bl w:val="nil"/>
                  </w:tcBorders>
                  <w:noWrap w:val="0"/>
                  <w:vAlign w:val="center"/>
                </w:tcPr>
                <w:p w14:paraId="64CAAD9D">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0"/>
                      <w:szCs w:val="21"/>
                      <w:highlight w:val="none"/>
                    </w:rPr>
                  </w:pPr>
                  <w:r>
                    <w:rPr>
                      <w:rFonts w:hint="default" w:ascii="Times New Roman" w:hAnsi="Times New Roman" w:eastAsia="宋体" w:cs="Times New Roman"/>
                      <w:color w:val="auto"/>
                      <w:kern w:val="0"/>
                      <w:szCs w:val="21"/>
                      <w:highlight w:val="none"/>
                    </w:rPr>
                    <w:t>达标</w:t>
                  </w:r>
                </w:p>
              </w:tc>
            </w:tr>
          </w:tbl>
          <w:p w14:paraId="3C077624">
            <w:pPr>
              <w:keepNext w:val="0"/>
              <w:keepLines w:val="0"/>
              <w:suppressLineNumbers w:val="0"/>
              <w:spacing w:before="0" w:beforeAutospacing="0" w:after="0" w:afterAutospacing="0" w:line="360" w:lineRule="auto"/>
              <w:ind w:left="0" w:right="0" w:firstLine="480" w:firstLineChars="200"/>
              <w:rPr>
                <w:rFonts w:hint="default"/>
                <w:color w:val="auto"/>
                <w:sz w:val="24"/>
                <w:highlight w:val="none"/>
              </w:rPr>
            </w:pPr>
            <w:r>
              <w:rPr>
                <w:rFonts w:hint="default"/>
                <w:color w:val="auto"/>
                <w:sz w:val="24"/>
                <w:highlight w:val="none"/>
              </w:rPr>
              <w:t>由表3-1可知，</w:t>
            </w:r>
            <w:r>
              <w:rPr>
                <w:rFonts w:hint="default"/>
                <w:color w:val="auto"/>
                <w:sz w:val="24"/>
                <w:highlight w:val="none"/>
                <w:lang w:val="en-GB"/>
              </w:rPr>
              <w:t>项目</w:t>
            </w:r>
            <w:r>
              <w:rPr>
                <w:rFonts w:hint="default"/>
                <w:color w:val="auto"/>
                <w:sz w:val="24"/>
                <w:highlight w:val="none"/>
              </w:rPr>
              <w:t>所在区域常规监测因子均达到《环境空气质量标准》（GB3095-20</w:t>
            </w:r>
            <w:r>
              <w:rPr>
                <w:rFonts w:hint="eastAsia"/>
                <w:color w:val="auto"/>
                <w:sz w:val="24"/>
                <w:highlight w:val="none"/>
                <w:lang w:val="en-US" w:eastAsia="zh-CN"/>
              </w:rPr>
              <w:t>26</w:t>
            </w:r>
            <w:r>
              <w:rPr>
                <w:rFonts w:hint="default"/>
                <w:color w:val="auto"/>
                <w:sz w:val="24"/>
                <w:highlight w:val="none"/>
              </w:rPr>
              <w:t>）二级标准要求</w:t>
            </w:r>
            <w:r>
              <w:rPr>
                <w:rFonts w:hint="eastAsia"/>
                <w:color w:val="auto"/>
                <w:sz w:val="24"/>
                <w:highlight w:val="none"/>
                <w:lang w:eastAsia="zh-CN"/>
              </w:rPr>
              <w:t>，</w:t>
            </w:r>
            <w:r>
              <w:rPr>
                <w:rFonts w:hint="default"/>
                <w:color w:val="auto"/>
                <w:sz w:val="24"/>
                <w:highlight w:val="none"/>
              </w:rPr>
              <w:t>项目所在地属于大气环境质量达标区。</w:t>
            </w:r>
          </w:p>
          <w:p w14:paraId="02304316">
            <w:pPr>
              <w:keepNext w:val="0"/>
              <w:keepLines w:val="0"/>
              <w:suppressLineNumbers w:val="0"/>
              <w:spacing w:before="0" w:beforeAutospacing="0" w:after="0" w:afterAutospacing="0" w:line="360" w:lineRule="auto"/>
              <w:ind w:left="0" w:right="0" w:firstLine="480" w:firstLineChars="200"/>
              <w:rPr>
                <w:rFonts w:hint="eastAsia"/>
                <w:color w:val="auto"/>
                <w:sz w:val="24"/>
                <w:highlight w:val="none"/>
                <w:lang w:val="en-US" w:eastAsia="zh-CN"/>
              </w:rPr>
            </w:pPr>
            <w:r>
              <w:rPr>
                <w:rFonts w:hint="eastAsia"/>
                <w:color w:val="auto"/>
                <w:sz w:val="24"/>
                <w:highlight w:val="none"/>
                <w:lang w:eastAsia="zh-CN"/>
              </w:rPr>
              <w:t>（</w:t>
            </w:r>
            <w:r>
              <w:rPr>
                <w:rFonts w:hint="eastAsia"/>
                <w:color w:val="auto"/>
                <w:sz w:val="24"/>
                <w:highlight w:val="none"/>
                <w:lang w:val="en-US" w:eastAsia="zh-CN"/>
              </w:rPr>
              <w:t>2</w:t>
            </w:r>
            <w:r>
              <w:rPr>
                <w:rFonts w:hint="eastAsia"/>
                <w:color w:val="auto"/>
                <w:sz w:val="24"/>
                <w:highlight w:val="none"/>
                <w:lang w:eastAsia="zh-CN"/>
              </w:rPr>
              <w:t>）</w:t>
            </w:r>
            <w:r>
              <w:rPr>
                <w:rFonts w:hint="eastAsia"/>
                <w:color w:val="auto"/>
                <w:sz w:val="24"/>
                <w:highlight w:val="none"/>
                <w:lang w:val="en-US" w:eastAsia="zh-CN"/>
              </w:rPr>
              <w:t>特征污染物</w:t>
            </w:r>
          </w:p>
          <w:p w14:paraId="6CB0C21B">
            <w:pPr>
              <w:keepNext w:val="0"/>
              <w:keepLines w:val="0"/>
              <w:suppressLineNumbers w:val="0"/>
              <w:spacing w:before="0" w:beforeAutospacing="0" w:after="0" w:afterAutospacing="0" w:line="360" w:lineRule="auto"/>
              <w:ind w:left="0" w:right="0" w:firstLine="480" w:firstLineChars="200"/>
              <w:rPr>
                <w:rFonts w:hint="default"/>
                <w:color w:val="auto"/>
                <w:sz w:val="24"/>
                <w:highlight w:val="none"/>
                <w:lang w:val="en-US"/>
              </w:rPr>
            </w:pPr>
            <w:r>
              <w:rPr>
                <w:rFonts w:hint="default"/>
                <w:color w:val="auto"/>
                <w:sz w:val="24"/>
                <w:highlight w:val="none"/>
                <w:lang w:val="en-US" w:eastAsia="zh-CN"/>
              </w:rPr>
              <w:t>根据《建设项目环境影响报告表编制技术指南（污染影响类）（试行）》，国家、地方环境空气质量标准中有标准限值要求的特征污染物时，引用建设项目周边5千米范围内近3年的现有监测数据，无相关数据的选择当季主导风向下风向1个点位补充不少于3天的监测数据。本项目涉及标准限值要求的特征污染物为TSP。本项目涉及的其他污染因子TSP引用《江西伟义再生资源科技发展有限公司年处理15万吨工业固废综合利用项目</w:t>
            </w:r>
            <w:r>
              <w:rPr>
                <w:rFonts w:hint="eastAsia"/>
                <w:color w:val="auto"/>
                <w:sz w:val="24"/>
                <w:highlight w:val="none"/>
                <w:lang w:val="en-US" w:eastAsia="zh-CN"/>
              </w:rPr>
              <w:t>环评监测</w:t>
            </w:r>
            <w:r>
              <w:rPr>
                <w:rFonts w:hint="default"/>
                <w:color w:val="auto"/>
                <w:sz w:val="24"/>
                <w:highlight w:val="none"/>
                <w:lang w:val="en-US" w:eastAsia="zh-CN"/>
              </w:rPr>
              <w:t>》</w:t>
            </w:r>
            <w:r>
              <w:rPr>
                <w:rFonts w:hint="eastAsia"/>
                <w:color w:val="auto"/>
                <w:sz w:val="24"/>
                <w:highlight w:val="none"/>
                <w:lang w:val="en-US" w:eastAsia="zh-CN"/>
              </w:rPr>
              <w:t>中</w:t>
            </w:r>
            <w:r>
              <w:rPr>
                <w:rFonts w:hint="default"/>
                <w:color w:val="auto"/>
                <w:sz w:val="24"/>
                <w:highlight w:val="none"/>
                <w:lang w:val="en-US" w:eastAsia="zh-CN"/>
              </w:rPr>
              <w:t>环境现状监测TSP的监测数据</w:t>
            </w:r>
            <w:r>
              <w:rPr>
                <w:rFonts w:hint="default"/>
                <w:color w:val="auto"/>
                <w:sz w:val="24"/>
                <w:highlight w:val="none"/>
                <w:lang w:val="en-US"/>
              </w:rPr>
              <w:t>（检测单位：</w:t>
            </w:r>
            <w:r>
              <w:rPr>
                <w:rFonts w:hint="default" w:ascii="宋体" w:hAnsi="宋体" w:eastAsia="宋体" w:cs="宋体"/>
                <w:color w:val="auto"/>
                <w:sz w:val="24"/>
                <w:szCs w:val="24"/>
              </w:rPr>
              <w:t>江西宏德检测技术有限公司</w:t>
            </w:r>
            <w:r>
              <w:rPr>
                <w:rFonts w:hint="default"/>
                <w:color w:val="auto"/>
                <w:sz w:val="24"/>
                <w:highlight w:val="none"/>
                <w:lang w:val="en-US"/>
              </w:rPr>
              <w:t>，监测时间为202</w:t>
            </w:r>
            <w:r>
              <w:rPr>
                <w:rFonts w:hint="eastAsia"/>
                <w:color w:val="auto"/>
                <w:sz w:val="24"/>
                <w:highlight w:val="none"/>
                <w:lang w:val="en-US" w:eastAsia="zh-CN"/>
              </w:rPr>
              <w:t>5</w:t>
            </w:r>
            <w:r>
              <w:rPr>
                <w:rFonts w:hint="default"/>
                <w:color w:val="auto"/>
                <w:sz w:val="24"/>
                <w:highlight w:val="none"/>
                <w:lang w:val="en-US"/>
              </w:rPr>
              <w:t>年</w:t>
            </w:r>
            <w:r>
              <w:rPr>
                <w:rFonts w:hint="eastAsia"/>
                <w:color w:val="auto"/>
                <w:sz w:val="24"/>
                <w:highlight w:val="none"/>
                <w:lang w:val="en-US" w:eastAsia="zh-CN"/>
              </w:rPr>
              <w:t>4</w:t>
            </w:r>
            <w:r>
              <w:rPr>
                <w:rFonts w:hint="default"/>
                <w:color w:val="auto"/>
                <w:sz w:val="24"/>
                <w:highlight w:val="none"/>
                <w:lang w:val="en-US"/>
              </w:rPr>
              <w:t>月</w:t>
            </w:r>
            <w:r>
              <w:rPr>
                <w:rFonts w:hint="default"/>
                <w:color w:val="auto"/>
                <w:sz w:val="24"/>
                <w:highlight w:val="none"/>
                <w:lang w:val="en-US" w:eastAsia="zh-CN"/>
              </w:rPr>
              <w:t>1</w:t>
            </w:r>
            <w:r>
              <w:rPr>
                <w:rFonts w:hint="eastAsia"/>
                <w:color w:val="auto"/>
                <w:sz w:val="24"/>
                <w:highlight w:val="none"/>
                <w:lang w:val="en-US" w:eastAsia="zh-CN"/>
              </w:rPr>
              <w:t>7</w:t>
            </w:r>
            <w:r>
              <w:rPr>
                <w:rFonts w:hint="default"/>
                <w:color w:val="auto"/>
                <w:sz w:val="24"/>
                <w:highlight w:val="none"/>
                <w:lang w:val="en-US"/>
              </w:rPr>
              <w:t>日</w:t>
            </w:r>
            <w:r>
              <w:rPr>
                <w:rFonts w:hint="default"/>
                <w:color w:val="auto"/>
                <w:sz w:val="24"/>
                <w:highlight w:val="none"/>
                <w:lang w:val="en-US" w:eastAsia="zh-CN"/>
              </w:rPr>
              <w:t>~</w:t>
            </w:r>
            <w:r>
              <w:rPr>
                <w:rFonts w:hint="eastAsia"/>
                <w:color w:val="auto"/>
                <w:sz w:val="24"/>
                <w:highlight w:val="none"/>
                <w:lang w:val="en-US" w:eastAsia="zh-CN"/>
              </w:rPr>
              <w:t>4</w:t>
            </w:r>
            <w:r>
              <w:rPr>
                <w:rFonts w:hint="default"/>
                <w:color w:val="auto"/>
                <w:sz w:val="24"/>
                <w:highlight w:val="none"/>
                <w:lang w:val="en-US" w:eastAsia="zh-CN"/>
              </w:rPr>
              <w:t>月</w:t>
            </w:r>
            <w:r>
              <w:rPr>
                <w:rFonts w:hint="eastAsia"/>
                <w:color w:val="auto"/>
                <w:sz w:val="24"/>
                <w:highlight w:val="none"/>
                <w:lang w:val="en-US" w:eastAsia="zh-CN"/>
              </w:rPr>
              <w:t>19</w:t>
            </w:r>
            <w:r>
              <w:rPr>
                <w:rFonts w:hint="default"/>
                <w:color w:val="auto"/>
                <w:sz w:val="24"/>
                <w:highlight w:val="none"/>
                <w:lang w:val="en-US" w:eastAsia="zh-CN"/>
              </w:rPr>
              <w:t>日</w:t>
            </w:r>
            <w:r>
              <w:rPr>
                <w:rFonts w:hint="default"/>
                <w:color w:val="auto"/>
                <w:sz w:val="24"/>
                <w:highlight w:val="none"/>
                <w:lang w:val="en-US"/>
              </w:rPr>
              <w:t>）对</w:t>
            </w:r>
            <w:r>
              <w:rPr>
                <w:rFonts w:hint="default"/>
                <w:color w:val="auto"/>
                <w:sz w:val="24"/>
                <w:highlight w:val="none"/>
                <w:lang w:val="en-US" w:eastAsia="zh-CN"/>
              </w:rPr>
              <w:t>江西伟义再生资源科技发展有限公司</w:t>
            </w:r>
            <w:r>
              <w:rPr>
                <w:rFonts w:hint="eastAsia"/>
                <w:color w:val="auto"/>
                <w:sz w:val="24"/>
                <w:highlight w:val="none"/>
                <w:lang w:val="en-US" w:eastAsia="zh-CN"/>
              </w:rPr>
              <w:t>厂界西侧</w:t>
            </w:r>
            <w:r>
              <w:rPr>
                <w:rFonts w:hint="default"/>
                <w:color w:val="auto"/>
                <w:sz w:val="24"/>
                <w:highlight w:val="none"/>
                <w:lang w:val="en-US"/>
              </w:rPr>
              <w:t>的</w:t>
            </w:r>
            <w:r>
              <w:rPr>
                <w:rFonts w:hint="default"/>
                <w:color w:val="auto"/>
                <w:sz w:val="24"/>
                <w:highlight w:val="none"/>
                <w:lang w:val="en-US" w:eastAsia="zh-CN"/>
              </w:rPr>
              <w:t>TSP监测</w:t>
            </w:r>
            <w:r>
              <w:rPr>
                <w:rFonts w:hint="default"/>
                <w:color w:val="auto"/>
                <w:sz w:val="24"/>
                <w:highlight w:val="none"/>
                <w:lang w:val="en-US"/>
              </w:rPr>
              <w:t>数据进行环境空气现状评价，</w:t>
            </w:r>
            <w:r>
              <w:rPr>
                <w:rFonts w:hint="eastAsia"/>
                <w:color w:val="auto"/>
                <w:sz w:val="24"/>
                <w:highlight w:val="none"/>
                <w:lang w:val="en-US" w:eastAsia="zh-CN"/>
              </w:rPr>
              <w:t>监测地点</w:t>
            </w:r>
            <w:r>
              <w:rPr>
                <w:rFonts w:hint="default"/>
                <w:color w:val="auto"/>
                <w:sz w:val="24"/>
                <w:highlight w:val="none"/>
                <w:lang w:val="en-US"/>
              </w:rPr>
              <w:t>在</w:t>
            </w:r>
            <w:r>
              <w:rPr>
                <w:rFonts w:hint="eastAsia"/>
                <w:color w:val="auto"/>
                <w:sz w:val="24"/>
                <w:highlight w:val="none"/>
                <w:lang w:val="en-US" w:eastAsia="zh-CN"/>
              </w:rPr>
              <w:t>本</w:t>
            </w:r>
            <w:r>
              <w:rPr>
                <w:rFonts w:hint="default"/>
                <w:color w:val="auto"/>
                <w:sz w:val="24"/>
                <w:highlight w:val="none"/>
                <w:lang w:val="en-US"/>
              </w:rPr>
              <w:t>项目</w:t>
            </w:r>
            <w:r>
              <w:rPr>
                <w:rFonts w:hint="eastAsia"/>
                <w:color w:val="auto"/>
                <w:sz w:val="24"/>
                <w:highlight w:val="none"/>
                <w:lang w:val="en-US" w:eastAsia="zh-CN"/>
              </w:rPr>
              <w:t>东南</w:t>
            </w:r>
            <w:r>
              <w:rPr>
                <w:rFonts w:hint="default"/>
                <w:color w:val="auto"/>
                <w:sz w:val="24"/>
                <w:highlight w:val="none"/>
                <w:lang w:val="en-US" w:eastAsia="zh-CN"/>
              </w:rPr>
              <w:t>侧</w:t>
            </w:r>
            <w:r>
              <w:rPr>
                <w:rFonts w:hint="default"/>
                <w:color w:val="auto"/>
                <w:sz w:val="24"/>
                <w:highlight w:val="none"/>
                <w:lang w:val="en-US"/>
              </w:rPr>
              <w:t>的</w:t>
            </w:r>
            <w:r>
              <w:rPr>
                <w:rFonts w:hint="default"/>
                <w:color w:val="auto"/>
                <w:sz w:val="24"/>
                <w:highlight w:val="none"/>
                <w:lang w:val="en-US" w:eastAsia="zh-CN"/>
              </w:rPr>
              <w:t>3</w:t>
            </w:r>
            <w:r>
              <w:rPr>
                <w:rFonts w:hint="eastAsia"/>
                <w:color w:val="auto"/>
                <w:sz w:val="24"/>
                <w:highlight w:val="none"/>
                <w:lang w:val="en-US" w:eastAsia="zh-CN"/>
              </w:rPr>
              <w:t>150</w:t>
            </w:r>
            <w:r>
              <w:rPr>
                <w:rFonts w:hint="default"/>
                <w:color w:val="auto"/>
                <w:sz w:val="24"/>
                <w:highlight w:val="none"/>
                <w:lang w:val="en-US"/>
              </w:rPr>
              <w:t>m处</w:t>
            </w:r>
            <w:r>
              <w:rPr>
                <w:rFonts w:hint="eastAsia"/>
                <w:color w:val="auto"/>
                <w:sz w:val="24"/>
                <w:highlight w:val="none"/>
                <w:lang w:val="en-US" w:eastAsia="zh-CN"/>
              </w:rPr>
              <w:t>，</w:t>
            </w:r>
            <w:r>
              <w:rPr>
                <w:rFonts w:hint="default"/>
                <w:color w:val="auto"/>
                <w:sz w:val="24"/>
                <w:highlight w:val="none"/>
                <w:lang w:val="en-US"/>
              </w:rPr>
              <w:t>监测点位以及结果详见下表。</w:t>
            </w:r>
          </w:p>
          <w:p w14:paraId="18970240">
            <w:pPr>
              <w:keepNext w:val="0"/>
              <w:keepLines w:val="0"/>
              <w:pageBreakBefore w:val="0"/>
              <w:widowControl w:val="0"/>
              <w:suppressLineNumbers w:val="0"/>
              <w:shd w:val="clear" w:color="auto" w:fill="auto"/>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b/>
                <w:bCs/>
                <w:color w:val="auto"/>
                <w:highlight w:val="none"/>
              </w:rPr>
            </w:pPr>
            <w:r>
              <w:rPr>
                <w:rFonts w:hint="default"/>
                <w:b/>
                <w:bCs/>
                <w:color w:val="auto"/>
                <w:highlight w:val="none"/>
              </w:rPr>
              <w:t>表3-</w:t>
            </w:r>
            <w:r>
              <w:rPr>
                <w:rFonts w:hint="eastAsia"/>
                <w:b/>
                <w:bCs/>
                <w:color w:val="auto"/>
                <w:highlight w:val="none"/>
                <w:lang w:val="en-US" w:eastAsia="zh-CN"/>
              </w:rPr>
              <w:t>2</w:t>
            </w:r>
            <w:r>
              <w:rPr>
                <w:rFonts w:hint="default"/>
                <w:b/>
                <w:bCs/>
                <w:color w:val="auto"/>
                <w:highlight w:val="none"/>
              </w:rPr>
              <w:t>环境空气现状及评价结果表</w:t>
            </w:r>
          </w:p>
          <w:tbl>
            <w:tblPr>
              <w:tblStyle w:val="26"/>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206"/>
              <w:gridCol w:w="1237"/>
              <w:gridCol w:w="1345"/>
              <w:gridCol w:w="1331"/>
              <w:gridCol w:w="1485"/>
              <w:gridCol w:w="956"/>
              <w:gridCol w:w="1113"/>
            </w:tblGrid>
            <w:tr w14:paraId="74DF366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95" w:type="pct"/>
                  <w:tcBorders>
                    <w:bottom w:val="single" w:color="auto" w:sz="12" w:space="0"/>
                  </w:tcBorders>
                  <w:noWrap w:val="0"/>
                  <w:vAlign w:val="center"/>
                </w:tcPr>
                <w:p w14:paraId="7A7E05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b/>
                      <w:color w:val="auto"/>
                      <w:sz w:val="21"/>
                      <w:szCs w:val="21"/>
                      <w:u w:val="none"/>
                    </w:rPr>
                  </w:pPr>
                  <w:r>
                    <w:rPr>
                      <w:rFonts w:hint="default" w:ascii="Times New Roman" w:hAnsi="Times New Roman" w:cs="Times New Roman"/>
                      <w:b/>
                      <w:color w:val="auto"/>
                      <w:sz w:val="21"/>
                      <w:szCs w:val="21"/>
                      <w:u w:val="none"/>
                    </w:rPr>
                    <w:t>评价因子</w:t>
                  </w:r>
                </w:p>
              </w:tc>
              <w:tc>
                <w:tcPr>
                  <w:tcW w:w="1488" w:type="pct"/>
                  <w:gridSpan w:val="2"/>
                  <w:tcBorders>
                    <w:bottom w:val="single" w:color="auto" w:sz="12" w:space="0"/>
                  </w:tcBorders>
                  <w:noWrap w:val="0"/>
                  <w:vAlign w:val="center"/>
                </w:tcPr>
                <w:p w14:paraId="6C031A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b/>
                      <w:color w:val="auto"/>
                      <w:sz w:val="21"/>
                      <w:szCs w:val="21"/>
                      <w:u w:val="none"/>
                    </w:rPr>
                  </w:pPr>
                  <w:r>
                    <w:rPr>
                      <w:rFonts w:hint="default" w:ascii="Times New Roman" w:hAnsi="Times New Roman" w:cs="Times New Roman"/>
                      <w:b/>
                      <w:color w:val="auto"/>
                      <w:sz w:val="21"/>
                      <w:szCs w:val="21"/>
                      <w:u w:val="none"/>
                    </w:rPr>
                    <w:t>浓度范围（mg/m</w:t>
                  </w:r>
                  <w:r>
                    <w:rPr>
                      <w:rFonts w:hint="default" w:ascii="Times New Roman" w:hAnsi="Times New Roman" w:cs="Times New Roman"/>
                      <w:b/>
                      <w:color w:val="auto"/>
                      <w:sz w:val="21"/>
                      <w:szCs w:val="21"/>
                      <w:u w:val="none"/>
                      <w:vertAlign w:val="superscript"/>
                    </w:rPr>
                    <w:t>3</w:t>
                  </w:r>
                  <w:r>
                    <w:rPr>
                      <w:rFonts w:hint="default" w:ascii="Times New Roman" w:hAnsi="Times New Roman" w:cs="Times New Roman"/>
                      <w:b/>
                      <w:color w:val="auto"/>
                      <w:sz w:val="21"/>
                      <w:szCs w:val="21"/>
                      <w:u w:val="none"/>
                    </w:rPr>
                    <w:t>）</w:t>
                  </w:r>
                </w:p>
              </w:tc>
              <w:tc>
                <w:tcPr>
                  <w:tcW w:w="767" w:type="pct"/>
                  <w:tcBorders>
                    <w:bottom w:val="single" w:color="auto" w:sz="12" w:space="0"/>
                  </w:tcBorders>
                  <w:noWrap w:val="0"/>
                  <w:vAlign w:val="center"/>
                </w:tcPr>
                <w:p w14:paraId="51CF21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b/>
                      <w:color w:val="auto"/>
                      <w:sz w:val="21"/>
                      <w:szCs w:val="21"/>
                      <w:u w:val="none"/>
                    </w:rPr>
                  </w:pPr>
                  <w:r>
                    <w:rPr>
                      <w:rFonts w:hint="default" w:ascii="Times New Roman" w:hAnsi="Times New Roman" w:cs="Times New Roman"/>
                      <w:b/>
                      <w:color w:val="auto"/>
                      <w:sz w:val="21"/>
                      <w:szCs w:val="21"/>
                      <w:u w:val="none"/>
                    </w:rPr>
                    <w:t>标准指数</w:t>
                  </w:r>
                </w:p>
              </w:tc>
              <w:tc>
                <w:tcPr>
                  <w:tcW w:w="856" w:type="pct"/>
                  <w:tcBorders>
                    <w:bottom w:val="single" w:color="auto" w:sz="12" w:space="0"/>
                  </w:tcBorders>
                  <w:noWrap w:val="0"/>
                  <w:vAlign w:val="center"/>
                </w:tcPr>
                <w:p w14:paraId="43E564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b/>
                      <w:color w:val="auto"/>
                      <w:sz w:val="21"/>
                      <w:szCs w:val="21"/>
                      <w:u w:val="none"/>
                    </w:rPr>
                  </w:pPr>
                  <w:r>
                    <w:rPr>
                      <w:rFonts w:hint="default" w:ascii="Times New Roman" w:hAnsi="Times New Roman" w:cs="Times New Roman"/>
                      <w:b/>
                      <w:color w:val="auto"/>
                      <w:sz w:val="21"/>
                      <w:szCs w:val="21"/>
                      <w:u w:val="none"/>
                    </w:rPr>
                    <w:t>标准（mg/m</w:t>
                  </w:r>
                  <w:r>
                    <w:rPr>
                      <w:rFonts w:hint="default" w:ascii="Times New Roman" w:hAnsi="Times New Roman" w:cs="Times New Roman"/>
                      <w:b/>
                      <w:color w:val="auto"/>
                      <w:sz w:val="21"/>
                      <w:szCs w:val="21"/>
                      <w:u w:val="none"/>
                      <w:vertAlign w:val="superscript"/>
                    </w:rPr>
                    <w:t>3</w:t>
                  </w:r>
                  <w:r>
                    <w:rPr>
                      <w:rFonts w:hint="default" w:ascii="Times New Roman" w:hAnsi="Times New Roman" w:cs="Times New Roman"/>
                      <w:b/>
                      <w:color w:val="auto"/>
                      <w:sz w:val="21"/>
                      <w:szCs w:val="21"/>
                      <w:u w:val="none"/>
                    </w:rPr>
                    <w:t>）</w:t>
                  </w:r>
                </w:p>
              </w:tc>
              <w:tc>
                <w:tcPr>
                  <w:tcW w:w="551" w:type="pct"/>
                  <w:tcBorders>
                    <w:bottom w:val="single" w:color="auto" w:sz="12" w:space="0"/>
                  </w:tcBorders>
                  <w:noWrap w:val="0"/>
                  <w:vAlign w:val="center"/>
                </w:tcPr>
                <w:p w14:paraId="0D7169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b/>
                      <w:color w:val="auto"/>
                      <w:sz w:val="21"/>
                      <w:szCs w:val="21"/>
                      <w:u w:val="none"/>
                    </w:rPr>
                  </w:pPr>
                  <w:r>
                    <w:rPr>
                      <w:rFonts w:hint="default" w:ascii="Times New Roman" w:hAnsi="Times New Roman" w:cs="Times New Roman"/>
                      <w:b/>
                      <w:color w:val="auto"/>
                      <w:sz w:val="21"/>
                      <w:szCs w:val="21"/>
                      <w:u w:val="none"/>
                    </w:rPr>
                    <w:t>超标率</w:t>
                  </w:r>
                </w:p>
              </w:tc>
              <w:tc>
                <w:tcPr>
                  <w:tcW w:w="641" w:type="pct"/>
                  <w:tcBorders>
                    <w:bottom w:val="single" w:color="auto" w:sz="12" w:space="0"/>
                  </w:tcBorders>
                  <w:noWrap w:val="0"/>
                  <w:vAlign w:val="center"/>
                </w:tcPr>
                <w:p w14:paraId="7B43BE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color w:val="auto"/>
                      <w:sz w:val="21"/>
                      <w:szCs w:val="21"/>
                      <w:u w:val="none"/>
                      <w:lang w:val="en-US" w:eastAsia="zh-CN"/>
                    </w:rPr>
                  </w:pPr>
                  <w:r>
                    <w:rPr>
                      <w:rFonts w:hint="eastAsia" w:ascii="Times New Roman" w:hAnsi="Times New Roman" w:cs="Times New Roman"/>
                      <w:b/>
                      <w:color w:val="auto"/>
                      <w:sz w:val="21"/>
                      <w:szCs w:val="21"/>
                      <w:u w:val="none"/>
                      <w:lang w:val="en-US" w:eastAsia="zh-CN"/>
                    </w:rPr>
                    <w:t>达标情况</w:t>
                  </w:r>
                </w:p>
              </w:tc>
            </w:tr>
            <w:tr w14:paraId="1760951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95" w:type="pct"/>
                  <w:tcBorders>
                    <w:top w:val="single" w:color="auto" w:sz="12" w:space="0"/>
                  </w:tcBorders>
                  <w:noWrap w:val="0"/>
                  <w:vAlign w:val="center"/>
                </w:tcPr>
                <w:p w14:paraId="4A0AA6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center"/>
                    <w:rPr>
                      <w:rFonts w:hint="default" w:ascii="Times New Roman" w:hAnsi="Times New Roman" w:cs="Times New Roman"/>
                      <w:color w:val="auto"/>
                      <w:sz w:val="21"/>
                      <w:szCs w:val="21"/>
                      <w:u w:val="none"/>
                      <w:lang w:val="en-US" w:eastAsia="zh-CN"/>
                    </w:rPr>
                  </w:pPr>
                  <w:r>
                    <w:rPr>
                      <w:rFonts w:hint="eastAsia" w:ascii="Times New Roman" w:hAnsi="Times New Roman" w:cs="Times New Roman"/>
                      <w:color w:val="auto"/>
                      <w:sz w:val="21"/>
                      <w:szCs w:val="21"/>
                      <w:highlight w:val="none"/>
                      <w:u w:val="none"/>
                      <w:lang w:val="en-US" w:eastAsia="zh-CN"/>
                    </w:rPr>
                    <w:t>TSP</w:t>
                  </w:r>
                </w:p>
              </w:tc>
              <w:tc>
                <w:tcPr>
                  <w:tcW w:w="713" w:type="pct"/>
                  <w:tcBorders>
                    <w:top w:val="single" w:color="auto" w:sz="12" w:space="0"/>
                  </w:tcBorders>
                  <w:noWrap w:val="0"/>
                  <w:vAlign w:val="center"/>
                </w:tcPr>
                <w:p w14:paraId="23B1C0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color w:val="auto"/>
                      <w:sz w:val="21"/>
                      <w:szCs w:val="21"/>
                      <w:u w:val="none"/>
                      <w:lang w:val="en-US" w:eastAsia="zh-CN"/>
                    </w:rPr>
                  </w:pPr>
                  <w:r>
                    <w:rPr>
                      <w:rFonts w:hint="eastAsia" w:ascii="Times New Roman" w:hAnsi="Times New Roman" w:cs="Times New Roman"/>
                      <w:color w:val="auto"/>
                      <w:sz w:val="21"/>
                      <w:szCs w:val="21"/>
                      <w:u w:val="none"/>
                      <w:lang w:val="en-US" w:eastAsia="zh-CN"/>
                    </w:rPr>
                    <w:t>24小时平均</w:t>
                  </w:r>
                </w:p>
              </w:tc>
              <w:tc>
                <w:tcPr>
                  <w:tcW w:w="775" w:type="pct"/>
                  <w:tcBorders>
                    <w:top w:val="single" w:color="auto" w:sz="12" w:space="0"/>
                  </w:tcBorders>
                  <w:noWrap w:val="0"/>
                  <w:vAlign w:val="center"/>
                </w:tcPr>
                <w:p w14:paraId="65DA08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color w:val="auto"/>
                      <w:sz w:val="21"/>
                      <w:szCs w:val="21"/>
                      <w:u w:val="none"/>
                      <w:lang w:val="en-US" w:eastAsia="zh-CN"/>
                    </w:rPr>
                  </w:pPr>
                  <w:r>
                    <w:rPr>
                      <w:rFonts w:hint="default" w:ascii="Times New Roman" w:hAnsi="Times New Roman" w:cs="Times New Roman"/>
                      <w:color w:val="auto"/>
                      <w:sz w:val="21"/>
                      <w:szCs w:val="21"/>
                      <w:u w:val="none"/>
                      <w:lang w:val="en-US" w:eastAsia="zh-CN"/>
                    </w:rPr>
                    <w:t>0.</w:t>
                  </w:r>
                  <w:r>
                    <w:rPr>
                      <w:rFonts w:hint="eastAsia" w:cs="Times New Roman"/>
                      <w:color w:val="auto"/>
                      <w:sz w:val="21"/>
                      <w:szCs w:val="21"/>
                      <w:u w:val="none"/>
                      <w:lang w:val="en-US" w:eastAsia="zh-CN"/>
                    </w:rPr>
                    <w:t>091</w:t>
                  </w:r>
                  <w:r>
                    <w:rPr>
                      <w:rFonts w:hint="default" w:ascii="Times New Roman" w:hAnsi="Times New Roman" w:cs="Times New Roman"/>
                      <w:color w:val="auto"/>
                      <w:sz w:val="21"/>
                      <w:szCs w:val="21"/>
                      <w:u w:val="none"/>
                      <w:lang w:val="en-US" w:eastAsia="zh-CN"/>
                    </w:rPr>
                    <w:t>~0.</w:t>
                  </w:r>
                  <w:r>
                    <w:rPr>
                      <w:rFonts w:hint="eastAsia" w:cs="Times New Roman"/>
                      <w:color w:val="auto"/>
                      <w:sz w:val="21"/>
                      <w:szCs w:val="21"/>
                      <w:u w:val="none"/>
                      <w:lang w:val="en-US" w:eastAsia="zh-CN"/>
                    </w:rPr>
                    <w:t>125</w:t>
                  </w:r>
                </w:p>
              </w:tc>
              <w:tc>
                <w:tcPr>
                  <w:tcW w:w="767" w:type="pct"/>
                  <w:tcBorders>
                    <w:top w:val="single" w:color="auto" w:sz="12" w:space="0"/>
                  </w:tcBorders>
                  <w:noWrap w:val="0"/>
                  <w:vAlign w:val="center"/>
                </w:tcPr>
                <w:p w14:paraId="3F1B04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color w:val="auto"/>
                      <w:sz w:val="21"/>
                      <w:szCs w:val="21"/>
                      <w:u w:val="none"/>
                      <w:lang w:val="en-US" w:eastAsia="zh-CN"/>
                    </w:rPr>
                  </w:pPr>
                  <w:r>
                    <w:rPr>
                      <w:rFonts w:hint="eastAsia" w:ascii="Times New Roman" w:hAnsi="Times New Roman" w:eastAsia="宋体" w:cs="Times New Roman"/>
                      <w:color w:val="auto"/>
                      <w:sz w:val="21"/>
                      <w:szCs w:val="21"/>
                      <w:u w:val="none"/>
                      <w:lang w:val="en-US" w:eastAsia="zh-CN"/>
                    </w:rPr>
                    <w:t>0.</w:t>
                  </w:r>
                  <w:r>
                    <w:rPr>
                      <w:rFonts w:hint="eastAsia" w:cs="Times New Roman"/>
                      <w:color w:val="auto"/>
                      <w:sz w:val="21"/>
                      <w:szCs w:val="21"/>
                      <w:u w:val="none"/>
                      <w:lang w:val="en-US" w:eastAsia="zh-CN"/>
                    </w:rPr>
                    <w:t>30</w:t>
                  </w:r>
                  <w:r>
                    <w:rPr>
                      <w:rFonts w:hint="eastAsia" w:ascii="Times New Roman" w:hAnsi="Times New Roman" w:eastAsia="宋体" w:cs="Times New Roman"/>
                      <w:color w:val="auto"/>
                      <w:sz w:val="21"/>
                      <w:szCs w:val="21"/>
                      <w:u w:val="none"/>
                      <w:lang w:val="en-US" w:eastAsia="zh-CN"/>
                    </w:rPr>
                    <w:t>~0.</w:t>
                  </w:r>
                  <w:r>
                    <w:rPr>
                      <w:rFonts w:hint="eastAsia" w:cs="Times New Roman"/>
                      <w:color w:val="auto"/>
                      <w:sz w:val="21"/>
                      <w:szCs w:val="21"/>
                      <w:u w:val="none"/>
                      <w:lang w:val="en-US" w:eastAsia="zh-CN"/>
                    </w:rPr>
                    <w:t>42</w:t>
                  </w:r>
                </w:p>
              </w:tc>
              <w:tc>
                <w:tcPr>
                  <w:tcW w:w="856" w:type="pct"/>
                  <w:tcBorders>
                    <w:top w:val="single" w:color="auto" w:sz="12" w:space="0"/>
                  </w:tcBorders>
                  <w:noWrap w:val="0"/>
                  <w:vAlign w:val="center"/>
                </w:tcPr>
                <w:p w14:paraId="2479F1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color w:val="auto"/>
                      <w:sz w:val="21"/>
                      <w:szCs w:val="21"/>
                      <w:u w:val="none"/>
                      <w:lang w:val="en-US" w:eastAsia="zh-CN"/>
                    </w:rPr>
                  </w:pPr>
                  <w:r>
                    <w:rPr>
                      <w:rFonts w:hint="eastAsia" w:ascii="Times New Roman" w:hAnsi="Times New Roman" w:cs="Times New Roman"/>
                      <w:color w:val="auto"/>
                      <w:sz w:val="21"/>
                      <w:szCs w:val="21"/>
                      <w:u w:val="none"/>
                      <w:lang w:val="en-US" w:eastAsia="zh-CN"/>
                    </w:rPr>
                    <w:t>0.3</w:t>
                  </w:r>
                </w:p>
              </w:tc>
              <w:tc>
                <w:tcPr>
                  <w:tcW w:w="551" w:type="pct"/>
                  <w:tcBorders>
                    <w:top w:val="single" w:color="auto" w:sz="12" w:space="0"/>
                  </w:tcBorders>
                  <w:noWrap w:val="0"/>
                  <w:vAlign w:val="center"/>
                </w:tcPr>
                <w:p w14:paraId="5760DE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color w:val="auto"/>
                      <w:sz w:val="21"/>
                      <w:szCs w:val="21"/>
                      <w:u w:val="none"/>
                      <w:lang w:val="en-US" w:eastAsia="zh-CN"/>
                    </w:rPr>
                  </w:pPr>
                  <w:r>
                    <w:rPr>
                      <w:rFonts w:hint="eastAsia" w:ascii="Times New Roman" w:hAnsi="Times New Roman" w:eastAsia="宋体" w:cs="Times New Roman"/>
                      <w:color w:val="auto"/>
                      <w:sz w:val="21"/>
                      <w:szCs w:val="21"/>
                      <w:u w:val="none"/>
                      <w:lang w:val="en-US" w:eastAsia="zh-CN"/>
                    </w:rPr>
                    <w:t>0</w:t>
                  </w:r>
                </w:p>
              </w:tc>
              <w:tc>
                <w:tcPr>
                  <w:tcW w:w="641" w:type="pct"/>
                  <w:tcBorders>
                    <w:top w:val="single" w:color="auto" w:sz="12" w:space="0"/>
                  </w:tcBorders>
                  <w:noWrap w:val="0"/>
                  <w:vAlign w:val="center"/>
                </w:tcPr>
                <w:p w14:paraId="70C8B7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color w:val="auto"/>
                      <w:sz w:val="21"/>
                      <w:szCs w:val="21"/>
                      <w:u w:val="none"/>
                      <w:lang w:val="en-US" w:eastAsia="zh-CN"/>
                    </w:rPr>
                  </w:pPr>
                  <w:r>
                    <w:rPr>
                      <w:rFonts w:hint="eastAsia" w:ascii="Times New Roman" w:hAnsi="Times New Roman" w:eastAsia="宋体" w:cs="Times New Roman"/>
                      <w:color w:val="auto"/>
                      <w:sz w:val="21"/>
                      <w:szCs w:val="21"/>
                      <w:u w:val="none"/>
                      <w:lang w:val="en-US" w:eastAsia="zh-CN"/>
                    </w:rPr>
                    <w:t>达标</w:t>
                  </w:r>
                </w:p>
              </w:tc>
            </w:tr>
          </w:tbl>
          <w:p w14:paraId="7FDD490B">
            <w:pPr>
              <w:keepNext w:val="0"/>
              <w:keepLines w:val="0"/>
              <w:suppressLineNumbers w:val="0"/>
              <w:snapToGrid w:val="0"/>
              <w:spacing w:before="0" w:beforeAutospacing="0" w:after="0" w:afterAutospacing="0" w:line="360" w:lineRule="auto"/>
              <w:ind w:left="0" w:right="0" w:firstLine="480" w:firstLineChars="200"/>
              <w:jc w:val="both"/>
              <w:rPr>
                <w:rFonts w:hint="default" w:ascii="Times New Roman" w:hAnsi="Times New Roman" w:eastAsia="宋体" w:cs="Times New Roman"/>
                <w:snapToGrid w:val="0"/>
                <w:color w:val="auto"/>
                <w:sz w:val="24"/>
                <w:highlight w:val="none"/>
              </w:rPr>
            </w:pPr>
            <w:r>
              <w:rPr>
                <w:rFonts w:hint="eastAsia" w:ascii="Times New Roman" w:hAnsi="Times New Roman" w:eastAsia="宋体" w:cs="Times New Roman"/>
                <w:snapToGrid w:val="0"/>
                <w:color w:val="auto"/>
                <w:sz w:val="24"/>
                <w:highlight w:val="none"/>
              </w:rPr>
              <w:t>由上表可见，TSP满足《环境空气质量标准》（GB3095-20</w:t>
            </w:r>
            <w:r>
              <w:rPr>
                <w:rFonts w:hint="eastAsia" w:cs="Times New Roman"/>
                <w:snapToGrid w:val="0"/>
                <w:color w:val="auto"/>
                <w:sz w:val="24"/>
                <w:highlight w:val="none"/>
                <w:lang w:val="en-US" w:eastAsia="zh-CN"/>
              </w:rPr>
              <w:t>26</w:t>
            </w:r>
            <w:r>
              <w:rPr>
                <w:rFonts w:hint="eastAsia" w:ascii="Times New Roman" w:hAnsi="Times New Roman" w:eastAsia="宋体" w:cs="Times New Roman"/>
                <w:snapToGrid w:val="0"/>
                <w:color w:val="auto"/>
                <w:sz w:val="24"/>
                <w:highlight w:val="none"/>
              </w:rPr>
              <w:t>）中二级标准限值</w:t>
            </w:r>
            <w:r>
              <w:rPr>
                <w:rFonts w:hint="eastAsia" w:ascii="Times New Roman" w:hAnsi="Times New Roman" w:eastAsia="宋体" w:cs="Times New Roman"/>
                <w:snapToGrid w:val="0"/>
                <w:color w:val="auto"/>
                <w:sz w:val="24"/>
                <w:highlight w:val="none"/>
                <w:lang w:val="en-US" w:eastAsia="zh-CN"/>
              </w:rPr>
              <w:t>。综上，项目所在区域环境</w:t>
            </w:r>
            <w:r>
              <w:rPr>
                <w:rFonts w:hint="eastAsia" w:ascii="Times New Roman" w:hAnsi="Times New Roman" w:eastAsia="宋体" w:cs="Times New Roman"/>
                <w:snapToGrid w:val="0"/>
                <w:color w:val="auto"/>
                <w:sz w:val="24"/>
                <w:highlight w:val="none"/>
              </w:rPr>
              <w:t>质量现状良好。</w:t>
            </w:r>
          </w:p>
          <w:p w14:paraId="598F36B0">
            <w:pPr>
              <w:keepNext w:val="0"/>
              <w:keepLines w:val="0"/>
              <w:pageBreakBefore w:val="0"/>
              <w:widowControl w:val="0"/>
              <w:numPr>
                <w:ilvl w:val="0"/>
                <w:numId w:val="5"/>
              </w:numPr>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firstLine="482" w:firstLineChars="200"/>
              <w:jc w:val="left"/>
              <w:textAlignment w:val="auto"/>
              <w:outlineLvl w:val="9"/>
              <w:rPr>
                <w:rFonts w:hint="eastAsia"/>
                <w:b/>
                <w:bCs/>
                <w:color w:val="auto"/>
                <w:sz w:val="24"/>
                <w:szCs w:val="24"/>
                <w:highlight w:val="none"/>
                <w:lang w:val="en-US" w:eastAsia="zh-CN"/>
              </w:rPr>
            </w:pPr>
            <w:r>
              <w:rPr>
                <w:rFonts w:hint="eastAsia"/>
                <w:b/>
                <w:bCs/>
                <w:color w:val="auto"/>
                <w:sz w:val="24"/>
                <w:szCs w:val="24"/>
                <w:highlight w:val="none"/>
                <w:lang w:val="en-US" w:eastAsia="zh-CN"/>
              </w:rPr>
              <w:t>地表水环境</w:t>
            </w:r>
          </w:p>
          <w:p w14:paraId="1C2B0C29">
            <w:pPr>
              <w:keepNext w:val="0"/>
              <w:keepLines w:val="0"/>
              <w:suppressLineNumbers w:val="0"/>
              <w:snapToGrid w:val="0"/>
              <w:spacing w:before="0" w:beforeAutospacing="0" w:after="0" w:afterAutospacing="0" w:line="360" w:lineRule="auto"/>
              <w:ind w:left="0" w:right="0" w:firstLine="480" w:firstLineChars="200"/>
              <w:jc w:val="both"/>
              <w:rPr>
                <w:rFonts w:hint="default" w:ascii="Times New Roman" w:hAnsi="Times New Roman" w:eastAsia="宋体" w:cs="Times New Roman"/>
                <w:snapToGrid w:val="0"/>
                <w:color w:val="auto"/>
                <w:sz w:val="24"/>
                <w:highlight w:val="none"/>
              </w:rPr>
            </w:pPr>
            <w:r>
              <w:rPr>
                <w:rFonts w:hint="default" w:ascii="Times New Roman" w:hAnsi="Times New Roman" w:eastAsia="宋体" w:cs="Times New Roman"/>
                <w:snapToGrid w:val="0"/>
                <w:color w:val="auto"/>
                <w:sz w:val="24"/>
                <w:highlight w:val="none"/>
              </w:rPr>
              <w:t>本项目位于</w:t>
            </w:r>
            <w:r>
              <w:rPr>
                <w:rFonts w:hint="eastAsia" w:ascii="宋体" w:hAnsi="宋体" w:cs="宋体"/>
                <w:color w:val="auto"/>
                <w:sz w:val="24"/>
                <w:szCs w:val="24"/>
                <w:highlight w:val="none"/>
                <w:lang w:val="en-US" w:eastAsia="zh-CN"/>
              </w:rPr>
              <w:t>江西省景德镇市乐平市金山工业园</w:t>
            </w:r>
            <w:r>
              <w:rPr>
                <w:rFonts w:hint="default" w:ascii="Times New Roman" w:hAnsi="Times New Roman" w:eastAsia="宋体" w:cs="Times New Roman"/>
                <w:snapToGrid w:val="0"/>
                <w:color w:val="auto"/>
                <w:sz w:val="24"/>
                <w:highlight w:val="none"/>
              </w:rPr>
              <w:t>，本项目评价范围内地表水主要是</w:t>
            </w:r>
            <w:r>
              <w:rPr>
                <w:rFonts w:hint="eastAsia" w:ascii="Times New Roman" w:hAnsi="Times New Roman" w:eastAsia="宋体" w:cs="Times New Roman"/>
                <w:snapToGrid w:val="0"/>
                <w:color w:val="auto"/>
                <w:sz w:val="24"/>
                <w:highlight w:val="none"/>
              </w:rPr>
              <w:t>乐安河</w:t>
            </w:r>
            <w:r>
              <w:rPr>
                <w:rFonts w:hint="eastAsia" w:cs="Times New Roman"/>
                <w:snapToGrid w:val="0"/>
                <w:color w:val="auto"/>
                <w:sz w:val="24"/>
                <w:highlight w:val="none"/>
                <w:lang w:eastAsia="zh-CN"/>
              </w:rPr>
              <w:t>。</w:t>
            </w:r>
            <w:r>
              <w:rPr>
                <w:rFonts w:hint="eastAsia" w:cs="Times New Roman"/>
                <w:snapToGrid w:val="0"/>
                <w:color w:val="auto"/>
                <w:sz w:val="24"/>
                <w:highlight w:val="none"/>
                <w:lang w:val="en-US" w:eastAsia="zh-CN"/>
              </w:rPr>
              <w:t>根据景德镇市</w:t>
            </w:r>
            <w:r>
              <w:rPr>
                <w:rFonts w:hint="eastAsia" w:ascii="Times New Roman" w:hAnsi="Times New Roman" w:eastAsia="宋体" w:cs="Times New Roman"/>
                <w:snapToGrid w:val="0"/>
                <w:color w:val="auto"/>
                <w:sz w:val="24"/>
                <w:highlight w:val="none"/>
              </w:rPr>
              <w:t>人民政府</w:t>
            </w:r>
            <w:r>
              <w:rPr>
                <w:rFonts w:hint="eastAsia" w:cs="Times New Roman"/>
                <w:snapToGrid w:val="0"/>
                <w:color w:val="auto"/>
                <w:sz w:val="24"/>
                <w:highlight w:val="none"/>
                <w:lang w:val="en-US" w:eastAsia="zh-CN"/>
              </w:rPr>
              <w:t>最新公</w:t>
            </w:r>
            <w:r>
              <w:rPr>
                <w:rFonts w:hint="eastAsia" w:ascii="Times New Roman" w:hAnsi="Times New Roman" w:eastAsia="宋体" w:cs="Times New Roman"/>
                <w:snapToGrid w:val="0"/>
                <w:color w:val="auto"/>
                <w:sz w:val="24"/>
                <w:highlight w:val="none"/>
              </w:rPr>
              <w:t>布的</w:t>
            </w:r>
            <w:r>
              <w:rPr>
                <w:rFonts w:hint="eastAsia" w:cs="Times New Roman"/>
                <w:snapToGrid w:val="0"/>
                <w:color w:val="auto"/>
                <w:sz w:val="24"/>
                <w:highlight w:val="none"/>
                <w:lang w:eastAsia="zh-CN"/>
              </w:rPr>
              <w:t>《</w:t>
            </w:r>
            <w:r>
              <w:rPr>
                <w:rFonts w:hint="eastAsia" w:cs="Times New Roman"/>
                <w:snapToGrid w:val="0"/>
                <w:color w:val="auto"/>
                <w:sz w:val="24"/>
                <w:highlight w:val="none"/>
                <w:lang w:val="en-US" w:eastAsia="zh-CN"/>
              </w:rPr>
              <w:t>景德镇市2025年12月份环境监测质量状况</w:t>
            </w:r>
            <w:r>
              <w:rPr>
                <w:rFonts w:hint="eastAsia" w:cs="Times New Roman"/>
                <w:snapToGrid w:val="0"/>
                <w:color w:val="auto"/>
                <w:sz w:val="24"/>
                <w:highlight w:val="none"/>
                <w:lang w:eastAsia="zh-CN"/>
              </w:rPr>
              <w:t>》</w:t>
            </w:r>
            <w:r>
              <w:rPr>
                <w:rFonts w:hint="eastAsia" w:ascii="Times New Roman" w:hAnsi="Times New Roman" w:eastAsia="宋体" w:cs="Times New Roman"/>
                <w:snapToGrid w:val="0"/>
                <w:color w:val="auto"/>
                <w:sz w:val="24"/>
                <w:highlight w:val="none"/>
              </w:rPr>
              <w:t>，乐平市乐安河野鸡山村断面</w:t>
            </w:r>
            <w:r>
              <w:rPr>
                <w:rFonts w:hint="eastAsia" w:cs="Times New Roman"/>
                <w:snapToGrid w:val="0"/>
                <w:color w:val="auto"/>
                <w:sz w:val="24"/>
                <w:highlight w:val="none"/>
                <w:lang w:val="en-US" w:eastAsia="zh-CN"/>
              </w:rPr>
              <w:t>和桃源断面的</w:t>
            </w:r>
            <w:r>
              <w:rPr>
                <w:rFonts w:hint="eastAsia" w:ascii="Times New Roman" w:hAnsi="Times New Roman" w:eastAsia="宋体" w:cs="Times New Roman"/>
                <w:snapToGrid w:val="0"/>
                <w:color w:val="auto"/>
                <w:sz w:val="24"/>
                <w:highlight w:val="none"/>
              </w:rPr>
              <w:t>达标率为100%</w:t>
            </w:r>
            <w:r>
              <w:rPr>
                <w:rFonts w:hint="eastAsia" w:cs="Times New Roman"/>
                <w:snapToGrid w:val="0"/>
                <w:color w:val="auto"/>
                <w:sz w:val="24"/>
                <w:highlight w:val="none"/>
                <w:lang w:eastAsia="zh-CN"/>
              </w:rPr>
              <w:t>（监测评价指标为pH、溶解氧、高锰酸盐指数、化学需氧量、五日生化需氧量、氨氮、总磷、铜、锌、氟化物、硒、砷、汞、镉、六价铬、铅、氰化物、挥发酚、石油类、阴离子表面活性剂、硫化物共21项）</w:t>
            </w:r>
            <w:r>
              <w:rPr>
                <w:rFonts w:hint="eastAsia" w:ascii="Times New Roman" w:hAnsi="Times New Roman" w:eastAsia="宋体" w:cs="Times New Roman"/>
                <w:snapToGrid w:val="0"/>
                <w:color w:val="auto"/>
                <w:sz w:val="24"/>
                <w:highlight w:val="none"/>
              </w:rPr>
              <w:t>。各断面水质类别详见</w:t>
            </w:r>
            <w:r>
              <w:rPr>
                <w:rFonts w:hint="default" w:ascii="Times New Roman" w:hAnsi="Times New Roman" w:eastAsia="宋体" w:cs="Times New Roman"/>
                <w:snapToGrid w:val="0"/>
                <w:color w:val="auto"/>
                <w:sz w:val="24"/>
                <w:highlight w:val="none"/>
              </w:rPr>
              <w:t>表3-</w:t>
            </w:r>
            <w:r>
              <w:rPr>
                <w:rFonts w:hint="eastAsia" w:cs="Times New Roman"/>
                <w:snapToGrid w:val="0"/>
                <w:color w:val="auto"/>
                <w:sz w:val="24"/>
                <w:highlight w:val="none"/>
                <w:lang w:val="en-US" w:eastAsia="zh-CN"/>
              </w:rPr>
              <w:t>3</w:t>
            </w:r>
            <w:r>
              <w:rPr>
                <w:rFonts w:hint="default" w:ascii="Times New Roman" w:hAnsi="Times New Roman" w:eastAsia="宋体" w:cs="Times New Roman"/>
                <w:snapToGrid w:val="0"/>
                <w:color w:val="auto"/>
                <w:sz w:val="24"/>
                <w:highlight w:val="none"/>
              </w:rPr>
              <w:t>。</w:t>
            </w:r>
          </w:p>
          <w:p w14:paraId="21806D2D">
            <w:pPr>
              <w:pStyle w:val="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表3-</w:t>
            </w:r>
            <w:r>
              <w:rPr>
                <w:rFonts w:hint="eastAsia" w:eastAsia="宋体" w:cs="Times New Roman"/>
                <w:color w:val="auto"/>
                <w:sz w:val="21"/>
                <w:szCs w:val="21"/>
                <w:highlight w:val="none"/>
                <w:lang w:val="en-US" w:eastAsia="zh-CN"/>
              </w:rPr>
              <w:t>3</w:t>
            </w:r>
            <w:r>
              <w:rPr>
                <w:rFonts w:hint="eastAsia" w:ascii="Times New Roman" w:hAnsi="Times New Roman" w:eastAsia="宋体" w:cs="Times New Roman"/>
                <w:color w:val="auto"/>
                <w:sz w:val="21"/>
                <w:szCs w:val="21"/>
                <w:highlight w:val="none"/>
                <w:lang w:val="en-US" w:eastAsia="zh-CN"/>
              </w:rPr>
              <w:t xml:space="preserve">  </w:t>
            </w:r>
            <w:r>
              <w:rPr>
                <w:rFonts w:hint="eastAsia" w:eastAsia="宋体" w:cs="Times New Roman"/>
                <w:color w:val="auto"/>
                <w:sz w:val="21"/>
                <w:szCs w:val="21"/>
                <w:highlight w:val="none"/>
                <w:lang w:val="en-US" w:eastAsia="zh-CN"/>
              </w:rPr>
              <w:t>景德镇</w:t>
            </w:r>
            <w:r>
              <w:rPr>
                <w:rFonts w:hint="eastAsia" w:ascii="Times New Roman" w:hAnsi="Times New Roman" w:eastAsia="宋体" w:cs="Times New Roman"/>
                <w:color w:val="auto"/>
                <w:sz w:val="21"/>
                <w:szCs w:val="21"/>
                <w:highlight w:val="none"/>
                <w:lang w:val="en-US" w:eastAsia="zh-CN"/>
              </w:rPr>
              <w:t>市202</w:t>
            </w:r>
            <w:r>
              <w:rPr>
                <w:rFonts w:hint="eastAsia" w:eastAsia="宋体" w:cs="Times New Roman"/>
                <w:color w:val="auto"/>
                <w:sz w:val="21"/>
                <w:szCs w:val="21"/>
                <w:highlight w:val="none"/>
                <w:lang w:val="en-US" w:eastAsia="zh-CN"/>
              </w:rPr>
              <w:t>5</w:t>
            </w:r>
            <w:r>
              <w:rPr>
                <w:rFonts w:hint="eastAsia" w:ascii="Times New Roman" w:hAnsi="Times New Roman" w:eastAsia="宋体" w:cs="Times New Roman"/>
                <w:color w:val="auto"/>
                <w:sz w:val="21"/>
                <w:szCs w:val="21"/>
                <w:highlight w:val="none"/>
                <w:lang w:val="en-US" w:eastAsia="zh-CN"/>
              </w:rPr>
              <w:t>年</w:t>
            </w:r>
            <w:r>
              <w:rPr>
                <w:rFonts w:hint="eastAsia" w:eastAsia="宋体" w:cs="Times New Roman"/>
                <w:color w:val="auto"/>
                <w:sz w:val="21"/>
                <w:szCs w:val="21"/>
                <w:highlight w:val="none"/>
                <w:lang w:val="en-US" w:eastAsia="zh-CN"/>
              </w:rPr>
              <w:t>12</w:t>
            </w:r>
            <w:r>
              <w:rPr>
                <w:rFonts w:hint="eastAsia" w:ascii="Times New Roman" w:hAnsi="Times New Roman" w:eastAsia="宋体" w:cs="Times New Roman"/>
                <w:color w:val="auto"/>
                <w:sz w:val="21"/>
                <w:szCs w:val="21"/>
                <w:highlight w:val="none"/>
                <w:lang w:val="en-US" w:eastAsia="zh-CN"/>
              </w:rPr>
              <w:t>月地表水质量状况一览表</w:t>
            </w:r>
          </w:p>
          <w:tbl>
            <w:tblPr>
              <w:tblStyle w:val="26"/>
              <w:tblW w:w="487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06"/>
              <w:gridCol w:w="2371"/>
              <w:gridCol w:w="4671"/>
            </w:tblGrid>
            <w:tr w14:paraId="0B4B4F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32" w:type="pct"/>
                  <w:noWrap w:val="0"/>
                  <w:vAlign w:val="center"/>
                </w:tcPr>
                <w:p w14:paraId="07E85FA2">
                  <w:pPr>
                    <w:pStyle w:val="84"/>
                    <w:keepNext w:val="0"/>
                    <w:keepLines w:val="0"/>
                    <w:suppressLineNumbers w:val="0"/>
                    <w:ind w:left="0" w:right="0"/>
                    <w:jc w:val="center"/>
                    <w:rPr>
                      <w:rFonts w:hint="default" w:ascii="Times New Roman" w:hAnsi="Times New Roman"/>
                      <w:b/>
                      <w:bCs/>
                      <w:color w:val="auto"/>
                      <w:sz w:val="21"/>
                      <w:szCs w:val="21"/>
                      <w:highlight w:val="none"/>
                    </w:rPr>
                  </w:pPr>
                  <w:r>
                    <w:rPr>
                      <w:rFonts w:hint="default" w:ascii="Times New Roman" w:hAnsi="Times New Roman"/>
                      <w:b/>
                      <w:bCs/>
                      <w:color w:val="auto"/>
                      <w:sz w:val="21"/>
                      <w:szCs w:val="21"/>
                      <w:highlight w:val="none"/>
                    </w:rPr>
                    <w:t>序号</w:t>
                  </w:r>
                </w:p>
              </w:tc>
              <w:tc>
                <w:tcPr>
                  <w:tcW w:w="1403" w:type="pct"/>
                  <w:noWrap w:val="0"/>
                  <w:vAlign w:val="center"/>
                </w:tcPr>
                <w:p w14:paraId="4FE596E9">
                  <w:pPr>
                    <w:pStyle w:val="84"/>
                    <w:keepNext w:val="0"/>
                    <w:keepLines w:val="0"/>
                    <w:suppressLineNumbers w:val="0"/>
                    <w:ind w:left="0" w:right="0"/>
                    <w:jc w:val="center"/>
                    <w:rPr>
                      <w:rFonts w:hint="default" w:ascii="Times New Roman" w:hAnsi="Times New Roman"/>
                      <w:b/>
                      <w:bCs/>
                      <w:color w:val="auto"/>
                      <w:sz w:val="21"/>
                      <w:szCs w:val="21"/>
                      <w:highlight w:val="none"/>
                    </w:rPr>
                  </w:pPr>
                  <w:r>
                    <w:rPr>
                      <w:rFonts w:hint="eastAsia" w:ascii="Times New Roman" w:hAnsi="Times New Roman"/>
                      <w:b/>
                      <w:bCs/>
                      <w:color w:val="auto"/>
                      <w:sz w:val="21"/>
                      <w:szCs w:val="21"/>
                      <w:highlight w:val="none"/>
                    </w:rPr>
                    <w:t>监测断面及性质</w:t>
                  </w:r>
                </w:p>
              </w:tc>
              <w:tc>
                <w:tcPr>
                  <w:tcW w:w="2763" w:type="pct"/>
                  <w:noWrap w:val="0"/>
                  <w:vAlign w:val="center"/>
                </w:tcPr>
                <w:p w14:paraId="19D8509D">
                  <w:pPr>
                    <w:pStyle w:val="84"/>
                    <w:keepNext w:val="0"/>
                    <w:keepLines w:val="0"/>
                    <w:suppressLineNumbers w:val="0"/>
                    <w:ind w:left="0" w:right="0"/>
                    <w:jc w:val="center"/>
                    <w:rPr>
                      <w:rFonts w:hint="default" w:ascii="Times New Roman" w:hAnsi="Times New Roman"/>
                      <w:b/>
                      <w:bCs/>
                      <w:color w:val="auto"/>
                      <w:sz w:val="21"/>
                      <w:szCs w:val="21"/>
                      <w:highlight w:val="none"/>
                    </w:rPr>
                  </w:pPr>
                  <w:r>
                    <w:rPr>
                      <w:rFonts w:hint="eastAsia" w:ascii="Times New Roman" w:hAnsi="Times New Roman"/>
                      <w:b/>
                      <w:bCs/>
                      <w:color w:val="auto"/>
                      <w:sz w:val="21"/>
                      <w:szCs w:val="21"/>
                      <w:highlight w:val="none"/>
                    </w:rPr>
                    <w:t>水质类别</w:t>
                  </w:r>
                </w:p>
              </w:tc>
            </w:tr>
            <w:tr w14:paraId="14CAC7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32" w:type="pct"/>
                  <w:noWrap w:val="0"/>
                  <w:vAlign w:val="center"/>
                </w:tcPr>
                <w:p w14:paraId="60C63F25">
                  <w:pPr>
                    <w:pStyle w:val="84"/>
                    <w:keepNext w:val="0"/>
                    <w:keepLines w:val="0"/>
                    <w:suppressLineNumbers w:val="0"/>
                    <w:ind w:left="0" w:right="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w:t>
                  </w:r>
                </w:p>
              </w:tc>
              <w:tc>
                <w:tcPr>
                  <w:tcW w:w="1403" w:type="pct"/>
                  <w:noWrap w:val="0"/>
                  <w:vAlign w:val="center"/>
                </w:tcPr>
                <w:p w14:paraId="0BEB3A09">
                  <w:pPr>
                    <w:pStyle w:val="84"/>
                    <w:keepNext w:val="0"/>
                    <w:keepLines w:val="0"/>
                    <w:suppressLineNumbers w:val="0"/>
                    <w:ind w:left="0" w:right="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野鸡山村</w:t>
                  </w:r>
                </w:p>
              </w:tc>
              <w:tc>
                <w:tcPr>
                  <w:tcW w:w="2763" w:type="pct"/>
                  <w:noWrap w:val="0"/>
                  <w:vAlign w:val="center"/>
                </w:tcPr>
                <w:p w14:paraId="14670711">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III类</w:t>
                  </w:r>
                </w:p>
              </w:tc>
            </w:tr>
            <w:tr w14:paraId="202663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32" w:type="pct"/>
                  <w:noWrap w:val="0"/>
                  <w:vAlign w:val="center"/>
                </w:tcPr>
                <w:p w14:paraId="7444F47C">
                  <w:pPr>
                    <w:pStyle w:val="84"/>
                    <w:keepNext w:val="0"/>
                    <w:keepLines w:val="0"/>
                    <w:suppressLineNumbers w:val="0"/>
                    <w:ind w:left="0" w:right="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2</w:t>
                  </w:r>
                </w:p>
              </w:tc>
              <w:tc>
                <w:tcPr>
                  <w:tcW w:w="1403" w:type="pct"/>
                  <w:noWrap w:val="0"/>
                  <w:vAlign w:val="center"/>
                </w:tcPr>
                <w:p w14:paraId="3AF34BB1">
                  <w:pPr>
                    <w:pStyle w:val="84"/>
                    <w:keepNext w:val="0"/>
                    <w:keepLines w:val="0"/>
                    <w:suppressLineNumbers w:val="0"/>
                    <w:ind w:left="0" w:right="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lang w:val="en-US" w:eastAsia="zh-CN"/>
                    </w:rPr>
                    <w:t>桃源</w:t>
                  </w:r>
                </w:p>
              </w:tc>
              <w:tc>
                <w:tcPr>
                  <w:tcW w:w="2763" w:type="pct"/>
                  <w:noWrap w:val="0"/>
                  <w:vAlign w:val="center"/>
                </w:tcPr>
                <w:p w14:paraId="0451B329">
                  <w:pPr>
                    <w:keepNext w:val="0"/>
                    <w:keepLines w:val="0"/>
                    <w:suppressLineNumbers w:val="0"/>
                    <w:spacing w:before="0" w:beforeAutospacing="0" w:after="0" w:afterAutospacing="0"/>
                    <w:ind w:left="0" w:right="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lang w:val="en-US" w:eastAsia="zh-CN"/>
                    </w:rPr>
                    <w:t>II类</w:t>
                  </w:r>
                </w:p>
              </w:tc>
            </w:tr>
          </w:tbl>
          <w:p w14:paraId="7A2D343A">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firstLine="480" w:firstLineChars="200"/>
              <w:jc w:val="both"/>
              <w:textAlignment w:val="auto"/>
              <w:rPr>
                <w:rFonts w:hint="eastAsia" w:ascii="Times New Roman" w:hAnsi="Times New Roman" w:eastAsia="宋体" w:cs="Times New Roman"/>
                <w:snapToGrid w:val="0"/>
                <w:color w:val="auto"/>
                <w:sz w:val="24"/>
                <w:highlight w:val="none"/>
                <w:lang w:val="en-US" w:eastAsia="zh-CN"/>
              </w:rPr>
            </w:pPr>
            <w:r>
              <w:rPr>
                <w:rFonts w:hint="eastAsia" w:ascii="Times New Roman" w:hAnsi="Times New Roman" w:eastAsia="宋体" w:cs="Times New Roman"/>
                <w:snapToGrid w:val="0"/>
                <w:color w:val="auto"/>
                <w:sz w:val="24"/>
                <w:highlight w:val="none"/>
                <w:lang w:val="en-US" w:eastAsia="zh-CN"/>
              </w:rPr>
              <w:t>由表3-</w:t>
            </w:r>
            <w:r>
              <w:rPr>
                <w:rFonts w:hint="eastAsia" w:cs="Times New Roman"/>
                <w:snapToGrid w:val="0"/>
                <w:color w:val="auto"/>
                <w:sz w:val="24"/>
                <w:highlight w:val="none"/>
                <w:lang w:val="en-US" w:eastAsia="zh-CN"/>
              </w:rPr>
              <w:t>3</w:t>
            </w:r>
            <w:r>
              <w:rPr>
                <w:rFonts w:hint="eastAsia" w:ascii="Times New Roman" w:hAnsi="Times New Roman" w:eastAsia="宋体" w:cs="Times New Roman"/>
                <w:snapToGrid w:val="0"/>
                <w:color w:val="auto"/>
                <w:sz w:val="24"/>
                <w:highlight w:val="none"/>
                <w:lang w:val="en-US" w:eastAsia="zh-CN"/>
              </w:rPr>
              <w:t>可知，项目区域地表水质量满足《地表水环境质量标准》（GB3838-200</w:t>
            </w:r>
            <w:r>
              <w:rPr>
                <w:rFonts w:hint="default" w:ascii="Times New Roman" w:hAnsi="Times New Roman" w:eastAsia="宋体" w:cs="Times New Roman"/>
                <w:snapToGrid w:val="0"/>
                <w:color w:val="auto"/>
                <w:sz w:val="24"/>
                <w:highlight w:val="none"/>
                <w:lang w:val="en-US" w:eastAsia="zh-CN"/>
              </w:rPr>
              <w:t>2）Ⅲ类标准</w:t>
            </w:r>
            <w:r>
              <w:rPr>
                <w:rFonts w:hint="eastAsia" w:ascii="Times New Roman" w:hAnsi="Times New Roman" w:eastAsia="宋体" w:cs="Times New Roman"/>
                <w:snapToGrid w:val="0"/>
                <w:color w:val="auto"/>
                <w:sz w:val="24"/>
                <w:highlight w:val="none"/>
                <w:lang w:val="en-US" w:eastAsia="zh-CN"/>
              </w:rPr>
              <w:t>。本项目生活污水</w:t>
            </w:r>
            <w:r>
              <w:rPr>
                <w:rFonts w:hint="eastAsia" w:cs="Times New Roman"/>
                <w:snapToGrid w:val="0"/>
                <w:color w:val="auto"/>
                <w:sz w:val="24"/>
                <w:highlight w:val="none"/>
                <w:lang w:val="en-US" w:eastAsia="zh-CN"/>
              </w:rPr>
              <w:t>排入</w:t>
            </w:r>
            <w:r>
              <w:rPr>
                <w:rFonts w:hint="eastAsia" w:ascii="Times New Roman" w:hAnsi="Times New Roman" w:eastAsia="宋体" w:cs="Times New Roman"/>
                <w:snapToGrid w:val="0"/>
                <w:color w:val="auto"/>
                <w:sz w:val="24"/>
                <w:highlight w:val="none"/>
                <w:lang w:val="en-US" w:eastAsia="zh-CN"/>
              </w:rPr>
              <w:t>乐平市金山园区一期一体化污水处理站</w:t>
            </w:r>
            <w:r>
              <w:rPr>
                <w:rFonts w:hint="eastAsia" w:cs="Times New Roman"/>
                <w:snapToGrid w:val="0"/>
                <w:color w:val="auto"/>
                <w:sz w:val="24"/>
                <w:highlight w:val="none"/>
                <w:lang w:val="en-US" w:eastAsia="zh-CN"/>
              </w:rPr>
              <w:t>，该站</w:t>
            </w:r>
            <w:r>
              <w:rPr>
                <w:rFonts w:hint="eastAsia" w:ascii="Times New Roman" w:hAnsi="Times New Roman" w:eastAsia="宋体" w:cs="Times New Roman"/>
                <w:snapToGrid w:val="0"/>
                <w:color w:val="auto"/>
                <w:sz w:val="24"/>
                <w:highlight w:val="none"/>
                <w:lang w:val="en-US" w:eastAsia="zh-CN"/>
              </w:rPr>
              <w:t>排放口</w:t>
            </w:r>
            <w:r>
              <w:rPr>
                <w:rFonts w:hint="eastAsia" w:cs="Times New Roman"/>
                <w:snapToGrid w:val="0"/>
                <w:color w:val="auto"/>
                <w:sz w:val="24"/>
                <w:highlight w:val="none"/>
                <w:lang w:val="en-US" w:eastAsia="zh-CN"/>
              </w:rPr>
              <w:t>与</w:t>
            </w:r>
            <w:r>
              <w:rPr>
                <w:rFonts w:hint="eastAsia" w:ascii="Times New Roman" w:hAnsi="Times New Roman" w:eastAsia="宋体" w:cs="Times New Roman"/>
                <w:snapToGrid w:val="0"/>
                <w:color w:val="auto"/>
                <w:sz w:val="24"/>
                <w:highlight w:val="none"/>
              </w:rPr>
              <w:t>乐安河野鸡山村断面</w:t>
            </w:r>
            <w:r>
              <w:rPr>
                <w:rFonts w:hint="eastAsia" w:cs="Times New Roman"/>
                <w:snapToGrid w:val="0"/>
                <w:color w:val="auto"/>
                <w:sz w:val="24"/>
                <w:highlight w:val="none"/>
                <w:lang w:val="en-US" w:eastAsia="zh-CN"/>
              </w:rPr>
              <w:t>和桃源断面的位置关系详见图3-2，排口与断面属于</w:t>
            </w:r>
            <w:r>
              <w:rPr>
                <w:rFonts w:hint="eastAsia" w:ascii="Times New Roman" w:hAnsi="Times New Roman" w:eastAsia="宋体" w:cs="Times New Roman"/>
                <w:snapToGrid w:val="0"/>
                <w:color w:val="auto"/>
                <w:sz w:val="24"/>
                <w:highlight w:val="none"/>
                <w:lang w:val="en-US" w:eastAsia="zh-CN"/>
              </w:rPr>
              <w:t>同一水体</w:t>
            </w:r>
            <w:r>
              <w:rPr>
                <w:rFonts w:hint="eastAsia" w:cs="Times New Roman"/>
                <w:snapToGrid w:val="0"/>
                <w:color w:val="auto"/>
                <w:sz w:val="24"/>
                <w:highlight w:val="none"/>
                <w:lang w:val="en-US" w:eastAsia="zh-CN"/>
              </w:rPr>
              <w:t>，</w:t>
            </w:r>
            <w:r>
              <w:rPr>
                <w:rFonts w:hint="eastAsia" w:ascii="Times New Roman" w:hAnsi="Times New Roman" w:eastAsia="宋体" w:cs="Times New Roman"/>
                <w:snapToGrid w:val="0"/>
                <w:color w:val="auto"/>
                <w:sz w:val="24"/>
                <w:highlight w:val="none"/>
                <w:lang w:val="en-US" w:eastAsia="zh-CN"/>
              </w:rPr>
              <w:t>引用可行</w:t>
            </w:r>
            <w:r>
              <w:rPr>
                <w:rFonts w:hint="eastAsia" w:cs="Times New Roman"/>
                <w:snapToGrid w:val="0"/>
                <w:color w:val="auto"/>
                <w:sz w:val="24"/>
                <w:highlight w:val="none"/>
                <w:lang w:val="en-US" w:eastAsia="zh-CN"/>
              </w:rPr>
              <w:t>。</w:t>
            </w:r>
          </w:p>
          <w:p w14:paraId="6CF2509E">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hint="eastAsia" w:ascii="Times New Roman" w:hAnsi="Times New Roman" w:eastAsia="宋体" w:cs="Times New Roman"/>
                <w:snapToGrid w:val="0"/>
                <w:color w:val="auto"/>
                <w:sz w:val="24"/>
                <w:highlight w:val="none"/>
                <w:lang w:val="en-US" w:eastAsia="zh-CN"/>
              </w:rPr>
            </w:pPr>
            <w:r>
              <w:rPr>
                <w:rFonts w:hint="eastAsia" w:ascii="Times New Roman" w:hAnsi="Times New Roman" w:eastAsia="宋体" w:cs="Times New Roman"/>
                <w:snapToGrid w:val="0"/>
                <w:color w:val="auto"/>
                <w:sz w:val="24"/>
                <w:highlight w:val="none"/>
                <w:lang w:val="en-US" w:eastAsia="zh-CN"/>
              </w:rPr>
              <w:drawing>
                <wp:inline distT="0" distB="0" distL="114300" distR="114300">
                  <wp:extent cx="3297555" cy="3810635"/>
                  <wp:effectExtent l="0" t="0" r="9525" b="14605"/>
                  <wp:docPr id="4" name="图片 4" descr="局部截取_20260126_085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局部截取_20260126_085015"/>
                          <pic:cNvPicPr>
                            <a:picLocks noChangeAspect="1"/>
                          </pic:cNvPicPr>
                        </pic:nvPicPr>
                        <pic:blipFill>
                          <a:blip r:embed="rId13"/>
                          <a:stretch>
                            <a:fillRect/>
                          </a:stretch>
                        </pic:blipFill>
                        <pic:spPr>
                          <a:xfrm>
                            <a:off x="0" y="0"/>
                            <a:ext cx="3297555" cy="3810635"/>
                          </a:xfrm>
                          <a:prstGeom prst="rect">
                            <a:avLst/>
                          </a:prstGeom>
                        </pic:spPr>
                      </pic:pic>
                    </a:graphicData>
                  </a:graphic>
                </wp:inline>
              </w:drawing>
            </w:r>
          </w:p>
          <w:p w14:paraId="534E93E0">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hint="eastAsia" w:ascii="Times New Roman" w:hAnsi="Times New Roman" w:eastAsia="宋体" w:cs="Times New Roman"/>
                <w:b/>
                <w:color w:val="auto"/>
                <w:kern w:val="0"/>
                <w:sz w:val="21"/>
                <w:szCs w:val="21"/>
                <w:highlight w:val="none"/>
                <w:lang w:val="en-US" w:eastAsia="zh-CN" w:bidi="ar-SA"/>
              </w:rPr>
            </w:pPr>
            <w:r>
              <w:rPr>
                <w:rFonts w:hint="eastAsia" w:ascii="Times New Roman" w:hAnsi="Times New Roman" w:eastAsia="宋体" w:cs="Times New Roman"/>
                <w:b/>
                <w:color w:val="auto"/>
                <w:kern w:val="0"/>
                <w:sz w:val="21"/>
                <w:szCs w:val="21"/>
                <w:highlight w:val="none"/>
                <w:lang w:val="en-US" w:eastAsia="zh-CN" w:bidi="ar-SA"/>
              </w:rPr>
              <w:t>图3-1  景德镇市</w:t>
            </w:r>
            <w:r>
              <w:rPr>
                <w:rFonts w:hint="eastAsia" w:cs="Times New Roman"/>
                <w:b/>
                <w:color w:val="auto"/>
                <w:kern w:val="0"/>
                <w:sz w:val="21"/>
                <w:szCs w:val="21"/>
                <w:highlight w:val="none"/>
                <w:lang w:val="en-US" w:eastAsia="zh-CN" w:bidi="ar-SA"/>
              </w:rPr>
              <w:t>2025年12</w:t>
            </w:r>
            <w:r>
              <w:rPr>
                <w:rFonts w:hint="eastAsia" w:ascii="Times New Roman" w:hAnsi="Times New Roman" w:eastAsia="宋体" w:cs="Times New Roman"/>
                <w:b/>
                <w:color w:val="auto"/>
                <w:kern w:val="0"/>
                <w:sz w:val="21"/>
                <w:szCs w:val="21"/>
                <w:highlight w:val="none"/>
                <w:lang w:val="en-US" w:eastAsia="zh-CN" w:bidi="ar-SA"/>
              </w:rPr>
              <w:t>月份环境质量月报地表水水质情况</w:t>
            </w:r>
          </w:p>
          <w:p w14:paraId="684BDE3B">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hint="eastAsia" w:ascii="Times New Roman" w:hAnsi="Times New Roman" w:eastAsia="宋体" w:cs="Times New Roman"/>
                <w:b/>
                <w:color w:val="auto"/>
                <w:kern w:val="0"/>
                <w:sz w:val="21"/>
                <w:szCs w:val="21"/>
                <w:highlight w:val="none"/>
                <w:lang w:val="en-US" w:eastAsia="zh-CN" w:bidi="ar-SA"/>
              </w:rPr>
            </w:pPr>
            <w:r>
              <w:rPr>
                <w:rFonts w:hint="eastAsia" w:ascii="Times New Roman" w:hAnsi="Times New Roman" w:eastAsia="宋体" w:cs="Times New Roman"/>
                <w:snapToGrid w:val="0"/>
                <w:color w:val="auto"/>
                <w:sz w:val="24"/>
                <w:highlight w:val="none"/>
                <w:lang w:val="en-US" w:eastAsia="zh-CN"/>
              </w:rPr>
              <w:drawing>
                <wp:anchor distT="0" distB="0" distL="114300" distR="114300" simplePos="0" relativeHeight="251857920" behindDoc="0" locked="0" layoutInCell="1" allowOverlap="1">
                  <wp:simplePos x="0" y="0"/>
                  <wp:positionH relativeFrom="column">
                    <wp:posOffset>4652645</wp:posOffset>
                  </wp:positionH>
                  <wp:positionV relativeFrom="paragraph">
                    <wp:posOffset>127635</wp:posOffset>
                  </wp:positionV>
                  <wp:extent cx="730250" cy="632460"/>
                  <wp:effectExtent l="0" t="0" r="1270" b="7620"/>
                  <wp:wrapNone/>
                  <wp:docPr id="286" name="图片 286" descr="fef9d975-3451-44e2-83e1-61867b884d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图片 286" descr="fef9d975-3451-44e2-83e1-61867b884d57"/>
                          <pic:cNvPicPr>
                            <a:picLocks noChangeAspect="1"/>
                          </pic:cNvPicPr>
                        </pic:nvPicPr>
                        <pic:blipFill>
                          <a:blip r:embed="rId14"/>
                          <a:stretch>
                            <a:fillRect/>
                          </a:stretch>
                        </pic:blipFill>
                        <pic:spPr>
                          <a:xfrm>
                            <a:off x="0" y="0"/>
                            <a:ext cx="730250" cy="632460"/>
                          </a:xfrm>
                          <a:prstGeom prst="rect">
                            <a:avLst/>
                          </a:prstGeom>
                        </pic:spPr>
                      </pic:pic>
                    </a:graphicData>
                  </a:graphic>
                </wp:anchor>
              </w:drawing>
            </w:r>
            <w:r>
              <w:rPr>
                <w:rFonts w:hint="default"/>
                <w:color w:val="auto"/>
              </w:rPr>
              <mc:AlternateContent>
                <mc:Choice Requires="wps">
                  <w:drawing>
                    <wp:anchor distT="0" distB="0" distL="114300" distR="114300" simplePos="0" relativeHeight="251852800" behindDoc="0" locked="0" layoutInCell="1" allowOverlap="1">
                      <wp:simplePos x="0" y="0"/>
                      <wp:positionH relativeFrom="column">
                        <wp:posOffset>3740150</wp:posOffset>
                      </wp:positionH>
                      <wp:positionV relativeFrom="paragraph">
                        <wp:posOffset>1250950</wp:posOffset>
                      </wp:positionV>
                      <wp:extent cx="1085215" cy="252095"/>
                      <wp:effectExtent l="0" t="0" r="0" b="0"/>
                      <wp:wrapNone/>
                      <wp:docPr id="277" name="文本框 277"/>
                      <wp:cNvGraphicFramePr/>
                      <a:graphic xmlns:a="http://schemas.openxmlformats.org/drawingml/2006/main">
                        <a:graphicData uri="http://schemas.microsoft.com/office/word/2010/wordprocessingShape">
                          <wps:wsp>
                            <wps:cNvSpPr txBox="1"/>
                            <wps:spPr>
                              <a:xfrm>
                                <a:off x="0" y="0"/>
                                <a:ext cx="1085215" cy="2520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78F08EB">
                                  <w:pPr>
                                    <w:rPr>
                                      <w:rFonts w:hint="default" w:eastAsia="宋体"/>
                                      <w:b w:val="0"/>
                                      <w:bCs/>
                                      <w:color w:val="FF0000"/>
                                      <w:sz w:val="18"/>
                                      <w:szCs w:val="21"/>
                                      <w:lang w:val="en-US" w:eastAsia="zh-CN"/>
                                    </w:rPr>
                                  </w:pPr>
                                  <w:r>
                                    <w:rPr>
                                      <w:rFonts w:hint="eastAsia"/>
                                      <w:b w:val="0"/>
                                      <w:bCs/>
                                      <w:color w:val="FF0000"/>
                                      <w:sz w:val="18"/>
                                      <w:szCs w:val="21"/>
                                      <w:lang w:val="en-US" w:eastAsia="zh-CN"/>
                                    </w:rPr>
                                    <w:t>污水站排口位置</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94.5pt;margin-top:98.5pt;height:19.85pt;width:85.45pt;z-index:251852800;mso-width-relative:page;mso-height-relative:page;" filled="f" stroked="f" coordsize="21600,21600" o:gfxdata="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C+Q8iF3AAAAAsBAAAPAAAAAAAAAAEAIAAAACIA&#10;AABkcnMvZG93bnJldi54bWxQSwECFAAUAAAACACHTuJA9vyGRj4CAABqBAAADgAAAAAAAAABACAA&#10;AAArAQAAZHJzL2Uyb0RvYy54bWxQSwUGAAAAAAYABgBZAQAA2wUAAAAA&#10;">
                      <v:fill on="f" focussize="0,0"/>
                      <v:stroke on="f" weight="0.5pt"/>
                      <v:imagedata o:title=""/>
                      <o:lock v:ext="edit" aspectratio="f"/>
                      <v:textbox>
                        <w:txbxContent>
                          <w:p w14:paraId="578F08EB">
                            <w:pPr>
                              <w:rPr>
                                <w:rFonts w:hint="default" w:eastAsia="宋体"/>
                                <w:b w:val="0"/>
                                <w:bCs/>
                                <w:color w:val="FF0000"/>
                                <w:sz w:val="18"/>
                                <w:szCs w:val="21"/>
                                <w:lang w:val="en-US" w:eastAsia="zh-CN"/>
                              </w:rPr>
                            </w:pPr>
                            <w:r>
                              <w:rPr>
                                <w:rFonts w:hint="eastAsia"/>
                                <w:b w:val="0"/>
                                <w:bCs/>
                                <w:color w:val="FF0000"/>
                                <w:sz w:val="18"/>
                                <w:szCs w:val="21"/>
                                <w:lang w:val="en-US" w:eastAsia="zh-CN"/>
                              </w:rPr>
                              <w:t>污水站排口位置</w:t>
                            </w:r>
                          </w:p>
                        </w:txbxContent>
                      </v:textbox>
                    </v:shape>
                  </w:pict>
                </mc:Fallback>
              </mc:AlternateContent>
            </w:r>
            <w:r>
              <w:rPr>
                <w:rFonts w:hint="default"/>
                <w:color w:val="auto"/>
              </w:rPr>
              <mc:AlternateContent>
                <mc:Choice Requires="wps">
                  <w:drawing>
                    <wp:anchor distT="0" distB="0" distL="114300" distR="114300" simplePos="0" relativeHeight="251856896" behindDoc="0" locked="0" layoutInCell="1" allowOverlap="1">
                      <wp:simplePos x="0" y="0"/>
                      <wp:positionH relativeFrom="column">
                        <wp:posOffset>3887470</wp:posOffset>
                      </wp:positionH>
                      <wp:positionV relativeFrom="paragraph">
                        <wp:posOffset>1763395</wp:posOffset>
                      </wp:positionV>
                      <wp:extent cx="605155" cy="285750"/>
                      <wp:effectExtent l="0" t="0" r="0" b="0"/>
                      <wp:wrapNone/>
                      <wp:docPr id="280" name="矩形 280"/>
                      <wp:cNvGraphicFramePr/>
                      <a:graphic xmlns:a="http://schemas.openxmlformats.org/drawingml/2006/main">
                        <a:graphicData uri="http://schemas.microsoft.com/office/word/2010/wordprocessingShape">
                          <wps:wsp>
                            <wps:cNvSpPr/>
                            <wps:spPr>
                              <a:xfrm>
                                <a:off x="0" y="0"/>
                                <a:ext cx="605155" cy="285750"/>
                              </a:xfrm>
                              <a:prstGeom prst="rect">
                                <a:avLst/>
                              </a:prstGeom>
                              <a:noFill/>
                              <a:ln w="15875">
                                <a:noFill/>
                              </a:ln>
                            </wps:spPr>
                            <wps:txbx>
                              <w:txbxContent>
                                <w:p w14:paraId="1DB1D0BA">
                                  <w:pPr>
                                    <w:rPr>
                                      <w:rFonts w:hint="default" w:eastAsia="宋体"/>
                                      <w:b w:val="0"/>
                                      <w:bCs w:val="0"/>
                                      <w:color w:val="FF0000"/>
                                      <w:sz w:val="18"/>
                                      <w:szCs w:val="21"/>
                                      <w:lang w:val="en-US" w:eastAsia="zh-CN"/>
                                    </w:rPr>
                                  </w:pPr>
                                  <w:r>
                                    <w:rPr>
                                      <w:rFonts w:hint="eastAsia"/>
                                      <w:b w:val="0"/>
                                      <w:bCs w:val="0"/>
                                      <w:color w:val="FF0000"/>
                                      <w:sz w:val="18"/>
                                      <w:szCs w:val="21"/>
                                      <w:lang w:val="en-US" w:eastAsia="zh-CN"/>
                                    </w:rPr>
                                    <w:t>2.64km</w:t>
                                  </w:r>
                                </w:p>
                              </w:txbxContent>
                            </wps:txbx>
                            <wps:bodyPr upright="1"/>
                          </wps:wsp>
                        </a:graphicData>
                      </a:graphic>
                    </wp:anchor>
                  </w:drawing>
                </mc:Choice>
                <mc:Fallback>
                  <w:pict>
                    <v:rect id="_x0000_s1026" o:spid="_x0000_s1026" o:spt="1" style="position:absolute;left:0pt;margin-left:306.1pt;margin-top:138.85pt;height:22.5pt;width:47.65pt;z-index:251856896;mso-width-relative:page;mso-height-relative:page;" filled="f" stroked="f" coordsize="21600,21600" o:gfxdata="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">
                      <v:fill on="f" focussize="0,0"/>
                      <v:stroke on="f" weight="1.25pt"/>
                      <v:imagedata o:title=""/>
                      <o:lock v:ext="edit" aspectratio="f"/>
                      <v:textbox>
                        <w:txbxContent>
                          <w:p w14:paraId="1DB1D0BA">
                            <w:pPr>
                              <w:rPr>
                                <w:rFonts w:hint="default" w:eastAsia="宋体"/>
                                <w:b w:val="0"/>
                                <w:bCs w:val="0"/>
                                <w:color w:val="FF0000"/>
                                <w:sz w:val="18"/>
                                <w:szCs w:val="21"/>
                                <w:lang w:val="en-US" w:eastAsia="zh-CN"/>
                              </w:rPr>
                            </w:pPr>
                            <w:r>
                              <w:rPr>
                                <w:rFonts w:hint="eastAsia"/>
                                <w:b w:val="0"/>
                                <w:bCs w:val="0"/>
                                <w:color w:val="FF0000"/>
                                <w:sz w:val="18"/>
                                <w:szCs w:val="21"/>
                                <w:lang w:val="en-US" w:eastAsia="zh-CN"/>
                              </w:rPr>
                              <w:t>2.64km</w:t>
                            </w:r>
                          </w:p>
                        </w:txbxContent>
                      </v:textbox>
                    </v:rect>
                  </w:pict>
                </mc:Fallback>
              </mc:AlternateContent>
            </w:r>
            <w:r>
              <w:rPr>
                <w:rFonts w:hint="default"/>
                <w:color w:val="auto"/>
              </w:rPr>
              <mc:AlternateContent>
                <mc:Choice Requires="wps">
                  <w:drawing>
                    <wp:anchor distT="0" distB="0" distL="114300" distR="114300" simplePos="0" relativeHeight="251854848" behindDoc="0" locked="0" layoutInCell="1" allowOverlap="1">
                      <wp:simplePos x="0" y="0"/>
                      <wp:positionH relativeFrom="column">
                        <wp:posOffset>2316480</wp:posOffset>
                      </wp:positionH>
                      <wp:positionV relativeFrom="paragraph">
                        <wp:posOffset>1969770</wp:posOffset>
                      </wp:positionV>
                      <wp:extent cx="605155" cy="285750"/>
                      <wp:effectExtent l="0" t="0" r="0" b="0"/>
                      <wp:wrapNone/>
                      <wp:docPr id="479" name="矩形 479"/>
                      <wp:cNvGraphicFramePr/>
                      <a:graphic xmlns:a="http://schemas.openxmlformats.org/drawingml/2006/main">
                        <a:graphicData uri="http://schemas.microsoft.com/office/word/2010/wordprocessingShape">
                          <wps:wsp>
                            <wps:cNvSpPr/>
                            <wps:spPr>
                              <a:xfrm>
                                <a:off x="0" y="0"/>
                                <a:ext cx="605155" cy="285750"/>
                              </a:xfrm>
                              <a:prstGeom prst="rect">
                                <a:avLst/>
                              </a:prstGeom>
                              <a:noFill/>
                              <a:ln w="15875">
                                <a:noFill/>
                              </a:ln>
                            </wps:spPr>
                            <wps:txbx>
                              <w:txbxContent>
                                <w:p w14:paraId="63E8EDE0">
                                  <w:pPr>
                                    <w:rPr>
                                      <w:rFonts w:hint="default" w:eastAsia="宋体"/>
                                      <w:b w:val="0"/>
                                      <w:bCs w:val="0"/>
                                      <w:color w:val="FF0000"/>
                                      <w:sz w:val="18"/>
                                      <w:szCs w:val="21"/>
                                      <w:lang w:val="en-US" w:eastAsia="zh-CN"/>
                                    </w:rPr>
                                  </w:pPr>
                                  <w:r>
                                    <w:rPr>
                                      <w:rFonts w:hint="eastAsia"/>
                                      <w:b w:val="0"/>
                                      <w:bCs w:val="0"/>
                                      <w:color w:val="FF0000"/>
                                      <w:sz w:val="18"/>
                                      <w:szCs w:val="21"/>
                                      <w:lang w:val="en-US" w:eastAsia="zh-CN"/>
                                    </w:rPr>
                                    <w:t>23.85km</w:t>
                                  </w:r>
                                </w:p>
                              </w:txbxContent>
                            </wps:txbx>
                            <wps:bodyPr upright="1"/>
                          </wps:wsp>
                        </a:graphicData>
                      </a:graphic>
                    </wp:anchor>
                  </w:drawing>
                </mc:Choice>
                <mc:Fallback>
                  <w:pict>
                    <v:rect id="_x0000_s1026" o:spid="_x0000_s1026" o:spt="1" style="position:absolute;left:0pt;margin-left:182.4pt;margin-top:155.1pt;height:22.5pt;width:47.65pt;z-index:251854848;mso-width-relative:page;mso-height-relative:page;" filled="f" stroked="f" coordsize="21600,21600" o:gfxdata="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Jm1&#10;BCHbAAAACwEAAA8AAAAAAAAAAQAgAAAAIgAAAGRycy9kb3ducmV2LnhtbFBLAQIUABQAAAAIAIdO&#10;4kA6ALV3rgEAAE4DAAAOAAAAAAAAAAEAIAAAACoBAABkcnMvZTJvRG9jLnhtbFBLBQYAAAAABgAG&#10;AFkBAABKBQAAAAA=&#10;">
                      <v:fill on="f" focussize="0,0"/>
                      <v:stroke on="f" weight="1.25pt"/>
                      <v:imagedata o:title=""/>
                      <o:lock v:ext="edit" aspectratio="f"/>
                      <v:textbox>
                        <w:txbxContent>
                          <w:p w14:paraId="63E8EDE0">
                            <w:pPr>
                              <w:rPr>
                                <w:rFonts w:hint="default" w:eastAsia="宋体"/>
                                <w:b w:val="0"/>
                                <w:bCs w:val="0"/>
                                <w:color w:val="FF0000"/>
                                <w:sz w:val="18"/>
                                <w:szCs w:val="21"/>
                                <w:lang w:val="en-US" w:eastAsia="zh-CN"/>
                              </w:rPr>
                            </w:pPr>
                            <w:r>
                              <w:rPr>
                                <w:rFonts w:hint="eastAsia"/>
                                <w:b w:val="0"/>
                                <w:bCs w:val="0"/>
                                <w:color w:val="FF0000"/>
                                <w:sz w:val="18"/>
                                <w:szCs w:val="21"/>
                                <w:lang w:val="en-US" w:eastAsia="zh-CN"/>
                              </w:rPr>
                              <w:t>23.85km</w:t>
                            </w:r>
                          </w:p>
                        </w:txbxContent>
                      </v:textbox>
                    </v:rect>
                  </w:pict>
                </mc:Fallback>
              </mc:AlternateContent>
            </w:r>
            <w:r>
              <w:rPr>
                <w:rFonts w:hint="default"/>
                <w:color w:val="auto"/>
                <w:sz w:val="21"/>
              </w:rPr>
              <mc:AlternateContent>
                <mc:Choice Requires="wps">
                  <w:drawing>
                    <wp:anchor distT="0" distB="0" distL="114300" distR="114300" simplePos="0" relativeHeight="251855872" behindDoc="0" locked="0" layoutInCell="1" allowOverlap="1">
                      <wp:simplePos x="0" y="0"/>
                      <wp:positionH relativeFrom="column">
                        <wp:posOffset>4065270</wp:posOffset>
                      </wp:positionH>
                      <wp:positionV relativeFrom="paragraph">
                        <wp:posOffset>1623695</wp:posOffset>
                      </wp:positionV>
                      <wp:extent cx="314325" cy="156210"/>
                      <wp:effectExtent l="0" t="6350" r="5715" b="20320"/>
                      <wp:wrapNone/>
                      <wp:docPr id="279" name="直接箭头连接符 279"/>
                      <wp:cNvGraphicFramePr/>
                      <a:graphic xmlns:a="http://schemas.openxmlformats.org/drawingml/2006/main">
                        <a:graphicData uri="http://schemas.microsoft.com/office/word/2010/wordprocessingShape">
                          <wps:wsp>
                            <wps:cNvCnPr>
                              <a:endCxn id="276" idx="1"/>
                            </wps:cNvCnPr>
                            <wps:spPr>
                              <a:xfrm flipH="1" flipV="1">
                                <a:off x="0" y="0"/>
                                <a:ext cx="314325" cy="156210"/>
                              </a:xfrm>
                              <a:prstGeom prst="straightConnector1">
                                <a:avLst/>
                              </a:prstGeom>
                              <a:ln w="6350">
                                <a:solidFill>
                                  <a:srgbClr val="FF0000"/>
                                </a:solidFill>
                                <a:headEnd type="arrow"/>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x y;margin-left:320.1pt;margin-top:127.85pt;height:12.3pt;width:24.75pt;z-index:251855872;mso-width-relative:page;mso-height-relative:page;" filled="f" stroked="t" coordsize="21600,21600" o:gfxdata="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JLKj9fZAAAACwEAAA8AAAAAAAAAAQAgAAAAIgAAAGRycy9kb3ducmV2LnhtbFBLAQIUABQAAAAI&#10;AIdO4kCDXkibJQIAACUEAAAOAAAAAAAAAAEAIAAAACgBAABkcnMvZTJvRG9jLnhtbFBLBQYAAAAA&#10;BgAGAFkBAAC/BQAAAAA=&#10;">
                      <v:fill on="f" focussize="0,0"/>
                      <v:stroke weight="0.5pt" color="#FF0000 [3204]" joinstyle="round" startarrow="open" endarrow="open"/>
                      <v:imagedata o:title=""/>
                      <o:lock v:ext="edit" aspectratio="f"/>
                    </v:shape>
                  </w:pict>
                </mc:Fallback>
              </mc:AlternateContent>
            </w:r>
            <w:r>
              <w:rPr>
                <w:rFonts w:hint="default"/>
                <w:color w:val="auto"/>
                <w:sz w:val="21"/>
              </w:rPr>
              <mc:AlternateContent>
                <mc:Choice Requires="wps">
                  <w:drawing>
                    <wp:anchor distT="0" distB="0" distL="114300" distR="114300" simplePos="0" relativeHeight="251853824" behindDoc="0" locked="0" layoutInCell="1" allowOverlap="1">
                      <wp:simplePos x="0" y="0"/>
                      <wp:positionH relativeFrom="column">
                        <wp:posOffset>908050</wp:posOffset>
                      </wp:positionH>
                      <wp:positionV relativeFrom="paragraph">
                        <wp:posOffset>1610995</wp:posOffset>
                      </wp:positionV>
                      <wp:extent cx="3109595" cy="1543050"/>
                      <wp:effectExtent l="0" t="6350" r="14605" b="20320"/>
                      <wp:wrapNone/>
                      <wp:docPr id="278" name="直接箭头连接符 278"/>
                      <wp:cNvGraphicFramePr/>
                      <a:graphic xmlns:a="http://schemas.openxmlformats.org/drawingml/2006/main">
                        <a:graphicData uri="http://schemas.microsoft.com/office/word/2010/wordprocessingShape">
                          <wps:wsp>
                            <wps:cNvCnPr/>
                            <wps:spPr>
                              <a:xfrm flipV="1">
                                <a:off x="0" y="0"/>
                                <a:ext cx="3109595" cy="1543050"/>
                              </a:xfrm>
                              <a:prstGeom prst="straightConnector1">
                                <a:avLst/>
                              </a:prstGeom>
                              <a:ln w="6350">
                                <a:solidFill>
                                  <a:srgbClr val="FF0000"/>
                                </a:solidFill>
                                <a:headEnd type="arrow"/>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71.5pt;margin-top:126.85pt;height:121.5pt;width:244.85pt;z-index:251853824;mso-width-relative:page;mso-height-relative:page;" filled="f" stroked="t" coordsize="21600,21600" o:gfxdata="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wFgHs2QAAAAsBAAAPAAAAAAAA&#10;AAEAIAAAACIAAABkcnMvZG93bnJldi54bWxQSwECFAAUAAAACACHTuJAB8dqiRECAAD0AwAADgAA&#10;AAAAAAABACAAAAAoAQAAZHJzL2Uyb0RvYy54bWxQSwUGAAAAAAYABgBZAQAAqwUAAAAA&#10;">
                      <v:fill on="f" focussize="0,0"/>
                      <v:stroke weight="0.5pt" color="#FF0000 [3204]" joinstyle="round" startarrow="open" endarrow="open"/>
                      <v:imagedata o:title=""/>
                      <o:lock v:ext="edit" aspectratio="f"/>
                    </v:shape>
                  </w:pict>
                </mc:Fallback>
              </mc:AlternateContent>
            </w:r>
            <w:r>
              <w:rPr>
                <w:rFonts w:hint="default"/>
                <w:color w:val="auto"/>
                <w:sz w:val="28"/>
              </w:rPr>
              <mc:AlternateContent>
                <mc:Choice Requires="wps">
                  <w:drawing>
                    <wp:anchor distT="0" distB="0" distL="114300" distR="114300" simplePos="0" relativeHeight="251851776" behindDoc="0" locked="0" layoutInCell="1" allowOverlap="1">
                      <wp:simplePos x="0" y="0"/>
                      <wp:positionH relativeFrom="column">
                        <wp:posOffset>3989070</wp:posOffset>
                      </wp:positionH>
                      <wp:positionV relativeFrom="paragraph">
                        <wp:posOffset>1576705</wp:posOffset>
                      </wp:positionV>
                      <wp:extent cx="76200" cy="76200"/>
                      <wp:effectExtent l="13970" t="12700" r="16510" b="17780"/>
                      <wp:wrapNone/>
                      <wp:docPr id="276" name="任意多边形 2"/>
                      <wp:cNvGraphicFramePr/>
                      <a:graphic xmlns:a="http://schemas.openxmlformats.org/drawingml/2006/main">
                        <a:graphicData uri="http://schemas.microsoft.com/office/word/2010/wordprocessingShape">
                          <wps:wsp>
                            <wps:cNvSpPr/>
                            <wps:spPr>
                              <a:xfrm flipH="1" flipV="1">
                                <a:off x="0" y="0"/>
                                <a:ext cx="76200" cy="76200"/>
                              </a:xfrm>
                              <a:custGeom>
                                <a:avLst/>
                                <a:gdLst>
                                  <a:gd name="txL" fmla="*/ 0 w 76200"/>
                                  <a:gd name="txT" fmla="*/ 0 h 76200"/>
                                  <a:gd name="txR" fmla="*/ 76200 w 76200"/>
                                  <a:gd name="txB" fmla="*/ 76200 h 76200"/>
                                </a:gdLst>
                                <a:ahLst/>
                                <a:cxnLst>
                                  <a:cxn ang="16187392">
                                    <a:pos x="38100" y="0"/>
                                  </a:cxn>
                                  <a:cxn ang="10747904">
                                    <a:pos x="0" y="29105"/>
                                  </a:cxn>
                                  <a:cxn ang="5373952">
                                    <a:pos x="14552" y="76199"/>
                                  </a:cxn>
                                  <a:cxn ang="5373952">
                                    <a:pos x="61647" y="76199"/>
                                  </a:cxn>
                                  <a:cxn ang="0">
                                    <a:pos x="76199" y="29105"/>
                                  </a:cxn>
                                </a:cxnLst>
                                <a:rect l="txL" t="txT" r="txR" b="txB"/>
                                <a:pathLst>
                                  <a:path w="76200" h="76200">
                                    <a:moveTo>
                                      <a:pt x="0" y="29105"/>
                                    </a:moveTo>
                                    <a:lnTo>
                                      <a:pt x="29105" y="29105"/>
                                    </a:lnTo>
                                    <a:lnTo>
                                      <a:pt x="38100" y="0"/>
                                    </a:lnTo>
                                    <a:lnTo>
                                      <a:pt x="47094" y="29105"/>
                                    </a:lnTo>
                                    <a:lnTo>
                                      <a:pt x="76199" y="29105"/>
                                    </a:lnTo>
                                    <a:lnTo>
                                      <a:pt x="52652" y="47093"/>
                                    </a:lnTo>
                                    <a:lnTo>
                                      <a:pt x="61647" y="76199"/>
                                    </a:lnTo>
                                    <a:lnTo>
                                      <a:pt x="38100" y="58211"/>
                                    </a:lnTo>
                                    <a:lnTo>
                                      <a:pt x="14552" y="76199"/>
                                    </a:lnTo>
                                    <a:lnTo>
                                      <a:pt x="23547" y="47093"/>
                                    </a:lnTo>
                                    <a:close/>
                                  </a:path>
                                </a:pathLst>
                              </a:custGeom>
                              <a:solidFill>
                                <a:srgbClr val="FF0000"/>
                              </a:solidFill>
                              <a:ln w="0" cap="flat" cmpd="sng">
                                <a:solidFill>
                                  <a:srgbClr val="FF0000"/>
                                </a:solidFill>
                                <a:prstDash val="solid"/>
                                <a:miter/>
                                <a:headEnd type="none" w="med" len="med"/>
                                <a:tailEnd type="none" w="med" len="med"/>
                              </a:ln>
                            </wps:spPr>
                            <wps:txbx>
                              <w:txbxContent>
                                <w:p w14:paraId="27FBD507">
                                  <w:pPr>
                                    <w:overflowPunct/>
                                    <w:spacing w:line="240" w:lineRule="auto"/>
                                    <w:ind w:firstLine="0" w:firstLineChars="0"/>
                                    <w:jc w:val="center"/>
                                    <w:rPr>
                                      <w:rFonts w:ascii="Calibri" w:hAnsi="Calibri" w:eastAsia="宋体" w:cs="宋体"/>
                                      <w:kern w:val="2"/>
                                      <w:sz w:val="21"/>
                                      <w:szCs w:val="24"/>
                                    </w:rPr>
                                  </w:pPr>
                                </w:p>
                              </w:txbxContent>
                            </wps:txbx>
                            <wps:bodyPr upright="1"/>
                          </wps:wsp>
                        </a:graphicData>
                      </a:graphic>
                    </wp:anchor>
                  </w:drawing>
                </mc:Choice>
                <mc:Fallback>
                  <w:pict>
                    <v:shape id="任意多边形 2" o:spid="_x0000_s1026" o:spt="100" style="position:absolute;left:0pt;flip:x y;margin-left:314.1pt;margin-top:124.15pt;height:6pt;width:6pt;z-index:251851776;mso-width-relative:page;mso-height-relative:page;" fillcolor="#FF0000" filled="t" stroked="t" coordsize="76200,76200" o:gfxdata="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" path="m0,29105l29105,29105,38100,0,47094,29105,76199,29105,52652,47093,61647,76199,38100,58211,14552,76199,23547,47093xe">
                      <v:path textboxrect="0,0,76200,76200" o:connectlocs="38100,0;0,29105;14552,76199;61647,76199;76199,29105" o:connectangles="247,164,82,82,0"/>
                      <v:fill on="t" focussize="0,0"/>
                      <v:stroke weight="0pt" color="#FF0000" joinstyle="miter"/>
                      <v:imagedata o:title=""/>
                      <o:lock v:ext="edit" aspectratio="f"/>
                      <v:textbox>
                        <w:txbxContent>
                          <w:p w14:paraId="27FBD507">
                            <w:pPr>
                              <w:overflowPunct/>
                              <w:spacing w:line="240" w:lineRule="auto"/>
                              <w:ind w:firstLine="0" w:firstLineChars="0"/>
                              <w:jc w:val="center"/>
                              <w:rPr>
                                <w:rFonts w:ascii="Calibri" w:hAnsi="Calibri" w:eastAsia="宋体" w:cs="宋体"/>
                                <w:kern w:val="2"/>
                                <w:sz w:val="21"/>
                                <w:szCs w:val="24"/>
                              </w:rPr>
                            </w:pPr>
                          </w:p>
                        </w:txbxContent>
                      </v:textbox>
                    </v:shape>
                  </w:pict>
                </mc:Fallback>
              </mc:AlternateContent>
            </w:r>
            <w:r>
              <w:rPr>
                <w:rFonts w:hint="default"/>
                <w:color w:val="auto"/>
                <w:sz w:val="28"/>
              </w:rPr>
              <mc:AlternateContent>
                <mc:Choice Requires="wps">
                  <w:drawing>
                    <wp:anchor distT="0" distB="0" distL="114300" distR="114300" simplePos="0" relativeHeight="251850752" behindDoc="0" locked="0" layoutInCell="1" allowOverlap="1">
                      <wp:simplePos x="0" y="0"/>
                      <wp:positionH relativeFrom="column">
                        <wp:posOffset>3335655</wp:posOffset>
                      </wp:positionH>
                      <wp:positionV relativeFrom="paragraph">
                        <wp:posOffset>899795</wp:posOffset>
                      </wp:positionV>
                      <wp:extent cx="76200" cy="76200"/>
                      <wp:effectExtent l="13970" t="12700" r="16510" b="17780"/>
                      <wp:wrapNone/>
                      <wp:docPr id="275" name="任意多边形 2"/>
                      <wp:cNvGraphicFramePr/>
                      <a:graphic xmlns:a="http://schemas.openxmlformats.org/drawingml/2006/main">
                        <a:graphicData uri="http://schemas.microsoft.com/office/word/2010/wordprocessingShape">
                          <wps:wsp>
                            <wps:cNvSpPr/>
                            <wps:spPr>
                              <a:xfrm flipH="1" flipV="1">
                                <a:off x="0" y="0"/>
                                <a:ext cx="76200" cy="76200"/>
                              </a:xfrm>
                              <a:custGeom>
                                <a:avLst/>
                                <a:gdLst>
                                  <a:gd name="txL" fmla="*/ 0 w 76200"/>
                                  <a:gd name="txT" fmla="*/ 0 h 76200"/>
                                  <a:gd name="txR" fmla="*/ 76200 w 76200"/>
                                  <a:gd name="txB" fmla="*/ 76200 h 76200"/>
                                </a:gdLst>
                                <a:ahLst/>
                                <a:cxnLst>
                                  <a:cxn ang="16187392">
                                    <a:pos x="38100" y="0"/>
                                  </a:cxn>
                                  <a:cxn ang="10747904">
                                    <a:pos x="0" y="29105"/>
                                  </a:cxn>
                                  <a:cxn ang="5373952">
                                    <a:pos x="14552" y="76199"/>
                                  </a:cxn>
                                  <a:cxn ang="5373952">
                                    <a:pos x="61647" y="76199"/>
                                  </a:cxn>
                                  <a:cxn ang="0">
                                    <a:pos x="76199" y="29105"/>
                                  </a:cxn>
                                </a:cxnLst>
                                <a:rect l="txL" t="txT" r="txR" b="txB"/>
                                <a:pathLst>
                                  <a:path w="76200" h="76200">
                                    <a:moveTo>
                                      <a:pt x="0" y="29105"/>
                                    </a:moveTo>
                                    <a:lnTo>
                                      <a:pt x="29105" y="29105"/>
                                    </a:lnTo>
                                    <a:lnTo>
                                      <a:pt x="38100" y="0"/>
                                    </a:lnTo>
                                    <a:lnTo>
                                      <a:pt x="47094" y="29105"/>
                                    </a:lnTo>
                                    <a:lnTo>
                                      <a:pt x="76199" y="29105"/>
                                    </a:lnTo>
                                    <a:lnTo>
                                      <a:pt x="52652" y="47093"/>
                                    </a:lnTo>
                                    <a:lnTo>
                                      <a:pt x="61647" y="76199"/>
                                    </a:lnTo>
                                    <a:lnTo>
                                      <a:pt x="38100" y="58211"/>
                                    </a:lnTo>
                                    <a:lnTo>
                                      <a:pt x="14552" y="76199"/>
                                    </a:lnTo>
                                    <a:lnTo>
                                      <a:pt x="23547" y="47093"/>
                                    </a:lnTo>
                                    <a:close/>
                                  </a:path>
                                </a:pathLst>
                              </a:custGeom>
                              <a:solidFill>
                                <a:srgbClr val="FF0000"/>
                              </a:solidFill>
                              <a:ln w="0" cap="flat" cmpd="sng">
                                <a:solidFill>
                                  <a:srgbClr val="FF0000"/>
                                </a:solidFill>
                                <a:prstDash val="solid"/>
                                <a:miter/>
                                <a:headEnd type="none" w="med" len="med"/>
                                <a:tailEnd type="none" w="med" len="med"/>
                              </a:ln>
                            </wps:spPr>
                            <wps:txbx>
                              <w:txbxContent>
                                <w:p w14:paraId="7355CE0A">
                                  <w:pPr>
                                    <w:overflowPunct/>
                                    <w:spacing w:line="240" w:lineRule="auto"/>
                                    <w:ind w:firstLine="0" w:firstLineChars="0"/>
                                    <w:jc w:val="center"/>
                                    <w:rPr>
                                      <w:rFonts w:ascii="Calibri" w:hAnsi="Calibri" w:eastAsia="宋体" w:cs="宋体"/>
                                      <w:kern w:val="2"/>
                                      <w:sz w:val="21"/>
                                      <w:szCs w:val="24"/>
                                    </w:rPr>
                                  </w:pPr>
                                </w:p>
                              </w:txbxContent>
                            </wps:txbx>
                            <wps:bodyPr upright="1"/>
                          </wps:wsp>
                        </a:graphicData>
                      </a:graphic>
                    </wp:anchor>
                  </w:drawing>
                </mc:Choice>
                <mc:Fallback>
                  <w:pict>
                    <v:shape id="任意多边形 2" o:spid="_x0000_s1026" o:spt="100" style="position:absolute;left:0pt;flip:x y;margin-left:262.65pt;margin-top:70.85pt;height:6pt;width:6pt;z-index:251850752;mso-width-relative:page;mso-height-relative:page;" fillcolor="#FF0000" filled="t" stroked="t" coordsize="76200,76200" o:gfxdata="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" path="m0,29105l29105,29105,38100,0,47094,29105,76199,29105,52652,47093,61647,76199,38100,58211,14552,76199,23547,47093xe">
                      <v:path textboxrect="0,0,76200,76200" o:connectlocs="38100,0;0,29105;14552,76199;61647,76199;76199,29105" o:connectangles="247,164,82,82,0"/>
                      <v:fill on="t" focussize="0,0"/>
                      <v:stroke weight="0pt" color="#FF0000" joinstyle="miter"/>
                      <v:imagedata o:title=""/>
                      <o:lock v:ext="edit" aspectratio="f"/>
                      <v:textbox>
                        <w:txbxContent>
                          <w:p w14:paraId="7355CE0A">
                            <w:pPr>
                              <w:overflowPunct/>
                              <w:spacing w:line="240" w:lineRule="auto"/>
                              <w:ind w:firstLine="0" w:firstLineChars="0"/>
                              <w:jc w:val="center"/>
                              <w:rPr>
                                <w:rFonts w:ascii="Calibri" w:hAnsi="Calibri" w:eastAsia="宋体" w:cs="宋体"/>
                                <w:kern w:val="2"/>
                                <w:sz w:val="21"/>
                                <w:szCs w:val="24"/>
                              </w:rPr>
                            </w:pPr>
                          </w:p>
                        </w:txbxContent>
                      </v:textbox>
                    </v:shape>
                  </w:pict>
                </mc:Fallback>
              </mc:AlternateContent>
            </w:r>
            <w:r>
              <w:rPr>
                <w:rFonts w:hint="default"/>
                <w:color w:val="auto"/>
              </w:rPr>
              <mc:AlternateContent>
                <mc:Choice Requires="wps">
                  <w:drawing>
                    <wp:anchor distT="0" distB="0" distL="114300" distR="114300" simplePos="0" relativeHeight="251849728" behindDoc="0" locked="0" layoutInCell="1" allowOverlap="1">
                      <wp:simplePos x="0" y="0"/>
                      <wp:positionH relativeFrom="column">
                        <wp:posOffset>2846070</wp:posOffset>
                      </wp:positionH>
                      <wp:positionV relativeFrom="paragraph">
                        <wp:posOffset>372110</wp:posOffset>
                      </wp:positionV>
                      <wp:extent cx="814705" cy="259715"/>
                      <wp:effectExtent l="5080" t="4445" r="18415" b="330200"/>
                      <wp:wrapNone/>
                      <wp:docPr id="273" name="矩形标注 273"/>
                      <wp:cNvGraphicFramePr/>
                      <a:graphic xmlns:a="http://schemas.openxmlformats.org/drawingml/2006/main">
                        <a:graphicData uri="http://schemas.microsoft.com/office/word/2010/wordprocessingShape">
                          <wps:wsp>
                            <wps:cNvSpPr/>
                            <wps:spPr>
                              <a:xfrm>
                                <a:off x="0" y="0"/>
                                <a:ext cx="814705" cy="259715"/>
                              </a:xfrm>
                              <a:prstGeom prst="wedgeRectCallout">
                                <a:avLst>
                                  <a:gd name="adj1" fmla="val 16854"/>
                                  <a:gd name="adj2" fmla="val 169804"/>
                                </a:avLst>
                              </a:prstGeom>
                              <a:noFill/>
                              <a:ln w="63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3631B5C">
                                  <w:pPr>
                                    <w:rPr>
                                      <w:rFonts w:hint="default" w:eastAsia="宋体"/>
                                      <w:color w:val="FF0000"/>
                                      <w:sz w:val="18"/>
                                      <w:szCs w:val="21"/>
                                      <w:lang w:val="en-US" w:eastAsia="zh-CN"/>
                                    </w:rPr>
                                  </w:pPr>
                                  <w:r>
                                    <w:rPr>
                                      <w:rFonts w:hint="eastAsia"/>
                                      <w:color w:val="FF0000"/>
                                      <w:sz w:val="18"/>
                                      <w:szCs w:val="21"/>
                                    </w:rPr>
                                    <w:t>本项</w:t>
                                  </w:r>
                                  <w:r>
                                    <w:rPr>
                                      <w:rFonts w:hint="eastAsia"/>
                                      <w:color w:val="FF0000"/>
                                      <w:sz w:val="18"/>
                                      <w:szCs w:val="21"/>
                                      <w:lang w:val="en-US" w:eastAsia="zh-CN"/>
                                    </w:rPr>
                                    <w:t xml:space="preserve">目位置 </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224.1pt;margin-top:29.3pt;height:20.45pt;width:64.15pt;z-index:251849728;v-text-anchor:middle;mso-width-relative:page;mso-height-relative:page;" filled="f" stroked="t" coordsize="21600,21600" o:gfxdata="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" adj="14440,47478">
                      <v:fill on="f" focussize="0,0"/>
                      <v:stroke weight="0.5pt" color="#FF0000 [3204]" joinstyle="round"/>
                      <v:imagedata o:title=""/>
                      <o:lock v:ext="edit" aspectratio="f"/>
                      <v:textbox>
                        <w:txbxContent>
                          <w:p w14:paraId="43631B5C">
                            <w:pPr>
                              <w:rPr>
                                <w:rFonts w:hint="default" w:eastAsia="宋体"/>
                                <w:color w:val="FF0000"/>
                                <w:sz w:val="18"/>
                                <w:szCs w:val="21"/>
                                <w:lang w:val="en-US" w:eastAsia="zh-CN"/>
                              </w:rPr>
                            </w:pPr>
                            <w:r>
                              <w:rPr>
                                <w:rFonts w:hint="eastAsia"/>
                                <w:color w:val="FF0000"/>
                                <w:sz w:val="18"/>
                                <w:szCs w:val="21"/>
                              </w:rPr>
                              <w:t>本项</w:t>
                            </w:r>
                            <w:r>
                              <w:rPr>
                                <w:rFonts w:hint="eastAsia"/>
                                <w:color w:val="FF0000"/>
                                <w:sz w:val="18"/>
                                <w:szCs w:val="21"/>
                                <w:lang w:val="en-US" w:eastAsia="zh-CN"/>
                              </w:rPr>
                              <w:t xml:space="preserve">目位置 </w:t>
                            </w:r>
                          </w:p>
                        </w:txbxContent>
                      </v:textbox>
                    </v:shape>
                  </w:pict>
                </mc:Fallback>
              </mc:AlternateContent>
            </w:r>
            <w:r>
              <w:rPr>
                <w:rFonts w:hint="default"/>
                <w:color w:val="auto"/>
              </w:rPr>
              <mc:AlternateContent>
                <mc:Choice Requires="wps">
                  <w:drawing>
                    <wp:anchor distT="0" distB="0" distL="114300" distR="114300" simplePos="0" relativeHeight="251846656" behindDoc="0" locked="0" layoutInCell="1" allowOverlap="1">
                      <wp:simplePos x="0" y="0"/>
                      <wp:positionH relativeFrom="column">
                        <wp:posOffset>524510</wp:posOffset>
                      </wp:positionH>
                      <wp:positionV relativeFrom="paragraph">
                        <wp:posOffset>3162935</wp:posOffset>
                      </wp:positionV>
                      <wp:extent cx="921385" cy="320675"/>
                      <wp:effectExtent l="0" t="0" r="0" b="0"/>
                      <wp:wrapNone/>
                      <wp:docPr id="269" name="文本框 269"/>
                      <wp:cNvGraphicFramePr/>
                      <a:graphic xmlns:a="http://schemas.openxmlformats.org/drawingml/2006/main">
                        <a:graphicData uri="http://schemas.microsoft.com/office/word/2010/wordprocessingShape">
                          <wps:wsp>
                            <wps:cNvSpPr txBox="1"/>
                            <wps:spPr>
                              <a:xfrm>
                                <a:off x="0" y="0"/>
                                <a:ext cx="921385" cy="3206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DDEF7BA">
                                  <w:pPr>
                                    <w:rPr>
                                      <w:b w:val="0"/>
                                      <w:bCs/>
                                      <w:sz w:val="18"/>
                                      <w:szCs w:val="21"/>
                                    </w:rPr>
                                  </w:pPr>
                                  <w:r>
                                    <w:rPr>
                                      <w:rFonts w:hint="eastAsia"/>
                                      <w:b w:val="0"/>
                                      <w:bCs/>
                                      <w:color w:val="FF0000"/>
                                      <w:sz w:val="18"/>
                                      <w:szCs w:val="13"/>
                                    </w:rPr>
                                    <w:t>野鸡山村断面</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1.3pt;margin-top:249.05pt;height:25.25pt;width:72.55pt;z-index:251846656;mso-width-relative:page;mso-height-relative:page;" filled="f" stroked="f" coordsize="21600,21600" o:gfxdata="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BfkiMjcAAAACgEAAA8AAAAAAAAAAQAgAAAAIgAA&#10;AGRycy9kb3ducmV2LnhtbFBLAQIUABQAAAAIAIdO4kAxMQVpPQIAAGkEAAAOAAAAAAAAAAEAIAAA&#10;ACsBAABkcnMvZTJvRG9jLnhtbFBLBQYAAAAABgAGAFkBAADaBQAAAAA=&#10;">
                      <v:fill on="f" focussize="0,0"/>
                      <v:stroke on="f" weight="0.5pt"/>
                      <v:imagedata o:title=""/>
                      <o:lock v:ext="edit" aspectratio="f"/>
                      <v:textbox>
                        <w:txbxContent>
                          <w:p w14:paraId="3DDEF7BA">
                            <w:pPr>
                              <w:rPr>
                                <w:b w:val="0"/>
                                <w:bCs/>
                                <w:sz w:val="18"/>
                                <w:szCs w:val="21"/>
                              </w:rPr>
                            </w:pPr>
                            <w:r>
                              <w:rPr>
                                <w:rFonts w:hint="eastAsia"/>
                                <w:b w:val="0"/>
                                <w:bCs/>
                                <w:color w:val="FF0000"/>
                                <w:sz w:val="18"/>
                                <w:szCs w:val="13"/>
                              </w:rPr>
                              <w:t>野鸡山村断面</w:t>
                            </w:r>
                          </w:p>
                        </w:txbxContent>
                      </v:textbox>
                    </v:shape>
                  </w:pict>
                </mc:Fallback>
              </mc:AlternateContent>
            </w:r>
            <w:r>
              <w:rPr>
                <w:rFonts w:hint="default"/>
                <w:color w:val="auto"/>
                <w:sz w:val="21"/>
              </w:rPr>
              <mc:AlternateContent>
                <mc:Choice Requires="wps">
                  <w:drawing>
                    <wp:anchor distT="0" distB="0" distL="114300" distR="114300" simplePos="0" relativeHeight="251848704" behindDoc="0" locked="0" layoutInCell="1" allowOverlap="1">
                      <wp:simplePos x="0" y="0"/>
                      <wp:positionH relativeFrom="column">
                        <wp:posOffset>876300</wp:posOffset>
                      </wp:positionH>
                      <wp:positionV relativeFrom="paragraph">
                        <wp:posOffset>3115310</wp:posOffset>
                      </wp:positionV>
                      <wp:extent cx="52705" cy="37465"/>
                      <wp:effectExtent l="3810" t="5080" r="4445" b="18415"/>
                      <wp:wrapNone/>
                      <wp:docPr id="271" name="直接连接符 271"/>
                      <wp:cNvGraphicFramePr/>
                      <a:graphic xmlns:a="http://schemas.openxmlformats.org/drawingml/2006/main">
                        <a:graphicData uri="http://schemas.microsoft.com/office/word/2010/wordprocessingShape">
                          <wps:wsp>
                            <wps:cNvCnPr/>
                            <wps:spPr>
                              <a:xfrm>
                                <a:off x="0" y="0"/>
                                <a:ext cx="52705" cy="37465"/>
                              </a:xfrm>
                              <a:prstGeom prst="line">
                                <a:avLst/>
                              </a:prstGeom>
                              <a:ln w="12700">
                                <a:solidFill>
                                  <a:srgbClr val="FF0000"/>
                                </a:solidFill>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69pt;margin-top:245.3pt;height:2.95pt;width:4.15pt;z-index:251848704;mso-width-relative:page;mso-height-relative:page;" filled="f" stroked="t" coordsize="21600,21600" o:gfxdata="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FyJ92jYAAAACwEAAA8A&#10;AAAAAAAAAQAgAAAAIgAAAGRycy9kb3ducmV2LnhtbFBLAQIUABQAAAAIAIdO4kDmDZcf3gEAAKED&#10;AAAOAAAAAAAAAAEAIAAAACcBAABkcnMvZTJvRG9jLnhtbFBLBQYAAAAABgAGAFkBAAB3BQAAAAA=&#10;">
                      <v:fill on="f" focussize="0,0"/>
                      <v:stroke weight="1pt" color="#FF0000 [3204]" joinstyle="round"/>
                      <v:imagedata o:title=""/>
                      <o:lock v:ext="edit" aspectratio="f"/>
                    </v:line>
                  </w:pict>
                </mc:Fallback>
              </mc:AlternateContent>
            </w:r>
            <w:r>
              <w:rPr>
                <w:rFonts w:hint="default"/>
                <w:color w:val="auto"/>
              </w:rPr>
              <mc:AlternateContent>
                <mc:Choice Requires="wps">
                  <w:drawing>
                    <wp:anchor distT="0" distB="0" distL="114300" distR="114300" simplePos="0" relativeHeight="251845632" behindDoc="0" locked="0" layoutInCell="1" allowOverlap="1">
                      <wp:simplePos x="0" y="0"/>
                      <wp:positionH relativeFrom="column">
                        <wp:posOffset>4387850</wp:posOffset>
                      </wp:positionH>
                      <wp:positionV relativeFrom="paragraph">
                        <wp:posOffset>1596390</wp:posOffset>
                      </wp:positionV>
                      <wp:extent cx="716915" cy="252095"/>
                      <wp:effectExtent l="0" t="0" r="0" b="0"/>
                      <wp:wrapNone/>
                      <wp:docPr id="268" name="文本框 268"/>
                      <wp:cNvGraphicFramePr/>
                      <a:graphic xmlns:a="http://schemas.openxmlformats.org/drawingml/2006/main">
                        <a:graphicData uri="http://schemas.microsoft.com/office/word/2010/wordprocessingShape">
                          <wps:wsp>
                            <wps:cNvSpPr txBox="1"/>
                            <wps:spPr>
                              <a:xfrm>
                                <a:off x="0" y="0"/>
                                <a:ext cx="716915" cy="2520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80CEC81">
                                  <w:pPr>
                                    <w:rPr>
                                      <w:b w:val="0"/>
                                      <w:bCs/>
                                      <w:sz w:val="18"/>
                                      <w:szCs w:val="21"/>
                                    </w:rPr>
                                  </w:pPr>
                                  <w:r>
                                    <w:rPr>
                                      <w:rFonts w:hint="eastAsia"/>
                                      <w:b w:val="0"/>
                                      <w:bCs/>
                                      <w:color w:val="FF0000"/>
                                      <w:sz w:val="18"/>
                                      <w:szCs w:val="13"/>
                                      <w:lang w:val="en-US" w:eastAsia="zh-CN"/>
                                    </w:rPr>
                                    <w:t>桃源断面</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45.5pt;margin-top:125.7pt;height:19.85pt;width:56.45pt;z-index:251845632;mso-width-relative:page;mso-height-relative:page;" filled="f" stroked="f" coordsize="21600,21600" o:gfxdata="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N13bW/cAAAACwEAAA8AAAAAAAAAAQAgAAAAIgAA&#10;AGRycy9kb3ducmV2LnhtbFBLAQIUABQAAAAIAIdO4kCgYhYLPQIAAGkEAAAOAAAAAAAAAAEAIAAA&#10;ACsBAABkcnMvZTJvRG9jLnhtbFBLBQYAAAAABgAGAFkBAADaBQAAAAA=&#10;">
                      <v:fill on="f" focussize="0,0"/>
                      <v:stroke on="f" weight="0.5pt"/>
                      <v:imagedata o:title=""/>
                      <o:lock v:ext="edit" aspectratio="f"/>
                      <v:textbox>
                        <w:txbxContent>
                          <w:p w14:paraId="180CEC81">
                            <w:pPr>
                              <w:rPr>
                                <w:b w:val="0"/>
                                <w:bCs/>
                                <w:sz w:val="18"/>
                                <w:szCs w:val="21"/>
                              </w:rPr>
                            </w:pPr>
                            <w:r>
                              <w:rPr>
                                <w:rFonts w:hint="eastAsia"/>
                                <w:b w:val="0"/>
                                <w:bCs/>
                                <w:color w:val="FF0000"/>
                                <w:sz w:val="18"/>
                                <w:szCs w:val="13"/>
                                <w:lang w:val="en-US" w:eastAsia="zh-CN"/>
                              </w:rPr>
                              <w:t>桃源断面</w:t>
                            </w:r>
                          </w:p>
                        </w:txbxContent>
                      </v:textbox>
                    </v:shape>
                  </w:pict>
                </mc:Fallback>
              </mc:AlternateContent>
            </w:r>
            <w:r>
              <w:rPr>
                <w:rFonts w:hint="default"/>
                <w:color w:val="auto"/>
                <w:sz w:val="21"/>
              </w:rPr>
              <mc:AlternateContent>
                <mc:Choice Requires="wps">
                  <w:drawing>
                    <wp:anchor distT="0" distB="0" distL="114300" distR="114300" simplePos="0" relativeHeight="251847680" behindDoc="0" locked="0" layoutInCell="1" allowOverlap="1">
                      <wp:simplePos x="0" y="0"/>
                      <wp:positionH relativeFrom="column">
                        <wp:posOffset>4358640</wp:posOffset>
                      </wp:positionH>
                      <wp:positionV relativeFrom="paragraph">
                        <wp:posOffset>1740535</wp:posOffset>
                      </wp:positionV>
                      <wp:extent cx="76200" cy="39370"/>
                      <wp:effectExtent l="3175" t="5715" r="12065" b="15875"/>
                      <wp:wrapNone/>
                      <wp:docPr id="270" name="直接连接符 270"/>
                      <wp:cNvGraphicFramePr/>
                      <a:graphic xmlns:a="http://schemas.openxmlformats.org/drawingml/2006/main">
                        <a:graphicData uri="http://schemas.microsoft.com/office/word/2010/wordprocessingShape">
                          <wps:wsp>
                            <wps:cNvCnPr/>
                            <wps:spPr>
                              <a:xfrm flipV="1">
                                <a:off x="5546725" y="7044690"/>
                                <a:ext cx="76200" cy="39370"/>
                              </a:xfrm>
                              <a:prstGeom prst="line">
                                <a:avLst/>
                              </a:prstGeom>
                              <a:ln w="12700">
                                <a:solidFill>
                                  <a:srgbClr val="FF0000"/>
                                </a:solidFill>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flip:y;margin-left:343.2pt;margin-top:137.05pt;height:3.1pt;width:6pt;z-index:251847680;mso-width-relative:page;mso-height-relative:page;" filled="f" stroked="t" coordsize="21600,21600" o:gfxdata="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zc8cMtkAAAALAQAADwAAAAAAAAABACAAAAAiAAAAZHJzL2Rvd25yZXYueG1sUEsB&#10;AhQAFAAAAAgAh07iQL3tHBj0AQAAtwMAAA4AAAAAAAAAAQAgAAAAKAEAAGRycy9lMm9Eb2MueG1s&#10;UEsFBgAAAAAGAAYAWQEAAI4FAAAAAA==&#10;">
                      <v:fill on="f" focussize="0,0"/>
                      <v:stroke weight="1pt" color="#FF0000 [3204]" joinstyle="round"/>
                      <v:imagedata o:title=""/>
                      <o:lock v:ext="edit" aspectratio="f"/>
                    </v:line>
                  </w:pict>
                </mc:Fallback>
              </mc:AlternateContent>
            </w:r>
            <w:r>
              <w:rPr>
                <w:rFonts w:hint="eastAsia" w:ascii="Times New Roman" w:hAnsi="Times New Roman" w:eastAsia="宋体" w:cs="Times New Roman"/>
                <w:b/>
                <w:color w:val="auto"/>
                <w:kern w:val="0"/>
                <w:sz w:val="21"/>
                <w:szCs w:val="21"/>
                <w:highlight w:val="none"/>
                <w:lang w:val="en-US" w:eastAsia="zh-CN" w:bidi="ar-SA"/>
              </w:rPr>
              <w:drawing>
                <wp:inline distT="0" distB="0" distL="114300" distR="114300">
                  <wp:extent cx="5501005" cy="3640455"/>
                  <wp:effectExtent l="0" t="0" r="635" b="1905"/>
                  <wp:docPr id="267" name="图片 267" descr="83010969-48c6-4b82-9596-cc2bbe84ff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267" descr="83010969-48c6-4b82-9596-cc2bbe84ffed"/>
                          <pic:cNvPicPr>
                            <a:picLocks noChangeAspect="1"/>
                          </pic:cNvPicPr>
                        </pic:nvPicPr>
                        <pic:blipFill>
                          <a:blip r:embed="rId15"/>
                          <a:stretch>
                            <a:fillRect/>
                          </a:stretch>
                        </pic:blipFill>
                        <pic:spPr>
                          <a:xfrm>
                            <a:off x="0" y="0"/>
                            <a:ext cx="5501005" cy="3640455"/>
                          </a:xfrm>
                          <a:prstGeom prst="rect">
                            <a:avLst/>
                          </a:prstGeom>
                        </pic:spPr>
                      </pic:pic>
                    </a:graphicData>
                  </a:graphic>
                </wp:inline>
              </w:drawing>
            </w:r>
          </w:p>
          <w:p w14:paraId="7A07C182">
            <w:pPr>
              <w:pStyle w:val="117"/>
              <w:keepNext w:val="0"/>
              <w:keepLines w:val="0"/>
              <w:suppressLineNumbers w:val="0"/>
              <w:tabs>
                <w:tab w:val="left" w:pos="2730"/>
              </w:tabs>
              <w:spacing w:before="0" w:beforeAutospacing="0" w:after="0" w:afterAutospacing="0"/>
              <w:ind w:left="0" w:right="0" w:firstLine="0" w:firstLineChars="0"/>
              <w:jc w:val="center"/>
              <w:rPr>
                <w:rFonts w:hint="default"/>
                <w:b/>
                <w:bCs w:val="0"/>
                <w:color w:val="auto"/>
                <w:sz w:val="21"/>
                <w:szCs w:val="16"/>
              </w:rPr>
            </w:pPr>
            <w:r>
              <w:rPr>
                <w:rFonts w:hint="eastAsia"/>
                <w:b/>
                <w:bCs w:val="0"/>
                <w:color w:val="auto"/>
                <w:sz w:val="21"/>
                <w:szCs w:val="16"/>
              </w:rPr>
              <w:t xml:space="preserve">图3-2 </w:t>
            </w:r>
            <w:r>
              <w:rPr>
                <w:rFonts w:hint="eastAsia"/>
                <w:b/>
                <w:bCs w:val="0"/>
                <w:color w:val="auto"/>
                <w:sz w:val="21"/>
                <w:szCs w:val="16"/>
                <w:lang w:val="en-US" w:eastAsia="zh-CN"/>
              </w:rPr>
              <w:t>污水处理站排口与</w:t>
            </w:r>
            <w:r>
              <w:rPr>
                <w:rFonts w:hint="eastAsia"/>
                <w:b/>
                <w:bCs w:val="0"/>
                <w:color w:val="auto"/>
                <w:sz w:val="21"/>
                <w:szCs w:val="16"/>
              </w:rPr>
              <w:t>乐安河野鸡山村断面</w:t>
            </w:r>
            <w:r>
              <w:rPr>
                <w:rFonts w:hint="eastAsia"/>
                <w:b/>
                <w:bCs w:val="0"/>
                <w:color w:val="auto"/>
                <w:sz w:val="21"/>
                <w:szCs w:val="16"/>
                <w:lang w:val="en-US" w:eastAsia="zh-CN"/>
              </w:rPr>
              <w:t>和桃源断面的位置</w:t>
            </w:r>
            <w:r>
              <w:rPr>
                <w:rFonts w:hint="eastAsia"/>
                <w:b/>
                <w:bCs w:val="0"/>
                <w:color w:val="auto"/>
                <w:sz w:val="21"/>
                <w:szCs w:val="16"/>
              </w:rPr>
              <w:t>图</w:t>
            </w:r>
          </w:p>
          <w:p w14:paraId="333112C4">
            <w:pPr>
              <w:keepNext w:val="0"/>
              <w:keepLines w:val="0"/>
              <w:pageBreakBefore w:val="0"/>
              <w:widowControl w:val="0"/>
              <w:numPr>
                <w:ilvl w:val="0"/>
                <w:numId w:val="5"/>
              </w:numPr>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firstLine="482" w:firstLineChars="200"/>
              <w:jc w:val="left"/>
              <w:textAlignment w:val="auto"/>
              <w:outlineLvl w:val="9"/>
              <w:rPr>
                <w:rFonts w:hint="eastAsia" w:ascii="Times New Roman" w:hAnsi="Times New Roman" w:cs="Times New Roman"/>
                <w:b/>
                <w:bCs/>
                <w:color w:val="auto"/>
                <w:sz w:val="24"/>
                <w:szCs w:val="24"/>
                <w:highlight w:val="none"/>
                <w:lang w:val="en-US" w:eastAsia="zh-CN"/>
              </w:rPr>
            </w:pPr>
            <w:r>
              <w:rPr>
                <w:rFonts w:hint="eastAsia" w:ascii="Times New Roman" w:hAnsi="Times New Roman" w:cs="Times New Roman"/>
                <w:b/>
                <w:bCs/>
                <w:color w:val="auto"/>
                <w:sz w:val="24"/>
                <w:szCs w:val="24"/>
                <w:highlight w:val="none"/>
                <w:lang w:val="en-US" w:eastAsia="zh-CN"/>
              </w:rPr>
              <w:t>声</w:t>
            </w:r>
            <w:r>
              <w:rPr>
                <w:rFonts w:hint="eastAsia" w:ascii="Times New Roman" w:hAnsi="Times New Roman" w:eastAsia="宋体" w:cs="Times New Roman"/>
                <w:b/>
                <w:bCs/>
                <w:color w:val="auto"/>
                <w:sz w:val="24"/>
                <w:szCs w:val="24"/>
                <w:highlight w:val="none"/>
                <w:lang w:val="en-US" w:eastAsia="zh-CN"/>
              </w:rPr>
              <w:t>环境</w:t>
            </w:r>
          </w:p>
          <w:p w14:paraId="44A579A4">
            <w:pPr>
              <w:keepNext w:val="0"/>
              <w:keepLines w:val="0"/>
              <w:suppressLineNumbers w:val="0"/>
              <w:snapToGrid w:val="0"/>
              <w:spacing w:before="0" w:beforeAutospacing="0" w:after="0" w:afterAutospacing="0" w:line="360" w:lineRule="auto"/>
              <w:ind w:left="0" w:right="0" w:firstLine="480" w:firstLineChars="200"/>
              <w:jc w:val="left"/>
              <w:rPr>
                <w:rFonts w:hint="default" w:ascii="Times New Roman" w:hAnsi="Times New Roman" w:cs="Times New Roman"/>
                <w:snapToGrid w:val="0"/>
                <w:color w:val="auto"/>
                <w:sz w:val="24"/>
                <w:highlight w:val="none"/>
              </w:rPr>
            </w:pPr>
            <w:r>
              <w:rPr>
                <w:rFonts w:hint="default" w:ascii="Times New Roman" w:hAnsi="Times New Roman" w:cs="Times New Roman"/>
                <w:snapToGrid w:val="0"/>
                <w:color w:val="auto"/>
                <w:sz w:val="24"/>
                <w:highlight w:val="none"/>
              </w:rPr>
              <w:t>根据《建设项目环境影响报告表编制技术指南（污染影响类）（试行）》的相关规定：厂界外周边50</w:t>
            </w:r>
            <w:r>
              <w:rPr>
                <w:rFonts w:hint="eastAsia" w:ascii="Times New Roman" w:hAnsi="Times New Roman" w:cs="Times New Roman"/>
                <w:snapToGrid w:val="0"/>
                <w:color w:val="auto"/>
                <w:sz w:val="24"/>
                <w:highlight w:val="none"/>
              </w:rPr>
              <w:t>m</w:t>
            </w:r>
            <w:r>
              <w:rPr>
                <w:rFonts w:hint="default" w:ascii="Times New Roman" w:hAnsi="Times New Roman" w:cs="Times New Roman"/>
                <w:snapToGrid w:val="0"/>
                <w:color w:val="auto"/>
                <w:sz w:val="24"/>
                <w:highlight w:val="none"/>
              </w:rPr>
              <w:t>范围内存在声环境保护目标的建设项目，应监测保护目标声环境质量现状并评价达标情况。本项目50m之内无声环境保护目标，因此</w:t>
            </w:r>
            <w:r>
              <w:rPr>
                <w:rFonts w:hint="default" w:ascii="Times New Roman" w:hAnsi="Times New Roman" w:cs="Times New Roman"/>
                <w:snapToGrid w:val="0"/>
                <w:color w:val="auto"/>
                <w:sz w:val="24"/>
                <w:highlight w:val="none"/>
                <w:lang w:eastAsia="zh-CN"/>
              </w:rPr>
              <w:t>，</w:t>
            </w:r>
            <w:r>
              <w:rPr>
                <w:rFonts w:hint="default" w:ascii="Times New Roman" w:hAnsi="Times New Roman" w:cs="Times New Roman"/>
                <w:snapToGrid w:val="0"/>
                <w:color w:val="auto"/>
                <w:sz w:val="24"/>
                <w:highlight w:val="none"/>
              </w:rPr>
              <w:t>本</w:t>
            </w:r>
            <w:r>
              <w:rPr>
                <w:rFonts w:hint="eastAsia" w:cs="Times New Roman"/>
                <w:snapToGrid w:val="0"/>
                <w:color w:val="auto"/>
                <w:sz w:val="24"/>
                <w:highlight w:val="none"/>
                <w:lang w:val="en-US" w:eastAsia="zh-CN"/>
              </w:rPr>
              <w:t>项目不再</w:t>
            </w:r>
            <w:r>
              <w:rPr>
                <w:rFonts w:hint="default" w:ascii="Times New Roman" w:hAnsi="Times New Roman" w:cs="Times New Roman"/>
                <w:snapToGrid w:val="0"/>
                <w:color w:val="auto"/>
                <w:sz w:val="24"/>
                <w:highlight w:val="none"/>
              </w:rPr>
              <w:t>开展声环境质量现状达标情况评价。</w:t>
            </w:r>
          </w:p>
          <w:p w14:paraId="090931F0">
            <w:pPr>
              <w:keepNext w:val="0"/>
              <w:keepLines w:val="0"/>
              <w:pageBreakBefore w:val="0"/>
              <w:widowControl w:val="0"/>
              <w:numPr>
                <w:ilvl w:val="0"/>
                <w:numId w:val="5"/>
              </w:numPr>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firstLine="482" w:firstLineChars="200"/>
              <w:jc w:val="left"/>
              <w:textAlignment w:val="auto"/>
              <w:outlineLvl w:val="9"/>
              <w:rPr>
                <w:rFonts w:hint="eastAsia"/>
                <w:b/>
                <w:bCs/>
                <w:color w:val="auto"/>
                <w:sz w:val="24"/>
                <w:szCs w:val="24"/>
                <w:highlight w:val="none"/>
                <w:lang w:val="en-US" w:eastAsia="zh-CN"/>
              </w:rPr>
            </w:pPr>
            <w:r>
              <w:rPr>
                <w:rFonts w:hint="eastAsia" w:ascii="Times New Roman" w:hAnsi="Times New Roman" w:eastAsia="宋体" w:cs="Times New Roman"/>
                <w:b/>
                <w:bCs/>
                <w:color w:val="auto"/>
                <w:sz w:val="24"/>
                <w:szCs w:val="22"/>
                <w:highlight w:val="none"/>
                <w:lang w:val="en-US" w:eastAsia="zh-CN"/>
              </w:rPr>
              <w:t>地下水</w:t>
            </w:r>
            <w:r>
              <w:rPr>
                <w:rFonts w:hint="eastAsia" w:cs="Times New Roman"/>
                <w:b/>
                <w:bCs/>
                <w:color w:val="auto"/>
                <w:sz w:val="24"/>
                <w:szCs w:val="22"/>
                <w:highlight w:val="none"/>
                <w:lang w:val="en-US" w:eastAsia="zh-CN"/>
              </w:rPr>
              <w:t>、土壤</w:t>
            </w:r>
            <w:r>
              <w:rPr>
                <w:rFonts w:hint="default" w:ascii="Times New Roman" w:hAnsi="Times New Roman" w:eastAsia="宋体" w:cs="Times New Roman"/>
                <w:b/>
                <w:bCs/>
                <w:color w:val="auto"/>
                <w:sz w:val="24"/>
                <w:szCs w:val="22"/>
                <w:highlight w:val="none"/>
                <w:lang w:val="en-US" w:eastAsia="zh-CN"/>
              </w:rPr>
              <w:t>环境</w:t>
            </w:r>
          </w:p>
          <w:p w14:paraId="0068C365">
            <w:pPr>
              <w:keepNext w:val="0"/>
              <w:keepLines w:val="0"/>
              <w:suppressLineNumbers w:val="0"/>
              <w:snapToGrid w:val="0"/>
              <w:spacing w:before="0" w:beforeAutospacing="0" w:after="0" w:afterAutospacing="0" w:line="360" w:lineRule="auto"/>
              <w:ind w:left="0" w:right="0" w:firstLine="480" w:firstLineChars="200"/>
              <w:jc w:val="left"/>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根据《建设项目环境影响报告表编制技术指南（污染影响类）（试行）》的相关规定：原则上不开展环境质量现状调查。建设项目存在土壤、地下水环境污染途径的，应结合污染源、保护目标分布情况开展现状调查以留作背景值。</w:t>
            </w:r>
          </w:p>
          <w:p w14:paraId="32B8BB2C">
            <w:pPr>
              <w:keepNext w:val="0"/>
              <w:keepLines w:val="0"/>
              <w:suppressLineNumbers w:val="0"/>
              <w:snapToGrid w:val="0"/>
              <w:spacing w:before="0" w:beforeAutospacing="0" w:after="0" w:afterAutospacing="0" w:line="360" w:lineRule="auto"/>
              <w:ind w:left="0" w:right="0" w:firstLine="480" w:firstLineChars="200"/>
              <w:jc w:val="left"/>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项目采用源头控制措施，根据项目生产特点，设置分区防渗等措施，不存在土壤、地下水环境污染途径，且项目厂界外500m范围内无地下水集中式饮用水水源和热水、矿泉水、温泉等特殊地下水资源，因此可不开展环境质量现状调查。</w:t>
            </w:r>
          </w:p>
          <w:p w14:paraId="24343695">
            <w:pPr>
              <w:keepNext w:val="0"/>
              <w:keepLines w:val="0"/>
              <w:pageBreakBefore w:val="0"/>
              <w:widowControl w:val="0"/>
              <w:numPr>
                <w:ilvl w:val="0"/>
                <w:numId w:val="5"/>
              </w:numPr>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firstLine="482" w:firstLineChars="200"/>
              <w:jc w:val="left"/>
              <w:textAlignment w:val="auto"/>
              <w:outlineLvl w:val="9"/>
              <w:rPr>
                <w:rFonts w:hint="default" w:ascii="Times New Roman" w:hAnsi="Times New Roman" w:eastAsia="宋体" w:cs="Times New Roman"/>
                <w:b/>
                <w:bCs/>
                <w:color w:val="auto"/>
                <w:sz w:val="24"/>
                <w:szCs w:val="24"/>
                <w:highlight w:val="none"/>
                <w:lang w:val="en-US" w:eastAsia="zh-CN"/>
              </w:rPr>
            </w:pPr>
            <w:r>
              <w:rPr>
                <w:rFonts w:hint="default" w:ascii="Times New Roman" w:hAnsi="Times New Roman" w:eastAsia="宋体" w:cs="Times New Roman"/>
                <w:b/>
                <w:bCs/>
                <w:color w:val="auto"/>
                <w:sz w:val="24"/>
                <w:szCs w:val="24"/>
                <w:highlight w:val="none"/>
                <w:lang w:val="en-US" w:eastAsia="zh-CN"/>
              </w:rPr>
              <w:t>生态环境</w:t>
            </w:r>
            <w:r>
              <w:rPr>
                <w:rFonts w:hint="eastAsia" w:ascii="Times New Roman" w:hAnsi="Times New Roman" w:eastAsia="宋体" w:cs="Times New Roman"/>
                <w:b/>
                <w:bCs/>
                <w:color w:val="auto"/>
                <w:kern w:val="0"/>
                <w:sz w:val="24"/>
                <w:szCs w:val="24"/>
                <w:highlight w:val="none"/>
                <w:lang w:val="en-US" w:eastAsia="zh-CN" w:bidi="ar-SA"/>
              </w:rPr>
              <w:t>质量现状</w:t>
            </w:r>
          </w:p>
          <w:p w14:paraId="7B75F999">
            <w:pPr>
              <w:keepNext w:val="0"/>
              <w:keepLines w:val="0"/>
              <w:suppressLineNumbers w:val="0"/>
              <w:adjustRightInd w:val="0"/>
              <w:snapToGri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本项目位于</w:t>
            </w:r>
            <w:r>
              <w:rPr>
                <w:rFonts w:hint="eastAsia" w:cs="Times New Roman"/>
                <w:color w:val="auto"/>
                <w:sz w:val="24"/>
                <w:szCs w:val="24"/>
                <w:highlight w:val="none"/>
                <w:lang w:val="en-US" w:eastAsia="zh-CN"/>
              </w:rPr>
              <w:t>江西省景德镇市乐平市金山工业园</w:t>
            </w:r>
            <w:r>
              <w:rPr>
                <w:rFonts w:hint="eastAsia" w:ascii="Times New Roman" w:hAnsi="Times New Roman" w:eastAsia="宋体" w:cs="Times New Roman"/>
                <w:color w:val="auto"/>
                <w:sz w:val="24"/>
                <w:szCs w:val="24"/>
                <w:highlight w:val="none"/>
                <w:lang w:val="en-US" w:eastAsia="zh-CN"/>
              </w:rPr>
              <w:t>，不涉及新增用地。环境敏感程度较低，评价范围不属于自然保护区、风景名胜区、农田保护区、水源保护区，无文物保护点，同时无探明的矿床和珍稀动、植物资源。</w:t>
            </w:r>
          </w:p>
          <w:p w14:paraId="38C8E742">
            <w:pPr>
              <w:keepNext w:val="0"/>
              <w:keepLines w:val="0"/>
              <w:suppressLineNumbers w:val="0"/>
              <w:adjustRightInd w:val="0"/>
              <w:snapToGrid w:val="0"/>
              <w:spacing w:before="0" w:beforeAutospacing="0" w:after="0" w:afterAutospacing="0" w:line="360" w:lineRule="auto"/>
              <w:ind w:left="0" w:right="0" w:firstLine="480" w:firstLineChars="200"/>
              <w:rPr>
                <w:rFonts w:hint="default"/>
                <w:color w:val="auto"/>
                <w:kern w:val="0"/>
                <w:szCs w:val="21"/>
                <w:highlight w:val="none"/>
              </w:rPr>
            </w:pPr>
            <w:r>
              <w:rPr>
                <w:rFonts w:hint="eastAsia" w:ascii="Times New Roman" w:hAnsi="Times New Roman" w:eastAsia="宋体" w:cs="Times New Roman"/>
                <w:color w:val="auto"/>
                <w:sz w:val="24"/>
                <w:szCs w:val="24"/>
                <w:highlight w:val="none"/>
                <w:lang w:val="en-US" w:eastAsia="zh-CN"/>
              </w:rPr>
              <w:t>综上所述，项目周边环境空气质量、地表水环境质量、声环境质量、地下水环境质量、土壤环境质量以及生态环境质量现状</w:t>
            </w:r>
            <w:r>
              <w:rPr>
                <w:rFonts w:hint="eastAsia" w:cs="Times New Roman"/>
                <w:color w:val="auto"/>
                <w:sz w:val="24"/>
                <w:szCs w:val="24"/>
                <w:highlight w:val="none"/>
                <w:lang w:val="en-US" w:eastAsia="zh-CN"/>
              </w:rPr>
              <w:t>均</w:t>
            </w:r>
            <w:r>
              <w:rPr>
                <w:rFonts w:hint="eastAsia" w:ascii="Times New Roman" w:hAnsi="Times New Roman" w:eastAsia="宋体" w:cs="Times New Roman"/>
                <w:color w:val="auto"/>
                <w:sz w:val="24"/>
                <w:szCs w:val="24"/>
                <w:highlight w:val="none"/>
                <w:lang w:val="en-US" w:eastAsia="zh-CN"/>
              </w:rPr>
              <w:t>符合功能区划的要求。</w:t>
            </w:r>
          </w:p>
        </w:tc>
      </w:tr>
      <w:tr w14:paraId="6AEAADC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25" w:hRule="atLeast"/>
          <w:jc w:val="center"/>
        </w:trPr>
        <w:tc>
          <w:tcPr>
            <w:tcW w:w="512" w:type="dxa"/>
            <w:vAlign w:val="center"/>
          </w:tcPr>
          <w:p w14:paraId="6532D273">
            <w:pPr>
              <w:keepNext w:val="0"/>
              <w:keepLines w:val="0"/>
              <w:suppressLineNumbers w:val="0"/>
              <w:adjustRightInd w:val="0"/>
              <w:snapToGrid w:val="0"/>
              <w:spacing w:before="0" w:beforeAutospacing="0" w:after="0" w:afterAutospacing="0"/>
              <w:ind w:left="0" w:right="0"/>
              <w:jc w:val="center"/>
              <w:rPr>
                <w:rFonts w:hint="default" w:ascii="宋体" w:hAnsi="宋体" w:cs="宋体"/>
                <w:color w:val="auto"/>
                <w:kern w:val="0"/>
                <w:szCs w:val="21"/>
                <w:highlight w:val="none"/>
              </w:rPr>
            </w:pPr>
            <w:r>
              <w:rPr>
                <w:rFonts w:hint="eastAsia" w:ascii="宋体" w:hAnsi="宋体" w:cs="宋体"/>
                <w:b/>
                <w:bCs/>
                <w:color w:val="auto"/>
                <w:kern w:val="0"/>
                <w:sz w:val="24"/>
                <w:highlight w:val="none"/>
              </w:rPr>
              <w:t>环境保护目标</w:t>
            </w:r>
          </w:p>
        </w:tc>
        <w:tc>
          <w:tcPr>
            <w:tcW w:w="8892" w:type="dxa"/>
            <w:vAlign w:val="center"/>
          </w:tcPr>
          <w:p w14:paraId="770823BA">
            <w:pPr>
              <w:pStyle w:val="97"/>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default" w:ascii="Times New Roman" w:hAnsi="Times New Roman" w:eastAsia="宋体" w:cs="Times New Roman"/>
                <w:b/>
                <w:bCs/>
                <w:color w:val="auto"/>
                <w:spacing w:val="0"/>
                <w:highlight w:val="none"/>
              </w:rPr>
            </w:pPr>
            <w:r>
              <w:rPr>
                <w:rFonts w:hint="default" w:ascii="Times New Roman" w:hAnsi="Times New Roman" w:eastAsia="宋体" w:cs="Times New Roman"/>
                <w:b/>
                <w:bCs/>
                <w:color w:val="auto"/>
                <w:spacing w:val="0"/>
                <w:highlight w:val="none"/>
              </w:rPr>
              <w:t>1、环境保护目标</w:t>
            </w:r>
          </w:p>
          <w:p w14:paraId="4FF8C4AA">
            <w:pPr>
              <w:pStyle w:val="97"/>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58" w:lineRule="auto"/>
              <w:ind w:left="0" w:right="0" w:firstLine="480" w:firstLineChars="200"/>
              <w:jc w:val="both"/>
              <w:textAlignment w:val="auto"/>
              <w:rPr>
                <w:rFonts w:hint="default" w:ascii="Times New Roman" w:hAnsi="Times New Roman" w:eastAsia="宋体" w:cs="Times New Roman"/>
                <w:color w:val="auto"/>
                <w:spacing w:val="0"/>
                <w:highlight w:val="none"/>
              </w:rPr>
            </w:pPr>
            <w:r>
              <w:rPr>
                <w:rFonts w:hint="eastAsia" w:ascii="Times New Roman" w:hAnsi="Times New Roman" w:eastAsia="宋体" w:cs="Times New Roman"/>
                <w:color w:val="auto"/>
                <w:spacing w:val="0"/>
                <w:highlight w:val="none"/>
                <w:lang w:val="en-US" w:eastAsia="zh-CN"/>
              </w:rPr>
              <w:t>本</w:t>
            </w:r>
            <w:r>
              <w:rPr>
                <w:rFonts w:hint="default" w:ascii="Times New Roman" w:hAnsi="Times New Roman" w:eastAsia="宋体" w:cs="Times New Roman"/>
                <w:color w:val="auto"/>
                <w:spacing w:val="0"/>
                <w:highlight w:val="none"/>
              </w:rPr>
              <w:t>项目位于</w:t>
            </w:r>
            <w:r>
              <w:rPr>
                <w:rFonts w:hint="eastAsia" w:ascii="Times New Roman" w:hAnsi="Times New Roman" w:cs="Times New Roman"/>
                <w:color w:val="auto"/>
                <w:spacing w:val="0"/>
                <w:highlight w:val="none"/>
                <w:lang w:val="en-US" w:eastAsia="zh-CN"/>
              </w:rPr>
              <w:t>江西省景德镇市乐平市金山工业园</w:t>
            </w:r>
            <w:r>
              <w:rPr>
                <w:rFonts w:hint="eastAsia" w:ascii="Times New Roman" w:hAnsi="Times New Roman" w:eastAsia="宋体" w:cs="Times New Roman"/>
                <w:color w:val="auto"/>
                <w:spacing w:val="0"/>
                <w:highlight w:val="none"/>
                <w:lang w:eastAsia="zh-CN"/>
              </w:rPr>
              <w:t>。</w:t>
            </w:r>
            <w:r>
              <w:rPr>
                <w:rFonts w:hint="eastAsia" w:ascii="Times New Roman" w:hAnsi="Times New Roman" w:eastAsia="宋体" w:cs="Times New Roman"/>
                <w:color w:val="auto"/>
                <w:spacing w:val="0"/>
                <w:highlight w:val="none"/>
                <w:lang w:val="en-US" w:eastAsia="zh-CN"/>
              </w:rPr>
              <w:t>根</w:t>
            </w:r>
            <w:r>
              <w:rPr>
                <w:rFonts w:hint="eastAsia" w:ascii="Times New Roman" w:hAnsi="Times New Roman" w:eastAsia="宋体" w:cs="Times New Roman"/>
                <w:color w:val="auto"/>
                <w:spacing w:val="0"/>
                <w:highlight w:val="none"/>
                <w:lang w:eastAsia="zh-CN"/>
              </w:rPr>
              <w:t>据现场踏勘，</w:t>
            </w:r>
            <w:r>
              <w:rPr>
                <w:rFonts w:hint="eastAsia" w:ascii="Times New Roman" w:hAnsi="Times New Roman" w:eastAsia="宋体" w:cs="Times New Roman"/>
                <w:color w:val="auto"/>
                <w:spacing w:val="0"/>
                <w:highlight w:val="none"/>
                <w:lang w:val="en-US" w:eastAsia="zh-CN"/>
              </w:rPr>
              <w:t>大气环境500m范围内无自然保护区、风景名胜区等特殊保护区；声环境厂界外50m范围内</w:t>
            </w:r>
            <w:r>
              <w:rPr>
                <w:rFonts w:hint="eastAsia" w:ascii="Times New Roman" w:hAnsi="Times New Roman" w:cs="Times New Roman"/>
                <w:color w:val="auto"/>
                <w:spacing w:val="0"/>
                <w:highlight w:val="none"/>
                <w:lang w:val="en-US" w:eastAsia="zh-CN"/>
              </w:rPr>
              <w:t>无声环境保护目标</w:t>
            </w:r>
            <w:r>
              <w:rPr>
                <w:rFonts w:hint="eastAsia" w:ascii="Times New Roman" w:hAnsi="Times New Roman" w:eastAsia="宋体" w:cs="Times New Roman"/>
                <w:color w:val="auto"/>
                <w:spacing w:val="0"/>
                <w:highlight w:val="none"/>
                <w:lang w:val="en-US" w:eastAsia="zh-CN"/>
              </w:rPr>
              <w:t>；地下水环境厂界外500m范围内无地下水集中式饮用水水源和热水、矿泉水、温泉等特殊地下水资源。主要环境保护目标见表3-</w:t>
            </w:r>
            <w:r>
              <w:rPr>
                <w:rFonts w:hint="eastAsia" w:ascii="Times New Roman" w:hAnsi="Times New Roman" w:cs="Times New Roman"/>
                <w:color w:val="auto"/>
                <w:spacing w:val="0"/>
                <w:highlight w:val="none"/>
                <w:lang w:val="en-US" w:eastAsia="zh-CN"/>
              </w:rPr>
              <w:t>4。</w:t>
            </w:r>
          </w:p>
          <w:p w14:paraId="004CA15E">
            <w:pPr>
              <w:pStyle w:val="97"/>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bCs/>
                <w:color w:val="auto"/>
                <w:spacing w:val="0"/>
                <w:sz w:val="21"/>
                <w:szCs w:val="21"/>
                <w:highlight w:val="none"/>
              </w:rPr>
            </w:pPr>
            <w:r>
              <w:rPr>
                <w:rFonts w:hint="default" w:ascii="Times New Roman" w:hAnsi="Times New Roman" w:eastAsia="宋体" w:cs="Times New Roman"/>
                <w:b/>
                <w:bCs/>
                <w:color w:val="auto"/>
                <w:spacing w:val="0"/>
                <w:sz w:val="21"/>
                <w:szCs w:val="21"/>
                <w:highlight w:val="none"/>
              </w:rPr>
              <w:t>表3-</w:t>
            </w:r>
            <w:r>
              <w:rPr>
                <w:rFonts w:hint="eastAsia" w:ascii="Times New Roman" w:hAnsi="Times New Roman" w:cs="Times New Roman"/>
                <w:b/>
                <w:bCs/>
                <w:color w:val="auto"/>
                <w:spacing w:val="0"/>
                <w:sz w:val="21"/>
                <w:szCs w:val="21"/>
                <w:highlight w:val="none"/>
                <w:lang w:val="en-US" w:eastAsia="zh-CN"/>
              </w:rPr>
              <w:t>4</w:t>
            </w:r>
            <w:r>
              <w:rPr>
                <w:rFonts w:hint="default" w:ascii="Times New Roman" w:hAnsi="Times New Roman" w:eastAsia="宋体" w:cs="Times New Roman"/>
                <w:b/>
                <w:bCs/>
                <w:color w:val="auto"/>
                <w:spacing w:val="0"/>
                <w:sz w:val="21"/>
                <w:szCs w:val="21"/>
                <w:highlight w:val="none"/>
              </w:rPr>
              <w:t xml:space="preserve">  环境保护目标一览表</w:t>
            </w:r>
          </w:p>
          <w:tbl>
            <w:tblPr>
              <w:tblStyle w:val="26"/>
              <w:tblW w:w="4998" w:type="pct"/>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00"/>
              <w:gridCol w:w="1030"/>
              <w:gridCol w:w="597"/>
              <w:gridCol w:w="633"/>
              <w:gridCol w:w="925"/>
              <w:gridCol w:w="1022"/>
              <w:gridCol w:w="720"/>
              <w:gridCol w:w="1036"/>
              <w:gridCol w:w="1910"/>
            </w:tblGrid>
            <w:tr w14:paraId="01DDEA27">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99" w:hRule="atLeast"/>
                <w:jc w:val="center"/>
              </w:trPr>
              <w:tc>
                <w:tcPr>
                  <w:tcW w:w="461" w:type="pct"/>
                  <w:vMerge w:val="restart"/>
                  <w:tcBorders>
                    <w:top w:val="single" w:color="auto" w:sz="12" w:space="0"/>
                  </w:tcBorders>
                  <w:noWrap w:val="0"/>
                  <w:vAlign w:val="center"/>
                </w:tcPr>
                <w:p w14:paraId="7788B98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bCs/>
                      <w:color w:val="auto"/>
                      <w:spacing w:val="0"/>
                      <w:sz w:val="21"/>
                      <w:szCs w:val="21"/>
                      <w:highlight w:val="none"/>
                      <w:lang w:eastAsia="zh-CN"/>
                    </w:rPr>
                  </w:pPr>
                  <w:r>
                    <w:rPr>
                      <w:rFonts w:hint="default" w:ascii="Times New Roman" w:hAnsi="Times New Roman" w:eastAsia="宋体" w:cs="Times New Roman"/>
                      <w:b/>
                      <w:bCs/>
                      <w:color w:val="auto"/>
                      <w:spacing w:val="0"/>
                      <w:sz w:val="21"/>
                      <w:szCs w:val="21"/>
                      <w:highlight w:val="none"/>
                      <w:lang w:eastAsia="zh-CN"/>
                    </w:rPr>
                    <w:t>环境要素</w:t>
                  </w:r>
                </w:p>
              </w:tc>
              <w:tc>
                <w:tcPr>
                  <w:tcW w:w="593" w:type="pct"/>
                  <w:vMerge w:val="restart"/>
                  <w:tcBorders>
                    <w:top w:val="single" w:color="auto" w:sz="12" w:space="0"/>
                  </w:tcBorders>
                  <w:noWrap w:val="0"/>
                  <w:vAlign w:val="center"/>
                </w:tcPr>
                <w:p w14:paraId="2FCD294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bCs/>
                      <w:color w:val="auto"/>
                      <w:spacing w:val="0"/>
                      <w:sz w:val="21"/>
                      <w:szCs w:val="21"/>
                      <w:highlight w:val="none"/>
                      <w:lang w:eastAsia="zh-CN"/>
                    </w:rPr>
                  </w:pPr>
                  <w:r>
                    <w:rPr>
                      <w:rFonts w:hint="default" w:ascii="Times New Roman" w:hAnsi="Times New Roman" w:eastAsia="宋体" w:cs="Times New Roman"/>
                      <w:b/>
                      <w:bCs/>
                      <w:color w:val="auto"/>
                      <w:spacing w:val="0"/>
                      <w:sz w:val="21"/>
                      <w:szCs w:val="21"/>
                      <w:highlight w:val="none"/>
                      <w:lang w:eastAsia="zh-CN"/>
                    </w:rPr>
                    <w:t>环境保护对象名称</w:t>
                  </w:r>
                </w:p>
              </w:tc>
              <w:tc>
                <w:tcPr>
                  <w:tcW w:w="709" w:type="pct"/>
                  <w:gridSpan w:val="2"/>
                  <w:tcBorders>
                    <w:top w:val="single" w:color="auto" w:sz="12" w:space="0"/>
                    <w:bottom w:val="single" w:color="auto" w:sz="4" w:space="0"/>
                  </w:tcBorders>
                  <w:noWrap w:val="0"/>
                  <w:vAlign w:val="center"/>
                </w:tcPr>
                <w:p w14:paraId="76C217D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bCs/>
                      <w:color w:val="auto"/>
                      <w:spacing w:val="0"/>
                      <w:sz w:val="21"/>
                      <w:szCs w:val="21"/>
                      <w:highlight w:val="none"/>
                      <w:lang w:eastAsia="zh-CN"/>
                    </w:rPr>
                  </w:pPr>
                  <w:r>
                    <w:rPr>
                      <w:rFonts w:hint="default" w:ascii="Times New Roman" w:hAnsi="Times New Roman" w:eastAsia="宋体" w:cs="Times New Roman"/>
                      <w:b/>
                      <w:bCs/>
                      <w:color w:val="auto"/>
                      <w:spacing w:val="0"/>
                      <w:sz w:val="21"/>
                      <w:szCs w:val="21"/>
                      <w:highlight w:val="none"/>
                      <w:lang w:eastAsia="zh-CN"/>
                    </w:rPr>
                    <w:t>坐标/m</w:t>
                  </w:r>
                </w:p>
              </w:tc>
              <w:tc>
                <w:tcPr>
                  <w:tcW w:w="533" w:type="pct"/>
                  <w:vMerge w:val="restart"/>
                  <w:tcBorders>
                    <w:top w:val="single" w:color="auto" w:sz="12" w:space="0"/>
                    <w:bottom w:val="nil"/>
                  </w:tcBorders>
                  <w:noWrap w:val="0"/>
                  <w:vAlign w:val="center"/>
                </w:tcPr>
                <w:p w14:paraId="1DDBFC5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bCs/>
                      <w:color w:val="auto"/>
                      <w:spacing w:val="0"/>
                      <w:sz w:val="21"/>
                      <w:szCs w:val="21"/>
                      <w:highlight w:val="none"/>
                      <w:lang w:val="en-US" w:eastAsia="zh-CN"/>
                    </w:rPr>
                  </w:pPr>
                  <w:r>
                    <w:rPr>
                      <w:rFonts w:hint="default" w:ascii="Times New Roman" w:hAnsi="Times New Roman" w:eastAsia="宋体" w:cs="Times New Roman"/>
                      <w:b/>
                      <w:bCs/>
                      <w:color w:val="auto"/>
                      <w:spacing w:val="0"/>
                      <w:sz w:val="21"/>
                      <w:szCs w:val="21"/>
                      <w:highlight w:val="none"/>
                      <w:lang w:val="en-US" w:eastAsia="zh-CN"/>
                    </w:rPr>
                    <w:t>保护对象</w:t>
                  </w:r>
                </w:p>
              </w:tc>
              <w:tc>
                <w:tcPr>
                  <w:tcW w:w="589" w:type="pct"/>
                  <w:vMerge w:val="restart"/>
                  <w:tcBorders>
                    <w:top w:val="single" w:color="auto" w:sz="12" w:space="0"/>
                    <w:bottom w:val="nil"/>
                  </w:tcBorders>
                  <w:noWrap w:val="0"/>
                  <w:vAlign w:val="center"/>
                </w:tcPr>
                <w:p w14:paraId="71A36EA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bCs/>
                      <w:color w:val="auto"/>
                      <w:spacing w:val="0"/>
                      <w:sz w:val="21"/>
                      <w:szCs w:val="21"/>
                      <w:highlight w:val="none"/>
                      <w:lang w:eastAsia="zh-CN"/>
                    </w:rPr>
                  </w:pPr>
                  <w:r>
                    <w:rPr>
                      <w:rFonts w:hint="default" w:ascii="Times New Roman" w:hAnsi="Times New Roman" w:eastAsia="宋体" w:cs="Times New Roman"/>
                      <w:b/>
                      <w:bCs/>
                      <w:color w:val="auto"/>
                      <w:spacing w:val="0"/>
                      <w:sz w:val="21"/>
                      <w:szCs w:val="21"/>
                      <w:highlight w:val="none"/>
                      <w:lang w:val="en-US" w:eastAsia="zh-CN"/>
                    </w:rPr>
                    <w:t>相对厂界</w:t>
                  </w:r>
                  <w:r>
                    <w:rPr>
                      <w:rFonts w:hint="default" w:ascii="Times New Roman" w:hAnsi="Times New Roman" w:eastAsia="宋体" w:cs="Times New Roman"/>
                      <w:b/>
                      <w:bCs/>
                      <w:color w:val="auto"/>
                      <w:spacing w:val="0"/>
                      <w:sz w:val="21"/>
                      <w:szCs w:val="21"/>
                      <w:highlight w:val="none"/>
                      <w:lang w:eastAsia="zh-CN"/>
                    </w:rPr>
                    <w:t>距离（</w:t>
                  </w:r>
                  <w:r>
                    <w:rPr>
                      <w:rFonts w:hint="default" w:ascii="Times New Roman" w:hAnsi="Times New Roman" w:eastAsia="宋体" w:cs="Times New Roman"/>
                      <w:b/>
                      <w:bCs/>
                      <w:color w:val="auto"/>
                      <w:spacing w:val="0"/>
                      <w:sz w:val="21"/>
                      <w:szCs w:val="21"/>
                      <w:highlight w:val="none"/>
                      <w:lang w:val="en-US" w:eastAsia="zh-CN"/>
                    </w:rPr>
                    <w:t>m</w:t>
                  </w:r>
                  <w:r>
                    <w:rPr>
                      <w:rFonts w:hint="default" w:ascii="Times New Roman" w:hAnsi="Times New Roman" w:eastAsia="宋体" w:cs="Times New Roman"/>
                      <w:b/>
                      <w:bCs/>
                      <w:color w:val="auto"/>
                      <w:spacing w:val="0"/>
                      <w:sz w:val="21"/>
                      <w:szCs w:val="21"/>
                      <w:highlight w:val="none"/>
                      <w:lang w:eastAsia="zh-CN"/>
                    </w:rPr>
                    <w:t>）</w:t>
                  </w:r>
                </w:p>
              </w:tc>
              <w:tc>
                <w:tcPr>
                  <w:tcW w:w="415" w:type="pct"/>
                  <w:vMerge w:val="restart"/>
                  <w:tcBorders>
                    <w:top w:val="single" w:color="auto" w:sz="12" w:space="0"/>
                    <w:bottom w:val="nil"/>
                  </w:tcBorders>
                  <w:noWrap w:val="0"/>
                  <w:vAlign w:val="center"/>
                </w:tcPr>
                <w:p w14:paraId="224E739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bCs/>
                      <w:color w:val="auto"/>
                      <w:spacing w:val="0"/>
                      <w:sz w:val="21"/>
                      <w:szCs w:val="21"/>
                      <w:highlight w:val="none"/>
                      <w:lang w:eastAsia="zh-CN"/>
                    </w:rPr>
                  </w:pPr>
                  <w:r>
                    <w:rPr>
                      <w:rFonts w:hint="default" w:ascii="Times New Roman" w:hAnsi="Times New Roman" w:eastAsia="宋体" w:cs="Times New Roman"/>
                      <w:b/>
                      <w:bCs/>
                      <w:color w:val="auto"/>
                      <w:spacing w:val="0"/>
                      <w:sz w:val="21"/>
                      <w:szCs w:val="21"/>
                      <w:highlight w:val="none"/>
                      <w:lang w:val="en-US" w:eastAsia="zh-CN"/>
                    </w:rPr>
                    <w:t>相对厂址</w:t>
                  </w:r>
                  <w:r>
                    <w:rPr>
                      <w:rFonts w:hint="default" w:ascii="Times New Roman" w:hAnsi="Times New Roman" w:eastAsia="宋体" w:cs="Times New Roman"/>
                      <w:b/>
                      <w:bCs/>
                      <w:color w:val="auto"/>
                      <w:spacing w:val="0"/>
                      <w:sz w:val="21"/>
                      <w:szCs w:val="21"/>
                      <w:highlight w:val="none"/>
                      <w:lang w:eastAsia="zh-CN"/>
                    </w:rPr>
                    <w:t>方位</w:t>
                  </w:r>
                </w:p>
              </w:tc>
              <w:tc>
                <w:tcPr>
                  <w:tcW w:w="597" w:type="pct"/>
                  <w:vMerge w:val="restart"/>
                  <w:tcBorders>
                    <w:top w:val="single" w:color="auto" w:sz="12" w:space="0"/>
                    <w:bottom w:val="nil"/>
                  </w:tcBorders>
                  <w:noWrap w:val="0"/>
                  <w:vAlign w:val="center"/>
                </w:tcPr>
                <w:p w14:paraId="6E7E5E0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bCs/>
                      <w:color w:val="auto"/>
                      <w:spacing w:val="0"/>
                      <w:sz w:val="21"/>
                      <w:szCs w:val="21"/>
                      <w:highlight w:val="none"/>
                      <w:lang w:eastAsia="zh-CN"/>
                    </w:rPr>
                  </w:pPr>
                  <w:r>
                    <w:rPr>
                      <w:rFonts w:hint="default" w:ascii="Times New Roman" w:hAnsi="Times New Roman" w:eastAsia="宋体" w:cs="Times New Roman"/>
                      <w:b/>
                      <w:bCs/>
                      <w:color w:val="auto"/>
                      <w:spacing w:val="0"/>
                      <w:sz w:val="21"/>
                      <w:szCs w:val="21"/>
                      <w:highlight w:val="none"/>
                      <w:lang w:eastAsia="zh-CN"/>
                    </w:rPr>
                    <w:t>规模</w:t>
                  </w:r>
                  <w:r>
                    <w:rPr>
                      <w:rFonts w:hint="eastAsia" w:cs="Times New Roman"/>
                      <w:b/>
                      <w:bCs/>
                      <w:color w:val="auto"/>
                      <w:spacing w:val="0"/>
                      <w:sz w:val="21"/>
                      <w:szCs w:val="21"/>
                      <w:highlight w:val="none"/>
                      <w:lang w:val="en-US" w:eastAsia="zh-CN"/>
                    </w:rPr>
                    <w:t>/用途</w:t>
                  </w:r>
                </w:p>
              </w:tc>
              <w:tc>
                <w:tcPr>
                  <w:tcW w:w="1101" w:type="pct"/>
                  <w:vMerge w:val="restart"/>
                  <w:tcBorders>
                    <w:top w:val="single" w:color="auto" w:sz="12" w:space="0"/>
                    <w:bottom w:val="nil"/>
                  </w:tcBorders>
                  <w:noWrap w:val="0"/>
                  <w:vAlign w:val="center"/>
                </w:tcPr>
                <w:p w14:paraId="6B814615">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bCs/>
                      <w:color w:val="auto"/>
                      <w:spacing w:val="0"/>
                      <w:sz w:val="21"/>
                      <w:szCs w:val="21"/>
                      <w:highlight w:val="none"/>
                      <w:lang w:eastAsia="zh-CN"/>
                    </w:rPr>
                  </w:pPr>
                  <w:r>
                    <w:rPr>
                      <w:rFonts w:hint="default" w:ascii="Times New Roman" w:hAnsi="Times New Roman" w:eastAsia="宋体" w:cs="Times New Roman"/>
                      <w:b/>
                      <w:bCs/>
                      <w:color w:val="auto"/>
                      <w:spacing w:val="0"/>
                      <w:sz w:val="21"/>
                      <w:szCs w:val="21"/>
                      <w:highlight w:val="none"/>
                      <w:lang w:eastAsia="zh-CN"/>
                    </w:rPr>
                    <w:t>质量标准</w:t>
                  </w:r>
                </w:p>
              </w:tc>
            </w:tr>
            <w:tr w14:paraId="18AC37FB">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518" w:hRule="atLeast"/>
                <w:jc w:val="center"/>
              </w:trPr>
              <w:tc>
                <w:tcPr>
                  <w:tcW w:w="461" w:type="pct"/>
                  <w:vMerge w:val="continue"/>
                  <w:tcBorders>
                    <w:bottom w:val="single" w:color="auto" w:sz="12" w:space="0"/>
                  </w:tcBorders>
                  <w:noWrap w:val="0"/>
                  <w:vAlign w:val="center"/>
                </w:tcPr>
                <w:p w14:paraId="0C2E3E0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bCs/>
                      <w:color w:val="auto"/>
                      <w:spacing w:val="0"/>
                      <w:sz w:val="21"/>
                      <w:szCs w:val="21"/>
                      <w:highlight w:val="none"/>
                      <w:lang w:eastAsia="zh-CN"/>
                    </w:rPr>
                  </w:pPr>
                </w:p>
              </w:tc>
              <w:tc>
                <w:tcPr>
                  <w:tcW w:w="593" w:type="pct"/>
                  <w:vMerge w:val="continue"/>
                  <w:tcBorders>
                    <w:bottom w:val="single" w:color="auto" w:sz="12" w:space="0"/>
                  </w:tcBorders>
                  <w:noWrap w:val="0"/>
                  <w:vAlign w:val="center"/>
                </w:tcPr>
                <w:p w14:paraId="0843F0D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bCs/>
                      <w:color w:val="auto"/>
                      <w:spacing w:val="0"/>
                      <w:sz w:val="21"/>
                      <w:szCs w:val="21"/>
                      <w:highlight w:val="none"/>
                      <w:lang w:eastAsia="zh-CN"/>
                    </w:rPr>
                  </w:pPr>
                </w:p>
              </w:tc>
              <w:tc>
                <w:tcPr>
                  <w:tcW w:w="344" w:type="pct"/>
                  <w:tcBorders>
                    <w:top w:val="single" w:color="auto" w:sz="4" w:space="0"/>
                    <w:bottom w:val="single" w:color="auto" w:sz="12" w:space="0"/>
                  </w:tcBorders>
                  <w:noWrap w:val="0"/>
                  <w:vAlign w:val="center"/>
                </w:tcPr>
                <w:p w14:paraId="0781732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bCs/>
                      <w:color w:val="auto"/>
                      <w:spacing w:val="0"/>
                      <w:sz w:val="21"/>
                      <w:szCs w:val="21"/>
                      <w:highlight w:val="none"/>
                      <w:lang w:eastAsia="zh-CN"/>
                    </w:rPr>
                  </w:pPr>
                  <w:r>
                    <w:rPr>
                      <w:rFonts w:hint="default" w:ascii="Times New Roman" w:hAnsi="Times New Roman" w:eastAsia="宋体" w:cs="Times New Roman"/>
                      <w:b/>
                      <w:bCs/>
                      <w:color w:val="auto"/>
                      <w:spacing w:val="0"/>
                      <w:sz w:val="21"/>
                      <w:szCs w:val="21"/>
                      <w:highlight w:val="none"/>
                      <w:lang w:eastAsia="zh-CN"/>
                    </w:rPr>
                    <w:t>X</w:t>
                  </w:r>
                </w:p>
              </w:tc>
              <w:tc>
                <w:tcPr>
                  <w:tcW w:w="364" w:type="pct"/>
                  <w:tcBorders>
                    <w:top w:val="single" w:color="auto" w:sz="4" w:space="0"/>
                    <w:bottom w:val="single" w:color="auto" w:sz="12" w:space="0"/>
                  </w:tcBorders>
                  <w:noWrap w:val="0"/>
                  <w:vAlign w:val="center"/>
                </w:tcPr>
                <w:p w14:paraId="18DFA49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bCs/>
                      <w:color w:val="auto"/>
                      <w:spacing w:val="0"/>
                      <w:sz w:val="21"/>
                      <w:szCs w:val="21"/>
                      <w:highlight w:val="none"/>
                      <w:lang w:eastAsia="zh-CN"/>
                    </w:rPr>
                  </w:pPr>
                  <w:r>
                    <w:rPr>
                      <w:rFonts w:hint="default" w:ascii="Times New Roman" w:hAnsi="Times New Roman" w:eastAsia="宋体" w:cs="Times New Roman"/>
                      <w:b/>
                      <w:bCs/>
                      <w:color w:val="auto"/>
                      <w:spacing w:val="0"/>
                      <w:sz w:val="21"/>
                      <w:szCs w:val="21"/>
                      <w:highlight w:val="none"/>
                      <w:lang w:eastAsia="zh-CN"/>
                    </w:rPr>
                    <w:t>Y</w:t>
                  </w:r>
                </w:p>
              </w:tc>
              <w:tc>
                <w:tcPr>
                  <w:tcW w:w="533" w:type="pct"/>
                  <w:vMerge w:val="continue"/>
                  <w:tcBorders>
                    <w:top w:val="nil"/>
                    <w:bottom w:val="single" w:color="auto" w:sz="12" w:space="0"/>
                  </w:tcBorders>
                  <w:noWrap w:val="0"/>
                  <w:vAlign w:val="center"/>
                </w:tcPr>
                <w:p w14:paraId="7BEC090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0"/>
                      <w:sz w:val="21"/>
                      <w:szCs w:val="21"/>
                      <w:highlight w:val="none"/>
                      <w:lang w:eastAsia="zh-CN"/>
                    </w:rPr>
                  </w:pPr>
                </w:p>
              </w:tc>
              <w:tc>
                <w:tcPr>
                  <w:tcW w:w="589" w:type="pct"/>
                  <w:vMerge w:val="continue"/>
                  <w:tcBorders>
                    <w:top w:val="nil"/>
                    <w:bottom w:val="single" w:color="auto" w:sz="12" w:space="0"/>
                  </w:tcBorders>
                  <w:noWrap w:val="0"/>
                  <w:vAlign w:val="center"/>
                </w:tcPr>
                <w:p w14:paraId="7601A9E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0"/>
                      <w:sz w:val="21"/>
                      <w:szCs w:val="21"/>
                      <w:highlight w:val="none"/>
                      <w:lang w:eastAsia="zh-CN"/>
                    </w:rPr>
                  </w:pPr>
                </w:p>
              </w:tc>
              <w:tc>
                <w:tcPr>
                  <w:tcW w:w="415" w:type="pct"/>
                  <w:vMerge w:val="continue"/>
                  <w:tcBorders>
                    <w:top w:val="nil"/>
                    <w:bottom w:val="single" w:color="auto" w:sz="12" w:space="0"/>
                  </w:tcBorders>
                  <w:noWrap w:val="0"/>
                  <w:vAlign w:val="center"/>
                </w:tcPr>
                <w:p w14:paraId="1716792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0"/>
                      <w:sz w:val="21"/>
                      <w:szCs w:val="21"/>
                      <w:highlight w:val="none"/>
                      <w:lang w:eastAsia="zh-CN"/>
                    </w:rPr>
                  </w:pPr>
                </w:p>
              </w:tc>
              <w:tc>
                <w:tcPr>
                  <w:tcW w:w="597" w:type="pct"/>
                  <w:vMerge w:val="continue"/>
                  <w:tcBorders>
                    <w:top w:val="nil"/>
                    <w:bottom w:val="single" w:color="auto" w:sz="12" w:space="0"/>
                  </w:tcBorders>
                  <w:noWrap w:val="0"/>
                  <w:vAlign w:val="center"/>
                </w:tcPr>
                <w:p w14:paraId="50C1B13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0"/>
                      <w:sz w:val="21"/>
                      <w:szCs w:val="21"/>
                      <w:highlight w:val="none"/>
                      <w:lang w:eastAsia="zh-CN"/>
                    </w:rPr>
                  </w:pPr>
                </w:p>
              </w:tc>
              <w:tc>
                <w:tcPr>
                  <w:tcW w:w="1101" w:type="pct"/>
                  <w:vMerge w:val="continue"/>
                  <w:tcBorders>
                    <w:top w:val="nil"/>
                    <w:bottom w:val="single" w:color="auto" w:sz="12" w:space="0"/>
                  </w:tcBorders>
                  <w:noWrap w:val="0"/>
                  <w:vAlign w:val="center"/>
                </w:tcPr>
                <w:p w14:paraId="5903355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0"/>
                      <w:sz w:val="21"/>
                      <w:szCs w:val="21"/>
                      <w:highlight w:val="none"/>
                      <w:lang w:eastAsia="zh-CN"/>
                    </w:rPr>
                  </w:pPr>
                </w:p>
              </w:tc>
            </w:tr>
            <w:tr w14:paraId="5F4145C8">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553" w:hRule="atLeast"/>
                <w:jc w:val="center"/>
              </w:trPr>
              <w:tc>
                <w:tcPr>
                  <w:tcW w:w="461" w:type="pct"/>
                  <w:vMerge w:val="restart"/>
                  <w:tcBorders>
                    <w:top w:val="single" w:color="auto" w:sz="12" w:space="0"/>
                    <w:tl2br w:val="nil"/>
                    <w:tr2bl w:val="nil"/>
                  </w:tcBorders>
                  <w:noWrap w:val="0"/>
                  <w:vAlign w:val="center"/>
                </w:tcPr>
                <w:p w14:paraId="39D3739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0"/>
                      <w:sz w:val="21"/>
                      <w:szCs w:val="21"/>
                      <w:highlight w:val="none"/>
                      <w:lang w:val="en-US" w:eastAsia="zh-CN"/>
                    </w:rPr>
                  </w:pPr>
                  <w:r>
                    <w:rPr>
                      <w:rFonts w:hint="default" w:ascii="Times New Roman" w:hAnsi="Times New Roman" w:eastAsia="宋体" w:cs="Times New Roman"/>
                      <w:color w:val="auto"/>
                      <w:spacing w:val="0"/>
                      <w:sz w:val="21"/>
                      <w:szCs w:val="21"/>
                      <w:highlight w:val="none"/>
                      <w:lang w:val="en-US" w:eastAsia="zh-CN"/>
                    </w:rPr>
                    <w:t>环境空气</w:t>
                  </w:r>
                </w:p>
              </w:tc>
              <w:tc>
                <w:tcPr>
                  <w:tcW w:w="593" w:type="pct"/>
                  <w:tcBorders>
                    <w:top w:val="single" w:color="auto" w:sz="12" w:space="0"/>
                    <w:bottom w:val="single" w:color="auto" w:sz="4" w:space="0"/>
                    <w:tl2br w:val="nil"/>
                    <w:tr2bl w:val="nil"/>
                  </w:tcBorders>
                  <w:noWrap w:val="0"/>
                  <w:vAlign w:val="center"/>
                </w:tcPr>
                <w:p w14:paraId="5943B04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0"/>
                      <w:sz w:val="21"/>
                      <w:szCs w:val="21"/>
                      <w:highlight w:val="none"/>
                      <w:lang w:val="en-US" w:eastAsia="zh-CN"/>
                    </w:rPr>
                  </w:pPr>
                  <w:r>
                    <w:rPr>
                      <w:rFonts w:hint="default" w:ascii="Times New Roman" w:hAnsi="Times New Roman" w:eastAsia="宋体" w:cs="Times New Roman"/>
                      <w:color w:val="auto"/>
                      <w:spacing w:val="0"/>
                      <w:sz w:val="21"/>
                      <w:szCs w:val="21"/>
                      <w:highlight w:val="none"/>
                      <w:lang w:val="en-US" w:eastAsia="zh-CN"/>
                    </w:rPr>
                    <w:t>摩配小镇配套公寓</w:t>
                  </w:r>
                </w:p>
              </w:tc>
              <w:tc>
                <w:tcPr>
                  <w:tcW w:w="344" w:type="pct"/>
                  <w:tcBorders>
                    <w:top w:val="single" w:color="auto" w:sz="12" w:space="0"/>
                    <w:bottom w:val="single" w:color="auto" w:sz="4" w:space="0"/>
                    <w:tl2br w:val="nil"/>
                    <w:tr2bl w:val="nil"/>
                  </w:tcBorders>
                  <w:noWrap w:val="0"/>
                  <w:vAlign w:val="center"/>
                </w:tcPr>
                <w:p w14:paraId="7185DB7A">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0"/>
                      <w:sz w:val="21"/>
                      <w:szCs w:val="21"/>
                      <w:highlight w:val="none"/>
                      <w:lang w:val="en-US" w:eastAsia="zh-CN"/>
                    </w:rPr>
                  </w:pPr>
                  <w:r>
                    <w:rPr>
                      <w:rFonts w:hint="eastAsia" w:cs="Times New Roman"/>
                      <w:color w:val="auto"/>
                      <w:spacing w:val="0"/>
                      <w:sz w:val="21"/>
                      <w:szCs w:val="21"/>
                      <w:highlight w:val="none"/>
                      <w:lang w:val="en-US" w:eastAsia="zh-CN"/>
                    </w:rPr>
                    <w:t>-386</w:t>
                  </w:r>
                </w:p>
              </w:tc>
              <w:tc>
                <w:tcPr>
                  <w:tcW w:w="364" w:type="pct"/>
                  <w:tcBorders>
                    <w:top w:val="single" w:color="auto" w:sz="12" w:space="0"/>
                    <w:bottom w:val="single" w:color="auto" w:sz="4" w:space="0"/>
                    <w:tl2br w:val="nil"/>
                    <w:tr2bl w:val="nil"/>
                  </w:tcBorders>
                  <w:noWrap w:val="0"/>
                  <w:vAlign w:val="center"/>
                </w:tcPr>
                <w:p w14:paraId="1C75379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0"/>
                      <w:sz w:val="21"/>
                      <w:szCs w:val="21"/>
                      <w:highlight w:val="none"/>
                      <w:lang w:val="en-US" w:eastAsia="zh-CN"/>
                    </w:rPr>
                  </w:pPr>
                  <w:r>
                    <w:rPr>
                      <w:rFonts w:hint="eastAsia" w:cs="Times New Roman"/>
                      <w:color w:val="auto"/>
                      <w:spacing w:val="0"/>
                      <w:sz w:val="21"/>
                      <w:szCs w:val="21"/>
                      <w:highlight w:val="none"/>
                      <w:lang w:val="en-US" w:eastAsia="zh-CN"/>
                    </w:rPr>
                    <w:t>118</w:t>
                  </w:r>
                </w:p>
              </w:tc>
              <w:tc>
                <w:tcPr>
                  <w:tcW w:w="533" w:type="pct"/>
                  <w:tcBorders>
                    <w:top w:val="single" w:color="auto" w:sz="12" w:space="0"/>
                    <w:bottom w:val="single" w:color="auto" w:sz="4" w:space="0"/>
                    <w:tl2br w:val="nil"/>
                    <w:tr2bl w:val="nil"/>
                  </w:tcBorders>
                  <w:noWrap w:val="0"/>
                  <w:vAlign w:val="center"/>
                </w:tcPr>
                <w:p w14:paraId="7BF8F8B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0"/>
                      <w:sz w:val="21"/>
                      <w:szCs w:val="21"/>
                      <w:highlight w:val="none"/>
                      <w:lang w:val="en-US" w:eastAsia="zh-CN"/>
                    </w:rPr>
                  </w:pPr>
                  <w:r>
                    <w:rPr>
                      <w:rFonts w:hint="eastAsia" w:cs="Times New Roman"/>
                      <w:color w:val="auto"/>
                      <w:spacing w:val="0"/>
                      <w:sz w:val="21"/>
                      <w:szCs w:val="21"/>
                      <w:highlight w:val="none"/>
                      <w:lang w:val="en-US" w:eastAsia="zh-CN"/>
                    </w:rPr>
                    <w:t>居民区</w:t>
                  </w:r>
                </w:p>
              </w:tc>
              <w:tc>
                <w:tcPr>
                  <w:tcW w:w="589" w:type="pct"/>
                  <w:tcBorders>
                    <w:top w:val="single" w:color="auto" w:sz="12" w:space="0"/>
                    <w:bottom w:val="single" w:color="auto" w:sz="4" w:space="0"/>
                    <w:tl2br w:val="nil"/>
                    <w:tr2bl w:val="nil"/>
                  </w:tcBorders>
                  <w:noWrap w:val="0"/>
                  <w:vAlign w:val="center"/>
                </w:tcPr>
                <w:p w14:paraId="02FEBE6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0"/>
                      <w:sz w:val="21"/>
                      <w:szCs w:val="21"/>
                      <w:highlight w:val="none"/>
                      <w:lang w:val="en-US" w:eastAsia="zh-CN"/>
                    </w:rPr>
                  </w:pPr>
                  <w:r>
                    <w:rPr>
                      <w:rFonts w:hint="eastAsia" w:cs="Times New Roman"/>
                      <w:color w:val="auto"/>
                      <w:spacing w:val="0"/>
                      <w:sz w:val="21"/>
                      <w:szCs w:val="21"/>
                      <w:highlight w:val="none"/>
                      <w:lang w:val="en-US" w:eastAsia="zh-CN"/>
                    </w:rPr>
                    <w:t>79</w:t>
                  </w:r>
                </w:p>
              </w:tc>
              <w:tc>
                <w:tcPr>
                  <w:tcW w:w="415" w:type="pct"/>
                  <w:tcBorders>
                    <w:top w:val="single" w:color="auto" w:sz="12" w:space="0"/>
                    <w:bottom w:val="single" w:color="auto" w:sz="4" w:space="0"/>
                    <w:tl2br w:val="nil"/>
                    <w:tr2bl w:val="nil"/>
                  </w:tcBorders>
                  <w:noWrap w:val="0"/>
                  <w:vAlign w:val="center"/>
                </w:tcPr>
                <w:p w14:paraId="4B6E812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0"/>
                      <w:sz w:val="21"/>
                      <w:szCs w:val="21"/>
                      <w:highlight w:val="none"/>
                      <w:lang w:val="en-US" w:eastAsia="zh-CN"/>
                    </w:rPr>
                  </w:pPr>
                  <w:r>
                    <w:rPr>
                      <w:rFonts w:hint="eastAsia" w:cs="Times New Roman"/>
                      <w:color w:val="auto"/>
                      <w:spacing w:val="0"/>
                      <w:sz w:val="21"/>
                      <w:szCs w:val="21"/>
                      <w:highlight w:val="none"/>
                      <w:lang w:val="en-US" w:eastAsia="zh-CN"/>
                    </w:rPr>
                    <w:t>东南</w:t>
                  </w:r>
                </w:p>
              </w:tc>
              <w:tc>
                <w:tcPr>
                  <w:tcW w:w="597" w:type="pct"/>
                  <w:tcBorders>
                    <w:top w:val="single" w:color="auto" w:sz="12" w:space="0"/>
                    <w:bottom w:val="single" w:color="auto" w:sz="4" w:space="0"/>
                    <w:tl2br w:val="nil"/>
                    <w:tr2bl w:val="nil"/>
                  </w:tcBorders>
                  <w:noWrap w:val="0"/>
                  <w:vAlign w:val="center"/>
                </w:tcPr>
                <w:p w14:paraId="099CAEEA">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0"/>
                      <w:sz w:val="21"/>
                      <w:szCs w:val="21"/>
                      <w:highlight w:val="none"/>
                      <w:lang w:val="en-US" w:eastAsia="zh-CN"/>
                    </w:rPr>
                  </w:pPr>
                  <w:r>
                    <w:rPr>
                      <w:rFonts w:hint="eastAsia" w:cs="Times New Roman"/>
                      <w:color w:val="auto"/>
                      <w:spacing w:val="0"/>
                      <w:sz w:val="21"/>
                      <w:szCs w:val="21"/>
                      <w:highlight w:val="none"/>
                      <w:lang w:val="en-US" w:eastAsia="zh-CN"/>
                    </w:rPr>
                    <w:t>约600人</w:t>
                  </w:r>
                </w:p>
              </w:tc>
              <w:tc>
                <w:tcPr>
                  <w:tcW w:w="1101" w:type="pct"/>
                  <w:vMerge w:val="restart"/>
                  <w:tcBorders>
                    <w:top w:val="single" w:color="auto" w:sz="12" w:space="0"/>
                    <w:tl2br w:val="nil"/>
                    <w:tr2bl w:val="nil"/>
                  </w:tcBorders>
                  <w:noWrap w:val="0"/>
                  <w:vAlign w:val="center"/>
                </w:tcPr>
                <w:p w14:paraId="1FC0A54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0"/>
                      <w:sz w:val="21"/>
                      <w:szCs w:val="21"/>
                      <w:highlight w:val="none"/>
                      <w:lang w:val="en-US" w:eastAsia="zh-CN"/>
                    </w:rPr>
                  </w:pPr>
                  <w:r>
                    <w:rPr>
                      <w:rFonts w:hint="default" w:ascii="Times New Roman" w:hAnsi="Times New Roman" w:eastAsia="宋体" w:cs="Times New Roman"/>
                      <w:color w:val="auto"/>
                      <w:spacing w:val="0"/>
                      <w:sz w:val="21"/>
                      <w:szCs w:val="21"/>
                      <w:highlight w:val="none"/>
                      <w:lang w:val="en-US" w:eastAsia="zh-CN"/>
                    </w:rPr>
                    <w:t>（GB3095-2012）二级</w:t>
                  </w:r>
                </w:p>
              </w:tc>
            </w:tr>
            <w:tr w14:paraId="5F1C2BAD">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PrEx>
              <w:trPr>
                <w:cantSplit/>
                <w:trHeight w:val="553" w:hRule="atLeast"/>
                <w:jc w:val="center"/>
              </w:trPr>
              <w:tc>
                <w:tcPr>
                  <w:tcW w:w="461" w:type="pct"/>
                  <w:vMerge w:val="continue"/>
                  <w:tcBorders>
                    <w:tl2br w:val="nil"/>
                    <w:tr2bl w:val="nil"/>
                  </w:tcBorders>
                  <w:noWrap w:val="0"/>
                  <w:vAlign w:val="center"/>
                </w:tcPr>
                <w:p w14:paraId="1061168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0"/>
                      <w:sz w:val="21"/>
                      <w:szCs w:val="21"/>
                      <w:highlight w:val="none"/>
                      <w:lang w:val="en-US" w:eastAsia="zh-CN"/>
                    </w:rPr>
                  </w:pPr>
                </w:p>
              </w:tc>
              <w:tc>
                <w:tcPr>
                  <w:tcW w:w="593" w:type="pct"/>
                  <w:tcBorders>
                    <w:top w:val="single" w:color="auto" w:sz="4" w:space="0"/>
                    <w:tl2br w:val="nil"/>
                    <w:tr2bl w:val="nil"/>
                  </w:tcBorders>
                  <w:noWrap w:val="0"/>
                  <w:vAlign w:val="center"/>
                </w:tcPr>
                <w:p w14:paraId="50F6FAD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cs="Times New Roman"/>
                      <w:color w:val="auto"/>
                      <w:spacing w:val="0"/>
                      <w:sz w:val="21"/>
                      <w:szCs w:val="21"/>
                      <w:highlight w:val="none"/>
                      <w:lang w:val="en-US" w:eastAsia="zh-CN"/>
                    </w:rPr>
                  </w:pPr>
                  <w:r>
                    <w:rPr>
                      <w:rFonts w:hint="eastAsia" w:cs="Times New Roman"/>
                      <w:color w:val="auto"/>
                      <w:spacing w:val="0"/>
                      <w:sz w:val="21"/>
                      <w:szCs w:val="21"/>
                      <w:highlight w:val="none"/>
                      <w:lang w:val="en-US" w:eastAsia="zh-CN"/>
                    </w:rPr>
                    <w:t>杨家井</w:t>
                  </w:r>
                </w:p>
              </w:tc>
              <w:tc>
                <w:tcPr>
                  <w:tcW w:w="344" w:type="pct"/>
                  <w:tcBorders>
                    <w:top w:val="single" w:color="auto" w:sz="4" w:space="0"/>
                    <w:tl2br w:val="nil"/>
                    <w:tr2bl w:val="nil"/>
                  </w:tcBorders>
                  <w:noWrap w:val="0"/>
                  <w:vAlign w:val="center"/>
                </w:tcPr>
                <w:p w14:paraId="18422A0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cs="Times New Roman"/>
                      <w:color w:val="auto"/>
                      <w:spacing w:val="0"/>
                      <w:sz w:val="21"/>
                      <w:szCs w:val="21"/>
                      <w:highlight w:val="none"/>
                      <w:lang w:val="en-US" w:eastAsia="zh-CN"/>
                    </w:rPr>
                  </w:pPr>
                  <w:r>
                    <w:rPr>
                      <w:rFonts w:hint="eastAsia" w:cs="Times New Roman"/>
                      <w:color w:val="auto"/>
                      <w:spacing w:val="0"/>
                      <w:sz w:val="21"/>
                      <w:szCs w:val="21"/>
                      <w:highlight w:val="none"/>
                      <w:lang w:val="en-US" w:eastAsia="zh-CN"/>
                    </w:rPr>
                    <w:t>99</w:t>
                  </w:r>
                </w:p>
              </w:tc>
              <w:tc>
                <w:tcPr>
                  <w:tcW w:w="364" w:type="pct"/>
                  <w:tcBorders>
                    <w:top w:val="single" w:color="auto" w:sz="4" w:space="0"/>
                    <w:tl2br w:val="nil"/>
                    <w:tr2bl w:val="nil"/>
                  </w:tcBorders>
                  <w:noWrap w:val="0"/>
                  <w:vAlign w:val="center"/>
                </w:tcPr>
                <w:p w14:paraId="697172E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cs="Times New Roman"/>
                      <w:color w:val="auto"/>
                      <w:spacing w:val="0"/>
                      <w:sz w:val="21"/>
                      <w:szCs w:val="21"/>
                      <w:highlight w:val="none"/>
                      <w:lang w:val="en-US" w:eastAsia="zh-CN"/>
                    </w:rPr>
                  </w:pPr>
                  <w:r>
                    <w:rPr>
                      <w:rFonts w:hint="eastAsia" w:cs="Times New Roman"/>
                      <w:color w:val="auto"/>
                      <w:spacing w:val="0"/>
                      <w:sz w:val="21"/>
                      <w:szCs w:val="21"/>
                      <w:highlight w:val="none"/>
                      <w:lang w:val="en-US" w:eastAsia="zh-CN"/>
                    </w:rPr>
                    <w:t>-227</w:t>
                  </w:r>
                </w:p>
              </w:tc>
              <w:tc>
                <w:tcPr>
                  <w:tcW w:w="533" w:type="pct"/>
                  <w:tcBorders>
                    <w:top w:val="single" w:color="auto" w:sz="4" w:space="0"/>
                    <w:tl2br w:val="nil"/>
                    <w:tr2bl w:val="nil"/>
                  </w:tcBorders>
                  <w:noWrap w:val="0"/>
                  <w:vAlign w:val="center"/>
                </w:tcPr>
                <w:p w14:paraId="4449299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cs="Times New Roman"/>
                      <w:color w:val="auto"/>
                      <w:spacing w:val="0"/>
                      <w:sz w:val="21"/>
                      <w:szCs w:val="21"/>
                      <w:highlight w:val="none"/>
                      <w:lang w:val="en-US" w:eastAsia="zh-CN"/>
                    </w:rPr>
                  </w:pPr>
                  <w:r>
                    <w:rPr>
                      <w:rFonts w:hint="eastAsia" w:cs="Times New Roman"/>
                      <w:color w:val="auto"/>
                      <w:spacing w:val="0"/>
                      <w:sz w:val="21"/>
                      <w:szCs w:val="21"/>
                      <w:highlight w:val="none"/>
                      <w:lang w:val="en-US" w:eastAsia="zh-CN"/>
                    </w:rPr>
                    <w:t>居民区</w:t>
                  </w:r>
                </w:p>
              </w:tc>
              <w:tc>
                <w:tcPr>
                  <w:tcW w:w="589" w:type="pct"/>
                  <w:tcBorders>
                    <w:top w:val="single" w:color="auto" w:sz="4" w:space="0"/>
                    <w:tl2br w:val="nil"/>
                    <w:tr2bl w:val="nil"/>
                  </w:tcBorders>
                  <w:noWrap w:val="0"/>
                  <w:vAlign w:val="center"/>
                </w:tcPr>
                <w:p w14:paraId="4CF89C4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cs="Times New Roman"/>
                      <w:color w:val="auto"/>
                      <w:spacing w:val="0"/>
                      <w:sz w:val="21"/>
                      <w:szCs w:val="21"/>
                      <w:highlight w:val="none"/>
                      <w:lang w:val="en-US" w:eastAsia="zh-CN"/>
                    </w:rPr>
                  </w:pPr>
                  <w:r>
                    <w:rPr>
                      <w:rFonts w:hint="eastAsia" w:cs="Times New Roman"/>
                      <w:color w:val="auto"/>
                      <w:spacing w:val="0"/>
                      <w:sz w:val="21"/>
                      <w:szCs w:val="21"/>
                      <w:highlight w:val="none"/>
                      <w:lang w:val="en-US" w:eastAsia="zh-CN"/>
                    </w:rPr>
                    <w:t>248</w:t>
                  </w:r>
                </w:p>
              </w:tc>
              <w:tc>
                <w:tcPr>
                  <w:tcW w:w="415" w:type="pct"/>
                  <w:tcBorders>
                    <w:top w:val="single" w:color="auto" w:sz="4" w:space="0"/>
                    <w:tl2br w:val="nil"/>
                    <w:tr2bl w:val="nil"/>
                  </w:tcBorders>
                  <w:noWrap w:val="0"/>
                  <w:vAlign w:val="center"/>
                </w:tcPr>
                <w:p w14:paraId="3C8F01C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cs="Times New Roman"/>
                      <w:color w:val="auto"/>
                      <w:spacing w:val="0"/>
                      <w:sz w:val="21"/>
                      <w:szCs w:val="21"/>
                      <w:highlight w:val="none"/>
                      <w:lang w:val="en-US" w:eastAsia="zh-CN"/>
                    </w:rPr>
                  </w:pPr>
                  <w:r>
                    <w:rPr>
                      <w:rFonts w:hint="eastAsia" w:cs="Times New Roman"/>
                      <w:color w:val="auto"/>
                      <w:spacing w:val="0"/>
                      <w:sz w:val="21"/>
                      <w:szCs w:val="21"/>
                      <w:highlight w:val="none"/>
                      <w:lang w:val="en-US" w:eastAsia="zh-CN"/>
                    </w:rPr>
                    <w:t>西北</w:t>
                  </w:r>
                </w:p>
              </w:tc>
              <w:tc>
                <w:tcPr>
                  <w:tcW w:w="597" w:type="pct"/>
                  <w:tcBorders>
                    <w:top w:val="single" w:color="auto" w:sz="4" w:space="0"/>
                    <w:tl2br w:val="nil"/>
                    <w:tr2bl w:val="nil"/>
                  </w:tcBorders>
                  <w:noWrap w:val="0"/>
                  <w:vAlign w:val="center"/>
                </w:tcPr>
                <w:p w14:paraId="072FD890">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cs="Times New Roman"/>
                      <w:color w:val="auto"/>
                      <w:spacing w:val="0"/>
                      <w:sz w:val="21"/>
                      <w:szCs w:val="21"/>
                      <w:highlight w:val="none"/>
                      <w:lang w:val="en-US" w:eastAsia="zh-CN"/>
                    </w:rPr>
                  </w:pPr>
                  <w:r>
                    <w:rPr>
                      <w:rFonts w:hint="eastAsia" w:cs="Times New Roman"/>
                      <w:color w:val="auto"/>
                      <w:spacing w:val="0"/>
                      <w:sz w:val="21"/>
                      <w:szCs w:val="21"/>
                      <w:highlight w:val="none"/>
                      <w:lang w:val="en-US" w:eastAsia="zh-CN"/>
                    </w:rPr>
                    <w:t>约10人</w:t>
                  </w:r>
                </w:p>
              </w:tc>
              <w:tc>
                <w:tcPr>
                  <w:tcW w:w="1101" w:type="pct"/>
                  <w:vMerge w:val="continue"/>
                  <w:tcBorders>
                    <w:tl2br w:val="nil"/>
                    <w:tr2bl w:val="nil"/>
                  </w:tcBorders>
                  <w:noWrap w:val="0"/>
                  <w:vAlign w:val="center"/>
                </w:tcPr>
                <w:p w14:paraId="6AB10CCA">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0"/>
                      <w:sz w:val="21"/>
                      <w:szCs w:val="21"/>
                      <w:highlight w:val="none"/>
                      <w:lang w:val="en-US" w:eastAsia="zh-CN"/>
                    </w:rPr>
                  </w:pPr>
                </w:p>
              </w:tc>
            </w:tr>
            <w:tr w14:paraId="474B017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534" w:hRule="atLeast"/>
                <w:jc w:val="center"/>
              </w:trPr>
              <w:tc>
                <w:tcPr>
                  <w:tcW w:w="461" w:type="pct"/>
                  <w:vMerge w:val="restart"/>
                  <w:tcBorders>
                    <w:tl2br w:val="nil"/>
                    <w:tr2bl w:val="nil"/>
                  </w:tcBorders>
                  <w:noWrap w:val="0"/>
                  <w:vAlign w:val="center"/>
                </w:tcPr>
                <w:p w14:paraId="69E3650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0"/>
                      <w:sz w:val="21"/>
                      <w:szCs w:val="21"/>
                      <w:highlight w:val="none"/>
                      <w:lang w:eastAsia="zh-CN"/>
                    </w:rPr>
                  </w:pPr>
                  <w:r>
                    <w:rPr>
                      <w:rFonts w:hint="default" w:ascii="Times New Roman" w:hAnsi="Times New Roman" w:eastAsia="宋体" w:cs="Times New Roman"/>
                      <w:color w:val="auto"/>
                      <w:spacing w:val="0"/>
                      <w:sz w:val="21"/>
                      <w:szCs w:val="21"/>
                      <w:highlight w:val="none"/>
                      <w:lang w:eastAsia="zh-CN"/>
                    </w:rPr>
                    <w:t>地表水环境</w:t>
                  </w:r>
                </w:p>
              </w:tc>
              <w:tc>
                <w:tcPr>
                  <w:tcW w:w="593" w:type="pct"/>
                  <w:tcBorders>
                    <w:tl2br w:val="nil"/>
                    <w:tr2bl w:val="nil"/>
                  </w:tcBorders>
                  <w:noWrap w:val="0"/>
                  <w:vAlign w:val="center"/>
                </w:tcPr>
                <w:p w14:paraId="5615BF5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0"/>
                      <w:sz w:val="21"/>
                      <w:szCs w:val="21"/>
                      <w:highlight w:val="none"/>
                      <w:lang w:val="en-US" w:eastAsia="zh-CN"/>
                    </w:rPr>
                  </w:pPr>
                  <w:r>
                    <w:rPr>
                      <w:rFonts w:hint="eastAsia" w:cs="Times New Roman"/>
                      <w:color w:val="auto"/>
                      <w:spacing w:val="0"/>
                      <w:sz w:val="21"/>
                      <w:szCs w:val="21"/>
                      <w:highlight w:val="none"/>
                      <w:lang w:val="en-US" w:eastAsia="zh-CN"/>
                    </w:rPr>
                    <w:t>里头坞</w:t>
                  </w:r>
                </w:p>
              </w:tc>
              <w:tc>
                <w:tcPr>
                  <w:tcW w:w="344" w:type="pct"/>
                  <w:tcBorders>
                    <w:tl2br w:val="nil"/>
                    <w:tr2bl w:val="nil"/>
                  </w:tcBorders>
                  <w:noWrap w:val="0"/>
                  <w:vAlign w:val="center"/>
                </w:tcPr>
                <w:p w14:paraId="286E8CC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0"/>
                      <w:sz w:val="21"/>
                      <w:szCs w:val="21"/>
                      <w:highlight w:val="none"/>
                      <w:lang w:val="en-US" w:eastAsia="zh-CN"/>
                    </w:rPr>
                  </w:pPr>
                  <w:r>
                    <w:rPr>
                      <w:rFonts w:hint="eastAsia" w:ascii="Times New Roman" w:hAnsi="Times New Roman" w:eastAsia="宋体" w:cs="Times New Roman"/>
                      <w:color w:val="auto"/>
                      <w:spacing w:val="0"/>
                      <w:sz w:val="21"/>
                      <w:szCs w:val="21"/>
                      <w:highlight w:val="none"/>
                      <w:lang w:val="en-US" w:eastAsia="zh-CN"/>
                    </w:rPr>
                    <w:t>/</w:t>
                  </w:r>
                </w:p>
              </w:tc>
              <w:tc>
                <w:tcPr>
                  <w:tcW w:w="364" w:type="pct"/>
                  <w:tcBorders>
                    <w:tl2br w:val="nil"/>
                    <w:tr2bl w:val="nil"/>
                  </w:tcBorders>
                  <w:noWrap w:val="0"/>
                  <w:vAlign w:val="center"/>
                </w:tcPr>
                <w:p w14:paraId="2C8B583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0"/>
                      <w:sz w:val="21"/>
                      <w:szCs w:val="21"/>
                      <w:highlight w:val="none"/>
                      <w:lang w:val="en-US" w:eastAsia="zh-CN"/>
                    </w:rPr>
                  </w:pPr>
                  <w:r>
                    <w:rPr>
                      <w:rFonts w:hint="eastAsia" w:ascii="Times New Roman" w:hAnsi="Times New Roman" w:eastAsia="宋体" w:cs="Times New Roman"/>
                      <w:color w:val="auto"/>
                      <w:spacing w:val="0"/>
                      <w:sz w:val="21"/>
                      <w:szCs w:val="21"/>
                      <w:highlight w:val="none"/>
                      <w:lang w:val="en-US" w:eastAsia="zh-CN"/>
                    </w:rPr>
                    <w:t>/</w:t>
                  </w:r>
                </w:p>
              </w:tc>
              <w:tc>
                <w:tcPr>
                  <w:tcW w:w="533" w:type="pct"/>
                  <w:tcBorders>
                    <w:tl2br w:val="nil"/>
                    <w:tr2bl w:val="nil"/>
                  </w:tcBorders>
                  <w:noWrap w:val="0"/>
                  <w:vAlign w:val="center"/>
                </w:tcPr>
                <w:p w14:paraId="190D18C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0"/>
                      <w:sz w:val="21"/>
                      <w:szCs w:val="21"/>
                      <w:highlight w:val="none"/>
                      <w:lang w:val="en-US" w:eastAsia="zh-CN"/>
                    </w:rPr>
                  </w:pPr>
                  <w:r>
                    <w:rPr>
                      <w:rFonts w:hint="eastAsia" w:cs="Times New Roman"/>
                      <w:color w:val="auto"/>
                      <w:spacing w:val="0"/>
                      <w:sz w:val="21"/>
                      <w:szCs w:val="21"/>
                      <w:highlight w:val="none"/>
                      <w:lang w:val="en-US" w:eastAsia="zh-CN"/>
                    </w:rPr>
                    <w:t>水库</w:t>
                  </w:r>
                </w:p>
              </w:tc>
              <w:tc>
                <w:tcPr>
                  <w:tcW w:w="589" w:type="pct"/>
                  <w:tcBorders>
                    <w:tl2br w:val="nil"/>
                    <w:tr2bl w:val="nil"/>
                  </w:tcBorders>
                  <w:noWrap w:val="0"/>
                  <w:vAlign w:val="center"/>
                </w:tcPr>
                <w:p w14:paraId="329CED3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0"/>
                      <w:sz w:val="21"/>
                      <w:szCs w:val="21"/>
                      <w:highlight w:val="none"/>
                      <w:lang w:val="en-US" w:eastAsia="zh-CN"/>
                    </w:rPr>
                  </w:pPr>
                  <w:r>
                    <w:rPr>
                      <w:rFonts w:hint="eastAsia" w:cs="Times New Roman"/>
                      <w:color w:val="auto"/>
                      <w:spacing w:val="0"/>
                      <w:sz w:val="21"/>
                      <w:szCs w:val="21"/>
                      <w:highlight w:val="none"/>
                      <w:lang w:val="en-US" w:eastAsia="zh-CN"/>
                    </w:rPr>
                    <w:t>453</w:t>
                  </w:r>
                </w:p>
              </w:tc>
              <w:tc>
                <w:tcPr>
                  <w:tcW w:w="415" w:type="pct"/>
                  <w:tcBorders>
                    <w:tl2br w:val="nil"/>
                    <w:tr2bl w:val="nil"/>
                  </w:tcBorders>
                  <w:noWrap w:val="0"/>
                  <w:vAlign w:val="center"/>
                </w:tcPr>
                <w:p w14:paraId="7317B45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0"/>
                      <w:sz w:val="21"/>
                      <w:szCs w:val="21"/>
                      <w:highlight w:val="none"/>
                      <w:lang w:val="en-US" w:eastAsia="zh-CN"/>
                    </w:rPr>
                  </w:pPr>
                  <w:r>
                    <w:rPr>
                      <w:rFonts w:hint="eastAsia" w:ascii="Times New Roman" w:hAnsi="Times New Roman" w:eastAsia="宋体" w:cs="Times New Roman"/>
                      <w:color w:val="auto"/>
                      <w:spacing w:val="0"/>
                      <w:sz w:val="21"/>
                      <w:szCs w:val="21"/>
                      <w:highlight w:val="none"/>
                      <w:lang w:val="en-US" w:eastAsia="zh-CN"/>
                    </w:rPr>
                    <w:t>东</w:t>
                  </w:r>
                  <w:r>
                    <w:rPr>
                      <w:rFonts w:hint="eastAsia" w:cs="Times New Roman"/>
                      <w:color w:val="auto"/>
                      <w:spacing w:val="0"/>
                      <w:sz w:val="21"/>
                      <w:szCs w:val="21"/>
                      <w:highlight w:val="none"/>
                      <w:lang w:val="en-US" w:eastAsia="zh-CN"/>
                    </w:rPr>
                    <w:t>北</w:t>
                  </w:r>
                </w:p>
              </w:tc>
              <w:tc>
                <w:tcPr>
                  <w:tcW w:w="597" w:type="pct"/>
                  <w:tcBorders>
                    <w:tl2br w:val="nil"/>
                    <w:tr2bl w:val="nil"/>
                  </w:tcBorders>
                  <w:noWrap w:val="0"/>
                  <w:vAlign w:val="center"/>
                </w:tcPr>
                <w:p w14:paraId="288D388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0"/>
                      <w:sz w:val="21"/>
                      <w:szCs w:val="21"/>
                      <w:highlight w:val="none"/>
                      <w:lang w:val="en-US" w:eastAsia="zh-CN"/>
                    </w:rPr>
                  </w:pPr>
                  <w:r>
                    <w:rPr>
                      <w:rFonts w:hint="eastAsia" w:cs="Times New Roman"/>
                      <w:color w:val="auto"/>
                      <w:spacing w:val="0"/>
                      <w:sz w:val="21"/>
                      <w:szCs w:val="21"/>
                      <w:highlight w:val="none"/>
                      <w:lang w:val="en-US" w:eastAsia="zh-CN"/>
                    </w:rPr>
                    <w:t>灌溉</w:t>
                  </w:r>
                </w:p>
              </w:tc>
              <w:tc>
                <w:tcPr>
                  <w:tcW w:w="1101" w:type="pct"/>
                  <w:vMerge w:val="restart"/>
                  <w:tcBorders>
                    <w:tl2br w:val="nil"/>
                    <w:tr2bl w:val="nil"/>
                  </w:tcBorders>
                  <w:noWrap w:val="0"/>
                  <w:tcMar>
                    <w:left w:w="57" w:type="dxa"/>
                    <w:right w:w="57" w:type="dxa"/>
                  </w:tcMar>
                  <w:vAlign w:val="center"/>
                </w:tcPr>
                <w:p w14:paraId="0A7C360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0"/>
                      <w:sz w:val="21"/>
                      <w:szCs w:val="21"/>
                      <w:highlight w:val="none"/>
                      <w:lang w:eastAsia="zh-CN"/>
                    </w:rPr>
                  </w:pPr>
                  <w:r>
                    <w:rPr>
                      <w:rFonts w:hint="default" w:ascii="Times New Roman" w:hAnsi="Times New Roman" w:eastAsia="宋体" w:cs="Times New Roman"/>
                      <w:color w:val="auto"/>
                      <w:spacing w:val="0"/>
                      <w:sz w:val="21"/>
                      <w:szCs w:val="21"/>
                      <w:highlight w:val="none"/>
                      <w:lang w:eastAsia="zh-CN"/>
                    </w:rPr>
                    <w:t>（GB3838-2002）Ⅲ类</w:t>
                  </w:r>
                </w:p>
              </w:tc>
            </w:tr>
            <w:tr w14:paraId="20CB050F">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534" w:hRule="atLeast"/>
                <w:jc w:val="center"/>
              </w:trPr>
              <w:tc>
                <w:tcPr>
                  <w:tcW w:w="461" w:type="pct"/>
                  <w:vMerge w:val="continue"/>
                  <w:tcBorders>
                    <w:tl2br w:val="nil"/>
                    <w:tr2bl w:val="nil"/>
                  </w:tcBorders>
                  <w:noWrap w:val="0"/>
                  <w:vAlign w:val="center"/>
                </w:tcPr>
                <w:p w14:paraId="3F9663B5">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0"/>
                      <w:sz w:val="21"/>
                      <w:szCs w:val="21"/>
                      <w:highlight w:val="none"/>
                      <w:lang w:eastAsia="zh-CN"/>
                    </w:rPr>
                  </w:pPr>
                </w:p>
              </w:tc>
              <w:tc>
                <w:tcPr>
                  <w:tcW w:w="593" w:type="pct"/>
                  <w:tcBorders>
                    <w:tl2br w:val="nil"/>
                    <w:tr2bl w:val="nil"/>
                  </w:tcBorders>
                  <w:noWrap w:val="0"/>
                  <w:vAlign w:val="center"/>
                </w:tcPr>
                <w:p w14:paraId="65B62DA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cs="Times New Roman"/>
                      <w:color w:val="auto"/>
                      <w:spacing w:val="0"/>
                      <w:sz w:val="21"/>
                      <w:szCs w:val="21"/>
                      <w:highlight w:val="none"/>
                      <w:lang w:val="en-US" w:eastAsia="zh-CN"/>
                    </w:rPr>
                  </w:pPr>
                  <w:r>
                    <w:rPr>
                      <w:rFonts w:hint="eastAsia" w:cs="Times New Roman"/>
                      <w:color w:val="auto"/>
                      <w:spacing w:val="0"/>
                      <w:sz w:val="21"/>
                      <w:szCs w:val="21"/>
                      <w:highlight w:val="none"/>
                      <w:lang w:val="en-US" w:eastAsia="zh-CN"/>
                    </w:rPr>
                    <w:t>杨家井水库</w:t>
                  </w:r>
                </w:p>
              </w:tc>
              <w:tc>
                <w:tcPr>
                  <w:tcW w:w="344" w:type="pct"/>
                  <w:tcBorders>
                    <w:tl2br w:val="nil"/>
                    <w:tr2bl w:val="nil"/>
                  </w:tcBorders>
                  <w:noWrap w:val="0"/>
                  <w:vAlign w:val="center"/>
                </w:tcPr>
                <w:p w14:paraId="6558C27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0"/>
                      <w:sz w:val="21"/>
                      <w:szCs w:val="21"/>
                      <w:highlight w:val="none"/>
                      <w:lang w:val="en-US" w:eastAsia="zh-CN"/>
                    </w:rPr>
                  </w:pPr>
                  <w:r>
                    <w:rPr>
                      <w:rFonts w:hint="eastAsia" w:ascii="Times New Roman" w:hAnsi="Times New Roman" w:eastAsia="宋体" w:cs="Times New Roman"/>
                      <w:color w:val="auto"/>
                      <w:spacing w:val="0"/>
                      <w:sz w:val="21"/>
                      <w:szCs w:val="21"/>
                      <w:highlight w:val="none"/>
                      <w:lang w:val="en-US" w:eastAsia="zh-CN"/>
                    </w:rPr>
                    <w:t>/</w:t>
                  </w:r>
                </w:p>
              </w:tc>
              <w:tc>
                <w:tcPr>
                  <w:tcW w:w="364" w:type="pct"/>
                  <w:tcBorders>
                    <w:tl2br w:val="nil"/>
                    <w:tr2bl w:val="nil"/>
                  </w:tcBorders>
                  <w:noWrap w:val="0"/>
                  <w:vAlign w:val="center"/>
                </w:tcPr>
                <w:p w14:paraId="2436772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0"/>
                      <w:sz w:val="21"/>
                      <w:szCs w:val="21"/>
                      <w:highlight w:val="none"/>
                      <w:lang w:val="en-US" w:eastAsia="zh-CN"/>
                    </w:rPr>
                  </w:pPr>
                  <w:r>
                    <w:rPr>
                      <w:rFonts w:hint="eastAsia" w:ascii="Times New Roman" w:hAnsi="Times New Roman" w:eastAsia="宋体" w:cs="Times New Roman"/>
                      <w:color w:val="auto"/>
                      <w:spacing w:val="0"/>
                      <w:sz w:val="21"/>
                      <w:szCs w:val="21"/>
                      <w:highlight w:val="none"/>
                      <w:lang w:val="en-US" w:eastAsia="zh-CN"/>
                    </w:rPr>
                    <w:t>/</w:t>
                  </w:r>
                </w:p>
              </w:tc>
              <w:tc>
                <w:tcPr>
                  <w:tcW w:w="533" w:type="pct"/>
                  <w:tcBorders>
                    <w:tl2br w:val="nil"/>
                    <w:tr2bl w:val="nil"/>
                  </w:tcBorders>
                  <w:noWrap w:val="0"/>
                  <w:vAlign w:val="center"/>
                </w:tcPr>
                <w:p w14:paraId="088C5C3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0"/>
                      <w:sz w:val="21"/>
                      <w:szCs w:val="21"/>
                      <w:highlight w:val="none"/>
                      <w:lang w:val="en-US" w:eastAsia="zh-CN"/>
                    </w:rPr>
                  </w:pPr>
                  <w:r>
                    <w:rPr>
                      <w:rFonts w:hint="eastAsia" w:cs="Times New Roman"/>
                      <w:color w:val="auto"/>
                      <w:spacing w:val="0"/>
                      <w:sz w:val="21"/>
                      <w:szCs w:val="21"/>
                      <w:highlight w:val="none"/>
                      <w:lang w:val="en-US" w:eastAsia="zh-CN"/>
                    </w:rPr>
                    <w:t>水库</w:t>
                  </w:r>
                </w:p>
              </w:tc>
              <w:tc>
                <w:tcPr>
                  <w:tcW w:w="589" w:type="pct"/>
                  <w:tcBorders>
                    <w:tl2br w:val="nil"/>
                    <w:tr2bl w:val="nil"/>
                  </w:tcBorders>
                  <w:noWrap w:val="0"/>
                  <w:vAlign w:val="center"/>
                </w:tcPr>
                <w:p w14:paraId="72FCF440">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cs="Times New Roman"/>
                      <w:color w:val="auto"/>
                      <w:spacing w:val="0"/>
                      <w:sz w:val="21"/>
                      <w:szCs w:val="21"/>
                      <w:highlight w:val="none"/>
                      <w:lang w:val="en-US" w:eastAsia="zh-CN"/>
                    </w:rPr>
                  </w:pPr>
                  <w:r>
                    <w:rPr>
                      <w:rFonts w:hint="eastAsia" w:cs="Times New Roman"/>
                      <w:color w:val="auto"/>
                      <w:spacing w:val="0"/>
                      <w:sz w:val="21"/>
                      <w:szCs w:val="21"/>
                      <w:highlight w:val="none"/>
                      <w:lang w:val="en-US" w:eastAsia="zh-CN"/>
                    </w:rPr>
                    <w:t>305</w:t>
                  </w:r>
                </w:p>
              </w:tc>
              <w:tc>
                <w:tcPr>
                  <w:tcW w:w="415" w:type="pct"/>
                  <w:tcBorders>
                    <w:tl2br w:val="nil"/>
                    <w:tr2bl w:val="nil"/>
                  </w:tcBorders>
                  <w:noWrap w:val="0"/>
                  <w:vAlign w:val="center"/>
                </w:tcPr>
                <w:p w14:paraId="5F274D3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color w:val="auto"/>
                      <w:spacing w:val="0"/>
                      <w:sz w:val="21"/>
                      <w:szCs w:val="21"/>
                      <w:highlight w:val="none"/>
                      <w:lang w:val="en-US" w:eastAsia="zh-CN"/>
                    </w:rPr>
                  </w:pPr>
                  <w:r>
                    <w:rPr>
                      <w:rFonts w:hint="eastAsia" w:cs="Times New Roman"/>
                      <w:color w:val="auto"/>
                      <w:spacing w:val="0"/>
                      <w:sz w:val="21"/>
                      <w:szCs w:val="21"/>
                      <w:highlight w:val="none"/>
                      <w:lang w:val="en-US" w:eastAsia="zh-CN"/>
                    </w:rPr>
                    <w:t>西北</w:t>
                  </w:r>
                </w:p>
              </w:tc>
              <w:tc>
                <w:tcPr>
                  <w:tcW w:w="597" w:type="pct"/>
                  <w:tcBorders>
                    <w:tl2br w:val="nil"/>
                    <w:tr2bl w:val="nil"/>
                  </w:tcBorders>
                  <w:noWrap w:val="0"/>
                  <w:vAlign w:val="center"/>
                </w:tcPr>
                <w:p w14:paraId="4841BCF0">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color w:val="auto"/>
                      <w:spacing w:val="0"/>
                      <w:sz w:val="21"/>
                      <w:szCs w:val="21"/>
                      <w:highlight w:val="none"/>
                      <w:lang w:val="en-US" w:eastAsia="zh-CN"/>
                    </w:rPr>
                  </w:pPr>
                  <w:r>
                    <w:rPr>
                      <w:rFonts w:hint="eastAsia" w:cs="Times New Roman"/>
                      <w:color w:val="auto"/>
                      <w:spacing w:val="0"/>
                      <w:sz w:val="21"/>
                      <w:szCs w:val="21"/>
                      <w:highlight w:val="none"/>
                      <w:lang w:val="en-US" w:eastAsia="zh-CN"/>
                    </w:rPr>
                    <w:t>灌溉</w:t>
                  </w:r>
                </w:p>
              </w:tc>
              <w:tc>
                <w:tcPr>
                  <w:tcW w:w="1101" w:type="pct"/>
                  <w:vMerge w:val="continue"/>
                  <w:tcBorders>
                    <w:tl2br w:val="nil"/>
                    <w:tr2bl w:val="nil"/>
                  </w:tcBorders>
                  <w:noWrap w:val="0"/>
                  <w:tcMar>
                    <w:left w:w="57" w:type="dxa"/>
                    <w:right w:w="57" w:type="dxa"/>
                  </w:tcMar>
                  <w:vAlign w:val="center"/>
                </w:tcPr>
                <w:p w14:paraId="4E43082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0"/>
                      <w:sz w:val="21"/>
                      <w:szCs w:val="21"/>
                      <w:highlight w:val="none"/>
                      <w:lang w:eastAsia="zh-CN"/>
                    </w:rPr>
                  </w:pPr>
                </w:p>
              </w:tc>
            </w:tr>
            <w:tr w14:paraId="12514E1C">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PrEx>
              <w:trPr>
                <w:cantSplit/>
                <w:trHeight w:val="534" w:hRule="atLeast"/>
                <w:jc w:val="center"/>
              </w:trPr>
              <w:tc>
                <w:tcPr>
                  <w:tcW w:w="461" w:type="pct"/>
                  <w:vMerge w:val="continue"/>
                  <w:tcBorders>
                    <w:tl2br w:val="nil"/>
                    <w:tr2bl w:val="nil"/>
                  </w:tcBorders>
                  <w:noWrap w:val="0"/>
                  <w:vAlign w:val="center"/>
                </w:tcPr>
                <w:p w14:paraId="74178A0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0"/>
                      <w:sz w:val="21"/>
                      <w:szCs w:val="21"/>
                      <w:highlight w:val="none"/>
                      <w:lang w:eastAsia="zh-CN"/>
                    </w:rPr>
                  </w:pPr>
                </w:p>
              </w:tc>
              <w:tc>
                <w:tcPr>
                  <w:tcW w:w="593" w:type="pct"/>
                  <w:tcBorders>
                    <w:tl2br w:val="nil"/>
                    <w:tr2bl w:val="nil"/>
                  </w:tcBorders>
                  <w:noWrap w:val="0"/>
                  <w:vAlign w:val="center"/>
                </w:tcPr>
                <w:p w14:paraId="4C48F36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cs="Times New Roman"/>
                      <w:color w:val="auto"/>
                      <w:spacing w:val="0"/>
                      <w:sz w:val="21"/>
                      <w:szCs w:val="21"/>
                      <w:highlight w:val="none"/>
                      <w:lang w:val="en-US" w:eastAsia="zh-CN"/>
                    </w:rPr>
                  </w:pPr>
                  <w:r>
                    <w:rPr>
                      <w:rFonts w:hint="eastAsia" w:cs="Times New Roman"/>
                      <w:color w:val="auto"/>
                      <w:spacing w:val="0"/>
                      <w:sz w:val="21"/>
                      <w:szCs w:val="21"/>
                      <w:highlight w:val="none"/>
                      <w:lang w:val="en-US" w:eastAsia="zh-CN"/>
                    </w:rPr>
                    <w:t>乐安河</w:t>
                  </w:r>
                </w:p>
              </w:tc>
              <w:tc>
                <w:tcPr>
                  <w:tcW w:w="344" w:type="pct"/>
                  <w:tcBorders>
                    <w:tl2br w:val="nil"/>
                    <w:tr2bl w:val="nil"/>
                  </w:tcBorders>
                  <w:noWrap w:val="0"/>
                  <w:vAlign w:val="center"/>
                </w:tcPr>
                <w:p w14:paraId="50E8347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color w:val="auto"/>
                      <w:spacing w:val="0"/>
                      <w:sz w:val="21"/>
                      <w:szCs w:val="21"/>
                      <w:highlight w:val="none"/>
                      <w:lang w:val="en-US" w:eastAsia="zh-CN"/>
                    </w:rPr>
                  </w:pPr>
                  <w:r>
                    <w:rPr>
                      <w:rFonts w:hint="eastAsia" w:ascii="Times New Roman" w:hAnsi="Times New Roman" w:eastAsia="宋体" w:cs="Times New Roman"/>
                      <w:color w:val="auto"/>
                      <w:spacing w:val="0"/>
                      <w:sz w:val="21"/>
                      <w:szCs w:val="21"/>
                      <w:highlight w:val="none"/>
                      <w:lang w:val="en-US" w:eastAsia="zh-CN"/>
                    </w:rPr>
                    <w:t>/</w:t>
                  </w:r>
                </w:p>
              </w:tc>
              <w:tc>
                <w:tcPr>
                  <w:tcW w:w="364" w:type="pct"/>
                  <w:tcBorders>
                    <w:tl2br w:val="nil"/>
                    <w:tr2bl w:val="nil"/>
                  </w:tcBorders>
                  <w:noWrap w:val="0"/>
                  <w:vAlign w:val="center"/>
                </w:tcPr>
                <w:p w14:paraId="64A024E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color w:val="auto"/>
                      <w:spacing w:val="0"/>
                      <w:sz w:val="21"/>
                      <w:szCs w:val="21"/>
                      <w:highlight w:val="none"/>
                      <w:lang w:val="en-US" w:eastAsia="zh-CN"/>
                    </w:rPr>
                  </w:pPr>
                  <w:r>
                    <w:rPr>
                      <w:rFonts w:hint="eastAsia" w:ascii="Times New Roman" w:hAnsi="Times New Roman" w:eastAsia="宋体" w:cs="Times New Roman"/>
                      <w:color w:val="auto"/>
                      <w:spacing w:val="0"/>
                      <w:sz w:val="21"/>
                      <w:szCs w:val="21"/>
                      <w:highlight w:val="none"/>
                      <w:lang w:val="en-US" w:eastAsia="zh-CN"/>
                    </w:rPr>
                    <w:t>/</w:t>
                  </w:r>
                </w:p>
              </w:tc>
              <w:tc>
                <w:tcPr>
                  <w:tcW w:w="533" w:type="pct"/>
                  <w:tcBorders>
                    <w:tl2br w:val="nil"/>
                    <w:tr2bl w:val="nil"/>
                  </w:tcBorders>
                  <w:noWrap w:val="0"/>
                  <w:vAlign w:val="center"/>
                </w:tcPr>
                <w:p w14:paraId="10E9AD1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cs="Times New Roman"/>
                      <w:color w:val="auto"/>
                      <w:spacing w:val="0"/>
                      <w:sz w:val="21"/>
                      <w:szCs w:val="21"/>
                      <w:highlight w:val="none"/>
                      <w:lang w:val="en-US" w:eastAsia="zh-CN"/>
                    </w:rPr>
                  </w:pPr>
                  <w:r>
                    <w:rPr>
                      <w:rFonts w:hint="eastAsia" w:cs="Times New Roman"/>
                      <w:color w:val="auto"/>
                      <w:spacing w:val="0"/>
                      <w:sz w:val="21"/>
                      <w:szCs w:val="21"/>
                      <w:highlight w:val="none"/>
                      <w:lang w:val="en-US" w:eastAsia="zh-CN"/>
                    </w:rPr>
                    <w:t>河流</w:t>
                  </w:r>
                </w:p>
              </w:tc>
              <w:tc>
                <w:tcPr>
                  <w:tcW w:w="589" w:type="pct"/>
                  <w:tcBorders>
                    <w:tl2br w:val="nil"/>
                    <w:tr2bl w:val="nil"/>
                  </w:tcBorders>
                  <w:noWrap w:val="0"/>
                  <w:vAlign w:val="center"/>
                </w:tcPr>
                <w:p w14:paraId="3965288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cs="Times New Roman"/>
                      <w:color w:val="auto"/>
                      <w:spacing w:val="0"/>
                      <w:sz w:val="21"/>
                      <w:szCs w:val="21"/>
                      <w:highlight w:val="none"/>
                      <w:lang w:val="en-US" w:eastAsia="zh-CN"/>
                    </w:rPr>
                  </w:pPr>
                  <w:r>
                    <w:rPr>
                      <w:rFonts w:hint="eastAsia" w:cs="Times New Roman"/>
                      <w:color w:val="auto"/>
                      <w:spacing w:val="0"/>
                      <w:sz w:val="21"/>
                      <w:szCs w:val="21"/>
                      <w:highlight w:val="none"/>
                      <w:lang w:val="en-US" w:eastAsia="zh-CN"/>
                    </w:rPr>
                    <w:t>5895</w:t>
                  </w:r>
                </w:p>
              </w:tc>
              <w:tc>
                <w:tcPr>
                  <w:tcW w:w="415" w:type="pct"/>
                  <w:tcBorders>
                    <w:tl2br w:val="nil"/>
                    <w:tr2bl w:val="nil"/>
                  </w:tcBorders>
                  <w:noWrap w:val="0"/>
                  <w:vAlign w:val="center"/>
                </w:tcPr>
                <w:p w14:paraId="0926514A">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cs="Times New Roman"/>
                      <w:color w:val="auto"/>
                      <w:spacing w:val="0"/>
                      <w:sz w:val="21"/>
                      <w:szCs w:val="21"/>
                      <w:highlight w:val="none"/>
                      <w:lang w:val="en-US" w:eastAsia="zh-CN"/>
                    </w:rPr>
                  </w:pPr>
                  <w:r>
                    <w:rPr>
                      <w:rFonts w:hint="eastAsia" w:cs="Times New Roman"/>
                      <w:color w:val="auto"/>
                      <w:spacing w:val="0"/>
                      <w:sz w:val="21"/>
                      <w:szCs w:val="21"/>
                      <w:highlight w:val="none"/>
                      <w:lang w:val="en-US" w:eastAsia="zh-CN"/>
                    </w:rPr>
                    <w:t>西南</w:t>
                  </w:r>
                </w:p>
              </w:tc>
              <w:tc>
                <w:tcPr>
                  <w:tcW w:w="597" w:type="pct"/>
                  <w:tcBorders>
                    <w:tl2br w:val="nil"/>
                    <w:tr2bl w:val="nil"/>
                  </w:tcBorders>
                  <w:noWrap w:val="0"/>
                  <w:vAlign w:val="center"/>
                </w:tcPr>
                <w:p w14:paraId="0DF9802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0"/>
                      <w:sz w:val="21"/>
                      <w:szCs w:val="21"/>
                      <w:highlight w:val="none"/>
                      <w:lang w:val="en-US" w:eastAsia="zh-CN"/>
                    </w:rPr>
                  </w:pPr>
                  <w:r>
                    <w:rPr>
                      <w:rFonts w:hint="eastAsia" w:cs="Times New Roman"/>
                      <w:color w:val="auto"/>
                      <w:spacing w:val="0"/>
                      <w:sz w:val="21"/>
                      <w:szCs w:val="21"/>
                      <w:highlight w:val="none"/>
                      <w:lang w:val="en-US" w:eastAsia="zh-CN"/>
                    </w:rPr>
                    <w:t>饮用、灌溉、防洪</w:t>
                  </w:r>
                </w:p>
              </w:tc>
              <w:tc>
                <w:tcPr>
                  <w:tcW w:w="1101" w:type="pct"/>
                  <w:vMerge w:val="continue"/>
                  <w:tcBorders>
                    <w:tl2br w:val="nil"/>
                    <w:tr2bl w:val="nil"/>
                  </w:tcBorders>
                  <w:noWrap w:val="0"/>
                  <w:tcMar>
                    <w:left w:w="57" w:type="dxa"/>
                    <w:right w:w="57" w:type="dxa"/>
                  </w:tcMar>
                  <w:vAlign w:val="center"/>
                </w:tcPr>
                <w:p w14:paraId="569EFEB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0"/>
                      <w:sz w:val="21"/>
                      <w:szCs w:val="21"/>
                      <w:highlight w:val="none"/>
                      <w:lang w:eastAsia="zh-CN"/>
                    </w:rPr>
                  </w:pPr>
                </w:p>
              </w:tc>
            </w:tr>
            <w:tr w14:paraId="198899A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72" w:hRule="atLeast"/>
                <w:jc w:val="center"/>
              </w:trPr>
              <w:tc>
                <w:tcPr>
                  <w:tcW w:w="461" w:type="pct"/>
                  <w:tcBorders>
                    <w:tl2br w:val="nil"/>
                    <w:tr2bl w:val="nil"/>
                  </w:tcBorders>
                  <w:noWrap w:val="0"/>
                  <w:vAlign w:val="center"/>
                </w:tcPr>
                <w:p w14:paraId="35F5BCD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0"/>
                      <w:sz w:val="21"/>
                      <w:szCs w:val="21"/>
                      <w:highlight w:val="none"/>
                      <w:lang w:eastAsia="zh-CN"/>
                    </w:rPr>
                  </w:pPr>
                  <w:r>
                    <w:rPr>
                      <w:rFonts w:hint="default" w:ascii="Times New Roman" w:hAnsi="Times New Roman" w:eastAsia="宋体" w:cs="Times New Roman"/>
                      <w:color w:val="auto"/>
                      <w:spacing w:val="0"/>
                      <w:sz w:val="21"/>
                      <w:szCs w:val="21"/>
                      <w:highlight w:val="none"/>
                      <w:lang w:eastAsia="zh-CN"/>
                    </w:rPr>
                    <w:t>声环境</w:t>
                  </w:r>
                </w:p>
              </w:tc>
              <w:tc>
                <w:tcPr>
                  <w:tcW w:w="4538" w:type="pct"/>
                  <w:gridSpan w:val="8"/>
                  <w:tcBorders>
                    <w:tl2br w:val="nil"/>
                    <w:tr2bl w:val="nil"/>
                  </w:tcBorders>
                  <w:noWrap w:val="0"/>
                  <w:vAlign w:val="center"/>
                </w:tcPr>
                <w:p w14:paraId="5D8C7A6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0"/>
                      <w:sz w:val="21"/>
                      <w:szCs w:val="21"/>
                      <w:highlight w:val="none"/>
                      <w:lang w:val="en-US" w:eastAsia="zh-CN"/>
                    </w:rPr>
                  </w:pPr>
                  <w:r>
                    <w:rPr>
                      <w:rFonts w:hint="default" w:ascii="Times New Roman" w:hAnsi="Times New Roman" w:eastAsia="宋体" w:cs="Times New Roman"/>
                      <w:color w:val="auto"/>
                      <w:spacing w:val="0"/>
                      <w:sz w:val="21"/>
                      <w:szCs w:val="21"/>
                      <w:highlight w:val="none"/>
                      <w:lang w:val="en-US" w:eastAsia="zh-CN"/>
                    </w:rPr>
                    <w:t>厂界50m范围内</w:t>
                  </w:r>
                  <w:r>
                    <w:rPr>
                      <w:rFonts w:hint="eastAsia" w:cs="Times New Roman"/>
                      <w:color w:val="auto"/>
                      <w:spacing w:val="0"/>
                      <w:sz w:val="21"/>
                      <w:szCs w:val="21"/>
                      <w:highlight w:val="none"/>
                      <w:lang w:val="en-US" w:eastAsia="zh-CN"/>
                    </w:rPr>
                    <w:t>无声环境保护目标</w:t>
                  </w:r>
                </w:p>
              </w:tc>
            </w:tr>
            <w:tr w14:paraId="1075592C">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563" w:hRule="atLeast"/>
                <w:jc w:val="center"/>
              </w:trPr>
              <w:tc>
                <w:tcPr>
                  <w:tcW w:w="461" w:type="pct"/>
                  <w:tcBorders>
                    <w:bottom w:val="single" w:color="auto" w:sz="12" w:space="0"/>
                  </w:tcBorders>
                  <w:noWrap w:val="0"/>
                  <w:vAlign w:val="center"/>
                </w:tcPr>
                <w:p w14:paraId="0394045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0"/>
                      <w:sz w:val="21"/>
                      <w:szCs w:val="21"/>
                      <w:highlight w:val="none"/>
                      <w:lang w:eastAsia="zh-CN"/>
                    </w:rPr>
                  </w:pPr>
                  <w:r>
                    <w:rPr>
                      <w:rFonts w:hint="default" w:ascii="Times New Roman" w:hAnsi="Times New Roman" w:eastAsia="宋体" w:cs="Times New Roman"/>
                      <w:color w:val="auto"/>
                      <w:spacing w:val="0"/>
                      <w:sz w:val="21"/>
                      <w:szCs w:val="21"/>
                      <w:highlight w:val="none"/>
                      <w:lang w:val="en-US" w:eastAsia="zh-CN"/>
                    </w:rPr>
                    <w:t>地下水环境</w:t>
                  </w:r>
                </w:p>
              </w:tc>
              <w:tc>
                <w:tcPr>
                  <w:tcW w:w="4538" w:type="pct"/>
                  <w:gridSpan w:val="8"/>
                  <w:tcBorders>
                    <w:bottom w:val="single" w:color="auto" w:sz="12" w:space="0"/>
                  </w:tcBorders>
                  <w:noWrap w:val="0"/>
                  <w:vAlign w:val="center"/>
                </w:tcPr>
                <w:p w14:paraId="5920F59A">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both"/>
                    <w:textAlignment w:val="auto"/>
                    <w:rPr>
                      <w:rFonts w:hint="default" w:ascii="Times New Roman" w:hAnsi="Times New Roman" w:eastAsia="宋体" w:cs="Times New Roman"/>
                      <w:color w:val="auto"/>
                      <w:spacing w:val="0"/>
                      <w:sz w:val="21"/>
                      <w:szCs w:val="21"/>
                      <w:highlight w:val="none"/>
                      <w:lang w:val="en-US" w:eastAsia="zh-CN"/>
                    </w:rPr>
                  </w:pPr>
                  <w:r>
                    <w:rPr>
                      <w:rFonts w:hint="default" w:ascii="Times New Roman" w:hAnsi="Times New Roman" w:eastAsia="宋体" w:cs="Times New Roman"/>
                      <w:color w:val="auto"/>
                      <w:spacing w:val="0"/>
                      <w:sz w:val="21"/>
                      <w:szCs w:val="21"/>
                      <w:highlight w:val="none"/>
                      <w:lang w:val="en-US" w:eastAsia="zh-CN"/>
                    </w:rPr>
                    <w:t>厂界500m范围内无地下水集中式饮用水源和热水、矿泉水、温泉等特殊地下水资源</w:t>
                  </w:r>
                  <w:r>
                    <w:rPr>
                      <w:rFonts w:hint="eastAsia" w:cs="Times New Roman"/>
                      <w:color w:val="auto"/>
                      <w:spacing w:val="0"/>
                      <w:sz w:val="21"/>
                      <w:szCs w:val="21"/>
                      <w:highlight w:val="none"/>
                      <w:lang w:val="en-US" w:eastAsia="zh-CN"/>
                    </w:rPr>
                    <w:t>。</w:t>
                  </w:r>
                </w:p>
              </w:tc>
            </w:tr>
          </w:tbl>
          <w:p w14:paraId="2E9CF4B0">
            <w:pPr>
              <w:pStyle w:val="97"/>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eastAsia" w:ascii="Times New Roman" w:hAnsi="Times New Roman" w:eastAsia="宋体" w:cs="Times New Roman"/>
                <w:b w:val="0"/>
                <w:bCs w:val="0"/>
                <w:color w:val="auto"/>
                <w:spacing w:val="0"/>
                <w:kern w:val="2"/>
                <w:sz w:val="21"/>
                <w:szCs w:val="21"/>
                <w:highlight w:val="none"/>
                <w:lang w:val="en-US" w:eastAsia="zh-CN" w:bidi="ar-SA"/>
              </w:rPr>
            </w:pPr>
            <w:r>
              <w:rPr>
                <w:rFonts w:hint="default" w:ascii="Times New Roman" w:hAnsi="Times New Roman" w:eastAsia="宋体" w:cs="Times New Roman"/>
                <w:b/>
                <w:bCs/>
                <w:color w:val="auto"/>
                <w:spacing w:val="0"/>
                <w:kern w:val="2"/>
                <w:sz w:val="21"/>
                <w:szCs w:val="21"/>
                <w:highlight w:val="none"/>
                <w:lang w:val="en-US" w:eastAsia="zh-CN" w:bidi="ar-SA"/>
              </w:rPr>
              <w:t>注：①本次评价以厂房</w:t>
            </w:r>
            <w:r>
              <w:rPr>
                <w:rFonts w:hint="eastAsia" w:ascii="Times New Roman" w:hAnsi="Times New Roman" w:cs="Times New Roman"/>
                <w:b/>
                <w:bCs/>
                <w:color w:val="auto"/>
                <w:spacing w:val="0"/>
                <w:kern w:val="2"/>
                <w:sz w:val="21"/>
                <w:szCs w:val="21"/>
                <w:highlight w:val="none"/>
                <w:lang w:val="en-US" w:eastAsia="zh-CN" w:bidi="ar-SA"/>
              </w:rPr>
              <w:t>中心</w:t>
            </w:r>
            <w:r>
              <w:rPr>
                <w:rFonts w:hint="default" w:ascii="Times New Roman" w:hAnsi="Times New Roman" w:eastAsia="宋体" w:cs="Times New Roman"/>
                <w:b/>
                <w:bCs/>
                <w:color w:val="auto"/>
                <w:spacing w:val="0"/>
                <w:kern w:val="2"/>
                <w:sz w:val="21"/>
                <w:szCs w:val="21"/>
                <w:highlight w:val="none"/>
                <w:lang w:val="en-US" w:eastAsia="zh-CN" w:bidi="ar-SA"/>
              </w:rPr>
              <w:t>为原点坐标（E117°9′29.243″，N29°0′26.751″），正东为X轴正方向，正北为Y轴正方向建立直角坐标系给出大气环境、水环境保护目标对应坐标。</w:t>
            </w:r>
          </w:p>
          <w:p w14:paraId="1995B35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2" w:firstLineChars="200"/>
              <w:jc w:val="both"/>
              <w:textAlignment w:val="auto"/>
              <w:rPr>
                <w:rFonts w:hint="default" w:ascii="Times New Roman" w:hAnsi="Times New Roman" w:eastAsia="宋体" w:cs="Times New Roman"/>
                <w:b/>
                <w:bCs/>
                <w:color w:val="auto"/>
                <w:spacing w:val="0"/>
                <w:kern w:val="2"/>
                <w:sz w:val="24"/>
                <w:szCs w:val="24"/>
                <w:highlight w:val="none"/>
                <w:lang w:val="en-US" w:eastAsia="en-US" w:bidi="ar-SA"/>
              </w:rPr>
            </w:pPr>
            <w:r>
              <w:rPr>
                <w:rFonts w:hint="default" w:ascii="Times New Roman" w:hAnsi="Times New Roman" w:eastAsia="宋体" w:cs="Times New Roman"/>
                <w:b/>
                <w:bCs/>
                <w:color w:val="auto"/>
                <w:spacing w:val="0"/>
                <w:kern w:val="2"/>
                <w:sz w:val="24"/>
                <w:szCs w:val="24"/>
                <w:highlight w:val="none"/>
                <w:lang w:val="en-US" w:eastAsia="en-US" w:bidi="ar-SA"/>
              </w:rPr>
              <w:t>2、控制目标</w:t>
            </w:r>
          </w:p>
          <w:p w14:paraId="6966906D">
            <w:pPr>
              <w:pStyle w:val="9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both"/>
              <w:textAlignment w:val="auto"/>
              <w:rPr>
                <w:rFonts w:hint="default" w:ascii="Times New Roman" w:hAnsi="Times New Roman" w:eastAsia="宋体" w:cs="Times New Roman"/>
                <w:color w:val="auto"/>
                <w:spacing w:val="0"/>
                <w:kern w:val="2"/>
                <w:sz w:val="24"/>
                <w:szCs w:val="24"/>
                <w:highlight w:val="none"/>
                <w:lang w:val="en-US" w:eastAsia="en-US" w:bidi="ar-SA"/>
              </w:rPr>
            </w:pPr>
            <w:r>
              <w:rPr>
                <w:rFonts w:hint="default" w:ascii="Times New Roman" w:hAnsi="Times New Roman" w:eastAsia="宋体" w:cs="Times New Roman"/>
                <w:color w:val="auto"/>
                <w:spacing w:val="0"/>
                <w:kern w:val="2"/>
                <w:sz w:val="24"/>
                <w:szCs w:val="24"/>
                <w:highlight w:val="none"/>
                <w:lang w:val="en-US" w:eastAsia="en-US" w:bidi="ar-SA"/>
              </w:rPr>
              <w:t>本项目主要环境保护目标如下：</w:t>
            </w:r>
          </w:p>
          <w:p w14:paraId="3A93388F">
            <w:pPr>
              <w:pStyle w:val="9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both"/>
              <w:textAlignment w:val="auto"/>
              <w:rPr>
                <w:rFonts w:hint="default" w:ascii="Times New Roman" w:hAnsi="Times New Roman" w:eastAsia="宋体" w:cs="Times New Roman"/>
                <w:color w:val="auto"/>
                <w:spacing w:val="0"/>
                <w:kern w:val="2"/>
                <w:sz w:val="24"/>
                <w:szCs w:val="24"/>
                <w:highlight w:val="none"/>
                <w:lang w:val="en-US" w:eastAsia="en-US" w:bidi="ar-SA"/>
              </w:rPr>
            </w:pPr>
            <w:r>
              <w:rPr>
                <w:rFonts w:hint="default" w:ascii="Times New Roman" w:hAnsi="Times New Roman" w:eastAsia="宋体" w:cs="Times New Roman"/>
                <w:color w:val="auto"/>
                <w:spacing w:val="0"/>
                <w:kern w:val="2"/>
                <w:sz w:val="24"/>
                <w:szCs w:val="24"/>
                <w:highlight w:val="none"/>
                <w:lang w:val="en-US" w:eastAsia="en-US" w:bidi="ar-SA"/>
              </w:rPr>
              <w:t>（1）环境空气：项目区域大气环境质量保持《环境空气质量标准》（GB3095-20</w:t>
            </w:r>
            <w:r>
              <w:rPr>
                <w:rFonts w:hint="eastAsia" w:ascii="Times New Roman" w:hAnsi="Times New Roman" w:cs="Times New Roman"/>
                <w:color w:val="auto"/>
                <w:spacing w:val="0"/>
                <w:kern w:val="2"/>
                <w:sz w:val="24"/>
                <w:szCs w:val="24"/>
                <w:highlight w:val="none"/>
                <w:lang w:val="en-US" w:eastAsia="zh-CN" w:bidi="ar-SA"/>
              </w:rPr>
              <w:t>26</w:t>
            </w:r>
            <w:r>
              <w:rPr>
                <w:rFonts w:hint="default" w:ascii="Times New Roman" w:hAnsi="Times New Roman" w:eastAsia="宋体" w:cs="Times New Roman"/>
                <w:color w:val="auto"/>
                <w:spacing w:val="0"/>
                <w:kern w:val="2"/>
                <w:sz w:val="24"/>
                <w:szCs w:val="24"/>
                <w:highlight w:val="none"/>
                <w:lang w:val="en-US" w:eastAsia="en-US" w:bidi="ar-SA"/>
              </w:rPr>
              <w:t>）二级标准。</w:t>
            </w:r>
          </w:p>
          <w:p w14:paraId="6623F2FC">
            <w:pPr>
              <w:pStyle w:val="9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both"/>
              <w:textAlignment w:val="auto"/>
              <w:rPr>
                <w:rFonts w:hint="default" w:ascii="Times New Roman" w:hAnsi="Times New Roman" w:eastAsia="宋体" w:cs="Times New Roman"/>
                <w:color w:val="auto"/>
                <w:spacing w:val="0"/>
                <w:kern w:val="2"/>
                <w:sz w:val="24"/>
                <w:szCs w:val="24"/>
                <w:highlight w:val="none"/>
                <w:lang w:val="en-US" w:eastAsia="en-US" w:bidi="ar-SA"/>
              </w:rPr>
            </w:pPr>
            <w:r>
              <w:rPr>
                <w:rFonts w:hint="default" w:ascii="Times New Roman" w:hAnsi="Times New Roman" w:eastAsia="宋体" w:cs="Times New Roman"/>
                <w:color w:val="auto"/>
                <w:spacing w:val="0"/>
                <w:kern w:val="2"/>
                <w:sz w:val="24"/>
                <w:szCs w:val="24"/>
                <w:highlight w:val="none"/>
                <w:lang w:val="en-US" w:eastAsia="en-US" w:bidi="ar-SA"/>
              </w:rPr>
              <w:t>（2）地表水环境：项目区域附近地表水环境水质保持《地表水环境质量标准》（GB3838-2002）Ⅲ类标准。</w:t>
            </w:r>
          </w:p>
          <w:p w14:paraId="37057693">
            <w:pPr>
              <w:pStyle w:val="9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both"/>
              <w:textAlignment w:val="auto"/>
              <w:rPr>
                <w:rFonts w:hint="default" w:ascii="Times New Roman" w:hAnsi="Times New Roman" w:eastAsia="宋体" w:cs="Times New Roman"/>
                <w:color w:val="auto"/>
                <w:spacing w:val="0"/>
                <w:kern w:val="2"/>
                <w:sz w:val="24"/>
                <w:szCs w:val="24"/>
                <w:highlight w:val="none"/>
                <w:lang w:val="en-US" w:eastAsia="en-US" w:bidi="ar-SA"/>
              </w:rPr>
            </w:pPr>
            <w:r>
              <w:rPr>
                <w:rFonts w:hint="default" w:ascii="Times New Roman" w:hAnsi="Times New Roman" w:eastAsia="宋体" w:cs="Times New Roman"/>
                <w:color w:val="auto"/>
                <w:spacing w:val="0"/>
                <w:kern w:val="2"/>
                <w:sz w:val="24"/>
                <w:szCs w:val="24"/>
                <w:highlight w:val="none"/>
                <w:lang w:val="en-US" w:eastAsia="en-US" w:bidi="ar-SA"/>
              </w:rPr>
              <w:t>（3）声环境：评价区域</w:t>
            </w:r>
            <w:r>
              <w:rPr>
                <w:rFonts w:hint="eastAsia" w:ascii="Times New Roman" w:hAnsi="Times New Roman" w:cs="Times New Roman"/>
                <w:color w:val="auto"/>
                <w:spacing w:val="0"/>
                <w:kern w:val="2"/>
                <w:sz w:val="24"/>
                <w:szCs w:val="24"/>
                <w:highlight w:val="none"/>
                <w:lang w:val="en-US" w:eastAsia="zh-CN" w:bidi="ar-SA"/>
              </w:rPr>
              <w:t>内</w:t>
            </w:r>
            <w:r>
              <w:rPr>
                <w:rFonts w:hint="default" w:ascii="Times New Roman" w:hAnsi="Times New Roman" w:eastAsia="宋体" w:cs="Times New Roman"/>
                <w:color w:val="auto"/>
                <w:spacing w:val="0"/>
                <w:kern w:val="2"/>
                <w:sz w:val="24"/>
                <w:szCs w:val="24"/>
                <w:highlight w:val="none"/>
                <w:lang w:val="en-US" w:eastAsia="en-US" w:bidi="ar-SA"/>
              </w:rPr>
              <w:t>声环境质量目标为《声环境质量标准》（GB3096-2008）</w:t>
            </w:r>
            <w:r>
              <w:rPr>
                <w:rFonts w:hint="eastAsia" w:ascii="Times New Roman" w:hAnsi="Times New Roman" w:cs="Times New Roman"/>
                <w:color w:val="auto"/>
                <w:spacing w:val="0"/>
                <w:kern w:val="2"/>
                <w:sz w:val="24"/>
                <w:szCs w:val="24"/>
                <w:highlight w:val="none"/>
                <w:lang w:val="en-US" w:eastAsia="zh-CN" w:bidi="ar-SA"/>
              </w:rPr>
              <w:t>3</w:t>
            </w:r>
            <w:r>
              <w:rPr>
                <w:rFonts w:hint="default" w:ascii="Times New Roman" w:hAnsi="Times New Roman" w:eastAsia="宋体" w:cs="Times New Roman"/>
                <w:color w:val="auto"/>
                <w:spacing w:val="0"/>
                <w:kern w:val="2"/>
                <w:sz w:val="24"/>
                <w:szCs w:val="24"/>
                <w:highlight w:val="none"/>
                <w:lang w:val="en-US" w:eastAsia="en-US" w:bidi="ar-SA"/>
              </w:rPr>
              <w:t>类标准。</w:t>
            </w:r>
          </w:p>
          <w:p w14:paraId="2C592B0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textAlignment w:val="auto"/>
              <w:rPr>
                <w:rFonts w:hint="default"/>
                <w:color w:val="auto"/>
                <w:kern w:val="0"/>
                <w:szCs w:val="21"/>
                <w:highlight w:val="none"/>
              </w:rPr>
            </w:pPr>
            <w:r>
              <w:rPr>
                <w:rFonts w:hint="default" w:ascii="Times New Roman" w:hAnsi="Times New Roman" w:eastAsia="宋体" w:cs="Times New Roman"/>
                <w:color w:val="auto"/>
                <w:spacing w:val="0"/>
                <w:kern w:val="2"/>
                <w:sz w:val="24"/>
                <w:szCs w:val="24"/>
                <w:highlight w:val="none"/>
                <w:lang w:val="en-US" w:eastAsia="en-US" w:bidi="ar-SA"/>
              </w:rPr>
              <w:t>（4）固体废物：妥善处理固体废物，防止二次污染。</w:t>
            </w:r>
          </w:p>
        </w:tc>
      </w:tr>
      <w:tr w14:paraId="573A84B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516" w:hRule="atLeast"/>
          <w:jc w:val="center"/>
        </w:trPr>
        <w:tc>
          <w:tcPr>
            <w:tcW w:w="512" w:type="dxa"/>
            <w:tcMar>
              <w:left w:w="28" w:type="dxa"/>
              <w:right w:w="28" w:type="dxa"/>
            </w:tcMar>
            <w:vAlign w:val="center"/>
          </w:tcPr>
          <w:p w14:paraId="07FFD814">
            <w:pPr>
              <w:keepNext w:val="0"/>
              <w:keepLines w:val="0"/>
              <w:suppressLineNumbers w:val="0"/>
              <w:adjustRightInd w:val="0"/>
              <w:snapToGrid w:val="0"/>
              <w:spacing w:before="0" w:beforeAutospacing="0" w:after="0" w:afterAutospacing="0"/>
              <w:ind w:left="0" w:right="0"/>
              <w:jc w:val="center"/>
              <w:rPr>
                <w:rFonts w:hint="default" w:ascii="宋体" w:hAnsi="宋体" w:cs="宋体"/>
                <w:b/>
                <w:bCs/>
                <w:color w:val="auto"/>
                <w:kern w:val="0"/>
                <w:sz w:val="24"/>
                <w:highlight w:val="none"/>
              </w:rPr>
            </w:pPr>
            <w:r>
              <w:rPr>
                <w:rFonts w:hint="eastAsia" w:ascii="宋体" w:hAnsi="宋体" w:cs="宋体"/>
                <w:b/>
                <w:bCs/>
                <w:color w:val="auto"/>
                <w:kern w:val="0"/>
                <w:sz w:val="24"/>
                <w:highlight w:val="none"/>
              </w:rPr>
              <w:t>污染</w:t>
            </w:r>
          </w:p>
          <w:p w14:paraId="5D108894">
            <w:pPr>
              <w:keepNext w:val="0"/>
              <w:keepLines w:val="0"/>
              <w:suppressLineNumbers w:val="0"/>
              <w:adjustRightInd w:val="0"/>
              <w:snapToGrid w:val="0"/>
              <w:spacing w:before="0" w:beforeAutospacing="0" w:after="0" w:afterAutospacing="0"/>
              <w:ind w:left="0" w:right="0"/>
              <w:jc w:val="center"/>
              <w:rPr>
                <w:rFonts w:hint="default" w:ascii="宋体" w:hAnsi="宋体" w:cs="宋体"/>
                <w:b/>
                <w:bCs/>
                <w:color w:val="auto"/>
                <w:kern w:val="0"/>
                <w:sz w:val="24"/>
                <w:highlight w:val="none"/>
              </w:rPr>
            </w:pPr>
            <w:r>
              <w:rPr>
                <w:rFonts w:hint="eastAsia" w:ascii="宋体" w:hAnsi="宋体" w:cs="宋体"/>
                <w:b/>
                <w:bCs/>
                <w:color w:val="auto"/>
                <w:kern w:val="0"/>
                <w:sz w:val="24"/>
                <w:highlight w:val="none"/>
              </w:rPr>
              <w:t>物排</w:t>
            </w:r>
          </w:p>
          <w:p w14:paraId="6FB670B7">
            <w:pPr>
              <w:keepNext w:val="0"/>
              <w:keepLines w:val="0"/>
              <w:suppressLineNumbers w:val="0"/>
              <w:adjustRightInd w:val="0"/>
              <w:snapToGrid w:val="0"/>
              <w:spacing w:before="0" w:beforeAutospacing="0" w:after="0" w:afterAutospacing="0"/>
              <w:ind w:left="0" w:right="0"/>
              <w:jc w:val="center"/>
              <w:rPr>
                <w:rFonts w:hint="default" w:ascii="宋体" w:hAnsi="宋体" w:cs="宋体"/>
                <w:b/>
                <w:bCs/>
                <w:color w:val="auto"/>
                <w:kern w:val="0"/>
                <w:sz w:val="24"/>
                <w:highlight w:val="none"/>
              </w:rPr>
            </w:pPr>
            <w:r>
              <w:rPr>
                <w:rFonts w:hint="eastAsia" w:ascii="宋体" w:hAnsi="宋体" w:cs="宋体"/>
                <w:b/>
                <w:bCs/>
                <w:color w:val="auto"/>
                <w:kern w:val="0"/>
                <w:sz w:val="24"/>
                <w:highlight w:val="none"/>
              </w:rPr>
              <w:t>放控</w:t>
            </w:r>
          </w:p>
          <w:p w14:paraId="44B95459">
            <w:pPr>
              <w:keepNext w:val="0"/>
              <w:keepLines w:val="0"/>
              <w:suppressLineNumbers w:val="0"/>
              <w:adjustRightInd w:val="0"/>
              <w:snapToGrid w:val="0"/>
              <w:spacing w:before="0" w:beforeAutospacing="0" w:after="0" w:afterAutospacing="0"/>
              <w:ind w:left="0" w:right="0"/>
              <w:jc w:val="center"/>
              <w:rPr>
                <w:rFonts w:hint="default" w:ascii="宋体" w:hAnsi="宋体" w:cs="宋体"/>
                <w:b/>
                <w:bCs/>
                <w:color w:val="auto"/>
                <w:kern w:val="0"/>
                <w:sz w:val="24"/>
                <w:highlight w:val="none"/>
              </w:rPr>
            </w:pPr>
            <w:r>
              <w:rPr>
                <w:rFonts w:hint="eastAsia" w:ascii="宋体" w:hAnsi="宋体" w:cs="宋体"/>
                <w:b/>
                <w:bCs/>
                <w:color w:val="auto"/>
                <w:kern w:val="0"/>
                <w:sz w:val="24"/>
                <w:highlight w:val="none"/>
              </w:rPr>
              <w:t>制标</w:t>
            </w:r>
          </w:p>
          <w:p w14:paraId="3B783AA5">
            <w:pPr>
              <w:keepNext w:val="0"/>
              <w:keepLines w:val="0"/>
              <w:suppressLineNumbers w:val="0"/>
              <w:adjustRightInd w:val="0"/>
              <w:snapToGrid w:val="0"/>
              <w:spacing w:before="0" w:beforeAutospacing="0" w:after="0" w:afterAutospacing="0"/>
              <w:ind w:left="0" w:right="0"/>
              <w:jc w:val="center"/>
              <w:rPr>
                <w:rFonts w:hint="default" w:ascii="宋体" w:hAnsi="宋体" w:cs="宋体"/>
                <w:color w:val="auto"/>
                <w:kern w:val="0"/>
                <w:szCs w:val="21"/>
                <w:highlight w:val="none"/>
              </w:rPr>
            </w:pPr>
            <w:r>
              <w:rPr>
                <w:rFonts w:hint="eastAsia" w:ascii="宋体" w:hAnsi="宋体" w:cs="宋体"/>
                <w:b/>
                <w:bCs/>
                <w:color w:val="auto"/>
                <w:kern w:val="0"/>
                <w:sz w:val="24"/>
                <w:highlight w:val="none"/>
              </w:rPr>
              <w:t>准</w:t>
            </w:r>
          </w:p>
        </w:tc>
        <w:tc>
          <w:tcPr>
            <w:tcW w:w="8892" w:type="dxa"/>
            <w:vAlign w:val="center"/>
          </w:tcPr>
          <w:p w14:paraId="0CB14A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default"/>
                <w:b/>
                <w:bCs/>
                <w:color w:val="auto"/>
                <w:sz w:val="24"/>
                <w:highlight w:val="none"/>
              </w:rPr>
            </w:pPr>
            <w:r>
              <w:rPr>
                <w:rFonts w:hint="eastAsia"/>
                <w:b/>
                <w:bCs/>
                <w:color w:val="auto"/>
                <w:sz w:val="24"/>
                <w:highlight w:val="none"/>
              </w:rPr>
              <w:t>1</w:t>
            </w:r>
            <w:r>
              <w:rPr>
                <w:rFonts w:hint="default"/>
                <w:b/>
                <w:bCs/>
                <w:color w:val="auto"/>
                <w:sz w:val="24"/>
                <w:highlight w:val="none"/>
              </w:rPr>
              <w:t>、废气排放标准</w:t>
            </w:r>
          </w:p>
          <w:p w14:paraId="670865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cs="Times New Roman"/>
                <w:color w:val="auto"/>
                <w:kern w:val="0"/>
                <w:sz w:val="24"/>
                <w:highlight w:val="none"/>
                <w:lang w:val="en-US" w:eastAsia="zh-CN"/>
              </w:rPr>
            </w:pPr>
            <w:r>
              <w:rPr>
                <w:rFonts w:hint="eastAsia" w:ascii="Times New Roman" w:hAnsi="Times New Roman" w:eastAsia="宋体" w:cs="Times New Roman"/>
                <w:color w:val="auto"/>
                <w:kern w:val="0"/>
                <w:sz w:val="24"/>
                <w:highlight w:val="none"/>
                <w:lang w:val="en-US" w:eastAsia="zh-CN"/>
              </w:rPr>
              <w:t>项目注塑投料</w:t>
            </w:r>
            <w:r>
              <w:rPr>
                <w:rFonts w:hint="eastAsia" w:cs="Times New Roman"/>
                <w:color w:val="auto"/>
                <w:kern w:val="0"/>
                <w:sz w:val="24"/>
                <w:highlight w:val="none"/>
                <w:lang w:val="en-US" w:eastAsia="zh-CN"/>
              </w:rPr>
              <w:t>和</w:t>
            </w:r>
            <w:r>
              <w:rPr>
                <w:rFonts w:hint="eastAsia" w:ascii="Times New Roman" w:hAnsi="Times New Roman" w:eastAsia="宋体" w:cs="Times New Roman"/>
                <w:color w:val="auto"/>
                <w:kern w:val="0"/>
                <w:sz w:val="24"/>
                <w:highlight w:val="none"/>
                <w:lang w:val="en-US" w:eastAsia="zh-CN"/>
              </w:rPr>
              <w:t>鞋头打磨产生的有组织颗粒物</w:t>
            </w:r>
            <w:r>
              <w:rPr>
                <w:rFonts w:hint="eastAsia" w:cs="Times New Roman"/>
                <w:color w:val="auto"/>
                <w:kern w:val="0"/>
                <w:sz w:val="24"/>
                <w:highlight w:val="none"/>
                <w:lang w:val="en-US" w:eastAsia="zh-CN"/>
              </w:rPr>
              <w:t>、表面处理、刷胶及烘干有机废气、注塑有机废气中挥发性有机物（以非甲烷总烃为表征）和注塑过程中PVC塑料受热分解产生的氯化氢</w:t>
            </w:r>
            <w:r>
              <w:rPr>
                <w:rFonts w:hint="eastAsia" w:ascii="Times New Roman" w:hAnsi="Times New Roman" w:eastAsia="宋体" w:cs="Times New Roman"/>
                <w:color w:val="auto"/>
                <w:kern w:val="0"/>
                <w:sz w:val="24"/>
                <w:highlight w:val="none"/>
                <w:lang w:val="en-US" w:eastAsia="zh-CN"/>
              </w:rPr>
              <w:t>执行《大气污染物综合排放标准》（GB16297-1996）中表2的二级标准及无组织排放浓度限值要求，2026年7月1</w:t>
            </w:r>
            <w:r>
              <w:rPr>
                <w:rFonts w:hint="eastAsia" w:cs="Times New Roman"/>
                <w:color w:val="auto"/>
                <w:kern w:val="0"/>
                <w:sz w:val="24"/>
                <w:highlight w:val="none"/>
                <w:lang w:val="en-US" w:eastAsia="zh-CN"/>
              </w:rPr>
              <w:t>起</w:t>
            </w:r>
            <w:r>
              <w:rPr>
                <w:rFonts w:hint="eastAsia" w:ascii="Times New Roman" w:hAnsi="Times New Roman" w:eastAsia="宋体" w:cs="Times New Roman"/>
                <w:color w:val="auto"/>
                <w:kern w:val="0"/>
                <w:sz w:val="24"/>
                <w:highlight w:val="none"/>
                <w:lang w:val="en-US" w:eastAsia="zh-CN"/>
              </w:rPr>
              <w:t>挥发性有机物（以非甲烷总烃为表征）执行《挥发性有机物综合排放控制标准（试行）》（DB36/2186—2025）表1挥发性有机物有组织排放限值</w:t>
            </w:r>
            <w:r>
              <w:rPr>
                <w:rFonts w:hint="eastAsia" w:cs="Times New Roman"/>
                <w:color w:val="auto"/>
                <w:kern w:val="0"/>
                <w:sz w:val="24"/>
                <w:highlight w:val="none"/>
                <w:lang w:val="en-US" w:eastAsia="zh-CN"/>
              </w:rPr>
              <w:t>，其排放速率参照《大气污染物综合排放标准》（GB16297-1996）中表2的二级标准。</w:t>
            </w:r>
            <w:r>
              <w:rPr>
                <w:rFonts w:hint="eastAsia" w:ascii="Times New Roman" w:hAnsi="Times New Roman" w:eastAsia="宋体" w:cs="Times New Roman"/>
                <w:color w:val="auto"/>
                <w:kern w:val="0"/>
                <w:sz w:val="24"/>
                <w:highlight w:val="none"/>
                <w:lang w:val="en-US" w:eastAsia="zh-CN"/>
              </w:rPr>
              <w:t>臭气排放速率执行《恶臭污染物排放标准》（GB14554-93）表2限值要求</w:t>
            </w:r>
            <w:r>
              <w:rPr>
                <w:rFonts w:hint="eastAsia" w:cs="Times New Roman"/>
                <w:color w:val="auto"/>
                <w:kern w:val="0"/>
                <w:sz w:val="24"/>
                <w:highlight w:val="none"/>
                <w:lang w:val="en-US" w:eastAsia="zh-CN"/>
              </w:rPr>
              <w:t>，厂界臭气浓度执行《恶臭污染物排放标准》（GB14554-93）表1恶臭污染物厂界标准值中二级新改扩建标准，无组织挥发性有机物（以非甲烷总烃为表征）、氯化氢、颗粒物执行《大气污染物综合排放标准》（GB16297-1996）表2中的新污染源大气污染物排放限值，</w:t>
            </w:r>
            <w:r>
              <w:rPr>
                <w:rFonts w:hint="eastAsia" w:ascii="Times New Roman" w:hAnsi="Times New Roman" w:eastAsia="宋体" w:cs="Times New Roman"/>
                <w:color w:val="auto"/>
                <w:kern w:val="0"/>
                <w:sz w:val="24"/>
                <w:highlight w:val="none"/>
                <w:lang w:val="en-US" w:eastAsia="zh-CN"/>
              </w:rPr>
              <w:t>2026年7月1</w:t>
            </w:r>
            <w:r>
              <w:rPr>
                <w:rFonts w:hint="eastAsia" w:cs="Times New Roman"/>
                <w:color w:val="auto"/>
                <w:kern w:val="0"/>
                <w:sz w:val="24"/>
                <w:highlight w:val="none"/>
                <w:lang w:val="en-US" w:eastAsia="zh-CN"/>
              </w:rPr>
              <w:t>起，无组织挥发性有机物（以非甲烷总烃为表征）</w:t>
            </w:r>
            <w:r>
              <w:rPr>
                <w:rFonts w:hint="eastAsia" w:ascii="Times New Roman" w:hAnsi="Times New Roman" w:eastAsia="宋体" w:cs="Times New Roman"/>
                <w:color w:val="auto"/>
                <w:kern w:val="0"/>
                <w:sz w:val="24"/>
                <w:highlight w:val="none"/>
                <w:lang w:val="en-US" w:eastAsia="zh-CN"/>
              </w:rPr>
              <w:t>执行《挥发性有机物综合排放控制标准（试行）》（DB36/2186—2025）表3企业边界挥发性有机物无组织排放限值。详见下表3-5。</w:t>
            </w:r>
          </w:p>
          <w:p w14:paraId="7501D3EA">
            <w:pPr>
              <w:pStyle w:val="44"/>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Autospacing="0"/>
              <w:ind w:left="0" w:leftChars="0" w:right="0" w:firstLine="0" w:firstLineChars="0"/>
              <w:textAlignment w:val="auto"/>
              <w:rPr>
                <w:rFonts w:hint="eastAsia" w:ascii="Times New Roman" w:hAnsi="Times New Roman" w:eastAsia="宋体" w:cs="Times New Roman"/>
                <w:color w:val="auto"/>
                <w:sz w:val="21"/>
                <w:szCs w:val="21"/>
                <w:highlight w:val="none"/>
                <w:vertAlign w:val="superscript"/>
                <w:lang w:val="en-US" w:eastAsia="zh-CN"/>
              </w:rPr>
            </w:pPr>
            <w:r>
              <w:rPr>
                <w:rFonts w:hint="eastAsia" w:ascii="Times New Roman" w:hAnsi="Times New Roman" w:eastAsia="宋体" w:cs="Times New Roman"/>
                <w:color w:val="auto"/>
                <w:sz w:val="21"/>
                <w:szCs w:val="21"/>
                <w:highlight w:val="none"/>
                <w:lang w:val="zh-CN" w:eastAsia="zh-CN"/>
              </w:rPr>
              <w:t>表</w:t>
            </w:r>
            <w:r>
              <w:rPr>
                <w:rFonts w:hint="eastAsia" w:ascii="Times New Roman" w:hAnsi="Times New Roman" w:eastAsia="宋体" w:cs="Times New Roman"/>
                <w:color w:val="auto"/>
                <w:sz w:val="21"/>
                <w:szCs w:val="21"/>
                <w:highlight w:val="none"/>
                <w:lang w:val="en-US" w:eastAsia="zh-CN"/>
              </w:rPr>
              <w:t>3-</w:t>
            </w:r>
            <w:r>
              <w:rPr>
                <w:rFonts w:hint="eastAsia" w:cs="Times New Roman"/>
                <w:color w:val="auto"/>
                <w:sz w:val="21"/>
                <w:szCs w:val="21"/>
                <w:highlight w:val="none"/>
                <w:lang w:val="en-US" w:eastAsia="zh-CN"/>
              </w:rPr>
              <w:t>5</w:t>
            </w:r>
            <w:r>
              <w:rPr>
                <w:rFonts w:hint="eastAsia" w:ascii="Times New Roman" w:hAnsi="Times New Roman" w:eastAsia="宋体" w:cs="Times New Roman"/>
                <w:color w:val="auto"/>
                <w:sz w:val="21"/>
                <w:szCs w:val="21"/>
                <w:highlight w:val="none"/>
                <w:lang w:val="zh-CN" w:eastAsia="zh-CN"/>
              </w:rPr>
              <w:t xml:space="preserve"> 废气污染物排放标准</w:t>
            </w:r>
            <w:r>
              <w:rPr>
                <w:rFonts w:hint="eastAsia" w:ascii="Times New Roman" w:hAnsi="Times New Roman" w:eastAsia="宋体" w:cs="Times New Roman"/>
                <w:color w:val="auto"/>
                <w:sz w:val="21"/>
                <w:szCs w:val="21"/>
                <w:highlight w:val="none"/>
                <w:lang w:val="en-US" w:eastAsia="zh-CN"/>
              </w:rPr>
              <w:t xml:space="preserve">  单位：mg/m</w:t>
            </w:r>
            <w:r>
              <w:rPr>
                <w:rFonts w:hint="eastAsia" w:ascii="Times New Roman" w:hAnsi="Times New Roman" w:eastAsia="宋体" w:cs="Times New Roman"/>
                <w:color w:val="auto"/>
                <w:sz w:val="21"/>
                <w:szCs w:val="21"/>
                <w:highlight w:val="none"/>
                <w:vertAlign w:val="superscript"/>
                <w:lang w:val="en-US" w:eastAsia="zh-CN"/>
              </w:rPr>
              <w:t>3</w:t>
            </w:r>
          </w:p>
          <w:tbl>
            <w:tblPr>
              <w:tblStyle w:val="102"/>
              <w:tblW w:w="8662" w:type="dxa"/>
              <w:jc w:val="center"/>
              <w:tblBorders>
                <w:top w:val="single" w:color="000000" w:sz="4" w:space="0"/>
                <w:left w:val="single" w:color="000000" w:sz="4" w:space="0"/>
                <w:bottom w:val="single" w:color="000000" w:sz="4" w:space="0"/>
                <w:right w:val="single" w:color="000000" w:sz="4" w:space="0"/>
                <w:insideH w:val="single" w:color="000000" w:sz="6" w:space="0"/>
                <w:insideV w:val="single" w:color="000000" w:sz="6" w:space="0"/>
              </w:tblBorders>
              <w:tblLayout w:type="fixed"/>
              <w:tblCellMar>
                <w:top w:w="0" w:type="dxa"/>
                <w:left w:w="0" w:type="dxa"/>
                <w:bottom w:w="0" w:type="dxa"/>
                <w:right w:w="0" w:type="dxa"/>
              </w:tblCellMar>
            </w:tblPr>
            <w:tblGrid>
              <w:gridCol w:w="1132"/>
              <w:gridCol w:w="1247"/>
              <w:gridCol w:w="1236"/>
              <w:gridCol w:w="1041"/>
              <w:gridCol w:w="1314"/>
              <w:gridCol w:w="2692"/>
            </w:tblGrid>
            <w:tr w14:paraId="02FA139A">
              <w:tblPrEx>
                <w:tblBorders>
                  <w:top w:val="single" w:color="000000" w:sz="4" w:space="0"/>
                  <w:left w:val="single" w:color="000000" w:sz="4" w:space="0"/>
                  <w:bottom w:val="single" w:color="000000" w:sz="4" w:space="0"/>
                  <w:right w:val="single" w:color="000000" w:sz="4" w:space="0"/>
                  <w:insideH w:val="single" w:color="000000" w:sz="6" w:space="0"/>
                  <w:insideV w:val="single" w:color="000000" w:sz="6" w:space="0"/>
                </w:tblBorders>
                <w:tblCellMar>
                  <w:top w:w="0" w:type="dxa"/>
                  <w:left w:w="0" w:type="dxa"/>
                  <w:bottom w:w="0" w:type="dxa"/>
                  <w:right w:w="0" w:type="dxa"/>
                </w:tblCellMar>
              </w:tblPrEx>
              <w:trPr>
                <w:trHeight w:val="587" w:hRule="atLeast"/>
                <w:jc w:val="center"/>
              </w:trPr>
              <w:tc>
                <w:tcPr>
                  <w:tcW w:w="1132" w:type="dxa"/>
                  <w:vMerge w:val="restart"/>
                  <w:vAlign w:val="center"/>
                </w:tcPr>
                <w:p w14:paraId="1014BAC9">
                  <w:pPr>
                    <w:keepNext w:val="0"/>
                    <w:keepLines w:val="0"/>
                    <w:pageBreakBefore w:val="0"/>
                    <w:widowControl/>
                    <w:kinsoku/>
                    <w:wordWrap/>
                    <w:overflowPunct w:val="0"/>
                    <w:topLinePunct w:val="0"/>
                    <w:autoSpaceDE w:val="0"/>
                    <w:autoSpaceDN w:val="0"/>
                    <w:bidi w:val="0"/>
                    <w:adjustRightInd w:val="0"/>
                    <w:snapToGrid w:val="0"/>
                    <w:spacing w:line="300" w:lineRule="exact"/>
                    <w:ind w:left="21" w:leftChars="10"/>
                    <w:jc w:val="center"/>
                    <w:textAlignment w:val="baseline"/>
                    <w:rPr>
                      <w:rFonts w:ascii="Times New Roman" w:hAnsi="Times New Roman" w:eastAsia="宋体" w:cs="宋体"/>
                      <w:b/>
                      <w:bCs/>
                      <w:color w:val="auto"/>
                      <w:sz w:val="21"/>
                      <w:szCs w:val="20"/>
                      <w:lang w:eastAsia="zh-CN"/>
                    </w:rPr>
                  </w:pPr>
                  <w:r>
                    <w:rPr>
                      <w:rFonts w:hint="eastAsia" w:ascii="Times New Roman" w:hAnsi="Times New Roman" w:eastAsia="宋体" w:cs="宋体"/>
                      <w:b/>
                      <w:bCs/>
                      <w:color w:val="auto"/>
                      <w:sz w:val="21"/>
                      <w:szCs w:val="20"/>
                      <w:lang w:eastAsia="zh-CN"/>
                    </w:rPr>
                    <w:t>污染物</w:t>
                  </w:r>
                </w:p>
              </w:tc>
              <w:tc>
                <w:tcPr>
                  <w:tcW w:w="2483" w:type="dxa"/>
                  <w:gridSpan w:val="2"/>
                  <w:vAlign w:val="center"/>
                </w:tcPr>
                <w:p w14:paraId="60A45633">
                  <w:pPr>
                    <w:keepNext w:val="0"/>
                    <w:keepLines w:val="0"/>
                    <w:pageBreakBefore w:val="0"/>
                    <w:widowControl/>
                    <w:kinsoku/>
                    <w:wordWrap/>
                    <w:overflowPunct w:val="0"/>
                    <w:topLinePunct w:val="0"/>
                    <w:autoSpaceDE w:val="0"/>
                    <w:autoSpaceDN w:val="0"/>
                    <w:bidi w:val="0"/>
                    <w:adjustRightInd w:val="0"/>
                    <w:snapToGrid w:val="0"/>
                    <w:spacing w:line="300" w:lineRule="exact"/>
                    <w:ind w:left="21" w:leftChars="10"/>
                    <w:jc w:val="center"/>
                    <w:textAlignment w:val="baseline"/>
                    <w:rPr>
                      <w:rFonts w:ascii="Times New Roman" w:hAnsi="Times New Roman" w:eastAsia="宋体" w:cs="宋体"/>
                      <w:b/>
                      <w:bCs/>
                      <w:color w:val="auto"/>
                      <w:sz w:val="21"/>
                      <w:szCs w:val="20"/>
                      <w:lang w:eastAsia="zh-CN"/>
                    </w:rPr>
                  </w:pPr>
                  <w:r>
                    <w:rPr>
                      <w:rFonts w:hint="eastAsia" w:ascii="Times New Roman" w:hAnsi="Times New Roman" w:eastAsia="宋体" w:cs="宋体"/>
                      <w:b/>
                      <w:bCs/>
                      <w:color w:val="auto"/>
                      <w:sz w:val="21"/>
                      <w:szCs w:val="20"/>
                      <w:lang w:eastAsia="zh-CN"/>
                    </w:rPr>
                    <w:t>有组织排放控制要求</w:t>
                  </w:r>
                </w:p>
              </w:tc>
              <w:tc>
                <w:tcPr>
                  <w:tcW w:w="2355" w:type="dxa"/>
                  <w:gridSpan w:val="2"/>
                  <w:vAlign w:val="center"/>
                </w:tcPr>
                <w:p w14:paraId="6E882565">
                  <w:pPr>
                    <w:keepNext w:val="0"/>
                    <w:keepLines w:val="0"/>
                    <w:pageBreakBefore w:val="0"/>
                    <w:widowControl/>
                    <w:kinsoku/>
                    <w:wordWrap/>
                    <w:overflowPunct w:val="0"/>
                    <w:topLinePunct w:val="0"/>
                    <w:autoSpaceDE w:val="0"/>
                    <w:autoSpaceDN w:val="0"/>
                    <w:bidi w:val="0"/>
                    <w:adjustRightInd w:val="0"/>
                    <w:snapToGrid w:val="0"/>
                    <w:spacing w:line="300" w:lineRule="exact"/>
                    <w:ind w:left="21" w:leftChars="10"/>
                    <w:jc w:val="center"/>
                    <w:textAlignment w:val="baseline"/>
                    <w:rPr>
                      <w:rFonts w:ascii="Times New Roman" w:hAnsi="Times New Roman" w:eastAsia="宋体" w:cs="宋体"/>
                      <w:b/>
                      <w:bCs/>
                      <w:color w:val="auto"/>
                      <w:sz w:val="21"/>
                      <w:szCs w:val="20"/>
                      <w:lang w:eastAsia="zh-CN"/>
                    </w:rPr>
                  </w:pPr>
                  <w:r>
                    <w:rPr>
                      <w:rFonts w:hint="eastAsia" w:ascii="Times New Roman" w:hAnsi="Times New Roman" w:eastAsia="宋体" w:cs="宋体"/>
                      <w:b/>
                      <w:bCs/>
                      <w:color w:val="auto"/>
                      <w:sz w:val="21"/>
                      <w:szCs w:val="20"/>
                      <w:lang w:eastAsia="zh-CN"/>
                    </w:rPr>
                    <w:t>无组织排放浓度监测限值</w:t>
                  </w:r>
                </w:p>
                <w:p w14:paraId="65C034B5">
                  <w:pPr>
                    <w:keepNext w:val="0"/>
                    <w:keepLines w:val="0"/>
                    <w:pageBreakBefore w:val="0"/>
                    <w:widowControl/>
                    <w:kinsoku/>
                    <w:wordWrap/>
                    <w:overflowPunct w:val="0"/>
                    <w:topLinePunct w:val="0"/>
                    <w:autoSpaceDE w:val="0"/>
                    <w:autoSpaceDN w:val="0"/>
                    <w:bidi w:val="0"/>
                    <w:adjustRightInd w:val="0"/>
                    <w:snapToGrid w:val="0"/>
                    <w:spacing w:line="300" w:lineRule="exact"/>
                    <w:ind w:left="21" w:leftChars="10"/>
                    <w:jc w:val="center"/>
                    <w:textAlignment w:val="baseline"/>
                    <w:rPr>
                      <w:rFonts w:ascii="Times New Roman" w:hAnsi="Times New Roman" w:eastAsia="宋体" w:cs="宋体"/>
                      <w:b/>
                      <w:bCs/>
                      <w:color w:val="auto"/>
                      <w:sz w:val="21"/>
                      <w:szCs w:val="20"/>
                      <w:lang w:eastAsia="zh-CN"/>
                    </w:rPr>
                  </w:pPr>
                  <w:r>
                    <w:rPr>
                      <w:rFonts w:hint="eastAsia" w:ascii="Times New Roman" w:hAnsi="Times New Roman" w:eastAsia="宋体" w:cs="宋体"/>
                      <w:b/>
                      <w:bCs/>
                      <w:color w:val="auto"/>
                      <w:sz w:val="21"/>
                      <w:szCs w:val="20"/>
                      <w:lang w:eastAsia="zh-CN"/>
                    </w:rPr>
                    <w:t>（mg/m</w:t>
                  </w:r>
                  <w:r>
                    <w:rPr>
                      <w:rFonts w:hint="eastAsia" w:ascii="Times New Roman" w:hAnsi="Times New Roman" w:eastAsia="宋体" w:cs="宋体"/>
                      <w:b/>
                      <w:bCs/>
                      <w:color w:val="auto"/>
                      <w:sz w:val="21"/>
                      <w:szCs w:val="20"/>
                      <w:vertAlign w:val="superscript"/>
                      <w:lang w:eastAsia="zh-CN"/>
                    </w:rPr>
                    <w:t>3</w:t>
                  </w:r>
                  <w:r>
                    <w:rPr>
                      <w:rFonts w:hint="eastAsia" w:ascii="Times New Roman" w:hAnsi="Times New Roman" w:eastAsia="宋体" w:cs="宋体"/>
                      <w:b/>
                      <w:bCs/>
                      <w:color w:val="auto"/>
                      <w:sz w:val="21"/>
                      <w:szCs w:val="20"/>
                      <w:lang w:eastAsia="zh-CN"/>
                    </w:rPr>
                    <w:t>）</w:t>
                  </w:r>
                </w:p>
              </w:tc>
              <w:tc>
                <w:tcPr>
                  <w:tcW w:w="2692" w:type="dxa"/>
                  <w:vMerge w:val="restart"/>
                  <w:vAlign w:val="center"/>
                </w:tcPr>
                <w:p w14:paraId="6E5FDD35">
                  <w:pPr>
                    <w:keepNext w:val="0"/>
                    <w:keepLines w:val="0"/>
                    <w:pageBreakBefore w:val="0"/>
                    <w:widowControl/>
                    <w:kinsoku/>
                    <w:wordWrap/>
                    <w:overflowPunct w:val="0"/>
                    <w:topLinePunct w:val="0"/>
                    <w:autoSpaceDE w:val="0"/>
                    <w:autoSpaceDN w:val="0"/>
                    <w:bidi w:val="0"/>
                    <w:adjustRightInd w:val="0"/>
                    <w:snapToGrid w:val="0"/>
                    <w:spacing w:line="300" w:lineRule="exact"/>
                    <w:ind w:left="21" w:leftChars="10"/>
                    <w:jc w:val="center"/>
                    <w:textAlignment w:val="baseline"/>
                    <w:rPr>
                      <w:rFonts w:ascii="Times New Roman" w:hAnsi="Times New Roman" w:eastAsia="宋体" w:cs="宋体"/>
                      <w:color w:val="auto"/>
                      <w:sz w:val="21"/>
                      <w:szCs w:val="20"/>
                      <w:lang w:eastAsia="zh-CN"/>
                    </w:rPr>
                  </w:pPr>
                  <w:r>
                    <w:rPr>
                      <w:rFonts w:hint="eastAsia" w:ascii="Times New Roman" w:hAnsi="Times New Roman" w:eastAsia="宋体" w:cs="宋体"/>
                      <w:b/>
                      <w:bCs/>
                      <w:color w:val="auto"/>
                      <w:sz w:val="21"/>
                      <w:szCs w:val="20"/>
                      <w:lang w:eastAsia="zh-CN"/>
                    </w:rPr>
                    <w:t>标准来源</w:t>
                  </w:r>
                </w:p>
              </w:tc>
            </w:tr>
            <w:tr w14:paraId="36AD6FF9">
              <w:tblPrEx>
                <w:tblBorders>
                  <w:top w:val="single" w:color="000000" w:sz="4" w:space="0"/>
                  <w:left w:val="single" w:color="000000" w:sz="4" w:space="0"/>
                  <w:bottom w:val="single" w:color="000000" w:sz="4" w:space="0"/>
                  <w:right w:val="single" w:color="000000" w:sz="4" w:space="0"/>
                  <w:insideH w:val="single" w:color="000000" w:sz="6" w:space="0"/>
                  <w:insideV w:val="single" w:color="000000" w:sz="6" w:space="0"/>
                </w:tblBorders>
                <w:tblCellMar>
                  <w:top w:w="0" w:type="dxa"/>
                  <w:left w:w="0" w:type="dxa"/>
                  <w:bottom w:w="0" w:type="dxa"/>
                  <w:right w:w="0" w:type="dxa"/>
                </w:tblCellMar>
              </w:tblPrEx>
              <w:trPr>
                <w:trHeight w:val="882" w:hRule="atLeast"/>
                <w:jc w:val="center"/>
              </w:trPr>
              <w:tc>
                <w:tcPr>
                  <w:tcW w:w="1132" w:type="dxa"/>
                  <w:vMerge w:val="continue"/>
                  <w:vAlign w:val="center"/>
                </w:tcPr>
                <w:p w14:paraId="38F695CD">
                  <w:pPr>
                    <w:keepNext w:val="0"/>
                    <w:keepLines w:val="0"/>
                    <w:pageBreakBefore w:val="0"/>
                    <w:widowControl/>
                    <w:kinsoku/>
                    <w:wordWrap/>
                    <w:overflowPunct w:val="0"/>
                    <w:topLinePunct w:val="0"/>
                    <w:autoSpaceDE w:val="0"/>
                    <w:autoSpaceDN w:val="0"/>
                    <w:bidi w:val="0"/>
                    <w:adjustRightInd w:val="0"/>
                    <w:snapToGrid w:val="0"/>
                    <w:spacing w:line="300" w:lineRule="exact"/>
                    <w:ind w:left="21" w:leftChars="10"/>
                    <w:jc w:val="center"/>
                    <w:textAlignment w:val="baseline"/>
                    <w:rPr>
                      <w:rFonts w:ascii="Times New Roman" w:hAnsi="Times New Roman" w:eastAsia="宋体" w:cs="宋体"/>
                      <w:b/>
                      <w:bCs/>
                      <w:color w:val="auto"/>
                      <w:sz w:val="21"/>
                      <w:szCs w:val="20"/>
                      <w:lang w:eastAsia="zh-CN"/>
                    </w:rPr>
                  </w:pPr>
                </w:p>
              </w:tc>
              <w:tc>
                <w:tcPr>
                  <w:tcW w:w="1247" w:type="dxa"/>
                  <w:vAlign w:val="center"/>
                </w:tcPr>
                <w:p w14:paraId="6F346684">
                  <w:pPr>
                    <w:keepNext w:val="0"/>
                    <w:keepLines w:val="0"/>
                    <w:pageBreakBefore w:val="0"/>
                    <w:widowControl/>
                    <w:kinsoku/>
                    <w:wordWrap/>
                    <w:overflowPunct w:val="0"/>
                    <w:topLinePunct w:val="0"/>
                    <w:autoSpaceDE w:val="0"/>
                    <w:autoSpaceDN w:val="0"/>
                    <w:bidi w:val="0"/>
                    <w:adjustRightInd w:val="0"/>
                    <w:snapToGrid w:val="0"/>
                    <w:spacing w:line="300" w:lineRule="exact"/>
                    <w:ind w:left="21" w:leftChars="10"/>
                    <w:jc w:val="center"/>
                    <w:textAlignment w:val="baseline"/>
                    <w:rPr>
                      <w:rFonts w:ascii="Times New Roman" w:hAnsi="Times New Roman" w:eastAsia="宋体" w:cs="宋体"/>
                      <w:b/>
                      <w:bCs/>
                      <w:color w:val="auto"/>
                      <w:sz w:val="21"/>
                      <w:szCs w:val="20"/>
                      <w:lang w:eastAsia="zh-CN"/>
                    </w:rPr>
                  </w:pPr>
                  <w:r>
                    <w:rPr>
                      <w:rFonts w:hint="eastAsia" w:ascii="Times New Roman" w:hAnsi="Times New Roman" w:eastAsia="宋体" w:cs="宋体"/>
                      <w:b/>
                      <w:bCs/>
                      <w:color w:val="auto"/>
                      <w:sz w:val="21"/>
                      <w:szCs w:val="20"/>
                      <w:lang w:eastAsia="zh-CN"/>
                    </w:rPr>
                    <w:t>最高允许</w:t>
                  </w:r>
                </w:p>
                <w:p w14:paraId="67D65FC0">
                  <w:pPr>
                    <w:keepNext w:val="0"/>
                    <w:keepLines w:val="0"/>
                    <w:pageBreakBefore w:val="0"/>
                    <w:widowControl/>
                    <w:kinsoku/>
                    <w:wordWrap/>
                    <w:overflowPunct w:val="0"/>
                    <w:topLinePunct w:val="0"/>
                    <w:autoSpaceDE w:val="0"/>
                    <w:autoSpaceDN w:val="0"/>
                    <w:bidi w:val="0"/>
                    <w:adjustRightInd w:val="0"/>
                    <w:snapToGrid w:val="0"/>
                    <w:spacing w:line="300" w:lineRule="exact"/>
                    <w:ind w:left="21" w:leftChars="10"/>
                    <w:jc w:val="center"/>
                    <w:textAlignment w:val="baseline"/>
                    <w:rPr>
                      <w:rFonts w:ascii="Times New Roman" w:hAnsi="Times New Roman" w:eastAsia="宋体" w:cs="宋体"/>
                      <w:b/>
                      <w:bCs/>
                      <w:color w:val="auto"/>
                      <w:sz w:val="21"/>
                      <w:szCs w:val="20"/>
                      <w:lang w:eastAsia="zh-CN"/>
                    </w:rPr>
                  </w:pPr>
                  <w:r>
                    <w:rPr>
                      <w:rFonts w:hint="eastAsia" w:ascii="Times New Roman" w:hAnsi="Times New Roman" w:eastAsia="宋体" w:cs="宋体"/>
                      <w:b/>
                      <w:bCs/>
                      <w:color w:val="auto"/>
                      <w:sz w:val="21"/>
                      <w:szCs w:val="20"/>
                      <w:lang w:eastAsia="zh-CN"/>
                    </w:rPr>
                    <w:t>排放浓度</w:t>
                  </w:r>
                </w:p>
                <w:p w14:paraId="4E059D16">
                  <w:pPr>
                    <w:keepNext w:val="0"/>
                    <w:keepLines w:val="0"/>
                    <w:pageBreakBefore w:val="0"/>
                    <w:widowControl/>
                    <w:kinsoku/>
                    <w:wordWrap/>
                    <w:overflowPunct w:val="0"/>
                    <w:topLinePunct w:val="0"/>
                    <w:autoSpaceDE w:val="0"/>
                    <w:autoSpaceDN w:val="0"/>
                    <w:bidi w:val="0"/>
                    <w:adjustRightInd w:val="0"/>
                    <w:snapToGrid w:val="0"/>
                    <w:spacing w:line="300" w:lineRule="exact"/>
                    <w:ind w:left="21" w:leftChars="10"/>
                    <w:jc w:val="center"/>
                    <w:textAlignment w:val="baseline"/>
                    <w:rPr>
                      <w:rFonts w:ascii="Times New Roman" w:hAnsi="Times New Roman" w:eastAsia="宋体" w:cs="宋体"/>
                      <w:b/>
                      <w:bCs/>
                      <w:color w:val="auto"/>
                      <w:sz w:val="21"/>
                      <w:szCs w:val="20"/>
                      <w:lang w:eastAsia="zh-CN"/>
                    </w:rPr>
                  </w:pPr>
                  <w:r>
                    <w:rPr>
                      <w:rFonts w:hint="eastAsia" w:ascii="Times New Roman" w:hAnsi="Times New Roman" w:eastAsia="宋体" w:cs="宋体"/>
                      <w:b/>
                      <w:bCs/>
                      <w:color w:val="auto"/>
                      <w:sz w:val="21"/>
                      <w:szCs w:val="20"/>
                      <w:lang w:eastAsia="zh-CN"/>
                    </w:rPr>
                    <w:t>（mg/m</w:t>
                  </w:r>
                  <w:r>
                    <w:rPr>
                      <w:rFonts w:hint="eastAsia" w:ascii="Times New Roman" w:hAnsi="Times New Roman" w:eastAsia="宋体" w:cs="宋体"/>
                      <w:b/>
                      <w:bCs/>
                      <w:color w:val="auto"/>
                      <w:sz w:val="21"/>
                      <w:szCs w:val="20"/>
                      <w:vertAlign w:val="superscript"/>
                      <w:lang w:eastAsia="zh-CN"/>
                    </w:rPr>
                    <w:t>3</w:t>
                  </w:r>
                  <w:r>
                    <w:rPr>
                      <w:rFonts w:hint="eastAsia" w:ascii="Times New Roman" w:hAnsi="Times New Roman" w:eastAsia="宋体" w:cs="宋体"/>
                      <w:b/>
                      <w:bCs/>
                      <w:color w:val="auto"/>
                      <w:sz w:val="21"/>
                      <w:szCs w:val="20"/>
                      <w:lang w:eastAsia="zh-CN"/>
                    </w:rPr>
                    <w:t>）</w:t>
                  </w:r>
                </w:p>
              </w:tc>
              <w:tc>
                <w:tcPr>
                  <w:tcW w:w="1236" w:type="dxa"/>
                  <w:vAlign w:val="center"/>
                </w:tcPr>
                <w:p w14:paraId="5CC49DAD">
                  <w:pPr>
                    <w:keepNext w:val="0"/>
                    <w:keepLines w:val="0"/>
                    <w:pageBreakBefore w:val="0"/>
                    <w:widowControl/>
                    <w:kinsoku/>
                    <w:wordWrap/>
                    <w:overflowPunct w:val="0"/>
                    <w:topLinePunct w:val="0"/>
                    <w:autoSpaceDE w:val="0"/>
                    <w:autoSpaceDN w:val="0"/>
                    <w:bidi w:val="0"/>
                    <w:adjustRightInd w:val="0"/>
                    <w:snapToGrid w:val="0"/>
                    <w:spacing w:line="300" w:lineRule="exact"/>
                    <w:ind w:left="21" w:leftChars="10"/>
                    <w:jc w:val="center"/>
                    <w:textAlignment w:val="baseline"/>
                    <w:rPr>
                      <w:rFonts w:ascii="Times New Roman" w:hAnsi="Times New Roman" w:eastAsia="宋体" w:cs="宋体"/>
                      <w:b/>
                      <w:bCs/>
                      <w:color w:val="auto"/>
                      <w:sz w:val="21"/>
                      <w:szCs w:val="20"/>
                      <w:lang w:eastAsia="zh-CN"/>
                    </w:rPr>
                  </w:pPr>
                  <w:r>
                    <w:rPr>
                      <w:rFonts w:hint="eastAsia" w:ascii="Times New Roman" w:hAnsi="Times New Roman" w:eastAsia="宋体" w:cs="宋体"/>
                      <w:b/>
                      <w:bCs/>
                      <w:color w:val="auto"/>
                      <w:sz w:val="21"/>
                      <w:szCs w:val="20"/>
                      <w:lang w:eastAsia="zh-CN"/>
                    </w:rPr>
                    <w:t>最高允</w:t>
                  </w:r>
                </w:p>
                <w:p w14:paraId="10B82F20">
                  <w:pPr>
                    <w:keepNext w:val="0"/>
                    <w:keepLines w:val="0"/>
                    <w:pageBreakBefore w:val="0"/>
                    <w:widowControl/>
                    <w:kinsoku/>
                    <w:wordWrap/>
                    <w:overflowPunct w:val="0"/>
                    <w:topLinePunct w:val="0"/>
                    <w:autoSpaceDE w:val="0"/>
                    <w:autoSpaceDN w:val="0"/>
                    <w:bidi w:val="0"/>
                    <w:adjustRightInd w:val="0"/>
                    <w:snapToGrid w:val="0"/>
                    <w:spacing w:line="300" w:lineRule="exact"/>
                    <w:ind w:left="21" w:leftChars="10"/>
                    <w:jc w:val="center"/>
                    <w:textAlignment w:val="baseline"/>
                    <w:rPr>
                      <w:rFonts w:ascii="Times New Roman" w:hAnsi="Times New Roman" w:eastAsia="宋体" w:cs="宋体"/>
                      <w:b/>
                      <w:bCs/>
                      <w:color w:val="auto"/>
                      <w:sz w:val="21"/>
                      <w:szCs w:val="20"/>
                      <w:lang w:eastAsia="zh-CN"/>
                    </w:rPr>
                  </w:pPr>
                  <w:r>
                    <w:rPr>
                      <w:rFonts w:hint="eastAsia" w:ascii="Times New Roman" w:hAnsi="Times New Roman" w:eastAsia="宋体" w:cs="宋体"/>
                      <w:b/>
                      <w:bCs/>
                      <w:color w:val="auto"/>
                      <w:sz w:val="21"/>
                      <w:szCs w:val="20"/>
                      <w:lang w:eastAsia="zh-CN"/>
                    </w:rPr>
                    <w:t>许排放速率（kg/h）</w:t>
                  </w:r>
                </w:p>
              </w:tc>
              <w:tc>
                <w:tcPr>
                  <w:tcW w:w="1041" w:type="dxa"/>
                  <w:vAlign w:val="center"/>
                </w:tcPr>
                <w:p w14:paraId="2179B878">
                  <w:pPr>
                    <w:keepNext w:val="0"/>
                    <w:keepLines w:val="0"/>
                    <w:pageBreakBefore w:val="0"/>
                    <w:widowControl/>
                    <w:kinsoku/>
                    <w:wordWrap/>
                    <w:overflowPunct w:val="0"/>
                    <w:topLinePunct w:val="0"/>
                    <w:autoSpaceDE w:val="0"/>
                    <w:autoSpaceDN w:val="0"/>
                    <w:bidi w:val="0"/>
                    <w:adjustRightInd w:val="0"/>
                    <w:snapToGrid w:val="0"/>
                    <w:spacing w:line="300" w:lineRule="exact"/>
                    <w:ind w:left="21" w:leftChars="10"/>
                    <w:jc w:val="center"/>
                    <w:textAlignment w:val="baseline"/>
                    <w:rPr>
                      <w:rFonts w:ascii="Times New Roman" w:hAnsi="Times New Roman" w:eastAsia="宋体" w:cs="宋体"/>
                      <w:b/>
                      <w:bCs/>
                      <w:color w:val="auto"/>
                      <w:sz w:val="21"/>
                      <w:szCs w:val="20"/>
                      <w:lang w:eastAsia="zh-CN"/>
                    </w:rPr>
                  </w:pPr>
                  <w:r>
                    <w:rPr>
                      <w:rFonts w:hint="eastAsia" w:ascii="Times New Roman" w:hAnsi="Times New Roman" w:eastAsia="宋体" w:cs="宋体"/>
                      <w:b/>
                      <w:bCs/>
                      <w:color w:val="auto"/>
                      <w:sz w:val="21"/>
                      <w:szCs w:val="20"/>
                      <w:lang w:eastAsia="zh-CN"/>
                    </w:rPr>
                    <w:t>监控点</w:t>
                  </w:r>
                </w:p>
              </w:tc>
              <w:tc>
                <w:tcPr>
                  <w:tcW w:w="1314" w:type="dxa"/>
                  <w:vAlign w:val="center"/>
                </w:tcPr>
                <w:p w14:paraId="3E240C29">
                  <w:pPr>
                    <w:keepNext w:val="0"/>
                    <w:keepLines w:val="0"/>
                    <w:pageBreakBefore w:val="0"/>
                    <w:widowControl/>
                    <w:kinsoku/>
                    <w:wordWrap/>
                    <w:overflowPunct w:val="0"/>
                    <w:topLinePunct w:val="0"/>
                    <w:autoSpaceDE w:val="0"/>
                    <w:autoSpaceDN w:val="0"/>
                    <w:bidi w:val="0"/>
                    <w:adjustRightInd w:val="0"/>
                    <w:snapToGrid w:val="0"/>
                    <w:spacing w:line="300" w:lineRule="exact"/>
                    <w:ind w:left="21" w:leftChars="10"/>
                    <w:jc w:val="center"/>
                    <w:textAlignment w:val="baseline"/>
                    <w:rPr>
                      <w:rFonts w:ascii="Times New Roman" w:hAnsi="Times New Roman" w:eastAsia="宋体" w:cs="宋体"/>
                      <w:b/>
                      <w:bCs/>
                      <w:color w:val="auto"/>
                      <w:sz w:val="21"/>
                      <w:szCs w:val="20"/>
                      <w:lang w:eastAsia="zh-CN"/>
                    </w:rPr>
                  </w:pPr>
                  <w:r>
                    <w:rPr>
                      <w:rFonts w:hint="eastAsia" w:ascii="Times New Roman" w:hAnsi="Times New Roman" w:eastAsia="宋体" w:cs="宋体"/>
                      <w:b/>
                      <w:bCs/>
                      <w:color w:val="auto"/>
                      <w:sz w:val="21"/>
                      <w:szCs w:val="20"/>
                      <w:lang w:eastAsia="zh-CN"/>
                    </w:rPr>
                    <w:t>浓度（mg/m</w:t>
                  </w:r>
                  <w:r>
                    <w:rPr>
                      <w:rFonts w:hint="eastAsia" w:ascii="Times New Roman" w:hAnsi="Times New Roman" w:eastAsia="宋体" w:cs="宋体"/>
                      <w:b/>
                      <w:bCs/>
                      <w:color w:val="auto"/>
                      <w:sz w:val="21"/>
                      <w:szCs w:val="20"/>
                      <w:vertAlign w:val="superscript"/>
                      <w:lang w:eastAsia="zh-CN"/>
                    </w:rPr>
                    <w:t>3</w:t>
                  </w:r>
                  <w:r>
                    <w:rPr>
                      <w:rFonts w:hint="eastAsia" w:ascii="Times New Roman" w:hAnsi="Times New Roman" w:eastAsia="宋体" w:cs="宋体"/>
                      <w:b/>
                      <w:bCs/>
                      <w:color w:val="auto"/>
                      <w:sz w:val="21"/>
                      <w:szCs w:val="20"/>
                      <w:lang w:eastAsia="zh-CN"/>
                    </w:rPr>
                    <w:t>）</w:t>
                  </w:r>
                </w:p>
              </w:tc>
              <w:tc>
                <w:tcPr>
                  <w:tcW w:w="2692" w:type="dxa"/>
                  <w:vMerge w:val="continue"/>
                  <w:vAlign w:val="center"/>
                </w:tcPr>
                <w:p w14:paraId="3ECD2B2F">
                  <w:pPr>
                    <w:keepNext w:val="0"/>
                    <w:keepLines w:val="0"/>
                    <w:pageBreakBefore w:val="0"/>
                    <w:widowControl/>
                    <w:kinsoku/>
                    <w:wordWrap/>
                    <w:overflowPunct w:val="0"/>
                    <w:topLinePunct w:val="0"/>
                    <w:autoSpaceDE w:val="0"/>
                    <w:autoSpaceDN w:val="0"/>
                    <w:bidi w:val="0"/>
                    <w:adjustRightInd w:val="0"/>
                    <w:snapToGrid w:val="0"/>
                    <w:spacing w:line="300" w:lineRule="exact"/>
                    <w:ind w:left="21" w:leftChars="10"/>
                    <w:jc w:val="center"/>
                    <w:textAlignment w:val="baseline"/>
                    <w:rPr>
                      <w:rFonts w:ascii="Times New Roman" w:hAnsi="Times New Roman" w:eastAsia="宋体" w:cs="宋体"/>
                      <w:color w:val="auto"/>
                      <w:sz w:val="21"/>
                      <w:szCs w:val="20"/>
                      <w:lang w:eastAsia="zh-CN"/>
                    </w:rPr>
                  </w:pPr>
                </w:p>
              </w:tc>
            </w:tr>
            <w:tr w14:paraId="572E235E">
              <w:tblPrEx>
                <w:tblBorders>
                  <w:top w:val="single" w:color="000000" w:sz="4" w:space="0"/>
                  <w:left w:val="single" w:color="000000" w:sz="4" w:space="0"/>
                  <w:bottom w:val="single" w:color="000000" w:sz="4" w:space="0"/>
                  <w:right w:val="single" w:color="000000" w:sz="4" w:space="0"/>
                  <w:insideH w:val="single" w:color="000000" w:sz="6" w:space="0"/>
                  <w:insideV w:val="single" w:color="000000" w:sz="6" w:space="0"/>
                </w:tblBorders>
                <w:tblCellMar>
                  <w:top w:w="0" w:type="dxa"/>
                  <w:left w:w="0" w:type="dxa"/>
                  <w:bottom w:w="0" w:type="dxa"/>
                  <w:right w:w="0" w:type="dxa"/>
                </w:tblCellMar>
              </w:tblPrEx>
              <w:trPr>
                <w:trHeight w:val="421" w:hRule="atLeast"/>
                <w:jc w:val="center"/>
              </w:trPr>
              <w:tc>
                <w:tcPr>
                  <w:tcW w:w="1132" w:type="dxa"/>
                  <w:vAlign w:val="center"/>
                </w:tcPr>
                <w:p w14:paraId="5347729B">
                  <w:pPr>
                    <w:keepNext w:val="0"/>
                    <w:keepLines w:val="0"/>
                    <w:pageBreakBefore w:val="0"/>
                    <w:widowControl/>
                    <w:kinsoku/>
                    <w:wordWrap/>
                    <w:overflowPunct w:val="0"/>
                    <w:topLinePunct w:val="0"/>
                    <w:autoSpaceDE w:val="0"/>
                    <w:autoSpaceDN w:val="0"/>
                    <w:bidi w:val="0"/>
                    <w:adjustRightInd w:val="0"/>
                    <w:snapToGrid w:val="0"/>
                    <w:spacing w:line="300" w:lineRule="exact"/>
                    <w:ind w:left="21" w:leftChars="10"/>
                    <w:jc w:val="center"/>
                    <w:textAlignment w:val="baseline"/>
                    <w:rPr>
                      <w:rFonts w:ascii="Times New Roman" w:hAnsi="Times New Roman" w:eastAsia="宋体" w:cs="宋体"/>
                      <w:color w:val="auto"/>
                      <w:sz w:val="21"/>
                      <w:szCs w:val="20"/>
                      <w:lang w:eastAsia="zh-CN"/>
                    </w:rPr>
                  </w:pPr>
                  <w:r>
                    <w:rPr>
                      <w:rFonts w:hint="eastAsia" w:ascii="Times New Roman" w:hAnsi="Times New Roman" w:eastAsia="宋体" w:cs="宋体"/>
                      <w:color w:val="auto"/>
                      <w:sz w:val="21"/>
                      <w:szCs w:val="20"/>
                      <w:lang w:eastAsia="zh-CN"/>
                    </w:rPr>
                    <w:t>颗粒物</w:t>
                  </w:r>
                </w:p>
              </w:tc>
              <w:tc>
                <w:tcPr>
                  <w:tcW w:w="1247" w:type="dxa"/>
                  <w:vAlign w:val="center"/>
                </w:tcPr>
                <w:p w14:paraId="3FDC5355">
                  <w:pPr>
                    <w:keepNext w:val="0"/>
                    <w:keepLines w:val="0"/>
                    <w:pageBreakBefore w:val="0"/>
                    <w:widowControl/>
                    <w:kinsoku/>
                    <w:wordWrap/>
                    <w:overflowPunct w:val="0"/>
                    <w:topLinePunct w:val="0"/>
                    <w:autoSpaceDE w:val="0"/>
                    <w:autoSpaceDN w:val="0"/>
                    <w:bidi w:val="0"/>
                    <w:adjustRightInd w:val="0"/>
                    <w:snapToGrid w:val="0"/>
                    <w:spacing w:line="300" w:lineRule="exact"/>
                    <w:ind w:left="21" w:leftChars="10"/>
                    <w:jc w:val="center"/>
                    <w:textAlignment w:val="baseline"/>
                    <w:rPr>
                      <w:rFonts w:hint="default" w:ascii="Times New Roman" w:hAnsi="Times New Roman" w:eastAsia="宋体" w:cs="宋体"/>
                      <w:color w:val="auto"/>
                      <w:sz w:val="21"/>
                      <w:szCs w:val="20"/>
                      <w:lang w:val="en-US" w:eastAsia="zh-CN"/>
                    </w:rPr>
                  </w:pPr>
                  <w:r>
                    <w:rPr>
                      <w:rFonts w:hint="eastAsia" w:ascii="Times New Roman" w:hAnsi="Times New Roman" w:eastAsia="宋体" w:cs="宋体"/>
                      <w:color w:val="auto"/>
                      <w:sz w:val="21"/>
                      <w:szCs w:val="20"/>
                      <w:lang w:val="en-US" w:eastAsia="zh-CN"/>
                    </w:rPr>
                    <w:t>120</w:t>
                  </w:r>
                </w:p>
              </w:tc>
              <w:tc>
                <w:tcPr>
                  <w:tcW w:w="1236" w:type="dxa"/>
                  <w:vAlign w:val="center"/>
                </w:tcPr>
                <w:p w14:paraId="3D99AC55">
                  <w:pPr>
                    <w:keepNext w:val="0"/>
                    <w:keepLines w:val="0"/>
                    <w:pageBreakBefore w:val="0"/>
                    <w:widowControl/>
                    <w:kinsoku/>
                    <w:wordWrap/>
                    <w:overflowPunct w:val="0"/>
                    <w:topLinePunct w:val="0"/>
                    <w:autoSpaceDE w:val="0"/>
                    <w:autoSpaceDN w:val="0"/>
                    <w:bidi w:val="0"/>
                    <w:adjustRightInd w:val="0"/>
                    <w:snapToGrid w:val="0"/>
                    <w:spacing w:line="300" w:lineRule="exact"/>
                    <w:ind w:left="21" w:leftChars="10"/>
                    <w:jc w:val="center"/>
                    <w:textAlignment w:val="baseline"/>
                    <w:rPr>
                      <w:rFonts w:ascii="Times New Roman" w:hAnsi="Times New Roman" w:eastAsia="宋体" w:cs="宋体"/>
                      <w:color w:val="auto"/>
                      <w:sz w:val="21"/>
                      <w:szCs w:val="20"/>
                      <w:lang w:eastAsia="zh-CN"/>
                    </w:rPr>
                  </w:pPr>
                  <w:r>
                    <w:rPr>
                      <w:rFonts w:hint="eastAsia" w:ascii="Times New Roman" w:hAnsi="Times New Roman" w:eastAsia="宋体" w:cs="宋体"/>
                      <w:color w:val="auto"/>
                      <w:sz w:val="21"/>
                      <w:szCs w:val="20"/>
                      <w:lang w:val="en-US" w:eastAsia="zh-CN"/>
                    </w:rPr>
                    <w:t>1.75</w:t>
                  </w:r>
                  <w:r>
                    <w:rPr>
                      <w:rFonts w:hint="eastAsia" w:ascii="Times New Roman" w:hAnsi="Times New Roman" w:eastAsia="宋体" w:cs="宋体"/>
                      <w:color w:val="auto"/>
                      <w:sz w:val="21"/>
                      <w:szCs w:val="20"/>
                      <w:lang w:eastAsia="zh-CN"/>
                    </w:rPr>
                    <w:t>（</w:t>
                  </w:r>
                  <w:r>
                    <w:rPr>
                      <w:rFonts w:hint="eastAsia" w:ascii="Times New Roman" w:hAnsi="Times New Roman" w:eastAsia="宋体" w:cs="宋体"/>
                      <w:color w:val="auto"/>
                      <w:sz w:val="21"/>
                      <w:szCs w:val="20"/>
                      <w:lang w:val="en-US" w:eastAsia="zh-CN"/>
                    </w:rPr>
                    <w:t>15m</w:t>
                  </w:r>
                  <w:r>
                    <w:rPr>
                      <w:rFonts w:hint="eastAsia" w:ascii="Times New Roman" w:hAnsi="Times New Roman" w:eastAsia="宋体" w:cs="宋体"/>
                      <w:color w:val="auto"/>
                      <w:sz w:val="21"/>
                      <w:szCs w:val="20"/>
                      <w:lang w:eastAsia="zh-CN"/>
                    </w:rPr>
                    <w:t>）</w:t>
                  </w:r>
                </w:p>
              </w:tc>
              <w:tc>
                <w:tcPr>
                  <w:tcW w:w="1041" w:type="dxa"/>
                  <w:vMerge w:val="restart"/>
                  <w:vAlign w:val="center"/>
                </w:tcPr>
                <w:p w14:paraId="473525DB">
                  <w:pPr>
                    <w:keepNext w:val="0"/>
                    <w:keepLines w:val="0"/>
                    <w:pageBreakBefore w:val="0"/>
                    <w:widowControl/>
                    <w:kinsoku/>
                    <w:wordWrap/>
                    <w:overflowPunct w:val="0"/>
                    <w:topLinePunct w:val="0"/>
                    <w:autoSpaceDE w:val="0"/>
                    <w:autoSpaceDN w:val="0"/>
                    <w:bidi w:val="0"/>
                    <w:adjustRightInd w:val="0"/>
                    <w:snapToGrid w:val="0"/>
                    <w:spacing w:line="300" w:lineRule="exact"/>
                    <w:ind w:left="21" w:leftChars="10"/>
                    <w:jc w:val="center"/>
                    <w:textAlignment w:val="baseline"/>
                    <w:rPr>
                      <w:rFonts w:hint="eastAsia" w:ascii="Times New Roman" w:hAnsi="Times New Roman" w:eastAsia="宋体" w:cs="宋体"/>
                      <w:color w:val="auto"/>
                      <w:sz w:val="21"/>
                      <w:szCs w:val="20"/>
                      <w:lang w:eastAsia="zh-CN"/>
                    </w:rPr>
                  </w:pPr>
                  <w:r>
                    <w:rPr>
                      <w:rFonts w:hint="eastAsia" w:ascii="Times New Roman" w:hAnsi="Times New Roman" w:eastAsia="宋体" w:cs="宋体"/>
                      <w:color w:val="auto"/>
                      <w:sz w:val="21"/>
                      <w:szCs w:val="20"/>
                      <w:lang w:eastAsia="zh-CN"/>
                    </w:rPr>
                    <w:t>周界外浓度最高点</w:t>
                  </w:r>
                </w:p>
              </w:tc>
              <w:tc>
                <w:tcPr>
                  <w:tcW w:w="1314" w:type="dxa"/>
                  <w:vAlign w:val="center"/>
                </w:tcPr>
                <w:p w14:paraId="1DB94341">
                  <w:pPr>
                    <w:keepNext w:val="0"/>
                    <w:keepLines w:val="0"/>
                    <w:pageBreakBefore w:val="0"/>
                    <w:widowControl/>
                    <w:kinsoku/>
                    <w:wordWrap/>
                    <w:overflowPunct w:val="0"/>
                    <w:topLinePunct w:val="0"/>
                    <w:autoSpaceDE w:val="0"/>
                    <w:autoSpaceDN w:val="0"/>
                    <w:bidi w:val="0"/>
                    <w:adjustRightInd w:val="0"/>
                    <w:snapToGrid w:val="0"/>
                    <w:spacing w:line="300" w:lineRule="exact"/>
                    <w:ind w:left="21" w:leftChars="10"/>
                    <w:jc w:val="center"/>
                    <w:textAlignment w:val="baseline"/>
                    <w:rPr>
                      <w:rFonts w:ascii="Times New Roman" w:hAnsi="Times New Roman" w:eastAsia="宋体" w:cs="宋体"/>
                      <w:color w:val="auto"/>
                      <w:sz w:val="21"/>
                      <w:szCs w:val="20"/>
                      <w:lang w:eastAsia="zh-CN"/>
                    </w:rPr>
                  </w:pPr>
                  <w:r>
                    <w:rPr>
                      <w:rFonts w:hint="eastAsia" w:ascii="Times New Roman" w:hAnsi="Times New Roman" w:eastAsia="宋体" w:cs="宋体"/>
                      <w:color w:val="auto"/>
                      <w:sz w:val="21"/>
                      <w:szCs w:val="20"/>
                      <w:lang w:eastAsia="zh-CN"/>
                    </w:rPr>
                    <w:t>1.0</w:t>
                  </w:r>
                </w:p>
              </w:tc>
              <w:tc>
                <w:tcPr>
                  <w:tcW w:w="2692" w:type="dxa"/>
                  <w:vMerge w:val="restart"/>
                  <w:vAlign w:val="center"/>
                </w:tcPr>
                <w:p w14:paraId="40B2991D">
                  <w:pPr>
                    <w:keepNext w:val="0"/>
                    <w:keepLines w:val="0"/>
                    <w:pageBreakBefore w:val="0"/>
                    <w:widowControl/>
                    <w:kinsoku/>
                    <w:wordWrap/>
                    <w:overflowPunct w:val="0"/>
                    <w:topLinePunct w:val="0"/>
                    <w:autoSpaceDE w:val="0"/>
                    <w:autoSpaceDN w:val="0"/>
                    <w:bidi w:val="0"/>
                    <w:adjustRightInd w:val="0"/>
                    <w:snapToGrid w:val="0"/>
                    <w:spacing w:line="300" w:lineRule="exact"/>
                    <w:ind w:left="21" w:leftChars="10"/>
                    <w:jc w:val="center"/>
                    <w:textAlignment w:val="baseline"/>
                    <w:rPr>
                      <w:rFonts w:hint="default" w:ascii="Times New Roman" w:hAnsi="Times New Roman" w:eastAsia="宋体" w:cs="宋体"/>
                      <w:color w:val="auto"/>
                      <w:sz w:val="21"/>
                      <w:szCs w:val="20"/>
                      <w:lang w:val="en-US" w:eastAsia="zh-CN"/>
                    </w:rPr>
                  </w:pPr>
                  <w:r>
                    <w:rPr>
                      <w:rFonts w:hint="eastAsia" w:ascii="Times New Roman" w:hAnsi="Times New Roman" w:eastAsia="宋体" w:cs="宋体"/>
                      <w:color w:val="auto"/>
                      <w:sz w:val="21"/>
                      <w:szCs w:val="20"/>
                      <w:lang w:eastAsia="zh-CN"/>
                    </w:rPr>
                    <w:t>《大气污染物综合排放标准》（GB16297-1996）</w:t>
                  </w:r>
                  <w:r>
                    <w:rPr>
                      <w:rFonts w:hint="eastAsia" w:ascii="Times New Roman" w:hAnsi="Times New Roman" w:eastAsia="宋体" w:cs="宋体"/>
                      <w:color w:val="auto"/>
                      <w:sz w:val="21"/>
                      <w:szCs w:val="20"/>
                      <w:lang w:val="en-US" w:eastAsia="zh-CN"/>
                    </w:rPr>
                    <w:t>表2的二级标准及无组织排放浓度限值要求</w:t>
                  </w:r>
                  <w:r>
                    <w:rPr>
                      <w:rFonts w:hint="eastAsia" w:cs="宋体"/>
                      <w:color w:val="auto"/>
                      <w:sz w:val="21"/>
                      <w:szCs w:val="20"/>
                      <w:lang w:val="en-US" w:eastAsia="zh-CN"/>
                    </w:rPr>
                    <w:t>、</w:t>
                  </w:r>
                  <w:r>
                    <w:rPr>
                      <w:rFonts w:hint="eastAsia" w:ascii="Times New Roman" w:hAnsi="Times New Roman" w:eastAsia="宋体" w:cs="Times New Roman"/>
                      <w:color w:val="auto"/>
                      <w:kern w:val="0"/>
                      <w:sz w:val="21"/>
                      <w:highlight w:val="none"/>
                      <w:lang w:val="en-US" w:eastAsia="zh-CN"/>
                    </w:rPr>
                    <w:t>《挥发性有机物综合排放控制标准（试行）》（DB36/2186—2025）表1挥发性有机物有组织排放限值</w:t>
                  </w:r>
                  <w:r>
                    <w:rPr>
                      <w:rFonts w:hint="eastAsia" w:cs="Times New Roman"/>
                      <w:color w:val="auto"/>
                      <w:kern w:val="0"/>
                      <w:sz w:val="21"/>
                      <w:highlight w:val="none"/>
                      <w:lang w:val="en-US" w:eastAsia="zh-CN"/>
                    </w:rPr>
                    <w:t>及</w:t>
                  </w:r>
                  <w:r>
                    <w:rPr>
                      <w:rFonts w:hint="eastAsia" w:cs="Times New Roman"/>
                      <w:color w:val="auto"/>
                      <w:highlight w:val="none"/>
                      <w:lang w:val="en-US" w:eastAsia="zh-CN"/>
                    </w:rPr>
                    <w:t>表3企业边界挥发性有机物无组织排放限值</w:t>
                  </w:r>
                </w:p>
              </w:tc>
            </w:tr>
            <w:tr w14:paraId="3EAE073A">
              <w:tblPrEx>
                <w:tblBorders>
                  <w:top w:val="single" w:color="000000" w:sz="4" w:space="0"/>
                  <w:left w:val="single" w:color="000000" w:sz="4" w:space="0"/>
                  <w:bottom w:val="single" w:color="000000" w:sz="4" w:space="0"/>
                  <w:right w:val="single" w:color="000000" w:sz="4" w:space="0"/>
                  <w:insideH w:val="single" w:color="000000" w:sz="6" w:space="0"/>
                  <w:insideV w:val="single" w:color="000000" w:sz="6" w:space="0"/>
                </w:tblBorders>
                <w:tblCellMar>
                  <w:top w:w="0" w:type="dxa"/>
                  <w:left w:w="0" w:type="dxa"/>
                  <w:bottom w:w="0" w:type="dxa"/>
                  <w:right w:w="0" w:type="dxa"/>
                </w:tblCellMar>
              </w:tblPrEx>
              <w:trPr>
                <w:trHeight w:val="830" w:hRule="atLeast"/>
                <w:jc w:val="center"/>
              </w:trPr>
              <w:tc>
                <w:tcPr>
                  <w:tcW w:w="1132" w:type="dxa"/>
                  <w:vAlign w:val="center"/>
                </w:tcPr>
                <w:p w14:paraId="41D16870">
                  <w:pPr>
                    <w:keepNext w:val="0"/>
                    <w:keepLines w:val="0"/>
                    <w:pageBreakBefore w:val="0"/>
                    <w:widowControl/>
                    <w:kinsoku/>
                    <w:wordWrap/>
                    <w:overflowPunct w:val="0"/>
                    <w:topLinePunct w:val="0"/>
                    <w:autoSpaceDE w:val="0"/>
                    <w:autoSpaceDN w:val="0"/>
                    <w:bidi w:val="0"/>
                    <w:adjustRightInd w:val="0"/>
                    <w:snapToGrid w:val="0"/>
                    <w:spacing w:line="300" w:lineRule="exact"/>
                    <w:ind w:left="21" w:leftChars="10"/>
                    <w:jc w:val="center"/>
                    <w:textAlignment w:val="baseline"/>
                    <w:rPr>
                      <w:rFonts w:hint="eastAsia" w:ascii="Times New Roman" w:hAnsi="Times New Roman" w:eastAsia="宋体" w:cs="宋体"/>
                      <w:color w:val="auto"/>
                      <w:sz w:val="21"/>
                      <w:szCs w:val="20"/>
                      <w:lang w:eastAsia="zh-CN"/>
                    </w:rPr>
                  </w:pPr>
                  <w:r>
                    <w:rPr>
                      <w:rFonts w:hint="eastAsia" w:ascii="Times New Roman" w:hAnsi="Times New Roman" w:eastAsia="宋体" w:cs="宋体"/>
                      <w:color w:val="auto"/>
                      <w:sz w:val="21"/>
                      <w:szCs w:val="20"/>
                      <w:lang w:val="en-US" w:eastAsia="zh-CN"/>
                    </w:rPr>
                    <w:t>氯化氢</w:t>
                  </w:r>
                </w:p>
              </w:tc>
              <w:tc>
                <w:tcPr>
                  <w:tcW w:w="1247" w:type="dxa"/>
                  <w:vAlign w:val="center"/>
                </w:tcPr>
                <w:p w14:paraId="14EA6536">
                  <w:pPr>
                    <w:keepNext w:val="0"/>
                    <w:keepLines w:val="0"/>
                    <w:pageBreakBefore w:val="0"/>
                    <w:widowControl/>
                    <w:kinsoku/>
                    <w:wordWrap/>
                    <w:overflowPunct w:val="0"/>
                    <w:topLinePunct w:val="0"/>
                    <w:autoSpaceDE w:val="0"/>
                    <w:autoSpaceDN w:val="0"/>
                    <w:bidi w:val="0"/>
                    <w:adjustRightInd w:val="0"/>
                    <w:snapToGrid w:val="0"/>
                    <w:spacing w:line="300" w:lineRule="exact"/>
                    <w:ind w:left="21" w:leftChars="10"/>
                    <w:jc w:val="center"/>
                    <w:textAlignment w:val="baseline"/>
                    <w:rPr>
                      <w:rFonts w:hint="default" w:ascii="Times New Roman" w:hAnsi="Times New Roman" w:eastAsia="宋体" w:cs="宋体"/>
                      <w:color w:val="auto"/>
                      <w:sz w:val="21"/>
                      <w:szCs w:val="20"/>
                      <w:lang w:val="en-US" w:eastAsia="zh-CN"/>
                    </w:rPr>
                  </w:pPr>
                  <w:r>
                    <w:rPr>
                      <w:rFonts w:hint="eastAsia" w:ascii="Times New Roman" w:hAnsi="Times New Roman" w:eastAsia="宋体" w:cs="宋体"/>
                      <w:color w:val="auto"/>
                      <w:sz w:val="21"/>
                      <w:szCs w:val="20"/>
                      <w:lang w:val="en-US" w:eastAsia="zh-CN"/>
                    </w:rPr>
                    <w:t>100</w:t>
                  </w:r>
                </w:p>
              </w:tc>
              <w:tc>
                <w:tcPr>
                  <w:tcW w:w="1236" w:type="dxa"/>
                  <w:vAlign w:val="center"/>
                </w:tcPr>
                <w:p w14:paraId="207317F2">
                  <w:pPr>
                    <w:keepNext w:val="0"/>
                    <w:keepLines w:val="0"/>
                    <w:pageBreakBefore w:val="0"/>
                    <w:widowControl/>
                    <w:kinsoku/>
                    <w:wordWrap/>
                    <w:overflowPunct w:val="0"/>
                    <w:topLinePunct w:val="0"/>
                    <w:autoSpaceDE w:val="0"/>
                    <w:autoSpaceDN w:val="0"/>
                    <w:bidi w:val="0"/>
                    <w:adjustRightInd w:val="0"/>
                    <w:snapToGrid w:val="0"/>
                    <w:spacing w:line="300" w:lineRule="exact"/>
                    <w:ind w:left="21" w:leftChars="10"/>
                    <w:jc w:val="center"/>
                    <w:textAlignment w:val="baseline"/>
                    <w:rPr>
                      <w:rFonts w:hint="default" w:ascii="Times New Roman" w:hAnsi="Times New Roman" w:eastAsia="宋体" w:cs="宋体"/>
                      <w:color w:val="auto"/>
                      <w:sz w:val="21"/>
                      <w:szCs w:val="20"/>
                      <w:lang w:val="en-US" w:eastAsia="zh-CN"/>
                    </w:rPr>
                  </w:pPr>
                  <w:r>
                    <w:rPr>
                      <w:rFonts w:hint="eastAsia" w:ascii="Times New Roman" w:hAnsi="Times New Roman" w:eastAsia="宋体" w:cs="宋体"/>
                      <w:color w:val="auto"/>
                      <w:sz w:val="21"/>
                      <w:szCs w:val="20"/>
                      <w:lang w:val="en-US" w:eastAsia="zh-CN"/>
                    </w:rPr>
                    <w:t>0.13</w:t>
                  </w:r>
                  <w:r>
                    <w:rPr>
                      <w:rFonts w:hint="eastAsia" w:ascii="Times New Roman" w:hAnsi="Times New Roman" w:eastAsia="宋体" w:cs="宋体"/>
                      <w:color w:val="auto"/>
                      <w:sz w:val="21"/>
                      <w:szCs w:val="20"/>
                      <w:lang w:eastAsia="zh-CN"/>
                    </w:rPr>
                    <w:t>（</w:t>
                  </w:r>
                  <w:r>
                    <w:rPr>
                      <w:rFonts w:hint="eastAsia" w:ascii="Times New Roman" w:hAnsi="Times New Roman" w:eastAsia="宋体" w:cs="宋体"/>
                      <w:color w:val="auto"/>
                      <w:sz w:val="21"/>
                      <w:szCs w:val="20"/>
                      <w:lang w:val="en-US" w:eastAsia="zh-CN"/>
                    </w:rPr>
                    <w:t>15m</w:t>
                  </w:r>
                  <w:r>
                    <w:rPr>
                      <w:rFonts w:hint="eastAsia" w:ascii="Times New Roman" w:hAnsi="Times New Roman" w:eastAsia="宋体" w:cs="宋体"/>
                      <w:color w:val="auto"/>
                      <w:sz w:val="21"/>
                      <w:szCs w:val="20"/>
                      <w:lang w:eastAsia="zh-CN"/>
                    </w:rPr>
                    <w:t>）</w:t>
                  </w:r>
                </w:p>
              </w:tc>
              <w:tc>
                <w:tcPr>
                  <w:tcW w:w="1041" w:type="dxa"/>
                  <w:vMerge w:val="continue"/>
                  <w:vAlign w:val="center"/>
                </w:tcPr>
                <w:p w14:paraId="784B38F0">
                  <w:pPr>
                    <w:keepNext w:val="0"/>
                    <w:keepLines w:val="0"/>
                    <w:pageBreakBefore w:val="0"/>
                    <w:widowControl/>
                    <w:kinsoku/>
                    <w:wordWrap/>
                    <w:overflowPunct w:val="0"/>
                    <w:topLinePunct w:val="0"/>
                    <w:autoSpaceDE w:val="0"/>
                    <w:autoSpaceDN w:val="0"/>
                    <w:bidi w:val="0"/>
                    <w:adjustRightInd w:val="0"/>
                    <w:snapToGrid w:val="0"/>
                    <w:spacing w:line="300" w:lineRule="exact"/>
                    <w:ind w:left="21" w:leftChars="10"/>
                    <w:jc w:val="center"/>
                    <w:textAlignment w:val="baseline"/>
                    <w:rPr>
                      <w:rFonts w:hint="eastAsia" w:ascii="Times New Roman" w:hAnsi="Times New Roman" w:eastAsia="宋体" w:cs="宋体"/>
                      <w:color w:val="auto"/>
                      <w:sz w:val="21"/>
                      <w:szCs w:val="20"/>
                      <w:lang w:eastAsia="zh-CN"/>
                    </w:rPr>
                  </w:pPr>
                </w:p>
              </w:tc>
              <w:tc>
                <w:tcPr>
                  <w:tcW w:w="1314" w:type="dxa"/>
                  <w:vAlign w:val="center"/>
                </w:tcPr>
                <w:p w14:paraId="47CFA10D">
                  <w:pPr>
                    <w:keepNext w:val="0"/>
                    <w:keepLines w:val="0"/>
                    <w:pageBreakBefore w:val="0"/>
                    <w:widowControl/>
                    <w:kinsoku/>
                    <w:wordWrap/>
                    <w:overflowPunct w:val="0"/>
                    <w:topLinePunct w:val="0"/>
                    <w:autoSpaceDE w:val="0"/>
                    <w:autoSpaceDN w:val="0"/>
                    <w:bidi w:val="0"/>
                    <w:adjustRightInd w:val="0"/>
                    <w:snapToGrid w:val="0"/>
                    <w:spacing w:line="300" w:lineRule="exact"/>
                    <w:ind w:left="21" w:leftChars="10"/>
                    <w:jc w:val="center"/>
                    <w:textAlignment w:val="baseline"/>
                    <w:rPr>
                      <w:rFonts w:hint="default" w:ascii="Times New Roman" w:hAnsi="Times New Roman" w:eastAsia="宋体" w:cs="宋体"/>
                      <w:color w:val="auto"/>
                      <w:sz w:val="21"/>
                      <w:szCs w:val="20"/>
                      <w:lang w:val="en-US" w:eastAsia="zh-CN"/>
                    </w:rPr>
                  </w:pPr>
                  <w:r>
                    <w:rPr>
                      <w:rFonts w:hint="eastAsia" w:ascii="Times New Roman" w:hAnsi="Times New Roman" w:eastAsia="宋体" w:cs="宋体"/>
                      <w:color w:val="auto"/>
                      <w:sz w:val="21"/>
                      <w:szCs w:val="20"/>
                      <w:lang w:val="en-US" w:eastAsia="zh-CN"/>
                    </w:rPr>
                    <w:t>0.2</w:t>
                  </w:r>
                </w:p>
              </w:tc>
              <w:tc>
                <w:tcPr>
                  <w:tcW w:w="2692" w:type="dxa"/>
                  <w:vMerge w:val="continue"/>
                  <w:vAlign w:val="center"/>
                </w:tcPr>
                <w:p w14:paraId="48840C07">
                  <w:pPr>
                    <w:keepNext w:val="0"/>
                    <w:keepLines w:val="0"/>
                    <w:pageBreakBefore w:val="0"/>
                    <w:widowControl/>
                    <w:kinsoku/>
                    <w:wordWrap/>
                    <w:overflowPunct w:val="0"/>
                    <w:topLinePunct w:val="0"/>
                    <w:autoSpaceDE w:val="0"/>
                    <w:autoSpaceDN w:val="0"/>
                    <w:bidi w:val="0"/>
                    <w:adjustRightInd w:val="0"/>
                    <w:snapToGrid w:val="0"/>
                    <w:spacing w:line="300" w:lineRule="exact"/>
                    <w:ind w:left="21" w:leftChars="10"/>
                    <w:jc w:val="center"/>
                    <w:textAlignment w:val="baseline"/>
                    <w:rPr>
                      <w:rFonts w:hint="eastAsia" w:ascii="Times New Roman" w:hAnsi="Times New Roman" w:eastAsia="宋体" w:cs="宋体"/>
                      <w:color w:val="auto"/>
                      <w:sz w:val="21"/>
                      <w:szCs w:val="20"/>
                      <w:lang w:eastAsia="zh-CN"/>
                    </w:rPr>
                  </w:pPr>
                </w:p>
              </w:tc>
            </w:tr>
            <w:tr w14:paraId="038F71D3">
              <w:tblPrEx>
                <w:tblBorders>
                  <w:top w:val="single" w:color="000000" w:sz="4" w:space="0"/>
                  <w:left w:val="single" w:color="000000" w:sz="4" w:space="0"/>
                  <w:bottom w:val="single" w:color="000000" w:sz="4" w:space="0"/>
                  <w:right w:val="single" w:color="000000" w:sz="4" w:space="0"/>
                  <w:insideH w:val="single" w:color="000000" w:sz="6" w:space="0"/>
                  <w:insideV w:val="single" w:color="000000" w:sz="6" w:space="0"/>
                </w:tblBorders>
                <w:tblCellMar>
                  <w:top w:w="0" w:type="dxa"/>
                  <w:left w:w="0" w:type="dxa"/>
                  <w:bottom w:w="0" w:type="dxa"/>
                  <w:right w:w="0" w:type="dxa"/>
                </w:tblCellMar>
              </w:tblPrEx>
              <w:trPr>
                <w:trHeight w:val="322" w:hRule="atLeast"/>
                <w:jc w:val="center"/>
              </w:trPr>
              <w:tc>
                <w:tcPr>
                  <w:tcW w:w="1132" w:type="dxa"/>
                  <w:vAlign w:val="center"/>
                </w:tcPr>
                <w:p w14:paraId="40EA41E4">
                  <w:pPr>
                    <w:keepNext w:val="0"/>
                    <w:keepLines w:val="0"/>
                    <w:pageBreakBefore w:val="0"/>
                    <w:widowControl/>
                    <w:kinsoku/>
                    <w:wordWrap/>
                    <w:overflowPunct w:val="0"/>
                    <w:topLinePunct w:val="0"/>
                    <w:autoSpaceDE w:val="0"/>
                    <w:autoSpaceDN w:val="0"/>
                    <w:bidi w:val="0"/>
                    <w:adjustRightInd w:val="0"/>
                    <w:snapToGrid w:val="0"/>
                    <w:spacing w:line="300" w:lineRule="exact"/>
                    <w:ind w:left="21" w:leftChars="10"/>
                    <w:jc w:val="center"/>
                    <w:textAlignment w:val="baseline"/>
                    <w:rPr>
                      <w:rFonts w:ascii="Times New Roman" w:hAnsi="Times New Roman" w:eastAsia="宋体" w:cs="宋体"/>
                      <w:color w:val="auto"/>
                      <w:sz w:val="21"/>
                      <w:szCs w:val="20"/>
                      <w:lang w:eastAsia="zh-CN"/>
                    </w:rPr>
                  </w:pPr>
                  <w:r>
                    <w:rPr>
                      <w:rFonts w:hint="eastAsia" w:ascii="Times New Roman" w:hAnsi="Times New Roman" w:eastAsia="宋体" w:cs="宋体"/>
                      <w:color w:val="auto"/>
                      <w:sz w:val="21"/>
                      <w:szCs w:val="20"/>
                      <w:lang w:eastAsia="zh-CN"/>
                    </w:rPr>
                    <w:t>非甲烷总烃</w:t>
                  </w:r>
                </w:p>
              </w:tc>
              <w:tc>
                <w:tcPr>
                  <w:tcW w:w="1247" w:type="dxa"/>
                  <w:vAlign w:val="center"/>
                </w:tcPr>
                <w:p w14:paraId="61794479">
                  <w:pPr>
                    <w:keepNext w:val="0"/>
                    <w:keepLines w:val="0"/>
                    <w:pageBreakBefore w:val="0"/>
                    <w:widowControl/>
                    <w:kinsoku/>
                    <w:wordWrap/>
                    <w:overflowPunct w:val="0"/>
                    <w:topLinePunct w:val="0"/>
                    <w:autoSpaceDE w:val="0"/>
                    <w:autoSpaceDN w:val="0"/>
                    <w:bidi w:val="0"/>
                    <w:adjustRightInd w:val="0"/>
                    <w:snapToGrid w:val="0"/>
                    <w:spacing w:line="300" w:lineRule="exact"/>
                    <w:ind w:left="21" w:leftChars="10"/>
                    <w:jc w:val="center"/>
                    <w:textAlignment w:val="baseline"/>
                    <w:rPr>
                      <w:rFonts w:hint="default" w:ascii="Times New Roman" w:hAnsi="Times New Roman" w:eastAsia="宋体" w:cs="宋体"/>
                      <w:color w:val="auto"/>
                      <w:sz w:val="21"/>
                      <w:szCs w:val="20"/>
                      <w:lang w:val="en-US" w:eastAsia="zh-CN"/>
                    </w:rPr>
                  </w:pPr>
                  <w:r>
                    <w:rPr>
                      <w:rFonts w:hint="eastAsia" w:ascii="Times New Roman" w:hAnsi="Times New Roman" w:eastAsia="宋体" w:cs="宋体"/>
                      <w:color w:val="auto"/>
                      <w:sz w:val="21"/>
                      <w:szCs w:val="20"/>
                      <w:lang w:eastAsia="zh-CN"/>
                    </w:rPr>
                    <w:t>120</w:t>
                  </w:r>
                  <w:r>
                    <w:rPr>
                      <w:rFonts w:hint="eastAsia" w:cs="宋体"/>
                      <w:color w:val="auto"/>
                      <w:sz w:val="21"/>
                      <w:szCs w:val="20"/>
                      <w:lang w:eastAsia="zh-CN"/>
                    </w:rPr>
                    <w:t>（</w:t>
                  </w:r>
                  <w:r>
                    <w:rPr>
                      <w:rFonts w:hint="eastAsia" w:cs="宋体"/>
                      <w:color w:val="auto"/>
                      <w:sz w:val="21"/>
                      <w:szCs w:val="20"/>
                      <w:lang w:val="en-US" w:eastAsia="zh-CN"/>
                    </w:rPr>
                    <w:t>80</w:t>
                  </w:r>
                  <w:r>
                    <w:rPr>
                      <w:rFonts w:hint="eastAsia" w:cs="宋体"/>
                      <w:color w:val="auto"/>
                      <w:sz w:val="21"/>
                      <w:szCs w:val="20"/>
                      <w:lang w:eastAsia="zh-CN"/>
                    </w:rPr>
                    <w:t>）</w:t>
                  </w:r>
                  <w:r>
                    <w:rPr>
                      <w:rFonts w:hint="eastAsia" w:cs="宋体"/>
                      <w:color w:val="auto"/>
                      <w:sz w:val="21"/>
                      <w:szCs w:val="20"/>
                      <w:lang w:val="en-US" w:eastAsia="zh-CN"/>
                    </w:rPr>
                    <w:t>*</w:t>
                  </w:r>
                </w:p>
              </w:tc>
              <w:tc>
                <w:tcPr>
                  <w:tcW w:w="1236" w:type="dxa"/>
                  <w:vAlign w:val="center"/>
                </w:tcPr>
                <w:p w14:paraId="104874C0">
                  <w:pPr>
                    <w:keepNext w:val="0"/>
                    <w:keepLines w:val="0"/>
                    <w:pageBreakBefore w:val="0"/>
                    <w:widowControl/>
                    <w:kinsoku/>
                    <w:wordWrap/>
                    <w:overflowPunct w:val="0"/>
                    <w:topLinePunct w:val="0"/>
                    <w:autoSpaceDE w:val="0"/>
                    <w:autoSpaceDN w:val="0"/>
                    <w:bidi w:val="0"/>
                    <w:adjustRightInd w:val="0"/>
                    <w:snapToGrid w:val="0"/>
                    <w:spacing w:line="300" w:lineRule="exact"/>
                    <w:ind w:left="21" w:leftChars="10"/>
                    <w:jc w:val="center"/>
                    <w:textAlignment w:val="baseline"/>
                    <w:rPr>
                      <w:rFonts w:ascii="Times New Roman" w:hAnsi="Times New Roman" w:eastAsia="宋体" w:cs="宋体"/>
                      <w:color w:val="auto"/>
                      <w:sz w:val="21"/>
                      <w:szCs w:val="20"/>
                      <w:lang w:eastAsia="zh-CN"/>
                    </w:rPr>
                  </w:pPr>
                  <w:r>
                    <w:rPr>
                      <w:rFonts w:hint="eastAsia" w:ascii="Times New Roman" w:hAnsi="Times New Roman" w:eastAsia="宋体" w:cs="宋体"/>
                      <w:color w:val="auto"/>
                      <w:sz w:val="21"/>
                      <w:szCs w:val="20"/>
                      <w:lang w:val="en-US" w:eastAsia="zh-CN"/>
                    </w:rPr>
                    <w:t>5</w:t>
                  </w:r>
                  <w:r>
                    <w:rPr>
                      <w:rFonts w:hint="eastAsia" w:ascii="Times New Roman" w:hAnsi="Times New Roman" w:eastAsia="宋体" w:cs="宋体"/>
                      <w:color w:val="auto"/>
                      <w:sz w:val="21"/>
                      <w:szCs w:val="20"/>
                      <w:lang w:eastAsia="zh-CN"/>
                    </w:rPr>
                    <w:t>（</w:t>
                  </w:r>
                  <w:r>
                    <w:rPr>
                      <w:rFonts w:hint="eastAsia" w:ascii="Times New Roman" w:hAnsi="Times New Roman" w:eastAsia="宋体" w:cs="宋体"/>
                      <w:color w:val="auto"/>
                      <w:sz w:val="21"/>
                      <w:szCs w:val="20"/>
                      <w:lang w:val="en-US" w:eastAsia="zh-CN"/>
                    </w:rPr>
                    <w:t>15</w:t>
                  </w:r>
                  <w:r>
                    <w:rPr>
                      <w:rFonts w:hint="eastAsia" w:ascii="Times New Roman" w:hAnsi="Times New Roman" w:eastAsia="宋体" w:cs="宋体"/>
                      <w:color w:val="auto"/>
                      <w:sz w:val="21"/>
                      <w:szCs w:val="20"/>
                      <w:lang w:eastAsia="zh-CN"/>
                    </w:rPr>
                    <w:t>m）</w:t>
                  </w:r>
                </w:p>
              </w:tc>
              <w:tc>
                <w:tcPr>
                  <w:tcW w:w="1041" w:type="dxa"/>
                  <w:vMerge w:val="continue"/>
                  <w:vAlign w:val="center"/>
                </w:tcPr>
                <w:p w14:paraId="65FBABC4">
                  <w:pPr>
                    <w:keepNext w:val="0"/>
                    <w:keepLines w:val="0"/>
                    <w:pageBreakBefore w:val="0"/>
                    <w:widowControl/>
                    <w:kinsoku/>
                    <w:wordWrap/>
                    <w:overflowPunct w:val="0"/>
                    <w:topLinePunct w:val="0"/>
                    <w:autoSpaceDE w:val="0"/>
                    <w:autoSpaceDN w:val="0"/>
                    <w:bidi w:val="0"/>
                    <w:adjustRightInd w:val="0"/>
                    <w:snapToGrid w:val="0"/>
                    <w:spacing w:line="300" w:lineRule="exact"/>
                    <w:ind w:left="21" w:leftChars="10"/>
                    <w:jc w:val="center"/>
                    <w:textAlignment w:val="baseline"/>
                    <w:rPr>
                      <w:rFonts w:ascii="Times New Roman" w:hAnsi="Times New Roman" w:eastAsia="宋体" w:cs="宋体"/>
                      <w:color w:val="auto"/>
                      <w:sz w:val="21"/>
                      <w:szCs w:val="20"/>
                      <w:lang w:eastAsia="zh-CN"/>
                    </w:rPr>
                  </w:pPr>
                </w:p>
              </w:tc>
              <w:tc>
                <w:tcPr>
                  <w:tcW w:w="1314" w:type="dxa"/>
                  <w:vAlign w:val="center"/>
                </w:tcPr>
                <w:p w14:paraId="0FCAF746">
                  <w:pPr>
                    <w:keepNext w:val="0"/>
                    <w:keepLines w:val="0"/>
                    <w:pageBreakBefore w:val="0"/>
                    <w:widowControl/>
                    <w:kinsoku/>
                    <w:wordWrap/>
                    <w:overflowPunct w:val="0"/>
                    <w:topLinePunct w:val="0"/>
                    <w:autoSpaceDE w:val="0"/>
                    <w:autoSpaceDN w:val="0"/>
                    <w:bidi w:val="0"/>
                    <w:adjustRightInd w:val="0"/>
                    <w:snapToGrid w:val="0"/>
                    <w:spacing w:line="300" w:lineRule="exact"/>
                    <w:ind w:left="21" w:leftChars="10"/>
                    <w:jc w:val="center"/>
                    <w:textAlignment w:val="baseline"/>
                    <w:rPr>
                      <w:rFonts w:hint="default" w:ascii="Times New Roman" w:hAnsi="Times New Roman" w:eastAsia="宋体" w:cs="宋体"/>
                      <w:color w:val="auto"/>
                      <w:sz w:val="21"/>
                      <w:szCs w:val="20"/>
                      <w:lang w:val="en-US" w:eastAsia="zh-CN"/>
                    </w:rPr>
                  </w:pPr>
                  <w:r>
                    <w:rPr>
                      <w:rFonts w:hint="eastAsia" w:cs="宋体"/>
                      <w:color w:val="auto"/>
                      <w:sz w:val="21"/>
                      <w:szCs w:val="20"/>
                      <w:lang w:val="en-US" w:eastAsia="zh-CN"/>
                    </w:rPr>
                    <w:t>4.0*</w:t>
                  </w:r>
                </w:p>
              </w:tc>
              <w:tc>
                <w:tcPr>
                  <w:tcW w:w="2692" w:type="dxa"/>
                  <w:vMerge w:val="continue"/>
                  <w:vAlign w:val="center"/>
                </w:tcPr>
                <w:p w14:paraId="563FBC85">
                  <w:pPr>
                    <w:keepNext w:val="0"/>
                    <w:keepLines w:val="0"/>
                    <w:pageBreakBefore w:val="0"/>
                    <w:widowControl/>
                    <w:kinsoku/>
                    <w:wordWrap/>
                    <w:overflowPunct w:val="0"/>
                    <w:topLinePunct w:val="0"/>
                    <w:autoSpaceDE w:val="0"/>
                    <w:autoSpaceDN w:val="0"/>
                    <w:bidi w:val="0"/>
                    <w:adjustRightInd w:val="0"/>
                    <w:snapToGrid w:val="0"/>
                    <w:spacing w:line="300" w:lineRule="exact"/>
                    <w:ind w:left="21" w:leftChars="10"/>
                    <w:jc w:val="center"/>
                    <w:textAlignment w:val="baseline"/>
                    <w:rPr>
                      <w:rFonts w:ascii="Times New Roman" w:hAnsi="Times New Roman" w:eastAsia="宋体" w:cs="宋体"/>
                      <w:color w:val="auto"/>
                      <w:sz w:val="21"/>
                      <w:szCs w:val="20"/>
                      <w:lang w:eastAsia="zh-CN"/>
                    </w:rPr>
                  </w:pPr>
                </w:p>
              </w:tc>
            </w:tr>
            <w:tr w14:paraId="5D51E771">
              <w:tblPrEx>
                <w:tblBorders>
                  <w:top w:val="single" w:color="000000" w:sz="4" w:space="0"/>
                  <w:left w:val="single" w:color="000000" w:sz="4" w:space="0"/>
                  <w:bottom w:val="single" w:color="000000" w:sz="4" w:space="0"/>
                  <w:right w:val="single" w:color="000000" w:sz="4" w:space="0"/>
                  <w:insideH w:val="single" w:color="000000" w:sz="6" w:space="0"/>
                  <w:insideV w:val="single" w:color="000000" w:sz="6" w:space="0"/>
                </w:tblBorders>
                <w:tblCellMar>
                  <w:top w:w="0" w:type="dxa"/>
                  <w:left w:w="0" w:type="dxa"/>
                  <w:bottom w:w="0" w:type="dxa"/>
                  <w:right w:w="0" w:type="dxa"/>
                </w:tblCellMar>
              </w:tblPrEx>
              <w:trPr>
                <w:trHeight w:val="629" w:hRule="atLeast"/>
                <w:jc w:val="center"/>
              </w:trPr>
              <w:tc>
                <w:tcPr>
                  <w:tcW w:w="1132" w:type="dxa"/>
                  <w:vAlign w:val="center"/>
                </w:tcPr>
                <w:p w14:paraId="7F0DE6FD">
                  <w:pPr>
                    <w:keepNext w:val="0"/>
                    <w:keepLines w:val="0"/>
                    <w:pageBreakBefore w:val="0"/>
                    <w:widowControl/>
                    <w:kinsoku/>
                    <w:wordWrap/>
                    <w:overflowPunct w:val="0"/>
                    <w:topLinePunct w:val="0"/>
                    <w:autoSpaceDE w:val="0"/>
                    <w:autoSpaceDN w:val="0"/>
                    <w:bidi w:val="0"/>
                    <w:adjustRightInd w:val="0"/>
                    <w:snapToGrid w:val="0"/>
                    <w:spacing w:line="300" w:lineRule="exact"/>
                    <w:ind w:left="21" w:leftChars="10"/>
                    <w:jc w:val="center"/>
                    <w:textAlignment w:val="baseline"/>
                    <w:rPr>
                      <w:rFonts w:hint="eastAsia" w:ascii="Times New Roman" w:hAnsi="Times New Roman" w:eastAsia="宋体" w:cs="宋体"/>
                      <w:color w:val="auto"/>
                      <w:sz w:val="21"/>
                      <w:szCs w:val="20"/>
                      <w:lang w:val="en-US" w:eastAsia="zh-CN"/>
                    </w:rPr>
                  </w:pPr>
                  <w:r>
                    <w:rPr>
                      <w:rFonts w:hint="eastAsia"/>
                      <w:color w:val="auto"/>
                      <w:sz w:val="21"/>
                      <w:szCs w:val="21"/>
                      <w:u w:val="none"/>
                      <w:lang w:val="en-US" w:eastAsia="zh-CN"/>
                    </w:rPr>
                    <w:t>臭气浓度</w:t>
                  </w:r>
                </w:p>
              </w:tc>
              <w:tc>
                <w:tcPr>
                  <w:tcW w:w="1247" w:type="dxa"/>
                  <w:shd w:val="clear" w:color="auto" w:fill="auto"/>
                  <w:vAlign w:val="center"/>
                </w:tcPr>
                <w:p w14:paraId="2AA42641">
                  <w:pPr>
                    <w:keepNext w:val="0"/>
                    <w:keepLines w:val="0"/>
                    <w:pageBreakBefore w:val="0"/>
                    <w:widowControl/>
                    <w:kinsoku/>
                    <w:wordWrap/>
                    <w:overflowPunct w:val="0"/>
                    <w:topLinePunct w:val="0"/>
                    <w:autoSpaceDE w:val="0"/>
                    <w:autoSpaceDN w:val="0"/>
                    <w:bidi w:val="0"/>
                    <w:adjustRightInd w:val="0"/>
                    <w:snapToGrid w:val="0"/>
                    <w:spacing w:line="300" w:lineRule="exact"/>
                    <w:ind w:left="21" w:leftChars="10"/>
                    <w:jc w:val="center"/>
                    <w:textAlignment w:val="baseline"/>
                    <w:rPr>
                      <w:rFonts w:hint="default" w:ascii="Times New Roman" w:hAnsi="Times New Roman" w:eastAsia="宋体" w:cs="宋体"/>
                      <w:color w:val="auto"/>
                      <w:kern w:val="2"/>
                      <w:sz w:val="21"/>
                      <w:szCs w:val="20"/>
                      <w:lang w:val="en-US" w:eastAsia="zh-CN" w:bidi="ar-SA"/>
                    </w:rPr>
                  </w:pPr>
                  <w:r>
                    <w:rPr>
                      <w:rFonts w:hint="eastAsia" w:ascii="Times New Roman" w:hAnsi="Times New Roman" w:eastAsia="宋体" w:cs="宋体"/>
                      <w:color w:val="auto"/>
                      <w:sz w:val="21"/>
                      <w:szCs w:val="20"/>
                      <w:lang w:val="en-US" w:eastAsia="zh-CN"/>
                    </w:rPr>
                    <w:t>2000</w:t>
                  </w:r>
                  <w:r>
                    <w:rPr>
                      <w:rFonts w:hint="eastAsia"/>
                      <w:b w:val="0"/>
                      <w:bCs w:val="0"/>
                      <w:color w:val="auto"/>
                      <w:sz w:val="21"/>
                      <w:szCs w:val="21"/>
                      <w:u w:val="none"/>
                      <w:lang w:val="en-US" w:eastAsia="zh-CN"/>
                    </w:rPr>
                    <w:t>（无量纲）</w:t>
                  </w:r>
                </w:p>
              </w:tc>
              <w:tc>
                <w:tcPr>
                  <w:tcW w:w="1236" w:type="dxa"/>
                  <w:vAlign w:val="center"/>
                </w:tcPr>
                <w:p w14:paraId="64E2FC4B">
                  <w:pPr>
                    <w:keepNext w:val="0"/>
                    <w:keepLines w:val="0"/>
                    <w:pageBreakBefore w:val="0"/>
                    <w:widowControl/>
                    <w:kinsoku/>
                    <w:wordWrap/>
                    <w:overflowPunct w:val="0"/>
                    <w:topLinePunct w:val="0"/>
                    <w:autoSpaceDE w:val="0"/>
                    <w:autoSpaceDN w:val="0"/>
                    <w:bidi w:val="0"/>
                    <w:adjustRightInd w:val="0"/>
                    <w:snapToGrid w:val="0"/>
                    <w:spacing w:line="300" w:lineRule="exact"/>
                    <w:ind w:left="21" w:leftChars="10"/>
                    <w:jc w:val="center"/>
                    <w:textAlignment w:val="baseline"/>
                    <w:rPr>
                      <w:rFonts w:hint="default" w:ascii="Times New Roman" w:hAnsi="Times New Roman" w:eastAsia="宋体" w:cs="宋体"/>
                      <w:color w:val="auto"/>
                      <w:sz w:val="21"/>
                      <w:szCs w:val="20"/>
                      <w:lang w:val="en-US" w:eastAsia="zh-CN"/>
                    </w:rPr>
                  </w:pPr>
                  <w:r>
                    <w:rPr>
                      <w:rFonts w:hint="eastAsia" w:cs="宋体"/>
                      <w:color w:val="auto"/>
                      <w:sz w:val="21"/>
                      <w:szCs w:val="20"/>
                      <w:lang w:val="en-US" w:eastAsia="zh-CN"/>
                    </w:rPr>
                    <w:t>/</w:t>
                  </w:r>
                </w:p>
              </w:tc>
              <w:tc>
                <w:tcPr>
                  <w:tcW w:w="1041" w:type="dxa"/>
                  <w:vAlign w:val="center"/>
                </w:tcPr>
                <w:p w14:paraId="55758776">
                  <w:pPr>
                    <w:keepNext w:val="0"/>
                    <w:keepLines w:val="0"/>
                    <w:pageBreakBefore w:val="0"/>
                    <w:widowControl/>
                    <w:kinsoku/>
                    <w:wordWrap/>
                    <w:overflowPunct w:val="0"/>
                    <w:topLinePunct w:val="0"/>
                    <w:autoSpaceDE w:val="0"/>
                    <w:autoSpaceDN w:val="0"/>
                    <w:bidi w:val="0"/>
                    <w:adjustRightInd w:val="0"/>
                    <w:snapToGrid w:val="0"/>
                    <w:spacing w:line="300" w:lineRule="exact"/>
                    <w:ind w:left="21" w:leftChars="10"/>
                    <w:jc w:val="center"/>
                    <w:textAlignment w:val="baseline"/>
                    <w:rPr>
                      <w:rFonts w:hint="eastAsia" w:ascii="Times New Roman" w:hAnsi="Times New Roman" w:eastAsia="宋体" w:cs="宋体"/>
                      <w:b/>
                      <w:bCs/>
                      <w:color w:val="auto"/>
                      <w:sz w:val="21"/>
                      <w:szCs w:val="20"/>
                      <w:lang w:eastAsia="zh-CN"/>
                    </w:rPr>
                  </w:pPr>
                  <w:r>
                    <w:rPr>
                      <w:rFonts w:hint="eastAsia" w:ascii="Times New Roman" w:hAnsi="Times New Roman" w:eastAsia="宋体" w:cs="宋体"/>
                      <w:color w:val="auto"/>
                      <w:sz w:val="21"/>
                      <w:szCs w:val="20"/>
                      <w:lang w:eastAsia="zh-CN"/>
                    </w:rPr>
                    <w:t>厂界</w:t>
                  </w:r>
                </w:p>
              </w:tc>
              <w:tc>
                <w:tcPr>
                  <w:tcW w:w="1314" w:type="dxa"/>
                  <w:vAlign w:val="center"/>
                </w:tcPr>
                <w:p w14:paraId="6FFD8C1A">
                  <w:pPr>
                    <w:keepNext w:val="0"/>
                    <w:keepLines w:val="0"/>
                    <w:pageBreakBefore w:val="0"/>
                    <w:widowControl/>
                    <w:kinsoku/>
                    <w:wordWrap/>
                    <w:overflowPunct w:val="0"/>
                    <w:topLinePunct w:val="0"/>
                    <w:autoSpaceDE w:val="0"/>
                    <w:autoSpaceDN w:val="0"/>
                    <w:bidi w:val="0"/>
                    <w:adjustRightInd w:val="0"/>
                    <w:snapToGrid w:val="0"/>
                    <w:spacing w:line="300" w:lineRule="exact"/>
                    <w:ind w:left="21" w:leftChars="10"/>
                    <w:jc w:val="center"/>
                    <w:textAlignment w:val="baseline"/>
                    <w:rPr>
                      <w:rFonts w:hint="default" w:ascii="Times New Roman" w:hAnsi="Times New Roman" w:eastAsia="宋体" w:cs="宋体"/>
                      <w:color w:val="auto"/>
                      <w:sz w:val="21"/>
                      <w:szCs w:val="20"/>
                      <w:lang w:val="en-US" w:eastAsia="zh-CN"/>
                    </w:rPr>
                  </w:pPr>
                  <w:r>
                    <w:rPr>
                      <w:rFonts w:hint="eastAsia" w:ascii="Times New Roman" w:hAnsi="Times New Roman" w:eastAsia="宋体" w:cs="宋体"/>
                      <w:color w:val="auto"/>
                      <w:sz w:val="21"/>
                      <w:szCs w:val="20"/>
                      <w:lang w:val="en-US" w:eastAsia="zh-CN"/>
                    </w:rPr>
                    <w:t>20</w:t>
                  </w:r>
                  <w:r>
                    <w:rPr>
                      <w:rFonts w:hint="eastAsia"/>
                      <w:b w:val="0"/>
                      <w:bCs w:val="0"/>
                      <w:color w:val="auto"/>
                      <w:sz w:val="21"/>
                      <w:szCs w:val="21"/>
                      <w:u w:val="none"/>
                      <w:lang w:val="en-US" w:eastAsia="zh-CN"/>
                    </w:rPr>
                    <w:t>（无量纲）</w:t>
                  </w:r>
                </w:p>
              </w:tc>
              <w:tc>
                <w:tcPr>
                  <w:tcW w:w="2692" w:type="dxa"/>
                  <w:vAlign w:val="center"/>
                </w:tcPr>
                <w:p w14:paraId="317FBA69">
                  <w:pPr>
                    <w:keepNext w:val="0"/>
                    <w:keepLines w:val="0"/>
                    <w:pageBreakBefore w:val="0"/>
                    <w:widowControl/>
                    <w:kinsoku/>
                    <w:wordWrap/>
                    <w:overflowPunct w:val="0"/>
                    <w:topLinePunct w:val="0"/>
                    <w:autoSpaceDE w:val="0"/>
                    <w:autoSpaceDN w:val="0"/>
                    <w:bidi w:val="0"/>
                    <w:adjustRightInd w:val="0"/>
                    <w:snapToGrid w:val="0"/>
                    <w:spacing w:line="300" w:lineRule="exact"/>
                    <w:ind w:left="21" w:leftChars="10"/>
                    <w:jc w:val="center"/>
                    <w:textAlignment w:val="baseline"/>
                    <w:rPr>
                      <w:rFonts w:hint="eastAsia" w:ascii="Times New Roman" w:hAnsi="Times New Roman" w:eastAsia="宋体" w:cs="Times New Roman"/>
                      <w:color w:val="auto"/>
                      <w:sz w:val="21"/>
                      <w:highlight w:val="none"/>
                      <w:lang w:val="en-US" w:eastAsia="zh-CN"/>
                    </w:rPr>
                  </w:pPr>
                  <w:r>
                    <w:rPr>
                      <w:rFonts w:hint="eastAsia" w:eastAsia="宋体" w:cs="Times New Roman"/>
                      <w:color w:val="auto"/>
                      <w:highlight w:val="none"/>
                      <w:lang w:val="en-US" w:eastAsia="zh-CN"/>
                    </w:rPr>
                    <w:t>《恶臭污染物排放标准》（GB14554-93）表1恶臭污染物厂界标准值中二级新改扩建标准和</w:t>
                  </w:r>
                  <w:r>
                    <w:rPr>
                      <w:rFonts w:hint="eastAsia" w:cs="Times New Roman"/>
                      <w:color w:val="auto"/>
                      <w:kern w:val="2"/>
                      <w:sz w:val="21"/>
                      <w:szCs w:val="24"/>
                      <w:highlight w:val="none"/>
                      <w:lang w:val="en-US" w:eastAsia="zh-CN" w:bidi="ar-SA"/>
                    </w:rPr>
                    <w:t>表2限值要求</w:t>
                  </w:r>
                </w:p>
              </w:tc>
            </w:tr>
            <w:tr w14:paraId="6DE355CA">
              <w:tblPrEx>
                <w:tblBorders>
                  <w:top w:val="single" w:color="000000" w:sz="4" w:space="0"/>
                  <w:left w:val="single" w:color="000000" w:sz="4" w:space="0"/>
                  <w:bottom w:val="single" w:color="000000" w:sz="4" w:space="0"/>
                  <w:right w:val="single" w:color="000000" w:sz="4" w:space="0"/>
                  <w:insideH w:val="single" w:color="000000" w:sz="6" w:space="0"/>
                  <w:insideV w:val="single" w:color="000000" w:sz="6" w:space="0"/>
                </w:tblBorders>
                <w:tblCellMar>
                  <w:top w:w="0" w:type="dxa"/>
                  <w:left w:w="0" w:type="dxa"/>
                  <w:bottom w:w="0" w:type="dxa"/>
                  <w:right w:w="0" w:type="dxa"/>
                </w:tblCellMar>
              </w:tblPrEx>
              <w:trPr>
                <w:trHeight w:val="322" w:hRule="atLeast"/>
                <w:jc w:val="center"/>
              </w:trPr>
              <w:tc>
                <w:tcPr>
                  <w:tcW w:w="8662" w:type="dxa"/>
                  <w:gridSpan w:val="6"/>
                  <w:vAlign w:val="center"/>
                </w:tcPr>
                <w:p w14:paraId="6233C4C3">
                  <w:pPr>
                    <w:keepNext w:val="0"/>
                    <w:keepLines w:val="0"/>
                    <w:pageBreakBefore w:val="0"/>
                    <w:widowControl/>
                    <w:kinsoku/>
                    <w:wordWrap/>
                    <w:overflowPunct w:val="0"/>
                    <w:topLinePunct w:val="0"/>
                    <w:autoSpaceDE w:val="0"/>
                    <w:autoSpaceDN w:val="0"/>
                    <w:bidi w:val="0"/>
                    <w:adjustRightInd w:val="0"/>
                    <w:snapToGrid w:val="0"/>
                    <w:spacing w:line="300" w:lineRule="exact"/>
                    <w:ind w:left="21" w:leftChars="10"/>
                    <w:jc w:val="center"/>
                    <w:textAlignment w:val="baseline"/>
                    <w:rPr>
                      <w:rFonts w:hint="eastAsia"/>
                      <w:color w:val="auto"/>
                      <w:sz w:val="21"/>
                      <w:szCs w:val="21"/>
                      <w:u w:val="none"/>
                      <w:lang w:val="en-US" w:eastAsia="zh-CN"/>
                    </w:rPr>
                  </w:pPr>
                  <w:r>
                    <w:rPr>
                      <w:rFonts w:hint="default"/>
                      <w:color w:val="auto"/>
                      <w:sz w:val="21"/>
                      <w:szCs w:val="21"/>
                      <w:u w:val="none"/>
                      <w:lang w:val="en-US" w:eastAsia="zh-CN"/>
                    </w:rPr>
                    <w:t>注：本项目排气筒未高出周围200m半径范围最高建筑物5m，排放速率执行其排放限值的50%</w:t>
                  </w:r>
                  <w:r>
                    <w:rPr>
                      <w:rFonts w:hint="eastAsia"/>
                      <w:color w:val="auto"/>
                      <w:sz w:val="21"/>
                      <w:szCs w:val="21"/>
                      <w:u w:val="none"/>
                      <w:lang w:val="en-US" w:eastAsia="zh-CN"/>
                    </w:rPr>
                    <w:t>。</w:t>
                  </w:r>
                </w:p>
                <w:p w14:paraId="3A30CE76">
                  <w:pPr>
                    <w:keepNext w:val="0"/>
                    <w:keepLines w:val="0"/>
                    <w:pageBreakBefore w:val="0"/>
                    <w:widowControl/>
                    <w:kinsoku/>
                    <w:wordWrap/>
                    <w:overflowPunct w:val="0"/>
                    <w:topLinePunct w:val="0"/>
                    <w:autoSpaceDE w:val="0"/>
                    <w:autoSpaceDN w:val="0"/>
                    <w:bidi w:val="0"/>
                    <w:adjustRightInd w:val="0"/>
                    <w:snapToGrid w:val="0"/>
                    <w:spacing w:line="300" w:lineRule="exact"/>
                    <w:ind w:left="21" w:leftChars="10"/>
                    <w:jc w:val="left"/>
                    <w:textAlignment w:val="baseline"/>
                    <w:rPr>
                      <w:rFonts w:hint="eastAsia"/>
                      <w:color w:val="auto"/>
                      <w:sz w:val="21"/>
                      <w:szCs w:val="21"/>
                      <w:u w:val="none"/>
                      <w:lang w:val="en-US" w:eastAsia="zh-CN"/>
                    </w:rPr>
                  </w:pPr>
                  <w:r>
                    <w:rPr>
                      <w:rFonts w:hint="eastAsia" w:cs="宋体"/>
                      <w:color w:val="auto"/>
                      <w:sz w:val="21"/>
                      <w:szCs w:val="20"/>
                      <w:lang w:val="en-US" w:eastAsia="zh-CN"/>
                    </w:rPr>
                    <w:t>*：</w:t>
                  </w:r>
                  <w:r>
                    <w:rPr>
                      <w:rFonts w:hint="eastAsia" w:ascii="Times New Roman" w:hAnsi="Times New Roman" w:eastAsia="宋体" w:cs="Times New Roman"/>
                      <w:color w:val="auto"/>
                      <w:kern w:val="0"/>
                      <w:sz w:val="21"/>
                      <w:highlight w:val="none"/>
                      <w:lang w:val="en-US" w:eastAsia="zh-CN"/>
                    </w:rPr>
                    <w:t>2026年7月1日</w:t>
                  </w:r>
                  <w:r>
                    <w:rPr>
                      <w:rFonts w:hint="eastAsia" w:cs="Times New Roman"/>
                      <w:color w:val="auto"/>
                      <w:kern w:val="0"/>
                      <w:sz w:val="21"/>
                      <w:highlight w:val="none"/>
                      <w:lang w:val="en-US" w:eastAsia="zh-CN"/>
                    </w:rPr>
                    <w:t>起</w:t>
                  </w:r>
                  <w:r>
                    <w:rPr>
                      <w:rFonts w:hint="eastAsia" w:ascii="Times New Roman" w:hAnsi="Times New Roman" w:eastAsia="宋体" w:cs="Times New Roman"/>
                      <w:color w:val="auto"/>
                      <w:kern w:val="0"/>
                      <w:sz w:val="21"/>
                      <w:highlight w:val="none"/>
                      <w:lang w:val="en-US" w:eastAsia="zh-CN"/>
                    </w:rPr>
                    <w:t>挥发性有机物（以非甲烷总烃为表征）执行《挥发性有机物综合排放控制标准（试行）》（DB36/2186—2025）表1挥发性有机物有组织排放限值</w:t>
                  </w:r>
                  <w:r>
                    <w:rPr>
                      <w:rFonts w:hint="eastAsia" w:cs="Times New Roman"/>
                      <w:color w:val="auto"/>
                      <w:kern w:val="0"/>
                      <w:sz w:val="21"/>
                      <w:highlight w:val="none"/>
                      <w:lang w:val="en-US" w:eastAsia="zh-CN"/>
                    </w:rPr>
                    <w:t>，无组织执行</w:t>
                  </w:r>
                  <w:r>
                    <w:rPr>
                      <w:rFonts w:hint="eastAsia" w:cs="Times New Roman"/>
                      <w:color w:val="auto"/>
                      <w:highlight w:val="none"/>
                      <w:lang w:val="en-US" w:eastAsia="zh-CN"/>
                    </w:rPr>
                    <w:t>表3企业边界挥发性有机物无组织排放限值</w:t>
                  </w:r>
                  <w:r>
                    <w:rPr>
                      <w:rFonts w:hint="eastAsia" w:cs="Times New Roman"/>
                      <w:color w:val="auto"/>
                      <w:kern w:val="0"/>
                      <w:sz w:val="21"/>
                      <w:highlight w:val="none"/>
                      <w:lang w:val="en-US" w:eastAsia="zh-CN"/>
                    </w:rPr>
                    <w:t>。</w:t>
                  </w:r>
                </w:p>
              </w:tc>
            </w:tr>
          </w:tbl>
          <w:p w14:paraId="492C51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b w:val="0"/>
                <w:bCs w:val="0"/>
                <w:color w:val="auto"/>
                <w:sz w:val="24"/>
                <w:szCs w:val="24"/>
                <w:lang w:val="en-US" w:eastAsia="zh-CN"/>
              </w:rPr>
              <w:t>厂房外挥发性有机物浓度执行《挥发性有机物无组织排放控制标准》（GB</w:t>
            </w:r>
            <w:r>
              <w:rPr>
                <w:rFonts w:hint="eastAsia" w:cs="Times New Roman"/>
                <w:b w:val="0"/>
                <w:bCs w:val="0"/>
                <w:color w:val="auto"/>
                <w:sz w:val="24"/>
                <w:szCs w:val="24"/>
                <w:lang w:val="en-US" w:eastAsia="zh-CN"/>
              </w:rPr>
              <w:t xml:space="preserve"> </w:t>
            </w:r>
            <w:r>
              <w:rPr>
                <w:rFonts w:hint="eastAsia" w:ascii="Times New Roman" w:hAnsi="Times New Roman" w:eastAsia="宋体" w:cs="Times New Roman"/>
                <w:b w:val="0"/>
                <w:bCs w:val="0"/>
                <w:color w:val="auto"/>
                <w:sz w:val="24"/>
                <w:szCs w:val="24"/>
                <w:lang w:val="en-US" w:eastAsia="zh-CN"/>
              </w:rPr>
              <w:t>37822-2019）中表A.1中厂区内无组织排放限值</w:t>
            </w:r>
            <w:r>
              <w:rPr>
                <w:rFonts w:hint="eastAsia" w:cs="Times New Roman"/>
                <w:b w:val="0"/>
                <w:bCs w:val="0"/>
                <w:color w:val="auto"/>
                <w:sz w:val="24"/>
                <w:szCs w:val="24"/>
                <w:lang w:val="en-US" w:eastAsia="zh-CN"/>
              </w:rPr>
              <w:t>，</w:t>
            </w:r>
            <w:r>
              <w:rPr>
                <w:rFonts w:hint="eastAsia" w:ascii="Times New Roman" w:hAnsi="Times New Roman" w:eastAsia="宋体" w:cs="Times New Roman"/>
                <w:color w:val="auto"/>
                <w:sz w:val="24"/>
                <w:szCs w:val="24"/>
                <w:lang w:val="en-US" w:eastAsia="zh-CN"/>
              </w:rPr>
              <w:t>具体标准值</w:t>
            </w:r>
            <w:r>
              <w:rPr>
                <w:rFonts w:hint="default" w:ascii="Times New Roman" w:hAnsi="Times New Roman" w:eastAsia="宋体" w:cs="Times New Roman"/>
                <w:color w:val="auto"/>
                <w:sz w:val="24"/>
                <w:szCs w:val="24"/>
                <w:lang w:val="en-US" w:eastAsia="zh-CN"/>
              </w:rPr>
              <w:t>见表</w:t>
            </w:r>
            <w:r>
              <w:rPr>
                <w:rFonts w:hint="eastAsia" w:ascii="Times New Roman" w:hAnsi="Times New Roman" w:eastAsia="宋体" w:cs="Times New Roman"/>
                <w:color w:val="auto"/>
                <w:sz w:val="24"/>
                <w:szCs w:val="24"/>
                <w:lang w:val="en-US" w:eastAsia="zh-CN"/>
              </w:rPr>
              <w:t>3-</w:t>
            </w:r>
            <w:r>
              <w:rPr>
                <w:rFonts w:hint="eastAsia" w:cs="Times New Roman"/>
                <w:color w:val="auto"/>
                <w:sz w:val="24"/>
                <w:szCs w:val="24"/>
                <w:lang w:val="en-US" w:eastAsia="zh-CN"/>
              </w:rPr>
              <w:t>6</w:t>
            </w:r>
            <w:r>
              <w:rPr>
                <w:rFonts w:hint="default" w:ascii="Times New Roman" w:hAnsi="Times New Roman" w:eastAsia="宋体" w:cs="Times New Roman"/>
                <w:color w:val="auto"/>
                <w:sz w:val="24"/>
                <w:szCs w:val="24"/>
                <w:lang w:val="en-US" w:eastAsia="zh-CN"/>
              </w:rPr>
              <w:t>。</w:t>
            </w:r>
          </w:p>
          <w:p w14:paraId="3DAFD5F3">
            <w:pPr>
              <w:pStyle w:val="6"/>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center"/>
              <w:textAlignment w:val="auto"/>
              <w:rPr>
                <w:rFonts w:hint="eastAsia" w:ascii="Times New Roman" w:hAnsi="Times New Roman" w:eastAsia="宋体" w:cs="Times New Roman"/>
                <w:b/>
                <w:bCs/>
                <w:color w:val="auto"/>
                <w:lang w:val="zh-CN" w:eastAsia="zh-CN"/>
              </w:rPr>
            </w:pPr>
            <w:r>
              <w:rPr>
                <w:rFonts w:hint="eastAsia" w:ascii="Times New Roman" w:hAnsi="Times New Roman" w:eastAsia="宋体" w:cs="Times New Roman"/>
                <w:b/>
                <w:bCs/>
                <w:color w:val="auto"/>
                <w:lang w:val="zh-CN" w:eastAsia="zh-CN"/>
              </w:rPr>
              <w:t>表3-</w:t>
            </w:r>
            <w:r>
              <w:rPr>
                <w:rFonts w:hint="eastAsia" w:cs="Times New Roman"/>
                <w:b/>
                <w:bCs/>
                <w:color w:val="auto"/>
                <w:lang w:val="en-US" w:eastAsia="zh-CN"/>
              </w:rPr>
              <w:t xml:space="preserve">6  </w:t>
            </w:r>
            <w:r>
              <w:rPr>
                <w:rFonts w:hint="eastAsia" w:ascii="Times New Roman" w:hAnsi="Times New Roman" w:eastAsia="宋体" w:cs="Times New Roman"/>
                <w:b/>
                <w:bCs/>
                <w:color w:val="auto"/>
                <w:lang w:val="zh-CN" w:eastAsia="zh-CN"/>
              </w:rPr>
              <w:t>《挥发性有机物无组织排放控制标准》（GB37822-2019）</w:t>
            </w:r>
          </w:p>
          <w:tbl>
            <w:tblPr>
              <w:tblStyle w:val="26"/>
              <w:tblW w:w="5000" w:type="pct"/>
              <w:tblInd w:w="-4" w:type="dxa"/>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Layout w:type="fixed"/>
              <w:tblCellMar>
                <w:top w:w="0" w:type="dxa"/>
                <w:left w:w="108" w:type="dxa"/>
                <w:bottom w:w="0" w:type="dxa"/>
                <w:right w:w="108" w:type="dxa"/>
              </w:tblCellMar>
            </w:tblPr>
            <w:tblGrid>
              <w:gridCol w:w="1732"/>
              <w:gridCol w:w="1449"/>
              <w:gridCol w:w="3010"/>
              <w:gridCol w:w="2465"/>
            </w:tblGrid>
            <w:tr w14:paraId="406B934D">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trHeight w:val="90" w:hRule="atLeast"/>
              </w:trPr>
              <w:tc>
                <w:tcPr>
                  <w:tcW w:w="1000" w:type="pct"/>
                  <w:tcBorders>
                    <w:tl2br w:val="nil"/>
                    <w:tr2bl w:val="nil"/>
                  </w:tcBorders>
                  <w:noWrap w:val="0"/>
                  <w:vAlign w:val="center"/>
                </w:tcPr>
                <w:p w14:paraId="296EFFF4">
                  <w:pPr>
                    <w:keepNext w:val="0"/>
                    <w:keepLines w:val="0"/>
                    <w:suppressLineNumbers w:val="0"/>
                    <w:tabs>
                      <w:tab w:val="left" w:pos="0"/>
                    </w:tabs>
                    <w:adjustRightInd w:val="0"/>
                    <w:spacing w:before="0" w:beforeAutospacing="0" w:after="0" w:afterAutospacing="0"/>
                    <w:ind w:left="0" w:leftChars="0" w:right="0" w:firstLine="0" w:firstLineChars="0"/>
                    <w:jc w:val="center"/>
                    <w:rPr>
                      <w:rFonts w:hint="default" w:ascii="Times New Roman" w:hAnsi="Times New Roman" w:eastAsia="宋体"/>
                      <w:b/>
                      <w:bCs/>
                      <w:color w:val="auto"/>
                      <w:sz w:val="21"/>
                      <w:szCs w:val="21"/>
                      <w:highlight w:val="none"/>
                    </w:rPr>
                  </w:pPr>
                  <w:r>
                    <w:rPr>
                      <w:rFonts w:hint="default" w:ascii="Times New Roman" w:hAnsi="Times New Roman" w:eastAsia="宋体"/>
                      <w:b/>
                      <w:bCs/>
                      <w:color w:val="auto"/>
                      <w:sz w:val="21"/>
                      <w:szCs w:val="21"/>
                      <w:highlight w:val="none"/>
                    </w:rPr>
                    <w:t>污染物项目</w:t>
                  </w:r>
                </w:p>
              </w:tc>
              <w:tc>
                <w:tcPr>
                  <w:tcW w:w="836" w:type="pct"/>
                  <w:tcBorders>
                    <w:tl2br w:val="nil"/>
                    <w:tr2bl w:val="nil"/>
                  </w:tcBorders>
                  <w:noWrap w:val="0"/>
                  <w:vAlign w:val="center"/>
                </w:tcPr>
                <w:p w14:paraId="3BD98CEC">
                  <w:pPr>
                    <w:keepNext w:val="0"/>
                    <w:keepLines w:val="0"/>
                    <w:suppressLineNumbers w:val="0"/>
                    <w:tabs>
                      <w:tab w:val="left" w:pos="0"/>
                    </w:tabs>
                    <w:adjustRightInd w:val="0"/>
                    <w:spacing w:before="0" w:beforeAutospacing="0" w:after="0" w:afterAutospacing="0"/>
                    <w:ind w:left="0" w:leftChars="0" w:right="0" w:firstLine="0" w:firstLineChars="0"/>
                    <w:jc w:val="center"/>
                    <w:rPr>
                      <w:rFonts w:hint="default" w:ascii="Times New Roman" w:hAnsi="Times New Roman" w:eastAsia="宋体"/>
                      <w:b/>
                      <w:bCs/>
                      <w:color w:val="auto"/>
                      <w:sz w:val="21"/>
                      <w:szCs w:val="21"/>
                      <w:highlight w:val="none"/>
                    </w:rPr>
                  </w:pPr>
                  <w:r>
                    <w:rPr>
                      <w:rFonts w:hint="default" w:ascii="Times New Roman" w:hAnsi="Times New Roman" w:eastAsia="宋体"/>
                      <w:b/>
                      <w:bCs/>
                      <w:color w:val="auto"/>
                      <w:sz w:val="21"/>
                      <w:szCs w:val="21"/>
                      <w:highlight w:val="none"/>
                    </w:rPr>
                    <w:t>排放限值</w:t>
                  </w:r>
                </w:p>
              </w:tc>
              <w:tc>
                <w:tcPr>
                  <w:tcW w:w="1738" w:type="pct"/>
                  <w:tcBorders>
                    <w:tl2br w:val="nil"/>
                    <w:tr2bl w:val="nil"/>
                  </w:tcBorders>
                  <w:noWrap w:val="0"/>
                  <w:vAlign w:val="center"/>
                </w:tcPr>
                <w:p w14:paraId="316A648C">
                  <w:pPr>
                    <w:keepNext w:val="0"/>
                    <w:keepLines w:val="0"/>
                    <w:suppressLineNumbers w:val="0"/>
                    <w:tabs>
                      <w:tab w:val="left" w:pos="0"/>
                    </w:tabs>
                    <w:adjustRightInd w:val="0"/>
                    <w:spacing w:before="0" w:beforeAutospacing="0" w:after="0" w:afterAutospacing="0"/>
                    <w:ind w:left="0" w:leftChars="0" w:right="0" w:firstLine="0" w:firstLineChars="0"/>
                    <w:jc w:val="center"/>
                    <w:rPr>
                      <w:rFonts w:hint="default" w:ascii="Times New Roman" w:hAnsi="Times New Roman" w:eastAsia="宋体"/>
                      <w:b/>
                      <w:bCs/>
                      <w:color w:val="auto"/>
                      <w:sz w:val="21"/>
                      <w:szCs w:val="21"/>
                      <w:highlight w:val="none"/>
                    </w:rPr>
                  </w:pPr>
                  <w:r>
                    <w:rPr>
                      <w:rFonts w:hint="default" w:ascii="Times New Roman" w:hAnsi="Times New Roman" w:eastAsia="宋体"/>
                      <w:b/>
                      <w:bCs/>
                      <w:color w:val="auto"/>
                      <w:sz w:val="21"/>
                      <w:szCs w:val="21"/>
                      <w:highlight w:val="none"/>
                    </w:rPr>
                    <w:t>限值含义</w:t>
                  </w:r>
                </w:p>
              </w:tc>
              <w:tc>
                <w:tcPr>
                  <w:tcW w:w="1424" w:type="pct"/>
                  <w:tcBorders>
                    <w:tl2br w:val="nil"/>
                    <w:tr2bl w:val="nil"/>
                  </w:tcBorders>
                  <w:noWrap w:val="0"/>
                  <w:vAlign w:val="center"/>
                </w:tcPr>
                <w:p w14:paraId="4DAB92EF">
                  <w:pPr>
                    <w:keepNext w:val="0"/>
                    <w:keepLines w:val="0"/>
                    <w:suppressLineNumbers w:val="0"/>
                    <w:tabs>
                      <w:tab w:val="left" w:pos="0"/>
                    </w:tabs>
                    <w:adjustRightInd w:val="0"/>
                    <w:spacing w:before="0" w:beforeAutospacing="0" w:after="0" w:afterAutospacing="0"/>
                    <w:ind w:left="0" w:leftChars="0" w:right="0" w:firstLine="0" w:firstLineChars="0"/>
                    <w:jc w:val="center"/>
                    <w:rPr>
                      <w:rFonts w:hint="default" w:ascii="Times New Roman" w:hAnsi="Times New Roman" w:eastAsia="宋体"/>
                      <w:b/>
                      <w:bCs/>
                      <w:color w:val="auto"/>
                      <w:sz w:val="21"/>
                      <w:szCs w:val="21"/>
                      <w:highlight w:val="none"/>
                    </w:rPr>
                  </w:pPr>
                  <w:r>
                    <w:rPr>
                      <w:rFonts w:hint="default" w:ascii="Times New Roman" w:hAnsi="Times New Roman" w:eastAsia="宋体"/>
                      <w:b/>
                      <w:bCs/>
                      <w:color w:val="auto"/>
                      <w:sz w:val="21"/>
                      <w:szCs w:val="21"/>
                      <w:highlight w:val="none"/>
                    </w:rPr>
                    <w:t>无组织排放监控位置</w:t>
                  </w:r>
                </w:p>
              </w:tc>
            </w:tr>
            <w:tr w14:paraId="79DEB06E">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trHeight w:val="90" w:hRule="atLeast"/>
              </w:trPr>
              <w:tc>
                <w:tcPr>
                  <w:tcW w:w="1000" w:type="pct"/>
                  <w:vMerge w:val="restart"/>
                  <w:tcBorders>
                    <w:tl2br w:val="nil"/>
                    <w:tr2bl w:val="nil"/>
                  </w:tcBorders>
                  <w:noWrap w:val="0"/>
                  <w:vAlign w:val="center"/>
                </w:tcPr>
                <w:p w14:paraId="519AF104">
                  <w:pPr>
                    <w:keepNext w:val="0"/>
                    <w:keepLines w:val="0"/>
                    <w:suppressLineNumbers w:val="0"/>
                    <w:tabs>
                      <w:tab w:val="left" w:pos="0"/>
                    </w:tabs>
                    <w:adjustRightInd w:val="0"/>
                    <w:spacing w:before="0" w:beforeAutospacing="0" w:after="0" w:afterAutospacing="0"/>
                    <w:ind w:left="0" w:leftChars="0" w:right="0" w:firstLine="0" w:firstLineChars="0"/>
                    <w:jc w:val="center"/>
                    <w:rPr>
                      <w:rFonts w:hint="default" w:ascii="Times New Roman" w:hAnsi="Times New Roman" w:eastAsia="宋体"/>
                      <w:color w:val="auto"/>
                      <w:sz w:val="21"/>
                      <w:szCs w:val="21"/>
                      <w:highlight w:val="none"/>
                    </w:rPr>
                  </w:pPr>
                  <w:r>
                    <w:rPr>
                      <w:rFonts w:hint="default" w:ascii="Times New Roman" w:hAnsi="Times New Roman" w:eastAsia="宋体"/>
                      <w:color w:val="auto"/>
                      <w:sz w:val="21"/>
                      <w:szCs w:val="21"/>
                      <w:highlight w:val="none"/>
                    </w:rPr>
                    <w:t>NMHC</w:t>
                  </w:r>
                </w:p>
              </w:tc>
              <w:tc>
                <w:tcPr>
                  <w:tcW w:w="836" w:type="pct"/>
                  <w:tcBorders>
                    <w:tl2br w:val="nil"/>
                    <w:tr2bl w:val="nil"/>
                  </w:tcBorders>
                  <w:noWrap w:val="0"/>
                  <w:vAlign w:val="bottom"/>
                </w:tcPr>
                <w:p w14:paraId="3DF16738">
                  <w:pPr>
                    <w:keepNext w:val="0"/>
                    <w:keepLines w:val="0"/>
                    <w:suppressLineNumbers w:val="0"/>
                    <w:tabs>
                      <w:tab w:val="left" w:pos="0"/>
                    </w:tabs>
                    <w:adjustRightInd w:val="0"/>
                    <w:spacing w:before="0" w:beforeAutospacing="0" w:after="0" w:afterAutospacing="0"/>
                    <w:ind w:left="0" w:leftChars="0" w:right="0" w:firstLine="0" w:firstLineChars="0"/>
                    <w:jc w:val="center"/>
                    <w:rPr>
                      <w:rFonts w:hint="default" w:ascii="Times New Roman" w:hAnsi="Times New Roman" w:eastAsia="宋体"/>
                      <w:color w:val="auto"/>
                      <w:sz w:val="21"/>
                      <w:szCs w:val="21"/>
                      <w:highlight w:val="none"/>
                    </w:rPr>
                  </w:pPr>
                  <w:r>
                    <w:rPr>
                      <w:rFonts w:hint="default" w:ascii="Times New Roman" w:hAnsi="Times New Roman" w:eastAsia="宋体"/>
                      <w:color w:val="auto"/>
                      <w:sz w:val="21"/>
                      <w:szCs w:val="21"/>
                      <w:highlight w:val="none"/>
                    </w:rPr>
                    <w:t>10mg/m</w:t>
                  </w:r>
                  <w:r>
                    <w:rPr>
                      <w:rFonts w:hint="default" w:ascii="Times New Roman" w:hAnsi="Times New Roman" w:eastAsia="宋体"/>
                      <w:color w:val="auto"/>
                      <w:sz w:val="21"/>
                      <w:szCs w:val="21"/>
                      <w:highlight w:val="none"/>
                      <w:vertAlign w:val="superscript"/>
                    </w:rPr>
                    <w:t>3</w:t>
                  </w:r>
                </w:p>
              </w:tc>
              <w:tc>
                <w:tcPr>
                  <w:tcW w:w="1738" w:type="pct"/>
                  <w:tcBorders>
                    <w:tl2br w:val="nil"/>
                    <w:tr2bl w:val="nil"/>
                  </w:tcBorders>
                  <w:noWrap w:val="0"/>
                  <w:vAlign w:val="bottom"/>
                </w:tcPr>
                <w:p w14:paraId="2967B651">
                  <w:pPr>
                    <w:keepNext w:val="0"/>
                    <w:keepLines w:val="0"/>
                    <w:suppressLineNumbers w:val="0"/>
                    <w:tabs>
                      <w:tab w:val="left" w:pos="0"/>
                    </w:tabs>
                    <w:adjustRightInd w:val="0"/>
                    <w:spacing w:before="0" w:beforeAutospacing="0" w:after="0" w:afterAutospacing="0"/>
                    <w:ind w:left="0" w:leftChars="0" w:right="0" w:firstLine="0" w:firstLineChars="0"/>
                    <w:jc w:val="center"/>
                    <w:rPr>
                      <w:rFonts w:hint="default" w:ascii="Times New Roman" w:hAnsi="Times New Roman" w:eastAsia="宋体"/>
                      <w:color w:val="auto"/>
                      <w:sz w:val="21"/>
                      <w:szCs w:val="21"/>
                      <w:highlight w:val="none"/>
                    </w:rPr>
                  </w:pPr>
                  <w:r>
                    <w:rPr>
                      <w:rFonts w:hint="default" w:ascii="Times New Roman" w:hAnsi="Times New Roman" w:eastAsia="宋体"/>
                      <w:color w:val="auto"/>
                      <w:sz w:val="21"/>
                      <w:szCs w:val="21"/>
                      <w:highlight w:val="none"/>
                    </w:rPr>
                    <w:t>监控点处1h平均浓度值</w:t>
                  </w:r>
                </w:p>
              </w:tc>
              <w:tc>
                <w:tcPr>
                  <w:tcW w:w="1424" w:type="pct"/>
                  <w:vMerge w:val="restart"/>
                  <w:tcBorders>
                    <w:tl2br w:val="nil"/>
                    <w:tr2bl w:val="nil"/>
                  </w:tcBorders>
                  <w:noWrap w:val="0"/>
                  <w:vAlign w:val="center"/>
                </w:tcPr>
                <w:p w14:paraId="24B61866">
                  <w:pPr>
                    <w:keepNext w:val="0"/>
                    <w:keepLines w:val="0"/>
                    <w:suppressLineNumbers w:val="0"/>
                    <w:tabs>
                      <w:tab w:val="left" w:pos="0"/>
                    </w:tabs>
                    <w:adjustRightInd w:val="0"/>
                    <w:spacing w:before="0" w:beforeAutospacing="0" w:after="0" w:afterAutospacing="0"/>
                    <w:ind w:left="0" w:leftChars="0" w:right="0" w:firstLine="0" w:firstLineChars="0"/>
                    <w:jc w:val="center"/>
                    <w:rPr>
                      <w:rFonts w:hint="default" w:ascii="Times New Roman" w:hAnsi="Times New Roman" w:eastAsia="宋体"/>
                      <w:color w:val="auto"/>
                      <w:sz w:val="21"/>
                      <w:szCs w:val="21"/>
                      <w:highlight w:val="none"/>
                    </w:rPr>
                  </w:pPr>
                  <w:r>
                    <w:rPr>
                      <w:rFonts w:hint="default" w:ascii="Times New Roman" w:hAnsi="Times New Roman" w:eastAsia="宋体"/>
                      <w:color w:val="auto"/>
                      <w:sz w:val="21"/>
                      <w:szCs w:val="21"/>
                      <w:highlight w:val="none"/>
                    </w:rPr>
                    <w:t>在厂房外设置监控点</w:t>
                  </w:r>
                </w:p>
              </w:tc>
            </w:tr>
            <w:tr w14:paraId="303C7B1D">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1000" w:type="pct"/>
                  <w:vMerge w:val="continue"/>
                  <w:tcBorders>
                    <w:tl2br w:val="nil"/>
                    <w:tr2bl w:val="nil"/>
                  </w:tcBorders>
                  <w:noWrap w:val="0"/>
                  <w:vAlign w:val="bottom"/>
                </w:tcPr>
                <w:p w14:paraId="2ADC8FFA">
                  <w:pPr>
                    <w:keepNext w:val="0"/>
                    <w:keepLines w:val="0"/>
                    <w:widowControl/>
                    <w:suppressLineNumbers w:val="0"/>
                    <w:spacing w:before="0" w:beforeAutospacing="0" w:after="0" w:afterAutospacing="0"/>
                    <w:ind w:left="0" w:right="0"/>
                    <w:jc w:val="center"/>
                    <w:rPr>
                      <w:rFonts w:hint="default" w:ascii="Times New Roman" w:hAnsi="Times New Roman" w:eastAsia="宋体"/>
                      <w:color w:val="auto"/>
                      <w:szCs w:val="21"/>
                    </w:rPr>
                  </w:pPr>
                </w:p>
              </w:tc>
              <w:tc>
                <w:tcPr>
                  <w:tcW w:w="836" w:type="pct"/>
                  <w:tcBorders>
                    <w:tl2br w:val="nil"/>
                    <w:tr2bl w:val="nil"/>
                  </w:tcBorders>
                  <w:noWrap w:val="0"/>
                  <w:vAlign w:val="bottom"/>
                </w:tcPr>
                <w:p w14:paraId="79111281">
                  <w:pPr>
                    <w:keepNext w:val="0"/>
                    <w:keepLines w:val="0"/>
                    <w:suppressLineNumbers w:val="0"/>
                    <w:tabs>
                      <w:tab w:val="left" w:pos="0"/>
                    </w:tabs>
                    <w:adjustRightInd w:val="0"/>
                    <w:spacing w:before="0" w:beforeAutospacing="0" w:after="0" w:afterAutospacing="0"/>
                    <w:ind w:left="0" w:leftChars="0" w:right="0" w:firstLine="0" w:firstLineChars="0"/>
                    <w:jc w:val="center"/>
                    <w:rPr>
                      <w:rFonts w:hint="default" w:ascii="Times New Roman" w:hAnsi="Times New Roman" w:eastAsia="宋体"/>
                      <w:color w:val="auto"/>
                      <w:sz w:val="21"/>
                      <w:szCs w:val="21"/>
                    </w:rPr>
                  </w:pPr>
                  <w:r>
                    <w:rPr>
                      <w:rFonts w:hint="default" w:ascii="Times New Roman" w:hAnsi="Times New Roman" w:eastAsia="宋体"/>
                      <w:color w:val="auto"/>
                      <w:sz w:val="21"/>
                      <w:szCs w:val="21"/>
                    </w:rPr>
                    <w:t>30mg/m</w:t>
                  </w:r>
                  <w:r>
                    <w:rPr>
                      <w:rFonts w:hint="default" w:ascii="Times New Roman" w:hAnsi="Times New Roman" w:eastAsia="宋体"/>
                      <w:color w:val="auto"/>
                      <w:sz w:val="21"/>
                      <w:szCs w:val="21"/>
                      <w:vertAlign w:val="superscript"/>
                    </w:rPr>
                    <w:t>3</w:t>
                  </w:r>
                </w:p>
              </w:tc>
              <w:tc>
                <w:tcPr>
                  <w:tcW w:w="1738" w:type="pct"/>
                  <w:tcBorders>
                    <w:tl2br w:val="nil"/>
                    <w:tr2bl w:val="nil"/>
                  </w:tcBorders>
                  <w:noWrap w:val="0"/>
                  <w:vAlign w:val="bottom"/>
                </w:tcPr>
                <w:p w14:paraId="50A4DCCA">
                  <w:pPr>
                    <w:keepNext w:val="0"/>
                    <w:keepLines w:val="0"/>
                    <w:suppressLineNumbers w:val="0"/>
                    <w:tabs>
                      <w:tab w:val="left" w:pos="0"/>
                    </w:tabs>
                    <w:adjustRightInd w:val="0"/>
                    <w:spacing w:before="0" w:beforeAutospacing="0" w:after="0" w:afterAutospacing="0"/>
                    <w:ind w:left="0" w:leftChars="0" w:right="0" w:firstLine="0" w:firstLineChars="0"/>
                    <w:jc w:val="center"/>
                    <w:rPr>
                      <w:rFonts w:hint="default" w:ascii="Times New Roman" w:hAnsi="Times New Roman" w:eastAsia="宋体"/>
                      <w:color w:val="auto"/>
                      <w:sz w:val="21"/>
                      <w:szCs w:val="21"/>
                    </w:rPr>
                  </w:pPr>
                  <w:r>
                    <w:rPr>
                      <w:rFonts w:hint="default" w:ascii="Times New Roman" w:hAnsi="Times New Roman" w:eastAsia="宋体"/>
                      <w:color w:val="auto"/>
                      <w:sz w:val="21"/>
                      <w:szCs w:val="21"/>
                    </w:rPr>
                    <w:t>监控点处任意一次浓度值</w:t>
                  </w:r>
                </w:p>
              </w:tc>
              <w:tc>
                <w:tcPr>
                  <w:tcW w:w="1424" w:type="pct"/>
                  <w:vMerge w:val="continue"/>
                  <w:tcBorders>
                    <w:tl2br w:val="nil"/>
                    <w:tr2bl w:val="nil"/>
                  </w:tcBorders>
                  <w:noWrap w:val="0"/>
                  <w:vAlign w:val="center"/>
                </w:tcPr>
                <w:p w14:paraId="1D832D4F">
                  <w:pPr>
                    <w:keepNext w:val="0"/>
                    <w:keepLines w:val="0"/>
                    <w:widowControl/>
                    <w:suppressLineNumbers w:val="0"/>
                    <w:spacing w:before="0" w:beforeAutospacing="0" w:after="0" w:afterAutospacing="0"/>
                    <w:ind w:left="0" w:right="0"/>
                    <w:jc w:val="center"/>
                    <w:rPr>
                      <w:rFonts w:hint="default" w:ascii="Times New Roman" w:hAnsi="Times New Roman" w:eastAsia="宋体"/>
                      <w:color w:val="auto"/>
                      <w:szCs w:val="21"/>
                    </w:rPr>
                  </w:pPr>
                </w:p>
              </w:tc>
            </w:tr>
          </w:tbl>
          <w:p w14:paraId="244A68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cs="Times New Roman"/>
                <w:color w:val="auto"/>
                <w:kern w:val="0"/>
                <w:sz w:val="24"/>
                <w:highlight w:val="none"/>
                <w:lang w:val="en-US" w:eastAsia="zh-CN"/>
              </w:rPr>
            </w:pPr>
            <w:r>
              <w:rPr>
                <w:rFonts w:hint="eastAsia" w:cs="Times New Roman"/>
                <w:color w:val="auto"/>
                <w:kern w:val="0"/>
                <w:sz w:val="24"/>
                <w:highlight w:val="none"/>
                <w:lang w:val="en-US" w:eastAsia="zh-CN"/>
              </w:rPr>
              <w:t>本项目发泡有机废气产生的挥发性有机物（以非甲烷总烃为表征）和MDI有组织废气参照执行《合成树脂工业污染物排放标准》（GB31572-2015，含2024年修改单）中表4大气污染物排放限值，MDI无组织参照表9中非甲烷总烃企业边界大气污染物浓度限值，详见表3-7；</w:t>
            </w:r>
            <w:r>
              <w:rPr>
                <w:rFonts w:hint="eastAsia" w:ascii="Times New Roman" w:hAnsi="Times New Roman" w:eastAsia="宋体" w:cs="Times New Roman"/>
                <w:color w:val="auto"/>
                <w:kern w:val="0"/>
                <w:sz w:val="24"/>
                <w:highlight w:val="none"/>
                <w:lang w:val="en-US" w:eastAsia="zh-CN"/>
              </w:rPr>
              <w:t>2026年7月1</w:t>
            </w:r>
            <w:r>
              <w:rPr>
                <w:rFonts w:hint="eastAsia" w:cs="Times New Roman"/>
                <w:color w:val="auto"/>
                <w:kern w:val="0"/>
                <w:sz w:val="24"/>
                <w:highlight w:val="none"/>
                <w:lang w:val="en-US" w:eastAsia="zh-CN"/>
              </w:rPr>
              <w:t>起，发泡有机废气产生的无组织挥发性有机物（以非甲烷总烃为表征）</w:t>
            </w:r>
            <w:r>
              <w:rPr>
                <w:rFonts w:hint="eastAsia" w:ascii="Times New Roman" w:hAnsi="Times New Roman" w:eastAsia="宋体" w:cs="Times New Roman"/>
                <w:color w:val="auto"/>
                <w:kern w:val="0"/>
                <w:sz w:val="24"/>
                <w:highlight w:val="none"/>
                <w:lang w:val="en-US" w:eastAsia="zh-CN"/>
              </w:rPr>
              <w:t>执行《挥发性有机物综合排放控制标准（试行）》（DB36/2186—2025）表3企业边界挥发性有机物无组织排放限值</w:t>
            </w:r>
            <w:r>
              <w:rPr>
                <w:rFonts w:hint="eastAsia" w:cs="Times New Roman"/>
                <w:color w:val="auto"/>
                <w:kern w:val="0"/>
                <w:sz w:val="24"/>
                <w:highlight w:val="none"/>
                <w:lang w:val="en-US" w:eastAsia="zh-CN"/>
              </w:rPr>
              <w:t>，MDI无组织参照其表3中非甲烷总烃企业边界</w:t>
            </w:r>
            <w:r>
              <w:rPr>
                <w:rFonts w:hint="eastAsia" w:ascii="Times New Roman" w:hAnsi="Times New Roman" w:eastAsia="宋体" w:cs="Times New Roman"/>
                <w:color w:val="auto"/>
                <w:kern w:val="0"/>
                <w:sz w:val="24"/>
                <w:highlight w:val="none"/>
                <w:lang w:val="en-US" w:eastAsia="zh-CN"/>
              </w:rPr>
              <w:t>挥发性有机物</w:t>
            </w:r>
            <w:r>
              <w:rPr>
                <w:rFonts w:hint="eastAsia" w:cs="Times New Roman"/>
                <w:color w:val="auto"/>
                <w:kern w:val="0"/>
                <w:sz w:val="24"/>
                <w:highlight w:val="none"/>
                <w:lang w:val="en-US" w:eastAsia="zh-CN"/>
              </w:rPr>
              <w:t>浓度限值</w:t>
            </w:r>
            <w:r>
              <w:rPr>
                <w:rFonts w:hint="eastAsia" w:ascii="Times New Roman" w:hAnsi="Times New Roman" w:eastAsia="宋体" w:cs="Times New Roman"/>
                <w:color w:val="auto"/>
                <w:kern w:val="0"/>
                <w:sz w:val="24"/>
                <w:highlight w:val="none"/>
                <w:lang w:val="en-US" w:eastAsia="zh-CN"/>
              </w:rPr>
              <w:t>。</w:t>
            </w:r>
          </w:p>
          <w:p w14:paraId="3024BB50">
            <w:pPr>
              <w:pStyle w:val="44"/>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Autospacing="0"/>
              <w:ind w:left="0" w:leftChars="0" w:right="0" w:firstLine="0" w:firstLineChars="0"/>
              <w:textAlignment w:val="auto"/>
              <w:rPr>
                <w:rFonts w:hint="eastAsia" w:ascii="Times New Roman" w:hAnsi="Times New Roman" w:eastAsia="宋体" w:cs="Times New Roman"/>
                <w:color w:val="auto"/>
                <w:sz w:val="21"/>
                <w:szCs w:val="21"/>
                <w:highlight w:val="none"/>
                <w:vertAlign w:val="superscript"/>
                <w:lang w:val="en-US" w:eastAsia="zh-CN"/>
              </w:rPr>
            </w:pPr>
            <w:r>
              <w:rPr>
                <w:rFonts w:hint="eastAsia" w:ascii="Times New Roman" w:hAnsi="Times New Roman" w:eastAsia="宋体" w:cs="Times New Roman"/>
                <w:color w:val="auto"/>
                <w:sz w:val="21"/>
                <w:szCs w:val="21"/>
                <w:highlight w:val="none"/>
                <w:lang w:val="zh-CN" w:eastAsia="zh-CN"/>
              </w:rPr>
              <w:t>表</w:t>
            </w:r>
            <w:r>
              <w:rPr>
                <w:rFonts w:hint="eastAsia" w:ascii="Times New Roman" w:hAnsi="Times New Roman" w:eastAsia="宋体" w:cs="Times New Roman"/>
                <w:color w:val="auto"/>
                <w:sz w:val="21"/>
                <w:szCs w:val="21"/>
                <w:highlight w:val="none"/>
                <w:lang w:val="en-US" w:eastAsia="zh-CN"/>
              </w:rPr>
              <w:t>3-</w:t>
            </w:r>
            <w:r>
              <w:rPr>
                <w:rFonts w:hint="eastAsia" w:cs="Times New Roman"/>
                <w:color w:val="auto"/>
                <w:sz w:val="21"/>
                <w:szCs w:val="21"/>
                <w:highlight w:val="none"/>
                <w:lang w:val="en-US" w:eastAsia="zh-CN"/>
              </w:rPr>
              <w:t>7</w:t>
            </w:r>
            <w:r>
              <w:rPr>
                <w:rFonts w:hint="eastAsia" w:ascii="Times New Roman" w:hAnsi="Times New Roman" w:eastAsia="宋体" w:cs="Times New Roman"/>
                <w:color w:val="auto"/>
                <w:sz w:val="21"/>
                <w:szCs w:val="21"/>
                <w:highlight w:val="none"/>
                <w:lang w:val="zh-CN" w:eastAsia="zh-CN"/>
              </w:rPr>
              <w:t xml:space="preserve"> 合成树脂工业污染物排放标准</w:t>
            </w:r>
            <w:r>
              <w:rPr>
                <w:rFonts w:hint="eastAsia" w:ascii="Times New Roman" w:hAnsi="Times New Roman" w:eastAsia="宋体" w:cs="Times New Roman"/>
                <w:color w:val="auto"/>
                <w:sz w:val="21"/>
                <w:szCs w:val="21"/>
                <w:highlight w:val="none"/>
                <w:lang w:val="en-US" w:eastAsia="zh-CN"/>
              </w:rPr>
              <w:t xml:space="preserve">  单位：mg/m</w:t>
            </w:r>
            <w:r>
              <w:rPr>
                <w:rFonts w:hint="eastAsia" w:ascii="Times New Roman" w:hAnsi="Times New Roman" w:eastAsia="宋体" w:cs="Times New Roman"/>
                <w:color w:val="auto"/>
                <w:sz w:val="21"/>
                <w:szCs w:val="21"/>
                <w:highlight w:val="none"/>
                <w:vertAlign w:val="superscript"/>
                <w:lang w:val="en-US" w:eastAsia="zh-CN"/>
              </w:rPr>
              <w:t>3</w:t>
            </w:r>
          </w:p>
          <w:tbl>
            <w:tblPr>
              <w:tblStyle w:val="26"/>
              <w:tblW w:w="4998" w:type="pct"/>
              <w:jc w:val="center"/>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Layout w:type="fixed"/>
              <w:tblCellMar>
                <w:top w:w="0" w:type="dxa"/>
                <w:left w:w="108" w:type="dxa"/>
                <w:bottom w:w="0" w:type="dxa"/>
                <w:right w:w="108" w:type="dxa"/>
              </w:tblCellMar>
            </w:tblPr>
            <w:tblGrid>
              <w:gridCol w:w="1772"/>
              <w:gridCol w:w="1107"/>
              <w:gridCol w:w="1754"/>
              <w:gridCol w:w="1154"/>
              <w:gridCol w:w="999"/>
              <w:gridCol w:w="1867"/>
            </w:tblGrid>
            <w:tr w14:paraId="27F87566">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cantSplit/>
                <w:trHeight w:val="284" w:hRule="atLeast"/>
                <w:jc w:val="center"/>
              </w:trPr>
              <w:tc>
                <w:tcPr>
                  <w:tcW w:w="1023" w:type="pct"/>
                  <w:vMerge w:val="restart"/>
                  <w:noWrap w:val="0"/>
                  <w:vAlign w:val="center"/>
                </w:tcPr>
                <w:p w14:paraId="35D9778A">
                  <w:pPr>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u w:val="none"/>
                    </w:rPr>
                  </w:pPr>
                  <w:r>
                    <w:rPr>
                      <w:rFonts w:hint="default"/>
                      <w:color w:val="auto"/>
                      <w:sz w:val="21"/>
                      <w:szCs w:val="21"/>
                      <w:u w:val="none"/>
                    </w:rPr>
                    <w:t>污染物名称</w:t>
                  </w:r>
                </w:p>
              </w:tc>
              <w:tc>
                <w:tcPr>
                  <w:tcW w:w="639" w:type="pct"/>
                  <w:vMerge w:val="restart"/>
                  <w:noWrap w:val="0"/>
                  <w:vAlign w:val="center"/>
                </w:tcPr>
                <w:p w14:paraId="60FF1F77">
                  <w:pPr>
                    <w:keepNext w:val="0"/>
                    <w:keepLines w:val="0"/>
                    <w:suppressLineNumbers w:val="0"/>
                    <w:spacing w:before="0" w:beforeAutospacing="0" w:after="0" w:afterAutospacing="0" w:line="240" w:lineRule="auto"/>
                    <w:ind w:left="0" w:right="0" w:firstLine="0" w:firstLineChars="0"/>
                    <w:jc w:val="center"/>
                    <w:rPr>
                      <w:rFonts w:hint="eastAsia"/>
                      <w:color w:val="auto"/>
                      <w:szCs w:val="21"/>
                      <w:u w:val="none"/>
                    </w:rPr>
                  </w:pPr>
                  <w:r>
                    <w:rPr>
                      <w:rFonts w:hint="default"/>
                      <w:color w:val="auto"/>
                      <w:sz w:val="21"/>
                      <w:szCs w:val="21"/>
                      <w:u w:val="none"/>
                    </w:rPr>
                    <w:t>最高允许排放浓度</w:t>
                  </w:r>
                </w:p>
              </w:tc>
              <w:tc>
                <w:tcPr>
                  <w:tcW w:w="1013" w:type="pct"/>
                  <w:vMerge w:val="restart"/>
                  <w:noWrap w:val="0"/>
                  <w:vAlign w:val="center"/>
                </w:tcPr>
                <w:p w14:paraId="0C1D6C8D">
                  <w:pPr>
                    <w:keepNext w:val="0"/>
                    <w:keepLines w:val="0"/>
                    <w:suppressLineNumbers w:val="0"/>
                    <w:spacing w:before="0" w:beforeAutospacing="0" w:after="0" w:afterAutospacing="0" w:line="240" w:lineRule="auto"/>
                    <w:ind w:left="0" w:right="0" w:firstLine="0" w:firstLineChars="0"/>
                    <w:jc w:val="center"/>
                    <w:rPr>
                      <w:rFonts w:hint="eastAsia"/>
                      <w:color w:val="auto"/>
                      <w:sz w:val="21"/>
                      <w:szCs w:val="21"/>
                      <w:u w:val="none"/>
                    </w:rPr>
                  </w:pPr>
                  <w:r>
                    <w:rPr>
                      <w:rFonts w:hint="default"/>
                      <w:color w:val="auto"/>
                      <w:sz w:val="21"/>
                      <w:szCs w:val="21"/>
                      <w:u w:val="none"/>
                    </w:rPr>
                    <w:t>最高允许排放速率（kg/h）</w:t>
                  </w:r>
                </w:p>
              </w:tc>
              <w:tc>
                <w:tcPr>
                  <w:tcW w:w="1244" w:type="pct"/>
                  <w:gridSpan w:val="2"/>
                  <w:noWrap w:val="0"/>
                  <w:vAlign w:val="center"/>
                </w:tcPr>
                <w:p w14:paraId="406238D9">
                  <w:pPr>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u w:val="none"/>
                    </w:rPr>
                  </w:pPr>
                  <w:r>
                    <w:rPr>
                      <w:rFonts w:hint="default"/>
                      <w:color w:val="auto"/>
                      <w:sz w:val="21"/>
                      <w:szCs w:val="21"/>
                      <w:u w:val="none"/>
                    </w:rPr>
                    <w:t>无组织排放监控浓度限值</w:t>
                  </w:r>
                </w:p>
              </w:tc>
              <w:tc>
                <w:tcPr>
                  <w:tcW w:w="1078" w:type="pct"/>
                  <w:vMerge w:val="restart"/>
                  <w:noWrap w:val="0"/>
                  <w:vAlign w:val="center"/>
                </w:tcPr>
                <w:p w14:paraId="427EDF45">
                  <w:pPr>
                    <w:keepNext w:val="0"/>
                    <w:keepLines w:val="0"/>
                    <w:suppressLineNumbers w:val="0"/>
                    <w:spacing w:before="0" w:beforeAutospacing="0" w:after="0" w:afterAutospacing="0" w:line="240" w:lineRule="auto"/>
                    <w:ind w:left="0" w:right="0" w:firstLine="0" w:firstLineChars="0"/>
                    <w:jc w:val="center"/>
                    <w:rPr>
                      <w:rFonts w:hint="eastAsia" w:eastAsia="宋体"/>
                      <w:color w:val="auto"/>
                      <w:sz w:val="21"/>
                      <w:szCs w:val="21"/>
                      <w:u w:val="single"/>
                      <w:lang w:eastAsia="zh-CN"/>
                    </w:rPr>
                  </w:pPr>
                  <w:r>
                    <w:rPr>
                      <w:rFonts w:hint="eastAsia"/>
                      <w:color w:val="auto"/>
                      <w:sz w:val="21"/>
                      <w:szCs w:val="21"/>
                      <w:u w:val="none"/>
                      <w:lang w:val="en-US" w:eastAsia="zh-CN"/>
                    </w:rPr>
                    <w:t>备注</w:t>
                  </w:r>
                </w:p>
              </w:tc>
            </w:tr>
            <w:tr w14:paraId="4F4E95C9">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cantSplit/>
                <w:trHeight w:val="529" w:hRule="atLeast"/>
                <w:jc w:val="center"/>
              </w:trPr>
              <w:tc>
                <w:tcPr>
                  <w:tcW w:w="1023" w:type="pct"/>
                  <w:vMerge w:val="continue"/>
                  <w:noWrap w:val="0"/>
                  <w:vAlign w:val="center"/>
                </w:tcPr>
                <w:p w14:paraId="058D04F6">
                  <w:pPr>
                    <w:keepNext w:val="0"/>
                    <w:keepLines w:val="0"/>
                    <w:suppressLineNumbers w:val="0"/>
                    <w:spacing w:before="0" w:beforeAutospacing="0" w:after="0" w:afterAutospacing="0" w:line="240" w:lineRule="auto"/>
                    <w:ind w:left="0" w:right="0" w:firstLine="420"/>
                    <w:jc w:val="center"/>
                    <w:rPr>
                      <w:rFonts w:hint="default"/>
                      <w:color w:val="auto"/>
                      <w:sz w:val="21"/>
                      <w:szCs w:val="21"/>
                      <w:u w:val="none"/>
                    </w:rPr>
                  </w:pPr>
                </w:p>
              </w:tc>
              <w:tc>
                <w:tcPr>
                  <w:tcW w:w="639" w:type="pct"/>
                  <w:vMerge w:val="continue"/>
                  <w:noWrap w:val="0"/>
                  <w:vAlign w:val="center"/>
                </w:tcPr>
                <w:p w14:paraId="02177E7F">
                  <w:pPr>
                    <w:keepNext w:val="0"/>
                    <w:keepLines w:val="0"/>
                    <w:suppressLineNumbers w:val="0"/>
                    <w:spacing w:before="0" w:beforeAutospacing="0" w:after="0" w:afterAutospacing="0" w:line="240" w:lineRule="auto"/>
                    <w:ind w:left="0" w:right="0" w:firstLine="420"/>
                    <w:jc w:val="center"/>
                    <w:rPr>
                      <w:rFonts w:hint="default"/>
                      <w:color w:val="auto"/>
                      <w:sz w:val="21"/>
                      <w:szCs w:val="21"/>
                      <w:u w:val="none"/>
                    </w:rPr>
                  </w:pPr>
                </w:p>
              </w:tc>
              <w:tc>
                <w:tcPr>
                  <w:tcW w:w="1013" w:type="pct"/>
                  <w:vMerge w:val="continue"/>
                  <w:noWrap w:val="0"/>
                  <w:vAlign w:val="center"/>
                </w:tcPr>
                <w:p w14:paraId="65EB7C85">
                  <w:pPr>
                    <w:keepNext w:val="0"/>
                    <w:keepLines w:val="0"/>
                    <w:suppressLineNumbers w:val="0"/>
                    <w:spacing w:before="0" w:beforeAutospacing="0" w:after="0" w:afterAutospacing="0" w:line="240" w:lineRule="auto"/>
                    <w:ind w:left="0" w:right="0" w:firstLine="420"/>
                    <w:jc w:val="center"/>
                    <w:rPr>
                      <w:rFonts w:hint="default"/>
                      <w:color w:val="auto"/>
                      <w:sz w:val="21"/>
                      <w:szCs w:val="21"/>
                      <w:u w:val="none"/>
                    </w:rPr>
                  </w:pPr>
                </w:p>
              </w:tc>
              <w:tc>
                <w:tcPr>
                  <w:tcW w:w="666" w:type="pct"/>
                  <w:noWrap w:val="0"/>
                  <w:vAlign w:val="center"/>
                </w:tcPr>
                <w:p w14:paraId="35E7A375">
                  <w:pPr>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u w:val="none"/>
                    </w:rPr>
                  </w:pPr>
                  <w:r>
                    <w:rPr>
                      <w:rFonts w:hint="default"/>
                      <w:color w:val="auto"/>
                      <w:sz w:val="21"/>
                      <w:szCs w:val="21"/>
                      <w:u w:val="none"/>
                    </w:rPr>
                    <w:t>监控点</w:t>
                  </w:r>
                </w:p>
              </w:tc>
              <w:tc>
                <w:tcPr>
                  <w:tcW w:w="577" w:type="pct"/>
                  <w:noWrap w:val="0"/>
                  <w:vAlign w:val="center"/>
                </w:tcPr>
                <w:p w14:paraId="14C234F5">
                  <w:pPr>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u w:val="none"/>
                    </w:rPr>
                  </w:pPr>
                  <w:r>
                    <w:rPr>
                      <w:rFonts w:hint="default"/>
                      <w:color w:val="auto"/>
                      <w:sz w:val="21"/>
                      <w:szCs w:val="21"/>
                      <w:u w:val="none"/>
                    </w:rPr>
                    <w:t>浓度</w:t>
                  </w:r>
                </w:p>
              </w:tc>
              <w:tc>
                <w:tcPr>
                  <w:tcW w:w="1078" w:type="pct"/>
                  <w:vMerge w:val="continue"/>
                  <w:noWrap w:val="0"/>
                  <w:vAlign w:val="center"/>
                </w:tcPr>
                <w:p w14:paraId="51A4B958">
                  <w:pPr>
                    <w:keepNext w:val="0"/>
                    <w:keepLines w:val="0"/>
                    <w:suppressLineNumbers w:val="0"/>
                    <w:spacing w:before="0" w:beforeAutospacing="0" w:after="0" w:afterAutospacing="0" w:line="240" w:lineRule="auto"/>
                    <w:ind w:left="0" w:right="0" w:firstLine="0" w:firstLineChars="0"/>
                    <w:jc w:val="center"/>
                    <w:rPr>
                      <w:rFonts w:hint="eastAsia"/>
                      <w:color w:val="auto"/>
                      <w:sz w:val="21"/>
                      <w:szCs w:val="21"/>
                      <w:u w:val="single"/>
                    </w:rPr>
                  </w:pPr>
                </w:p>
              </w:tc>
            </w:tr>
            <w:tr w14:paraId="65BEB135">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PrEx>
              <w:trPr>
                <w:cantSplit/>
                <w:trHeight w:val="284" w:hRule="atLeast"/>
                <w:jc w:val="center"/>
              </w:trPr>
              <w:tc>
                <w:tcPr>
                  <w:tcW w:w="1023" w:type="pct"/>
                  <w:noWrap w:val="0"/>
                  <w:vAlign w:val="center"/>
                </w:tcPr>
                <w:p w14:paraId="4214BB63">
                  <w:pPr>
                    <w:keepNext w:val="0"/>
                    <w:keepLines w:val="0"/>
                    <w:suppressLineNumbers w:val="0"/>
                    <w:spacing w:before="0" w:beforeAutospacing="0" w:after="0" w:afterAutospacing="0" w:line="240" w:lineRule="auto"/>
                    <w:ind w:left="0" w:right="0" w:firstLine="0" w:firstLineChars="0"/>
                    <w:jc w:val="center"/>
                    <w:rPr>
                      <w:rFonts w:hint="eastAsia"/>
                      <w:color w:val="auto"/>
                      <w:sz w:val="21"/>
                      <w:szCs w:val="21"/>
                      <w:u w:val="none"/>
                      <w:lang w:val="en-US" w:eastAsia="zh-CN"/>
                    </w:rPr>
                  </w:pPr>
                  <w:r>
                    <w:rPr>
                      <w:rFonts w:hint="eastAsia"/>
                      <w:color w:val="auto"/>
                      <w:sz w:val="21"/>
                      <w:szCs w:val="21"/>
                      <w:u w:val="none"/>
                      <w:lang w:val="en-US" w:eastAsia="zh-CN"/>
                    </w:rPr>
                    <w:t>非甲烷总烃</w:t>
                  </w:r>
                </w:p>
              </w:tc>
              <w:tc>
                <w:tcPr>
                  <w:tcW w:w="639" w:type="pct"/>
                  <w:noWrap w:val="0"/>
                  <w:vAlign w:val="center"/>
                </w:tcPr>
                <w:p w14:paraId="7CE796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jc w:val="center"/>
                    <w:textAlignment w:val="auto"/>
                    <w:rPr>
                      <w:rFonts w:hint="default"/>
                      <w:color w:val="auto"/>
                      <w:szCs w:val="21"/>
                      <w:u w:val="none"/>
                      <w:lang w:val="en-US" w:eastAsia="zh-CN"/>
                    </w:rPr>
                  </w:pPr>
                  <w:r>
                    <w:rPr>
                      <w:rFonts w:hint="eastAsia"/>
                      <w:color w:val="auto"/>
                      <w:szCs w:val="21"/>
                      <w:u w:val="none"/>
                      <w:lang w:val="en-US" w:eastAsia="zh-CN"/>
                    </w:rPr>
                    <w:t>100</w:t>
                  </w:r>
                </w:p>
              </w:tc>
              <w:tc>
                <w:tcPr>
                  <w:tcW w:w="1013" w:type="pct"/>
                  <w:noWrap w:val="0"/>
                  <w:vAlign w:val="center"/>
                </w:tcPr>
                <w:p w14:paraId="3D9EF967">
                  <w:pPr>
                    <w:keepNext w:val="0"/>
                    <w:keepLines w:val="0"/>
                    <w:suppressLineNumbers w:val="0"/>
                    <w:spacing w:before="0" w:beforeAutospacing="0" w:after="0" w:afterAutospacing="0" w:line="240" w:lineRule="auto"/>
                    <w:ind w:left="0" w:right="0" w:firstLine="0" w:firstLineChars="0"/>
                    <w:jc w:val="center"/>
                    <w:rPr>
                      <w:rFonts w:hint="eastAsia" w:eastAsia="宋体"/>
                      <w:color w:val="auto"/>
                      <w:sz w:val="21"/>
                      <w:szCs w:val="21"/>
                      <w:u w:val="none"/>
                      <w:lang w:val="en-US" w:eastAsia="zh-CN"/>
                    </w:rPr>
                  </w:pPr>
                  <w:r>
                    <w:rPr>
                      <w:rFonts w:hint="eastAsia"/>
                      <w:color w:val="auto"/>
                      <w:sz w:val="21"/>
                      <w:szCs w:val="21"/>
                      <w:u w:val="none"/>
                      <w:lang w:val="en-US" w:eastAsia="zh-CN"/>
                    </w:rPr>
                    <w:t>/</w:t>
                  </w:r>
                </w:p>
              </w:tc>
              <w:tc>
                <w:tcPr>
                  <w:tcW w:w="666" w:type="pct"/>
                  <w:noWrap w:val="0"/>
                  <w:vAlign w:val="center"/>
                </w:tcPr>
                <w:p w14:paraId="2545906A">
                  <w:pPr>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u w:val="none"/>
                      <w:lang w:val="en-US" w:eastAsia="zh-CN"/>
                    </w:rPr>
                  </w:pPr>
                  <w:r>
                    <w:rPr>
                      <w:rFonts w:hint="eastAsia"/>
                      <w:color w:val="auto"/>
                      <w:sz w:val="21"/>
                      <w:szCs w:val="21"/>
                      <w:u w:val="none"/>
                      <w:lang w:val="en-US" w:eastAsia="zh-CN"/>
                    </w:rPr>
                    <w:t>/</w:t>
                  </w:r>
                </w:p>
              </w:tc>
              <w:tc>
                <w:tcPr>
                  <w:tcW w:w="577" w:type="pct"/>
                  <w:noWrap w:val="0"/>
                  <w:vAlign w:val="center"/>
                </w:tcPr>
                <w:p w14:paraId="66041A02">
                  <w:pPr>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u w:val="none"/>
                      <w:lang w:val="en-US" w:eastAsia="zh-CN"/>
                    </w:rPr>
                  </w:pPr>
                  <w:r>
                    <w:rPr>
                      <w:rFonts w:hint="eastAsia"/>
                      <w:color w:val="auto"/>
                      <w:sz w:val="21"/>
                      <w:szCs w:val="21"/>
                      <w:u w:val="none"/>
                      <w:lang w:val="en-US" w:eastAsia="zh-CN"/>
                    </w:rPr>
                    <w:t>/（4.0*）</w:t>
                  </w:r>
                </w:p>
              </w:tc>
              <w:tc>
                <w:tcPr>
                  <w:tcW w:w="1078" w:type="pct"/>
                  <w:noWrap w:val="0"/>
                  <w:vAlign w:val="center"/>
                </w:tcPr>
                <w:p w14:paraId="121AA7FC">
                  <w:pPr>
                    <w:keepNext w:val="0"/>
                    <w:keepLines w:val="0"/>
                    <w:suppressLineNumbers w:val="0"/>
                    <w:spacing w:before="0" w:beforeAutospacing="0" w:after="0" w:afterAutospacing="0" w:line="240" w:lineRule="auto"/>
                    <w:ind w:left="0" w:right="0" w:firstLine="0" w:firstLineChars="0"/>
                    <w:jc w:val="both"/>
                    <w:rPr>
                      <w:rFonts w:hint="default" w:ascii="宋体" w:hAnsi="宋体" w:eastAsia="宋体" w:cs="宋体"/>
                      <w:color w:val="auto"/>
                      <w:sz w:val="21"/>
                      <w:szCs w:val="21"/>
                    </w:rPr>
                  </w:pPr>
                </w:p>
              </w:tc>
            </w:tr>
            <w:tr w14:paraId="7C9308B1">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cantSplit/>
                <w:trHeight w:val="284" w:hRule="atLeast"/>
                <w:jc w:val="center"/>
              </w:trPr>
              <w:tc>
                <w:tcPr>
                  <w:tcW w:w="1023" w:type="pct"/>
                  <w:noWrap w:val="0"/>
                  <w:vAlign w:val="center"/>
                </w:tcPr>
                <w:p w14:paraId="2962AE49">
                  <w:pPr>
                    <w:keepNext w:val="0"/>
                    <w:keepLines w:val="0"/>
                    <w:suppressLineNumbers w:val="0"/>
                    <w:spacing w:before="0" w:beforeAutospacing="0" w:after="0" w:afterAutospacing="0" w:line="240" w:lineRule="auto"/>
                    <w:ind w:left="0" w:right="0" w:firstLine="0" w:firstLineChars="0"/>
                    <w:jc w:val="center"/>
                    <w:rPr>
                      <w:rFonts w:hint="eastAsia" w:eastAsia="宋体"/>
                      <w:color w:val="auto"/>
                      <w:sz w:val="21"/>
                      <w:szCs w:val="21"/>
                      <w:u w:val="none"/>
                      <w:lang w:val="en-US" w:eastAsia="zh-CN"/>
                    </w:rPr>
                  </w:pPr>
                  <w:r>
                    <w:rPr>
                      <w:rFonts w:hint="eastAsia"/>
                      <w:color w:val="auto"/>
                      <w:sz w:val="21"/>
                      <w:szCs w:val="21"/>
                      <w:u w:val="none"/>
                      <w:lang w:val="en-US" w:eastAsia="zh-CN"/>
                    </w:rPr>
                    <w:t>MDI</w:t>
                  </w:r>
                </w:p>
              </w:tc>
              <w:tc>
                <w:tcPr>
                  <w:tcW w:w="639" w:type="pct"/>
                  <w:noWrap w:val="0"/>
                  <w:vAlign w:val="center"/>
                </w:tcPr>
                <w:p w14:paraId="77E430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jc w:val="center"/>
                    <w:textAlignment w:val="auto"/>
                    <w:rPr>
                      <w:rFonts w:hint="eastAsia" w:eastAsia="宋体"/>
                      <w:color w:val="auto"/>
                      <w:szCs w:val="21"/>
                      <w:u w:val="none"/>
                      <w:lang w:val="en-US" w:eastAsia="zh-CN"/>
                    </w:rPr>
                  </w:pPr>
                  <w:r>
                    <w:rPr>
                      <w:rFonts w:hint="eastAsia"/>
                      <w:color w:val="auto"/>
                      <w:szCs w:val="21"/>
                      <w:u w:val="none"/>
                      <w:lang w:val="en-US" w:eastAsia="zh-CN"/>
                    </w:rPr>
                    <w:t>1</w:t>
                  </w:r>
                </w:p>
              </w:tc>
              <w:tc>
                <w:tcPr>
                  <w:tcW w:w="1013" w:type="pct"/>
                  <w:noWrap w:val="0"/>
                  <w:vAlign w:val="center"/>
                </w:tcPr>
                <w:p w14:paraId="3FCCEB90">
                  <w:pPr>
                    <w:keepNext w:val="0"/>
                    <w:keepLines w:val="0"/>
                    <w:suppressLineNumbers w:val="0"/>
                    <w:spacing w:before="0" w:beforeAutospacing="0" w:after="0" w:afterAutospacing="0" w:line="240" w:lineRule="auto"/>
                    <w:ind w:left="0" w:right="0" w:firstLine="0" w:firstLineChars="0"/>
                    <w:jc w:val="center"/>
                    <w:rPr>
                      <w:rFonts w:hint="eastAsia"/>
                      <w:color w:val="auto"/>
                      <w:sz w:val="21"/>
                      <w:szCs w:val="21"/>
                      <w:u w:val="none"/>
                    </w:rPr>
                  </w:pPr>
                  <w:r>
                    <w:rPr>
                      <w:rFonts w:hint="eastAsia"/>
                      <w:color w:val="auto"/>
                      <w:sz w:val="21"/>
                      <w:szCs w:val="21"/>
                      <w:u w:val="none"/>
                    </w:rPr>
                    <w:t>/</w:t>
                  </w:r>
                </w:p>
              </w:tc>
              <w:tc>
                <w:tcPr>
                  <w:tcW w:w="666" w:type="pct"/>
                  <w:noWrap w:val="0"/>
                  <w:vAlign w:val="center"/>
                </w:tcPr>
                <w:p w14:paraId="1417985B">
                  <w:pPr>
                    <w:keepNext w:val="0"/>
                    <w:keepLines w:val="0"/>
                    <w:suppressLineNumbers w:val="0"/>
                    <w:spacing w:before="0" w:beforeAutospacing="0" w:after="0" w:afterAutospacing="0" w:line="240" w:lineRule="auto"/>
                    <w:ind w:left="0" w:right="0" w:firstLine="0" w:firstLineChars="0"/>
                    <w:jc w:val="center"/>
                    <w:rPr>
                      <w:rFonts w:hint="eastAsia" w:eastAsia="宋体"/>
                      <w:color w:val="auto"/>
                      <w:sz w:val="21"/>
                      <w:szCs w:val="21"/>
                      <w:u w:val="none"/>
                      <w:lang w:val="en-US" w:eastAsia="zh-CN"/>
                    </w:rPr>
                  </w:pPr>
                  <w:r>
                    <w:rPr>
                      <w:rFonts w:hint="eastAsia"/>
                      <w:color w:val="auto"/>
                      <w:sz w:val="21"/>
                      <w:szCs w:val="21"/>
                      <w:u w:val="none"/>
                      <w:lang w:val="en-US" w:eastAsia="zh-CN"/>
                    </w:rPr>
                    <w:t>/</w:t>
                  </w:r>
                </w:p>
              </w:tc>
              <w:tc>
                <w:tcPr>
                  <w:tcW w:w="577" w:type="pct"/>
                  <w:noWrap w:val="0"/>
                  <w:vAlign w:val="center"/>
                </w:tcPr>
                <w:p w14:paraId="280396DE">
                  <w:pPr>
                    <w:keepNext w:val="0"/>
                    <w:keepLines w:val="0"/>
                    <w:suppressLineNumbers w:val="0"/>
                    <w:spacing w:before="0" w:beforeAutospacing="0" w:after="0" w:afterAutospacing="0" w:line="240" w:lineRule="auto"/>
                    <w:ind w:left="0" w:right="0" w:firstLine="0" w:firstLineChars="0"/>
                    <w:jc w:val="center"/>
                    <w:rPr>
                      <w:rFonts w:hint="default" w:eastAsia="宋体"/>
                      <w:color w:val="auto"/>
                      <w:sz w:val="21"/>
                      <w:szCs w:val="21"/>
                      <w:u w:val="none"/>
                      <w:lang w:val="en-US" w:eastAsia="zh-CN"/>
                    </w:rPr>
                  </w:pPr>
                  <w:r>
                    <w:rPr>
                      <w:rFonts w:hint="eastAsia"/>
                      <w:color w:val="auto"/>
                      <w:sz w:val="21"/>
                      <w:szCs w:val="21"/>
                      <w:u w:val="none"/>
                      <w:lang w:val="en-US" w:eastAsia="zh-CN"/>
                    </w:rPr>
                    <w:t>4.0</w:t>
                  </w:r>
                </w:p>
              </w:tc>
              <w:tc>
                <w:tcPr>
                  <w:tcW w:w="1078" w:type="pct"/>
                  <w:noWrap w:val="0"/>
                  <w:vAlign w:val="center"/>
                </w:tcPr>
                <w:p w14:paraId="1951639B">
                  <w:pPr>
                    <w:keepNext w:val="0"/>
                    <w:keepLines w:val="0"/>
                    <w:suppressLineNumbers w:val="0"/>
                    <w:spacing w:before="0" w:beforeAutospacing="0" w:after="0" w:afterAutospacing="0" w:line="240" w:lineRule="auto"/>
                    <w:ind w:left="0" w:right="0" w:firstLine="0" w:firstLineChars="0"/>
                    <w:jc w:val="both"/>
                    <w:rPr>
                      <w:rFonts w:hint="default"/>
                      <w:color w:val="auto"/>
                      <w:sz w:val="21"/>
                      <w:szCs w:val="21"/>
                      <w:u w:val="none"/>
                    </w:rPr>
                  </w:pPr>
                  <w:r>
                    <w:rPr>
                      <w:rFonts w:hint="default" w:ascii="宋体" w:hAnsi="宋体" w:eastAsia="宋体" w:cs="宋体"/>
                      <w:color w:val="auto"/>
                      <w:sz w:val="21"/>
                      <w:szCs w:val="21"/>
                    </w:rPr>
                    <w:t>待国家污染物监测方法标准发布后实施</w:t>
                  </w:r>
                </w:p>
              </w:tc>
            </w:tr>
            <w:tr w14:paraId="594C24B1">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cantSplit/>
                <w:trHeight w:val="284" w:hRule="atLeast"/>
                <w:jc w:val="center"/>
              </w:trPr>
              <w:tc>
                <w:tcPr>
                  <w:tcW w:w="5000" w:type="pct"/>
                  <w:gridSpan w:val="6"/>
                  <w:noWrap w:val="0"/>
                  <w:vAlign w:val="center"/>
                </w:tcPr>
                <w:p w14:paraId="0E04FE91">
                  <w:pPr>
                    <w:keepNext w:val="0"/>
                    <w:keepLines w:val="0"/>
                    <w:suppressLineNumbers w:val="0"/>
                    <w:spacing w:before="0" w:beforeAutospacing="0" w:after="0" w:afterAutospacing="0" w:line="240" w:lineRule="auto"/>
                    <w:ind w:left="0" w:right="0" w:firstLine="0" w:firstLineChars="0"/>
                    <w:jc w:val="both"/>
                    <w:rPr>
                      <w:rFonts w:hint="default" w:ascii="宋体" w:hAnsi="宋体" w:eastAsia="宋体" w:cs="宋体"/>
                      <w:color w:val="auto"/>
                      <w:sz w:val="21"/>
                      <w:szCs w:val="21"/>
                    </w:rPr>
                  </w:pPr>
                  <w:r>
                    <w:rPr>
                      <w:rFonts w:hint="eastAsia" w:cs="宋体"/>
                      <w:color w:val="auto"/>
                      <w:sz w:val="21"/>
                      <w:szCs w:val="20"/>
                      <w:lang w:val="en-US" w:eastAsia="zh-CN"/>
                    </w:rPr>
                    <w:t>*：</w:t>
                  </w:r>
                  <w:r>
                    <w:rPr>
                      <w:rFonts w:hint="eastAsia" w:ascii="Times New Roman" w:hAnsi="Times New Roman" w:eastAsia="宋体" w:cs="Times New Roman"/>
                      <w:color w:val="auto"/>
                      <w:kern w:val="0"/>
                      <w:sz w:val="21"/>
                      <w:highlight w:val="none"/>
                      <w:lang w:val="en-US" w:eastAsia="zh-CN"/>
                    </w:rPr>
                    <w:t>2026年7月1日</w:t>
                  </w:r>
                  <w:r>
                    <w:rPr>
                      <w:rFonts w:hint="eastAsia" w:cs="Times New Roman"/>
                      <w:color w:val="auto"/>
                      <w:kern w:val="0"/>
                      <w:sz w:val="21"/>
                      <w:highlight w:val="none"/>
                      <w:lang w:val="en-US" w:eastAsia="zh-CN"/>
                    </w:rPr>
                    <w:t>起</w:t>
                  </w:r>
                  <w:r>
                    <w:rPr>
                      <w:rFonts w:hint="eastAsia" w:cs="Times New Roman"/>
                      <w:color w:val="auto"/>
                      <w:highlight w:val="none"/>
                      <w:lang w:val="en-US" w:eastAsia="zh-CN"/>
                    </w:rPr>
                    <w:t>无组织</w:t>
                  </w:r>
                  <w:r>
                    <w:rPr>
                      <w:rFonts w:hint="eastAsia" w:ascii="Times New Roman" w:hAnsi="Times New Roman" w:eastAsia="宋体" w:cs="Times New Roman"/>
                      <w:color w:val="auto"/>
                      <w:kern w:val="0"/>
                      <w:sz w:val="21"/>
                      <w:highlight w:val="none"/>
                      <w:lang w:val="en-US" w:eastAsia="zh-CN"/>
                    </w:rPr>
                    <w:t>挥发性有机物（以非甲烷总烃为表征）执行《挥发性有机物综合排放控制标准（试行）》（DB36/2186—2025）</w:t>
                  </w:r>
                  <w:r>
                    <w:rPr>
                      <w:rFonts w:hint="eastAsia" w:cs="Times New Roman"/>
                      <w:color w:val="auto"/>
                      <w:kern w:val="0"/>
                      <w:sz w:val="21"/>
                      <w:highlight w:val="none"/>
                      <w:lang w:val="en-US" w:eastAsia="zh-CN"/>
                    </w:rPr>
                    <w:t>无组织执行</w:t>
                  </w:r>
                  <w:r>
                    <w:rPr>
                      <w:rFonts w:hint="eastAsia" w:cs="Times New Roman"/>
                      <w:color w:val="auto"/>
                      <w:highlight w:val="none"/>
                      <w:lang w:val="en-US" w:eastAsia="zh-CN"/>
                    </w:rPr>
                    <w:t>表3企业边界挥发性有机物无组织排放限值</w:t>
                  </w:r>
                  <w:r>
                    <w:rPr>
                      <w:rFonts w:hint="eastAsia" w:cs="Times New Roman"/>
                      <w:color w:val="auto"/>
                      <w:kern w:val="0"/>
                      <w:sz w:val="21"/>
                      <w:highlight w:val="none"/>
                      <w:lang w:val="en-US" w:eastAsia="zh-CN"/>
                    </w:rPr>
                    <w:t>。</w:t>
                  </w:r>
                </w:p>
              </w:tc>
            </w:tr>
          </w:tbl>
          <w:p w14:paraId="5B5C826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2" w:firstLineChars="200"/>
              <w:textAlignment w:val="auto"/>
              <w:rPr>
                <w:rFonts w:hint="default"/>
                <w:b/>
                <w:bCs/>
                <w:color w:val="auto"/>
                <w:sz w:val="24"/>
                <w:highlight w:val="none"/>
              </w:rPr>
            </w:pPr>
            <w:r>
              <w:rPr>
                <w:rFonts w:hint="eastAsia"/>
                <w:b/>
                <w:bCs/>
                <w:color w:val="auto"/>
                <w:sz w:val="24"/>
                <w:highlight w:val="none"/>
              </w:rPr>
              <w:t>2</w:t>
            </w:r>
            <w:r>
              <w:rPr>
                <w:rFonts w:hint="default"/>
                <w:b/>
                <w:bCs/>
                <w:color w:val="auto"/>
                <w:sz w:val="24"/>
                <w:highlight w:val="none"/>
              </w:rPr>
              <w:t>、废水排放标准</w:t>
            </w:r>
          </w:p>
          <w:p w14:paraId="1B6BDD5B">
            <w:pPr>
              <w:pStyle w:val="37"/>
              <w:keepNext w:val="0"/>
              <w:keepLines w:val="0"/>
              <w:suppressLineNumbers w:val="0"/>
              <w:shd w:val="clear" w:color="auto" w:fill="auto"/>
              <w:adjustRightInd/>
              <w:spacing w:before="0" w:beforeAutospacing="0" w:after="0" w:afterAutospacing="0" w:line="360" w:lineRule="auto"/>
              <w:ind w:left="0" w:right="0" w:firstLine="480" w:firstLineChars="200"/>
              <w:jc w:val="both"/>
              <w:rPr>
                <w:rFonts w:hint="eastAsia" w:hAnsi="宋体"/>
                <w:color w:val="auto"/>
                <w:sz w:val="24"/>
                <w:highlight w:val="none"/>
                <w:lang w:val="en-US" w:eastAsia="zh-CN"/>
              </w:rPr>
            </w:pPr>
            <w:r>
              <w:rPr>
                <w:rFonts w:hint="default" w:ascii="Times New Roman" w:hAnsi="Times New Roman" w:eastAsia="宋体"/>
                <w:color w:val="auto"/>
                <w:kern w:val="0"/>
                <w:szCs w:val="20"/>
                <w:highlight w:val="none"/>
              </w:rPr>
              <w:t>本项目外排废水主要为生活</w:t>
            </w:r>
            <w:r>
              <w:rPr>
                <w:rFonts w:hint="default" w:ascii="Times New Roman" w:hAnsi="Times New Roman" w:eastAsia="宋体" w:cs="Times New Roman"/>
                <w:color w:val="auto"/>
                <w:szCs w:val="21"/>
                <w:highlight w:val="none"/>
              </w:rPr>
              <w:t>污水，</w:t>
            </w:r>
            <w:r>
              <w:rPr>
                <w:rFonts w:hint="eastAsia" w:ascii="Times New Roman" w:hAnsi="Times New Roman" w:eastAsia="宋体" w:cs="Times New Roman"/>
                <w:color w:val="auto"/>
                <w:szCs w:val="21"/>
                <w:highlight w:val="none"/>
              </w:rPr>
              <w:t>生活污水</w:t>
            </w:r>
            <w:r>
              <w:rPr>
                <w:rFonts w:hint="eastAsia" w:ascii="Times New Roman" w:hAnsi="Times New Roman" w:eastAsia="宋体" w:cs="Times New Roman"/>
                <w:color w:val="auto"/>
                <w:szCs w:val="21"/>
                <w:highlight w:val="none"/>
                <w:lang w:val="en-US" w:eastAsia="zh-CN"/>
              </w:rPr>
              <w:t>近期</w:t>
            </w:r>
            <w:r>
              <w:rPr>
                <w:rFonts w:hint="eastAsia" w:ascii="Times New Roman" w:hAnsi="Times New Roman" w:eastAsia="宋体" w:cs="Times New Roman"/>
                <w:color w:val="auto"/>
                <w:szCs w:val="21"/>
                <w:highlight w:val="none"/>
              </w:rPr>
              <w:t>经“隔油池+化粪池”预处理后</w:t>
            </w:r>
            <w:r>
              <w:rPr>
                <w:rFonts w:hint="eastAsia" w:ascii="Times New Roman" w:hAnsi="Times New Roman" w:eastAsia="宋体" w:cs="Times New Roman"/>
                <w:b w:val="0"/>
                <w:bCs/>
                <w:color w:val="auto"/>
                <w:sz w:val="24"/>
                <w:szCs w:val="24"/>
                <w:highlight w:val="none"/>
                <w:lang w:val="en-US" w:eastAsia="zh-CN"/>
              </w:rPr>
              <w:t>达到</w:t>
            </w:r>
            <w:r>
              <w:rPr>
                <w:rFonts w:hint="default" w:ascii="Times New Roman" w:hAnsi="Times New Roman" w:eastAsia="宋体" w:cs="Times New Roman"/>
                <w:b w:val="0"/>
                <w:bCs/>
                <w:color w:val="auto"/>
                <w:sz w:val="24"/>
                <w:szCs w:val="24"/>
                <w:highlight w:val="none"/>
              </w:rPr>
              <w:t>《污水综合排放标准》（GB8978-1996）表4中三级标准</w:t>
            </w:r>
            <w:r>
              <w:rPr>
                <w:rFonts w:hint="eastAsia" w:ascii="Times New Roman" w:hAnsi="Times New Roman" w:eastAsia="宋体" w:cs="Times New Roman"/>
                <w:color w:val="auto"/>
                <w:szCs w:val="21"/>
                <w:highlight w:val="none"/>
              </w:rPr>
              <w:t>通过管网进入乐平市金山园区一期一体化污水处理站进一步处理达到《城镇污水处理厂污染物排放标准》（GB18918-2002）中一级A标准后，尾水最终汇入乐安河</w:t>
            </w:r>
            <w:r>
              <w:rPr>
                <w:rFonts w:hint="default" w:ascii="Times New Roman" w:hAnsi="Times New Roman" w:eastAsia="宋体"/>
                <w:color w:val="auto"/>
                <w:kern w:val="0"/>
                <w:szCs w:val="20"/>
                <w:highlight w:val="none"/>
              </w:rPr>
              <w:t>。</w:t>
            </w:r>
            <w:r>
              <w:rPr>
                <w:rFonts w:hint="default" w:ascii="Times New Roman" w:hAnsi="Times New Roman" w:eastAsia="宋体"/>
                <w:color w:val="auto"/>
                <w:kern w:val="0"/>
                <w:szCs w:val="20"/>
                <w:highlight w:val="none"/>
                <w:lang w:eastAsia="zh-CN"/>
              </w:rPr>
              <w:t>排放限值具体见表</w:t>
            </w:r>
            <w:r>
              <w:rPr>
                <w:rFonts w:hint="default" w:ascii="Times New Roman" w:hAnsi="Times New Roman" w:eastAsia="宋体"/>
                <w:color w:val="auto"/>
                <w:kern w:val="0"/>
                <w:szCs w:val="20"/>
                <w:highlight w:val="none"/>
                <w:lang w:val="en-US" w:eastAsia="zh-CN"/>
              </w:rPr>
              <w:t>3</w:t>
            </w:r>
            <w:r>
              <w:rPr>
                <w:rFonts w:hint="default" w:ascii="Times New Roman" w:hAnsi="Times New Roman" w:eastAsia="宋体"/>
                <w:color w:val="auto"/>
                <w:kern w:val="0"/>
                <w:szCs w:val="20"/>
                <w:highlight w:val="none"/>
                <w:lang w:eastAsia="zh-CN"/>
              </w:rPr>
              <w:t>-</w:t>
            </w:r>
            <w:r>
              <w:rPr>
                <w:rFonts w:hint="eastAsia" w:ascii="Times New Roman"/>
                <w:color w:val="auto"/>
                <w:kern w:val="0"/>
                <w:szCs w:val="20"/>
                <w:highlight w:val="none"/>
                <w:lang w:val="en-US" w:eastAsia="zh-CN"/>
              </w:rPr>
              <w:t>8</w:t>
            </w:r>
            <w:r>
              <w:rPr>
                <w:rFonts w:hint="default" w:ascii="Times New Roman" w:hAnsi="Times New Roman" w:eastAsia="宋体"/>
                <w:color w:val="auto"/>
                <w:kern w:val="0"/>
                <w:szCs w:val="20"/>
                <w:highlight w:val="none"/>
                <w:lang w:eastAsia="zh-CN"/>
              </w:rPr>
              <w:t>。</w:t>
            </w:r>
          </w:p>
          <w:p w14:paraId="227905D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right="0" w:firstLine="422" w:firstLineChars="200"/>
              <w:jc w:val="center"/>
              <w:textAlignment w:val="auto"/>
              <w:rPr>
                <w:rFonts w:hint="default" w:hAnsi="宋体"/>
                <w:color w:val="auto"/>
                <w:sz w:val="24"/>
                <w:highlight w:val="none"/>
                <w:lang w:val="en-US" w:eastAsia="zh-CN"/>
              </w:rPr>
            </w:pPr>
            <w:r>
              <w:rPr>
                <w:rFonts w:hint="eastAsia" w:ascii="Times New Roman" w:hAnsi="Times New Roman" w:eastAsia="宋体" w:cs="Times New Roman"/>
                <w:b/>
                <w:bCs/>
                <w:color w:val="auto"/>
                <w:sz w:val="21"/>
                <w:szCs w:val="21"/>
                <w:highlight w:val="none"/>
                <w:lang w:val="zh-CN" w:eastAsia="zh-CN"/>
              </w:rPr>
              <w:t>表3-</w:t>
            </w:r>
            <w:r>
              <w:rPr>
                <w:rFonts w:hint="eastAsia" w:cs="Times New Roman"/>
                <w:b/>
                <w:bCs/>
                <w:color w:val="auto"/>
                <w:sz w:val="21"/>
                <w:szCs w:val="21"/>
                <w:highlight w:val="none"/>
                <w:lang w:val="en-US" w:eastAsia="zh-CN"/>
              </w:rPr>
              <w:t xml:space="preserve">8 </w:t>
            </w:r>
            <w:r>
              <w:rPr>
                <w:rFonts w:hint="eastAsia" w:ascii="Times New Roman" w:hAnsi="Times New Roman" w:eastAsia="宋体" w:cs="Times New Roman"/>
                <w:b/>
                <w:bCs/>
                <w:color w:val="auto"/>
                <w:sz w:val="21"/>
                <w:szCs w:val="21"/>
                <w:highlight w:val="none"/>
                <w:lang w:val="zh-CN" w:eastAsia="zh-CN"/>
              </w:rPr>
              <w:t xml:space="preserve"> 废水排放标准</w:t>
            </w:r>
            <w:r>
              <w:rPr>
                <w:rFonts w:hint="eastAsia" w:ascii="Times New Roman" w:hAnsi="Times New Roman" w:eastAsia="宋体" w:cs="Times New Roman"/>
                <w:b/>
                <w:bCs/>
                <w:color w:val="auto"/>
                <w:sz w:val="21"/>
                <w:szCs w:val="21"/>
                <w:highlight w:val="none"/>
                <w:lang w:val="en-US" w:eastAsia="zh-CN"/>
              </w:rPr>
              <w:t xml:space="preserve">   </w:t>
            </w:r>
            <w:r>
              <w:rPr>
                <w:rFonts w:hint="eastAsia" w:ascii="Times New Roman" w:hAnsi="Times New Roman" w:eastAsia="宋体" w:cs="Times New Roman"/>
                <w:b/>
                <w:bCs/>
                <w:color w:val="auto"/>
                <w:sz w:val="21"/>
                <w:szCs w:val="21"/>
                <w:highlight w:val="none"/>
                <w:lang w:val="zh-CN" w:eastAsia="zh-CN"/>
              </w:rPr>
              <w:t>单位：mg/</w:t>
            </w:r>
            <w:r>
              <w:rPr>
                <w:rFonts w:hint="eastAsia" w:ascii="Times New Roman" w:hAnsi="Times New Roman" w:eastAsia="宋体" w:cs="Times New Roman"/>
                <w:b/>
                <w:bCs/>
                <w:color w:val="auto"/>
                <w:sz w:val="21"/>
                <w:szCs w:val="21"/>
                <w:highlight w:val="none"/>
                <w:lang w:val="en-US" w:eastAsia="zh-CN"/>
              </w:rPr>
              <w:t>L（pH</w:t>
            </w:r>
            <w:r>
              <w:rPr>
                <w:rFonts w:hint="eastAsia" w:cs="Times New Roman"/>
                <w:b/>
                <w:bCs/>
                <w:color w:val="auto"/>
                <w:sz w:val="21"/>
                <w:szCs w:val="21"/>
                <w:highlight w:val="none"/>
                <w:lang w:val="en-US" w:eastAsia="zh-CN"/>
              </w:rPr>
              <w:t>无量纲</w:t>
            </w:r>
            <w:r>
              <w:rPr>
                <w:rFonts w:hint="eastAsia" w:ascii="Times New Roman" w:hAnsi="Times New Roman" w:eastAsia="宋体" w:cs="Times New Roman"/>
                <w:b/>
                <w:bCs/>
                <w:color w:val="auto"/>
                <w:sz w:val="21"/>
                <w:szCs w:val="21"/>
                <w:highlight w:val="none"/>
                <w:lang w:val="en-US" w:eastAsia="zh-CN"/>
              </w:rPr>
              <w:t>）</w:t>
            </w:r>
          </w:p>
          <w:tbl>
            <w:tblPr>
              <w:tblStyle w:val="26"/>
              <w:tblW w:w="4998" w:type="pct"/>
              <w:tblInd w:w="0"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931"/>
              <w:gridCol w:w="4428"/>
              <w:gridCol w:w="1411"/>
              <w:gridCol w:w="1903"/>
            </w:tblGrid>
            <w:tr w14:paraId="770A367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72" w:hRule="atLeast"/>
              </w:trPr>
              <w:tc>
                <w:tcPr>
                  <w:tcW w:w="536" w:type="pct"/>
                  <w:noWrap w:val="0"/>
                  <w:vAlign w:val="center"/>
                </w:tcPr>
                <w:p w14:paraId="43CBA46E">
                  <w:pPr>
                    <w:keepNext w:val="0"/>
                    <w:keepLines w:val="0"/>
                    <w:suppressLineNumbers w:val="0"/>
                    <w:shd w:val="clear" w:color="auto" w:fill="auto"/>
                    <w:spacing w:before="0" w:beforeAutospacing="0" w:after="0" w:afterAutospacing="0" w:line="240" w:lineRule="auto"/>
                    <w:ind w:left="0" w:right="0" w:firstLine="0" w:firstLineChars="0"/>
                    <w:jc w:val="center"/>
                    <w:rPr>
                      <w:rFonts w:hint="default"/>
                      <w:bCs/>
                      <w:color w:val="auto"/>
                      <w:sz w:val="21"/>
                      <w:szCs w:val="21"/>
                      <w:highlight w:val="none"/>
                    </w:rPr>
                  </w:pPr>
                  <w:r>
                    <w:rPr>
                      <w:rFonts w:hint="default"/>
                      <w:bCs/>
                      <w:color w:val="auto"/>
                      <w:sz w:val="21"/>
                      <w:szCs w:val="21"/>
                      <w:highlight w:val="none"/>
                    </w:rPr>
                    <w:t>序号</w:t>
                  </w:r>
                </w:p>
              </w:tc>
              <w:tc>
                <w:tcPr>
                  <w:tcW w:w="3366" w:type="pct"/>
                  <w:gridSpan w:val="2"/>
                  <w:noWrap w:val="0"/>
                  <w:vAlign w:val="center"/>
                </w:tcPr>
                <w:p w14:paraId="3EE1460E">
                  <w:pPr>
                    <w:keepNext w:val="0"/>
                    <w:keepLines w:val="0"/>
                    <w:suppressLineNumbers w:val="0"/>
                    <w:shd w:val="clear" w:color="auto" w:fill="auto"/>
                    <w:spacing w:before="0" w:beforeAutospacing="0" w:after="0" w:afterAutospacing="0" w:line="240" w:lineRule="auto"/>
                    <w:ind w:left="0" w:right="0" w:firstLine="0" w:firstLineChars="0"/>
                    <w:jc w:val="center"/>
                    <w:rPr>
                      <w:rFonts w:hint="default"/>
                      <w:bCs/>
                      <w:color w:val="auto"/>
                      <w:sz w:val="21"/>
                      <w:szCs w:val="21"/>
                      <w:highlight w:val="none"/>
                    </w:rPr>
                  </w:pPr>
                  <w:r>
                    <w:rPr>
                      <w:rFonts w:hint="default"/>
                      <w:bCs/>
                      <w:color w:val="auto"/>
                      <w:sz w:val="21"/>
                      <w:szCs w:val="21"/>
                      <w:highlight w:val="none"/>
                    </w:rPr>
                    <w:t>污染物</w:t>
                  </w:r>
                </w:p>
              </w:tc>
              <w:tc>
                <w:tcPr>
                  <w:tcW w:w="1097" w:type="pct"/>
                  <w:tcBorders>
                    <w:right w:val="nil"/>
                  </w:tcBorders>
                  <w:noWrap w:val="0"/>
                  <w:vAlign w:val="center"/>
                </w:tcPr>
                <w:p w14:paraId="536DFCE0">
                  <w:pPr>
                    <w:keepNext w:val="0"/>
                    <w:keepLines w:val="0"/>
                    <w:suppressLineNumbers w:val="0"/>
                    <w:shd w:val="clear" w:color="auto" w:fill="auto"/>
                    <w:spacing w:before="0" w:beforeAutospacing="0" w:after="0" w:afterAutospacing="0" w:line="240" w:lineRule="auto"/>
                    <w:ind w:left="0" w:right="0" w:firstLine="0" w:firstLineChars="0"/>
                    <w:jc w:val="center"/>
                    <w:rPr>
                      <w:rFonts w:hint="default"/>
                      <w:bCs/>
                      <w:color w:val="auto"/>
                      <w:sz w:val="21"/>
                      <w:szCs w:val="21"/>
                      <w:highlight w:val="none"/>
                    </w:rPr>
                  </w:pPr>
                  <w:r>
                    <w:rPr>
                      <w:rFonts w:hint="default"/>
                      <w:bCs/>
                      <w:color w:val="auto"/>
                      <w:sz w:val="21"/>
                      <w:szCs w:val="21"/>
                      <w:highlight w:val="none"/>
                    </w:rPr>
                    <w:t>标准限值</w:t>
                  </w:r>
                </w:p>
              </w:tc>
            </w:tr>
            <w:tr w14:paraId="0F8BCB1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72" w:hRule="atLeast"/>
              </w:trPr>
              <w:tc>
                <w:tcPr>
                  <w:tcW w:w="536" w:type="pct"/>
                  <w:noWrap w:val="0"/>
                  <w:vAlign w:val="center"/>
                </w:tcPr>
                <w:p w14:paraId="74EA9A3A">
                  <w:pPr>
                    <w:keepNext w:val="0"/>
                    <w:keepLines w:val="0"/>
                    <w:suppressLineNumbers w:val="0"/>
                    <w:shd w:val="clear" w:color="auto" w:fill="auto"/>
                    <w:spacing w:before="0" w:beforeAutospacing="0" w:after="0" w:afterAutospacing="0" w:line="240" w:lineRule="auto"/>
                    <w:ind w:left="0" w:right="0" w:firstLine="0" w:firstLineChars="0"/>
                    <w:jc w:val="center"/>
                    <w:rPr>
                      <w:rFonts w:hint="default"/>
                      <w:bCs/>
                      <w:color w:val="auto"/>
                      <w:sz w:val="21"/>
                      <w:szCs w:val="21"/>
                      <w:highlight w:val="none"/>
                    </w:rPr>
                  </w:pPr>
                  <w:r>
                    <w:rPr>
                      <w:rFonts w:hint="eastAsia"/>
                      <w:bCs/>
                      <w:color w:val="auto"/>
                      <w:sz w:val="21"/>
                      <w:szCs w:val="21"/>
                      <w:highlight w:val="none"/>
                    </w:rPr>
                    <w:t>1</w:t>
                  </w:r>
                </w:p>
              </w:tc>
              <w:tc>
                <w:tcPr>
                  <w:tcW w:w="2552" w:type="pct"/>
                  <w:vMerge w:val="restart"/>
                  <w:tcBorders>
                    <w:right w:val="single" w:color="auto" w:sz="4" w:space="0"/>
                  </w:tcBorders>
                  <w:noWrap w:val="0"/>
                  <w:vAlign w:val="center"/>
                </w:tcPr>
                <w:p w14:paraId="5A292D94">
                  <w:pPr>
                    <w:keepNext w:val="0"/>
                    <w:keepLines w:val="0"/>
                    <w:suppressLineNumbers w:val="0"/>
                    <w:shd w:val="clear" w:color="auto" w:fill="auto"/>
                    <w:spacing w:before="0" w:beforeAutospacing="0" w:after="0" w:afterAutospacing="0" w:line="240" w:lineRule="auto"/>
                    <w:ind w:left="0" w:right="0" w:firstLine="0" w:firstLineChars="0"/>
                    <w:jc w:val="center"/>
                    <w:rPr>
                      <w:rFonts w:hint="eastAsia"/>
                      <w:bCs/>
                      <w:color w:val="auto"/>
                      <w:sz w:val="21"/>
                      <w:szCs w:val="21"/>
                      <w:highlight w:val="none"/>
                    </w:rPr>
                  </w:pPr>
                  <w:r>
                    <w:rPr>
                      <w:rFonts w:hint="default"/>
                      <w:bCs/>
                      <w:color w:val="auto"/>
                      <w:sz w:val="21"/>
                      <w:szCs w:val="21"/>
                      <w:highlight w:val="none"/>
                    </w:rPr>
                    <w:t>金山工业园污水处理厂</w:t>
                  </w:r>
                  <w:r>
                    <w:rPr>
                      <w:rFonts w:hint="eastAsia"/>
                      <w:bCs/>
                      <w:color w:val="auto"/>
                      <w:sz w:val="21"/>
                      <w:szCs w:val="21"/>
                      <w:highlight w:val="none"/>
                    </w:rPr>
                    <w:t>接管标准</w:t>
                  </w:r>
                </w:p>
              </w:tc>
              <w:tc>
                <w:tcPr>
                  <w:tcW w:w="813" w:type="pct"/>
                  <w:tcBorders>
                    <w:left w:val="single" w:color="auto" w:sz="4" w:space="0"/>
                  </w:tcBorders>
                  <w:noWrap w:val="0"/>
                  <w:vAlign w:val="center"/>
                </w:tcPr>
                <w:p w14:paraId="2E9C53D9">
                  <w:pPr>
                    <w:keepNext w:val="0"/>
                    <w:keepLines w:val="0"/>
                    <w:suppressLineNumbers w:val="0"/>
                    <w:shd w:val="clear" w:color="auto" w:fill="auto"/>
                    <w:spacing w:before="0" w:beforeAutospacing="0" w:after="0" w:afterAutospacing="0" w:line="240" w:lineRule="auto"/>
                    <w:ind w:left="0" w:right="0" w:firstLine="0" w:firstLineChars="0"/>
                    <w:jc w:val="center"/>
                    <w:rPr>
                      <w:rFonts w:hint="default"/>
                      <w:bCs/>
                      <w:color w:val="auto"/>
                      <w:sz w:val="21"/>
                      <w:szCs w:val="21"/>
                      <w:highlight w:val="none"/>
                    </w:rPr>
                  </w:pPr>
                  <w:r>
                    <w:rPr>
                      <w:rFonts w:hint="default"/>
                      <w:bCs/>
                      <w:color w:val="auto"/>
                      <w:sz w:val="21"/>
                      <w:szCs w:val="21"/>
                      <w:highlight w:val="none"/>
                    </w:rPr>
                    <w:t>COD</w:t>
                  </w:r>
                  <w:r>
                    <w:rPr>
                      <w:rFonts w:hint="eastAsia"/>
                      <w:bCs/>
                      <w:color w:val="auto"/>
                      <w:sz w:val="21"/>
                      <w:szCs w:val="21"/>
                      <w:highlight w:val="none"/>
                      <w:vertAlign w:val="subscript"/>
                    </w:rPr>
                    <w:t>C</w:t>
                  </w:r>
                  <w:r>
                    <w:rPr>
                      <w:rFonts w:hint="default"/>
                      <w:bCs/>
                      <w:color w:val="auto"/>
                      <w:sz w:val="21"/>
                      <w:szCs w:val="21"/>
                      <w:highlight w:val="none"/>
                      <w:vertAlign w:val="subscript"/>
                    </w:rPr>
                    <w:t>r</w:t>
                  </w:r>
                </w:p>
              </w:tc>
              <w:tc>
                <w:tcPr>
                  <w:tcW w:w="1097" w:type="pct"/>
                  <w:noWrap w:val="0"/>
                  <w:vAlign w:val="center"/>
                </w:tcPr>
                <w:p w14:paraId="5960482F">
                  <w:pPr>
                    <w:keepNext w:val="0"/>
                    <w:keepLines w:val="0"/>
                    <w:suppressLineNumbers w:val="0"/>
                    <w:shd w:val="clear" w:color="auto" w:fill="auto"/>
                    <w:spacing w:before="0" w:beforeAutospacing="0" w:after="0" w:afterAutospacing="0" w:line="240" w:lineRule="auto"/>
                    <w:ind w:left="0" w:right="0" w:firstLine="0" w:firstLineChars="0"/>
                    <w:jc w:val="center"/>
                    <w:rPr>
                      <w:rFonts w:hint="default"/>
                      <w:bCs/>
                      <w:color w:val="auto"/>
                      <w:sz w:val="21"/>
                      <w:szCs w:val="21"/>
                      <w:highlight w:val="none"/>
                    </w:rPr>
                  </w:pPr>
                  <w:r>
                    <w:rPr>
                      <w:rFonts w:hint="eastAsia"/>
                      <w:bCs/>
                      <w:color w:val="auto"/>
                      <w:sz w:val="21"/>
                      <w:szCs w:val="21"/>
                      <w:highlight w:val="none"/>
                    </w:rPr>
                    <w:t>500</w:t>
                  </w:r>
                </w:p>
              </w:tc>
            </w:tr>
            <w:tr w14:paraId="63776CF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72" w:hRule="atLeast"/>
              </w:trPr>
              <w:tc>
                <w:tcPr>
                  <w:tcW w:w="536" w:type="pct"/>
                  <w:noWrap w:val="0"/>
                  <w:vAlign w:val="center"/>
                </w:tcPr>
                <w:p w14:paraId="3A418AC2">
                  <w:pPr>
                    <w:keepNext w:val="0"/>
                    <w:keepLines w:val="0"/>
                    <w:suppressLineNumbers w:val="0"/>
                    <w:shd w:val="clear" w:color="auto" w:fill="auto"/>
                    <w:spacing w:before="0" w:beforeAutospacing="0" w:after="0" w:afterAutospacing="0" w:line="240" w:lineRule="auto"/>
                    <w:ind w:left="0" w:right="0" w:firstLine="0" w:firstLineChars="0"/>
                    <w:jc w:val="center"/>
                    <w:rPr>
                      <w:rFonts w:hint="default"/>
                      <w:bCs/>
                      <w:color w:val="auto"/>
                      <w:sz w:val="21"/>
                      <w:szCs w:val="21"/>
                      <w:highlight w:val="none"/>
                    </w:rPr>
                  </w:pPr>
                  <w:r>
                    <w:rPr>
                      <w:rFonts w:hint="eastAsia"/>
                      <w:bCs/>
                      <w:color w:val="auto"/>
                      <w:sz w:val="21"/>
                      <w:szCs w:val="21"/>
                      <w:highlight w:val="none"/>
                    </w:rPr>
                    <w:t>2</w:t>
                  </w:r>
                </w:p>
              </w:tc>
              <w:tc>
                <w:tcPr>
                  <w:tcW w:w="2552" w:type="pct"/>
                  <w:vMerge w:val="continue"/>
                  <w:tcBorders>
                    <w:right w:val="single" w:color="auto" w:sz="4" w:space="0"/>
                  </w:tcBorders>
                  <w:noWrap w:val="0"/>
                  <w:vAlign w:val="center"/>
                </w:tcPr>
                <w:p w14:paraId="576D2CCD">
                  <w:pPr>
                    <w:keepNext w:val="0"/>
                    <w:keepLines w:val="0"/>
                    <w:suppressLineNumbers w:val="0"/>
                    <w:shd w:val="clear" w:color="auto" w:fill="auto"/>
                    <w:spacing w:before="0" w:beforeAutospacing="0" w:after="0" w:afterAutospacing="0" w:line="240" w:lineRule="auto"/>
                    <w:ind w:left="0" w:right="0" w:firstLine="0" w:firstLineChars="0"/>
                    <w:jc w:val="center"/>
                    <w:rPr>
                      <w:rFonts w:hint="default"/>
                      <w:bCs/>
                      <w:color w:val="auto"/>
                      <w:sz w:val="21"/>
                      <w:szCs w:val="21"/>
                      <w:highlight w:val="none"/>
                    </w:rPr>
                  </w:pPr>
                </w:p>
              </w:tc>
              <w:tc>
                <w:tcPr>
                  <w:tcW w:w="813" w:type="pct"/>
                  <w:tcBorders>
                    <w:left w:val="single" w:color="auto" w:sz="4" w:space="0"/>
                  </w:tcBorders>
                  <w:noWrap w:val="0"/>
                  <w:vAlign w:val="center"/>
                </w:tcPr>
                <w:p w14:paraId="0C52BFF8">
                  <w:pPr>
                    <w:keepNext w:val="0"/>
                    <w:keepLines w:val="0"/>
                    <w:suppressLineNumbers w:val="0"/>
                    <w:shd w:val="clear" w:color="auto" w:fill="auto"/>
                    <w:spacing w:before="0" w:beforeAutospacing="0" w:after="0" w:afterAutospacing="0" w:line="240" w:lineRule="auto"/>
                    <w:ind w:left="0" w:right="0" w:firstLine="0" w:firstLineChars="0"/>
                    <w:jc w:val="center"/>
                    <w:rPr>
                      <w:rFonts w:hint="default"/>
                      <w:bCs/>
                      <w:color w:val="auto"/>
                      <w:sz w:val="21"/>
                      <w:szCs w:val="21"/>
                      <w:highlight w:val="none"/>
                    </w:rPr>
                  </w:pPr>
                  <w:r>
                    <w:rPr>
                      <w:rFonts w:hint="default"/>
                      <w:bCs/>
                      <w:color w:val="auto"/>
                      <w:sz w:val="21"/>
                      <w:szCs w:val="21"/>
                      <w:highlight w:val="none"/>
                    </w:rPr>
                    <w:t>SS</w:t>
                  </w:r>
                </w:p>
              </w:tc>
              <w:tc>
                <w:tcPr>
                  <w:tcW w:w="1097" w:type="pct"/>
                  <w:noWrap w:val="0"/>
                  <w:vAlign w:val="center"/>
                </w:tcPr>
                <w:p w14:paraId="34BEA802">
                  <w:pPr>
                    <w:keepNext w:val="0"/>
                    <w:keepLines w:val="0"/>
                    <w:suppressLineNumbers w:val="0"/>
                    <w:shd w:val="clear" w:color="auto" w:fill="auto"/>
                    <w:spacing w:before="0" w:beforeAutospacing="0" w:after="0" w:afterAutospacing="0" w:line="240" w:lineRule="auto"/>
                    <w:ind w:left="0" w:right="0" w:firstLine="0" w:firstLineChars="0"/>
                    <w:jc w:val="center"/>
                    <w:rPr>
                      <w:rFonts w:hint="default"/>
                      <w:bCs/>
                      <w:color w:val="auto"/>
                      <w:sz w:val="21"/>
                      <w:szCs w:val="21"/>
                      <w:highlight w:val="none"/>
                    </w:rPr>
                  </w:pPr>
                  <w:r>
                    <w:rPr>
                      <w:rFonts w:hint="eastAsia"/>
                      <w:bCs/>
                      <w:color w:val="auto"/>
                      <w:sz w:val="21"/>
                      <w:szCs w:val="21"/>
                      <w:highlight w:val="none"/>
                    </w:rPr>
                    <w:t>400</w:t>
                  </w:r>
                </w:p>
              </w:tc>
            </w:tr>
            <w:tr w14:paraId="5FB3F09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72" w:hRule="atLeast"/>
              </w:trPr>
              <w:tc>
                <w:tcPr>
                  <w:tcW w:w="536" w:type="pct"/>
                  <w:noWrap w:val="0"/>
                  <w:vAlign w:val="center"/>
                </w:tcPr>
                <w:p w14:paraId="1F8B550B">
                  <w:pPr>
                    <w:keepNext w:val="0"/>
                    <w:keepLines w:val="0"/>
                    <w:suppressLineNumbers w:val="0"/>
                    <w:shd w:val="clear" w:color="auto" w:fill="auto"/>
                    <w:spacing w:before="0" w:beforeAutospacing="0" w:after="0" w:afterAutospacing="0" w:line="240" w:lineRule="auto"/>
                    <w:ind w:left="0" w:right="0" w:firstLine="0" w:firstLineChars="0"/>
                    <w:jc w:val="center"/>
                    <w:rPr>
                      <w:rFonts w:hint="default"/>
                      <w:bCs/>
                      <w:color w:val="auto"/>
                      <w:sz w:val="21"/>
                      <w:szCs w:val="21"/>
                      <w:highlight w:val="none"/>
                    </w:rPr>
                  </w:pPr>
                  <w:r>
                    <w:rPr>
                      <w:rFonts w:hint="eastAsia"/>
                      <w:bCs/>
                      <w:color w:val="auto"/>
                      <w:sz w:val="21"/>
                      <w:szCs w:val="21"/>
                      <w:highlight w:val="none"/>
                    </w:rPr>
                    <w:t>3</w:t>
                  </w:r>
                </w:p>
              </w:tc>
              <w:tc>
                <w:tcPr>
                  <w:tcW w:w="2552" w:type="pct"/>
                  <w:vMerge w:val="continue"/>
                  <w:tcBorders>
                    <w:right w:val="single" w:color="auto" w:sz="4" w:space="0"/>
                  </w:tcBorders>
                  <w:noWrap w:val="0"/>
                  <w:vAlign w:val="center"/>
                </w:tcPr>
                <w:p w14:paraId="0C41C5FB">
                  <w:pPr>
                    <w:keepNext w:val="0"/>
                    <w:keepLines w:val="0"/>
                    <w:suppressLineNumbers w:val="0"/>
                    <w:shd w:val="clear" w:color="auto" w:fill="auto"/>
                    <w:spacing w:before="0" w:beforeAutospacing="0" w:after="0" w:afterAutospacing="0" w:line="240" w:lineRule="auto"/>
                    <w:ind w:left="0" w:right="0" w:firstLine="0" w:firstLineChars="0"/>
                    <w:jc w:val="center"/>
                    <w:rPr>
                      <w:rFonts w:hint="default"/>
                      <w:bCs/>
                      <w:color w:val="auto"/>
                      <w:sz w:val="21"/>
                      <w:szCs w:val="21"/>
                      <w:highlight w:val="none"/>
                    </w:rPr>
                  </w:pPr>
                </w:p>
              </w:tc>
              <w:tc>
                <w:tcPr>
                  <w:tcW w:w="813" w:type="pct"/>
                  <w:tcBorders>
                    <w:left w:val="single" w:color="auto" w:sz="4" w:space="0"/>
                  </w:tcBorders>
                  <w:noWrap w:val="0"/>
                  <w:vAlign w:val="center"/>
                </w:tcPr>
                <w:p w14:paraId="708036D2">
                  <w:pPr>
                    <w:keepNext w:val="0"/>
                    <w:keepLines w:val="0"/>
                    <w:suppressLineNumbers w:val="0"/>
                    <w:shd w:val="clear" w:color="auto" w:fill="auto"/>
                    <w:spacing w:before="0" w:beforeAutospacing="0" w:after="0" w:afterAutospacing="0" w:line="240" w:lineRule="auto"/>
                    <w:ind w:left="0" w:right="0" w:firstLine="0" w:firstLineChars="0"/>
                    <w:jc w:val="center"/>
                    <w:rPr>
                      <w:rFonts w:hint="default"/>
                      <w:bCs/>
                      <w:color w:val="auto"/>
                      <w:sz w:val="21"/>
                      <w:szCs w:val="21"/>
                      <w:highlight w:val="none"/>
                    </w:rPr>
                  </w:pPr>
                  <w:r>
                    <w:rPr>
                      <w:rFonts w:hint="default"/>
                      <w:bCs/>
                      <w:color w:val="auto"/>
                      <w:sz w:val="21"/>
                      <w:szCs w:val="21"/>
                      <w:highlight w:val="none"/>
                    </w:rPr>
                    <w:t>氨氮</w:t>
                  </w:r>
                </w:p>
              </w:tc>
              <w:tc>
                <w:tcPr>
                  <w:tcW w:w="1097" w:type="pct"/>
                  <w:noWrap w:val="0"/>
                  <w:vAlign w:val="center"/>
                </w:tcPr>
                <w:p w14:paraId="384D0B4A">
                  <w:pPr>
                    <w:keepNext w:val="0"/>
                    <w:keepLines w:val="0"/>
                    <w:suppressLineNumbers w:val="0"/>
                    <w:shd w:val="clear" w:color="auto" w:fill="auto"/>
                    <w:spacing w:before="0" w:beforeAutospacing="0" w:after="0" w:afterAutospacing="0" w:line="240" w:lineRule="auto"/>
                    <w:ind w:left="0" w:right="0" w:firstLine="0" w:firstLineChars="0"/>
                    <w:jc w:val="center"/>
                    <w:rPr>
                      <w:rFonts w:hint="default" w:eastAsia="宋体"/>
                      <w:bCs/>
                      <w:color w:val="auto"/>
                      <w:sz w:val="21"/>
                      <w:szCs w:val="21"/>
                      <w:highlight w:val="none"/>
                      <w:lang w:val="en-US" w:eastAsia="zh-CN"/>
                    </w:rPr>
                  </w:pPr>
                  <w:r>
                    <w:rPr>
                      <w:rFonts w:hint="eastAsia"/>
                      <w:bCs/>
                      <w:color w:val="auto"/>
                      <w:sz w:val="21"/>
                      <w:szCs w:val="21"/>
                      <w:highlight w:val="none"/>
                      <w:lang w:val="en-US" w:eastAsia="zh-CN"/>
                    </w:rPr>
                    <w:t>50</w:t>
                  </w:r>
                </w:p>
              </w:tc>
            </w:tr>
            <w:tr w14:paraId="4394312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44" w:hRule="atLeast"/>
              </w:trPr>
              <w:tc>
                <w:tcPr>
                  <w:tcW w:w="536" w:type="pct"/>
                  <w:noWrap w:val="0"/>
                  <w:vAlign w:val="center"/>
                </w:tcPr>
                <w:p w14:paraId="04C139DA">
                  <w:pPr>
                    <w:keepNext w:val="0"/>
                    <w:keepLines w:val="0"/>
                    <w:suppressLineNumbers w:val="0"/>
                    <w:shd w:val="clear" w:color="auto" w:fill="auto"/>
                    <w:spacing w:before="0" w:beforeAutospacing="0" w:after="0" w:afterAutospacing="0" w:line="240" w:lineRule="auto"/>
                    <w:ind w:left="0" w:right="0" w:firstLine="0" w:firstLineChars="0"/>
                    <w:jc w:val="center"/>
                    <w:rPr>
                      <w:rFonts w:hint="default"/>
                      <w:bCs/>
                      <w:color w:val="auto"/>
                      <w:sz w:val="21"/>
                      <w:szCs w:val="21"/>
                      <w:highlight w:val="none"/>
                    </w:rPr>
                  </w:pPr>
                  <w:r>
                    <w:rPr>
                      <w:rFonts w:hint="eastAsia"/>
                      <w:bCs/>
                      <w:color w:val="auto"/>
                      <w:sz w:val="21"/>
                      <w:szCs w:val="21"/>
                      <w:highlight w:val="none"/>
                    </w:rPr>
                    <w:t>4</w:t>
                  </w:r>
                </w:p>
              </w:tc>
              <w:tc>
                <w:tcPr>
                  <w:tcW w:w="2552" w:type="pct"/>
                  <w:vMerge w:val="continue"/>
                  <w:tcBorders>
                    <w:right w:val="single" w:color="auto" w:sz="4" w:space="0"/>
                  </w:tcBorders>
                  <w:noWrap w:val="0"/>
                  <w:vAlign w:val="center"/>
                </w:tcPr>
                <w:p w14:paraId="62E28984">
                  <w:pPr>
                    <w:keepNext w:val="0"/>
                    <w:keepLines w:val="0"/>
                    <w:suppressLineNumbers w:val="0"/>
                    <w:shd w:val="clear" w:color="auto" w:fill="auto"/>
                    <w:spacing w:before="0" w:beforeAutospacing="0" w:after="0" w:afterAutospacing="0" w:line="240" w:lineRule="auto"/>
                    <w:ind w:left="0" w:right="0" w:firstLine="0" w:firstLineChars="0"/>
                    <w:jc w:val="center"/>
                    <w:rPr>
                      <w:rFonts w:hint="default"/>
                      <w:bCs/>
                      <w:color w:val="auto"/>
                      <w:sz w:val="21"/>
                      <w:szCs w:val="21"/>
                      <w:highlight w:val="none"/>
                    </w:rPr>
                  </w:pPr>
                </w:p>
              </w:tc>
              <w:tc>
                <w:tcPr>
                  <w:tcW w:w="813" w:type="pct"/>
                  <w:tcBorders>
                    <w:left w:val="single" w:color="auto" w:sz="4" w:space="0"/>
                  </w:tcBorders>
                  <w:noWrap w:val="0"/>
                  <w:vAlign w:val="center"/>
                </w:tcPr>
                <w:p w14:paraId="3A3A3E2A">
                  <w:pPr>
                    <w:keepNext w:val="0"/>
                    <w:keepLines w:val="0"/>
                    <w:suppressLineNumbers w:val="0"/>
                    <w:shd w:val="clear" w:color="auto" w:fill="auto"/>
                    <w:spacing w:before="0" w:beforeAutospacing="0" w:after="0" w:afterAutospacing="0" w:line="240" w:lineRule="auto"/>
                    <w:ind w:left="0" w:right="0" w:firstLine="0" w:firstLineChars="0"/>
                    <w:jc w:val="center"/>
                    <w:rPr>
                      <w:rFonts w:hint="default"/>
                      <w:bCs/>
                      <w:color w:val="auto"/>
                      <w:sz w:val="21"/>
                      <w:szCs w:val="21"/>
                      <w:highlight w:val="none"/>
                    </w:rPr>
                  </w:pPr>
                  <w:r>
                    <w:rPr>
                      <w:rFonts w:hint="default"/>
                      <w:bCs/>
                      <w:color w:val="auto"/>
                      <w:sz w:val="21"/>
                      <w:szCs w:val="21"/>
                      <w:highlight w:val="none"/>
                    </w:rPr>
                    <w:t>TP</w:t>
                  </w:r>
                </w:p>
              </w:tc>
              <w:tc>
                <w:tcPr>
                  <w:tcW w:w="1097" w:type="pct"/>
                  <w:noWrap w:val="0"/>
                  <w:vAlign w:val="center"/>
                </w:tcPr>
                <w:p w14:paraId="3EFBCAB8">
                  <w:pPr>
                    <w:keepNext w:val="0"/>
                    <w:keepLines w:val="0"/>
                    <w:suppressLineNumbers w:val="0"/>
                    <w:shd w:val="clear" w:color="auto" w:fill="auto"/>
                    <w:spacing w:before="0" w:beforeAutospacing="0" w:after="0" w:afterAutospacing="0" w:line="240" w:lineRule="auto"/>
                    <w:ind w:left="0" w:right="0" w:firstLine="0" w:firstLineChars="0"/>
                    <w:jc w:val="center"/>
                    <w:rPr>
                      <w:rFonts w:hint="default"/>
                      <w:bCs/>
                      <w:color w:val="auto"/>
                      <w:sz w:val="21"/>
                      <w:szCs w:val="21"/>
                      <w:highlight w:val="none"/>
                    </w:rPr>
                  </w:pPr>
                  <w:r>
                    <w:rPr>
                      <w:rFonts w:hint="eastAsia"/>
                      <w:bCs/>
                      <w:color w:val="auto"/>
                      <w:sz w:val="21"/>
                      <w:szCs w:val="21"/>
                      <w:highlight w:val="none"/>
                    </w:rPr>
                    <w:t>8</w:t>
                  </w:r>
                </w:p>
              </w:tc>
            </w:tr>
            <w:tr w14:paraId="15DC452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44" w:hRule="atLeast"/>
              </w:trPr>
              <w:tc>
                <w:tcPr>
                  <w:tcW w:w="536" w:type="pct"/>
                  <w:noWrap w:val="0"/>
                  <w:vAlign w:val="center"/>
                </w:tcPr>
                <w:p w14:paraId="7F7B3085">
                  <w:pPr>
                    <w:keepNext w:val="0"/>
                    <w:keepLines w:val="0"/>
                    <w:suppressLineNumbers w:val="0"/>
                    <w:shd w:val="clear" w:color="auto" w:fill="auto"/>
                    <w:spacing w:before="0" w:beforeAutospacing="0" w:after="0" w:afterAutospacing="0" w:line="240" w:lineRule="auto"/>
                    <w:ind w:left="0" w:right="0" w:firstLine="0" w:firstLineChars="0"/>
                    <w:jc w:val="center"/>
                    <w:rPr>
                      <w:rFonts w:hint="eastAsia"/>
                      <w:bCs/>
                      <w:color w:val="auto"/>
                      <w:sz w:val="21"/>
                      <w:szCs w:val="21"/>
                      <w:highlight w:val="none"/>
                    </w:rPr>
                  </w:pPr>
                </w:p>
              </w:tc>
              <w:tc>
                <w:tcPr>
                  <w:tcW w:w="2552" w:type="pct"/>
                  <w:vMerge w:val="continue"/>
                  <w:tcBorders>
                    <w:right w:val="single" w:color="auto" w:sz="4" w:space="0"/>
                  </w:tcBorders>
                  <w:noWrap w:val="0"/>
                  <w:vAlign w:val="center"/>
                </w:tcPr>
                <w:p w14:paraId="697EFABF">
                  <w:pPr>
                    <w:keepNext w:val="0"/>
                    <w:keepLines w:val="0"/>
                    <w:suppressLineNumbers w:val="0"/>
                    <w:shd w:val="clear" w:color="auto" w:fill="auto"/>
                    <w:spacing w:before="0" w:beforeAutospacing="0" w:after="0" w:afterAutospacing="0" w:line="240" w:lineRule="auto"/>
                    <w:ind w:left="0" w:right="0" w:firstLine="0" w:firstLineChars="0"/>
                    <w:jc w:val="center"/>
                    <w:rPr>
                      <w:rFonts w:hint="default"/>
                      <w:bCs/>
                      <w:color w:val="auto"/>
                      <w:sz w:val="21"/>
                      <w:szCs w:val="21"/>
                      <w:highlight w:val="none"/>
                    </w:rPr>
                  </w:pPr>
                </w:p>
              </w:tc>
              <w:tc>
                <w:tcPr>
                  <w:tcW w:w="813" w:type="pct"/>
                  <w:tcBorders>
                    <w:left w:val="single" w:color="auto" w:sz="4" w:space="0"/>
                  </w:tcBorders>
                  <w:noWrap w:val="0"/>
                  <w:vAlign w:val="center"/>
                </w:tcPr>
                <w:p w14:paraId="1CD7B9FD">
                  <w:pPr>
                    <w:keepNext w:val="0"/>
                    <w:keepLines w:val="0"/>
                    <w:suppressLineNumbers w:val="0"/>
                    <w:shd w:val="clear" w:color="auto" w:fill="auto"/>
                    <w:spacing w:before="0" w:beforeAutospacing="0" w:after="0" w:afterAutospacing="0" w:line="240" w:lineRule="auto"/>
                    <w:ind w:left="0" w:right="0" w:firstLine="0" w:firstLineChars="0"/>
                    <w:jc w:val="center"/>
                    <w:rPr>
                      <w:rFonts w:hint="default" w:eastAsia="宋体"/>
                      <w:bCs/>
                      <w:color w:val="auto"/>
                      <w:sz w:val="21"/>
                      <w:szCs w:val="21"/>
                      <w:highlight w:val="none"/>
                      <w:lang w:val="en-US" w:eastAsia="zh-CN"/>
                    </w:rPr>
                  </w:pPr>
                  <w:r>
                    <w:rPr>
                      <w:rFonts w:hint="eastAsia"/>
                      <w:bCs/>
                      <w:color w:val="auto"/>
                      <w:sz w:val="21"/>
                      <w:szCs w:val="21"/>
                      <w:highlight w:val="none"/>
                      <w:lang w:val="en-US" w:eastAsia="zh-CN"/>
                    </w:rPr>
                    <w:t>TN</w:t>
                  </w:r>
                </w:p>
              </w:tc>
              <w:tc>
                <w:tcPr>
                  <w:tcW w:w="1097" w:type="pct"/>
                  <w:noWrap w:val="0"/>
                  <w:vAlign w:val="center"/>
                </w:tcPr>
                <w:p w14:paraId="319954FF">
                  <w:pPr>
                    <w:keepNext w:val="0"/>
                    <w:keepLines w:val="0"/>
                    <w:suppressLineNumbers w:val="0"/>
                    <w:shd w:val="clear" w:color="auto" w:fill="auto"/>
                    <w:spacing w:before="0" w:beforeAutospacing="0" w:after="0" w:afterAutospacing="0" w:line="240" w:lineRule="auto"/>
                    <w:ind w:left="0" w:right="0" w:firstLine="0" w:firstLineChars="0"/>
                    <w:jc w:val="center"/>
                    <w:rPr>
                      <w:rFonts w:hint="default" w:eastAsia="宋体"/>
                      <w:bCs/>
                      <w:color w:val="auto"/>
                      <w:sz w:val="21"/>
                      <w:szCs w:val="21"/>
                      <w:highlight w:val="none"/>
                      <w:lang w:val="en-US" w:eastAsia="zh-CN"/>
                    </w:rPr>
                  </w:pPr>
                  <w:r>
                    <w:rPr>
                      <w:rFonts w:hint="eastAsia"/>
                      <w:bCs/>
                      <w:color w:val="auto"/>
                      <w:sz w:val="21"/>
                      <w:szCs w:val="21"/>
                      <w:highlight w:val="none"/>
                      <w:lang w:val="en-US" w:eastAsia="zh-CN"/>
                    </w:rPr>
                    <w:t>70</w:t>
                  </w:r>
                </w:p>
              </w:tc>
            </w:tr>
            <w:tr w14:paraId="0703115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72" w:hRule="atLeast"/>
              </w:trPr>
              <w:tc>
                <w:tcPr>
                  <w:tcW w:w="536" w:type="pct"/>
                  <w:noWrap w:val="0"/>
                  <w:vAlign w:val="center"/>
                </w:tcPr>
                <w:p w14:paraId="40E95117">
                  <w:pPr>
                    <w:keepNext w:val="0"/>
                    <w:keepLines w:val="0"/>
                    <w:suppressLineNumbers w:val="0"/>
                    <w:shd w:val="clear" w:color="auto" w:fill="auto"/>
                    <w:spacing w:before="0" w:beforeAutospacing="0" w:after="0" w:afterAutospacing="0" w:line="240" w:lineRule="auto"/>
                    <w:ind w:left="0" w:right="0" w:firstLine="0" w:firstLineChars="0"/>
                    <w:jc w:val="center"/>
                    <w:rPr>
                      <w:rFonts w:hint="eastAsia" w:eastAsia="宋体"/>
                      <w:bCs/>
                      <w:color w:val="auto"/>
                      <w:sz w:val="21"/>
                      <w:szCs w:val="21"/>
                      <w:highlight w:val="none"/>
                      <w:lang w:val="en-US" w:eastAsia="zh-CN"/>
                    </w:rPr>
                  </w:pPr>
                  <w:r>
                    <w:rPr>
                      <w:rFonts w:hint="eastAsia"/>
                      <w:bCs/>
                      <w:color w:val="auto"/>
                      <w:sz w:val="21"/>
                      <w:szCs w:val="21"/>
                      <w:highlight w:val="none"/>
                      <w:lang w:val="en-US" w:eastAsia="zh-CN"/>
                    </w:rPr>
                    <w:t>5</w:t>
                  </w:r>
                </w:p>
              </w:tc>
              <w:tc>
                <w:tcPr>
                  <w:tcW w:w="2552" w:type="pct"/>
                  <w:vMerge w:val="continue"/>
                  <w:tcBorders>
                    <w:right w:val="single" w:color="auto" w:sz="4" w:space="0"/>
                  </w:tcBorders>
                  <w:noWrap w:val="0"/>
                  <w:vAlign w:val="center"/>
                </w:tcPr>
                <w:p w14:paraId="6B95AF25">
                  <w:pPr>
                    <w:keepNext w:val="0"/>
                    <w:keepLines w:val="0"/>
                    <w:suppressLineNumbers w:val="0"/>
                    <w:shd w:val="clear" w:color="auto" w:fill="auto"/>
                    <w:spacing w:before="0" w:beforeAutospacing="0" w:after="0" w:afterAutospacing="0" w:line="240" w:lineRule="auto"/>
                    <w:ind w:left="0" w:right="0" w:firstLine="0" w:firstLineChars="0"/>
                    <w:jc w:val="center"/>
                    <w:rPr>
                      <w:rFonts w:hint="default"/>
                      <w:bCs/>
                      <w:color w:val="auto"/>
                      <w:sz w:val="21"/>
                      <w:szCs w:val="21"/>
                      <w:highlight w:val="none"/>
                    </w:rPr>
                  </w:pPr>
                </w:p>
              </w:tc>
              <w:tc>
                <w:tcPr>
                  <w:tcW w:w="813" w:type="pct"/>
                  <w:tcBorders>
                    <w:left w:val="single" w:color="auto" w:sz="4" w:space="0"/>
                  </w:tcBorders>
                  <w:noWrap w:val="0"/>
                  <w:vAlign w:val="center"/>
                </w:tcPr>
                <w:p w14:paraId="5A8A74F5">
                  <w:pPr>
                    <w:keepNext w:val="0"/>
                    <w:keepLines w:val="0"/>
                    <w:suppressLineNumbers w:val="0"/>
                    <w:shd w:val="clear" w:color="auto" w:fill="auto"/>
                    <w:spacing w:before="0" w:beforeAutospacing="0" w:after="0" w:afterAutospacing="0" w:line="240" w:lineRule="auto"/>
                    <w:ind w:left="0" w:right="0" w:firstLine="0" w:firstLineChars="0"/>
                    <w:jc w:val="center"/>
                    <w:rPr>
                      <w:rFonts w:hint="eastAsia"/>
                      <w:bCs/>
                      <w:color w:val="auto"/>
                      <w:sz w:val="21"/>
                      <w:szCs w:val="21"/>
                      <w:highlight w:val="none"/>
                    </w:rPr>
                  </w:pPr>
                  <w:r>
                    <w:rPr>
                      <w:rFonts w:hint="eastAsia"/>
                      <w:bCs/>
                      <w:color w:val="auto"/>
                      <w:sz w:val="21"/>
                      <w:szCs w:val="21"/>
                      <w:highlight w:val="none"/>
                    </w:rPr>
                    <w:t>BOD</w:t>
                  </w:r>
                  <w:r>
                    <w:rPr>
                      <w:rFonts w:hint="eastAsia"/>
                      <w:bCs/>
                      <w:color w:val="auto"/>
                      <w:sz w:val="21"/>
                      <w:szCs w:val="21"/>
                      <w:highlight w:val="none"/>
                      <w:vertAlign w:val="subscript"/>
                    </w:rPr>
                    <w:t>5</w:t>
                  </w:r>
                </w:p>
              </w:tc>
              <w:tc>
                <w:tcPr>
                  <w:tcW w:w="1097" w:type="pct"/>
                  <w:noWrap w:val="0"/>
                  <w:vAlign w:val="center"/>
                </w:tcPr>
                <w:p w14:paraId="42A683D6">
                  <w:pPr>
                    <w:keepNext w:val="0"/>
                    <w:keepLines w:val="0"/>
                    <w:suppressLineNumbers w:val="0"/>
                    <w:shd w:val="clear" w:color="auto" w:fill="auto"/>
                    <w:spacing w:before="0" w:beforeAutospacing="0" w:after="0" w:afterAutospacing="0" w:line="240" w:lineRule="auto"/>
                    <w:ind w:left="0" w:right="0" w:firstLine="0" w:firstLineChars="0"/>
                    <w:jc w:val="center"/>
                    <w:rPr>
                      <w:rFonts w:hint="default"/>
                      <w:bCs/>
                      <w:color w:val="auto"/>
                      <w:sz w:val="21"/>
                      <w:szCs w:val="21"/>
                      <w:highlight w:val="none"/>
                    </w:rPr>
                  </w:pPr>
                  <w:r>
                    <w:rPr>
                      <w:rFonts w:hint="eastAsia"/>
                      <w:bCs/>
                      <w:color w:val="auto"/>
                      <w:sz w:val="21"/>
                      <w:szCs w:val="21"/>
                      <w:highlight w:val="none"/>
                    </w:rPr>
                    <w:t>300</w:t>
                  </w:r>
                </w:p>
              </w:tc>
            </w:tr>
            <w:tr w14:paraId="4D227D7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72" w:hRule="atLeast"/>
              </w:trPr>
              <w:tc>
                <w:tcPr>
                  <w:tcW w:w="536" w:type="pct"/>
                  <w:shd w:val="clear" w:color="auto" w:fill="auto"/>
                  <w:noWrap w:val="0"/>
                  <w:vAlign w:val="center"/>
                </w:tcPr>
                <w:p w14:paraId="564EFC78">
                  <w:pPr>
                    <w:keepNext w:val="0"/>
                    <w:keepLines w:val="0"/>
                    <w:suppressLineNumbers w:val="0"/>
                    <w:shd w:val="clear" w:color="auto" w:fill="auto"/>
                    <w:spacing w:before="0" w:beforeAutospacing="0" w:after="0" w:afterAutospacing="0" w:line="240" w:lineRule="auto"/>
                    <w:ind w:left="0" w:right="0" w:firstLine="0" w:firstLineChars="0"/>
                    <w:jc w:val="center"/>
                    <w:rPr>
                      <w:rFonts w:hint="eastAsia" w:ascii="Times New Roman" w:hAnsi="Times New Roman" w:eastAsia="宋体" w:cs="Times New Roman"/>
                      <w:bCs/>
                      <w:color w:val="auto"/>
                      <w:kern w:val="2"/>
                      <w:sz w:val="21"/>
                      <w:szCs w:val="21"/>
                      <w:highlight w:val="none"/>
                      <w:lang w:val="en-US" w:eastAsia="zh-CN" w:bidi="ar-SA"/>
                    </w:rPr>
                  </w:pPr>
                  <w:r>
                    <w:rPr>
                      <w:rFonts w:hint="eastAsia"/>
                      <w:bCs/>
                      <w:color w:val="auto"/>
                      <w:sz w:val="21"/>
                      <w:szCs w:val="21"/>
                      <w:highlight w:val="none"/>
                    </w:rPr>
                    <w:t>6</w:t>
                  </w:r>
                </w:p>
              </w:tc>
              <w:tc>
                <w:tcPr>
                  <w:tcW w:w="2552" w:type="pct"/>
                  <w:vMerge w:val="continue"/>
                  <w:tcBorders>
                    <w:right w:val="single" w:color="auto" w:sz="4" w:space="0"/>
                  </w:tcBorders>
                  <w:noWrap w:val="0"/>
                  <w:vAlign w:val="center"/>
                </w:tcPr>
                <w:p w14:paraId="01EA8119">
                  <w:pPr>
                    <w:keepNext w:val="0"/>
                    <w:keepLines w:val="0"/>
                    <w:suppressLineNumbers w:val="0"/>
                    <w:shd w:val="clear" w:color="auto" w:fill="auto"/>
                    <w:spacing w:before="0" w:beforeAutospacing="0" w:after="0" w:afterAutospacing="0" w:line="240" w:lineRule="auto"/>
                    <w:ind w:left="0" w:right="0" w:firstLine="0" w:firstLineChars="0"/>
                    <w:jc w:val="center"/>
                    <w:rPr>
                      <w:rFonts w:hint="default"/>
                      <w:bCs/>
                      <w:color w:val="auto"/>
                      <w:sz w:val="21"/>
                      <w:szCs w:val="21"/>
                      <w:highlight w:val="none"/>
                    </w:rPr>
                  </w:pPr>
                </w:p>
              </w:tc>
              <w:tc>
                <w:tcPr>
                  <w:tcW w:w="813" w:type="pct"/>
                  <w:tcBorders>
                    <w:left w:val="single" w:color="auto" w:sz="4" w:space="0"/>
                  </w:tcBorders>
                  <w:noWrap w:val="0"/>
                  <w:vAlign w:val="center"/>
                </w:tcPr>
                <w:p w14:paraId="7BE89AE6">
                  <w:pPr>
                    <w:keepNext w:val="0"/>
                    <w:keepLines w:val="0"/>
                    <w:suppressLineNumbers w:val="0"/>
                    <w:shd w:val="clear" w:color="auto" w:fill="auto"/>
                    <w:spacing w:before="0" w:beforeAutospacing="0" w:after="0" w:afterAutospacing="0" w:line="240" w:lineRule="auto"/>
                    <w:ind w:left="0" w:right="0" w:firstLine="0" w:firstLineChars="0"/>
                    <w:jc w:val="center"/>
                    <w:rPr>
                      <w:rFonts w:hint="eastAsia" w:eastAsia="宋体"/>
                      <w:bCs/>
                      <w:color w:val="auto"/>
                      <w:sz w:val="21"/>
                      <w:szCs w:val="21"/>
                      <w:highlight w:val="none"/>
                      <w:lang w:eastAsia="zh-CN"/>
                    </w:rPr>
                  </w:pPr>
                  <w:r>
                    <w:rPr>
                      <w:rFonts w:hint="eastAsia"/>
                      <w:bCs/>
                      <w:color w:val="auto"/>
                      <w:sz w:val="21"/>
                      <w:szCs w:val="21"/>
                      <w:highlight w:val="none"/>
                      <w:lang w:eastAsia="zh-CN"/>
                    </w:rPr>
                    <w:t>动植物油</w:t>
                  </w:r>
                </w:p>
              </w:tc>
              <w:tc>
                <w:tcPr>
                  <w:tcW w:w="1097" w:type="pct"/>
                  <w:noWrap w:val="0"/>
                  <w:vAlign w:val="center"/>
                </w:tcPr>
                <w:p w14:paraId="0881A290">
                  <w:pPr>
                    <w:keepNext w:val="0"/>
                    <w:keepLines w:val="0"/>
                    <w:suppressLineNumbers w:val="0"/>
                    <w:shd w:val="clear" w:color="auto" w:fill="auto"/>
                    <w:spacing w:before="0" w:beforeAutospacing="0" w:after="0" w:afterAutospacing="0" w:line="240" w:lineRule="auto"/>
                    <w:ind w:left="0" w:right="0" w:firstLine="0" w:firstLineChars="0"/>
                    <w:jc w:val="center"/>
                    <w:rPr>
                      <w:rFonts w:hint="default" w:eastAsia="宋体"/>
                      <w:bCs/>
                      <w:color w:val="auto"/>
                      <w:sz w:val="21"/>
                      <w:szCs w:val="21"/>
                      <w:highlight w:val="none"/>
                      <w:lang w:val="en-US" w:eastAsia="zh-CN"/>
                    </w:rPr>
                  </w:pPr>
                  <w:r>
                    <w:rPr>
                      <w:rFonts w:hint="eastAsia"/>
                      <w:bCs/>
                      <w:color w:val="auto"/>
                      <w:sz w:val="21"/>
                      <w:szCs w:val="21"/>
                      <w:highlight w:val="none"/>
                      <w:lang w:val="en-US" w:eastAsia="zh-CN"/>
                    </w:rPr>
                    <w:t>100</w:t>
                  </w:r>
                </w:p>
              </w:tc>
            </w:tr>
            <w:tr w14:paraId="4D8FA1C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72" w:hRule="atLeast"/>
              </w:trPr>
              <w:tc>
                <w:tcPr>
                  <w:tcW w:w="536" w:type="pct"/>
                  <w:shd w:val="clear" w:color="auto" w:fill="auto"/>
                  <w:noWrap w:val="0"/>
                  <w:vAlign w:val="center"/>
                </w:tcPr>
                <w:p w14:paraId="0360E823">
                  <w:pPr>
                    <w:keepNext w:val="0"/>
                    <w:keepLines w:val="0"/>
                    <w:suppressLineNumbers w:val="0"/>
                    <w:shd w:val="clear" w:color="auto" w:fill="auto"/>
                    <w:spacing w:before="0" w:beforeAutospacing="0" w:after="0" w:afterAutospacing="0" w:line="240" w:lineRule="auto"/>
                    <w:ind w:left="0" w:right="0" w:firstLine="0" w:firstLineChars="0"/>
                    <w:jc w:val="center"/>
                    <w:rPr>
                      <w:rFonts w:hint="eastAsia" w:ascii="Times New Roman" w:hAnsi="Times New Roman" w:eastAsia="宋体" w:cs="Times New Roman"/>
                      <w:bCs/>
                      <w:color w:val="auto"/>
                      <w:kern w:val="2"/>
                      <w:sz w:val="21"/>
                      <w:szCs w:val="21"/>
                      <w:highlight w:val="none"/>
                      <w:lang w:val="en-US" w:eastAsia="zh-CN" w:bidi="ar-SA"/>
                    </w:rPr>
                  </w:pPr>
                  <w:r>
                    <w:rPr>
                      <w:rFonts w:hint="eastAsia"/>
                      <w:bCs/>
                      <w:color w:val="auto"/>
                      <w:sz w:val="21"/>
                      <w:szCs w:val="21"/>
                      <w:highlight w:val="none"/>
                    </w:rPr>
                    <w:t>7</w:t>
                  </w:r>
                </w:p>
              </w:tc>
              <w:tc>
                <w:tcPr>
                  <w:tcW w:w="2552" w:type="pct"/>
                  <w:vMerge w:val="restart"/>
                  <w:tcBorders>
                    <w:right w:val="single" w:color="auto" w:sz="4" w:space="0"/>
                  </w:tcBorders>
                  <w:noWrap w:val="0"/>
                  <w:vAlign w:val="center"/>
                </w:tcPr>
                <w:p w14:paraId="6CBE0793">
                  <w:pPr>
                    <w:keepNext w:val="0"/>
                    <w:keepLines w:val="0"/>
                    <w:suppressLineNumbers w:val="0"/>
                    <w:shd w:val="clear" w:color="auto" w:fill="auto"/>
                    <w:spacing w:before="0" w:beforeAutospacing="0" w:after="0" w:afterAutospacing="0" w:line="240" w:lineRule="auto"/>
                    <w:ind w:left="0" w:right="0" w:firstLine="0" w:firstLineChars="0"/>
                    <w:jc w:val="center"/>
                    <w:rPr>
                      <w:rFonts w:hint="default"/>
                      <w:bCs/>
                      <w:color w:val="auto"/>
                      <w:sz w:val="21"/>
                      <w:szCs w:val="21"/>
                      <w:highlight w:val="none"/>
                    </w:rPr>
                  </w:pPr>
                  <w:r>
                    <w:rPr>
                      <w:rFonts w:hint="default" w:ascii="Times New Roman" w:hAnsi="Times New Roman" w:eastAsia="宋体" w:cs="Times New Roman"/>
                      <w:b w:val="0"/>
                      <w:bCs/>
                      <w:color w:val="auto"/>
                      <w:sz w:val="21"/>
                      <w:szCs w:val="21"/>
                      <w:highlight w:val="none"/>
                    </w:rPr>
                    <w:t>《污水综合排放标准》（GB8978-1996）表4中三级标准</w:t>
                  </w:r>
                </w:p>
              </w:tc>
              <w:tc>
                <w:tcPr>
                  <w:tcW w:w="813" w:type="pct"/>
                  <w:tcBorders>
                    <w:left w:val="single" w:color="auto" w:sz="4" w:space="0"/>
                  </w:tcBorders>
                  <w:shd w:val="clear" w:color="auto" w:fill="auto"/>
                  <w:noWrap w:val="0"/>
                  <w:vAlign w:val="center"/>
                </w:tcPr>
                <w:p w14:paraId="0ECAA905">
                  <w:pPr>
                    <w:keepNext w:val="0"/>
                    <w:keepLines w:val="0"/>
                    <w:suppressLineNumbers w:val="0"/>
                    <w:shd w:val="clear" w:color="auto" w:fill="auto"/>
                    <w:spacing w:before="0" w:beforeAutospacing="0" w:after="0" w:afterAutospacing="0" w:line="240" w:lineRule="auto"/>
                    <w:ind w:left="0" w:right="0" w:firstLine="0" w:firstLineChars="0"/>
                    <w:jc w:val="center"/>
                    <w:rPr>
                      <w:rFonts w:hint="eastAsia" w:ascii="Times New Roman" w:hAnsi="Times New Roman" w:eastAsia="宋体" w:cs="Times New Roman"/>
                      <w:bCs/>
                      <w:color w:val="auto"/>
                      <w:kern w:val="2"/>
                      <w:sz w:val="21"/>
                      <w:szCs w:val="21"/>
                      <w:highlight w:val="none"/>
                      <w:lang w:val="en-US" w:eastAsia="zh-CN" w:bidi="ar-SA"/>
                    </w:rPr>
                  </w:pPr>
                  <w:r>
                    <w:rPr>
                      <w:rFonts w:hint="default"/>
                      <w:bCs/>
                      <w:color w:val="auto"/>
                      <w:sz w:val="21"/>
                      <w:szCs w:val="21"/>
                      <w:highlight w:val="none"/>
                    </w:rPr>
                    <w:t>COD</w:t>
                  </w:r>
                  <w:r>
                    <w:rPr>
                      <w:rFonts w:hint="eastAsia"/>
                      <w:bCs/>
                      <w:color w:val="auto"/>
                      <w:sz w:val="21"/>
                      <w:szCs w:val="21"/>
                      <w:highlight w:val="none"/>
                      <w:vertAlign w:val="subscript"/>
                    </w:rPr>
                    <w:t>C</w:t>
                  </w:r>
                  <w:r>
                    <w:rPr>
                      <w:rFonts w:hint="default"/>
                      <w:bCs/>
                      <w:color w:val="auto"/>
                      <w:sz w:val="21"/>
                      <w:szCs w:val="21"/>
                      <w:highlight w:val="none"/>
                      <w:vertAlign w:val="subscript"/>
                    </w:rPr>
                    <w:t>r</w:t>
                  </w:r>
                </w:p>
              </w:tc>
              <w:tc>
                <w:tcPr>
                  <w:tcW w:w="1097" w:type="pct"/>
                  <w:noWrap w:val="0"/>
                  <w:vAlign w:val="center"/>
                </w:tcPr>
                <w:p w14:paraId="73AAD14C">
                  <w:pPr>
                    <w:keepNext w:val="0"/>
                    <w:keepLines w:val="0"/>
                    <w:suppressLineNumbers w:val="0"/>
                    <w:shd w:val="clear" w:color="auto" w:fill="auto"/>
                    <w:spacing w:before="0" w:beforeAutospacing="0" w:after="0" w:afterAutospacing="0" w:line="240" w:lineRule="auto"/>
                    <w:ind w:left="0" w:right="0" w:firstLine="0" w:firstLineChars="0"/>
                    <w:jc w:val="center"/>
                    <w:rPr>
                      <w:rFonts w:hint="default"/>
                      <w:bCs/>
                      <w:color w:val="auto"/>
                      <w:sz w:val="21"/>
                      <w:szCs w:val="21"/>
                      <w:highlight w:val="none"/>
                      <w:lang w:val="en-US" w:eastAsia="zh-CN"/>
                    </w:rPr>
                  </w:pPr>
                  <w:r>
                    <w:rPr>
                      <w:rFonts w:hint="eastAsia"/>
                      <w:bCs/>
                      <w:color w:val="auto"/>
                      <w:sz w:val="21"/>
                      <w:szCs w:val="21"/>
                      <w:highlight w:val="none"/>
                      <w:lang w:val="en-US" w:eastAsia="zh-CN"/>
                    </w:rPr>
                    <w:t>500</w:t>
                  </w:r>
                </w:p>
              </w:tc>
            </w:tr>
            <w:tr w14:paraId="7E03D0C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72" w:hRule="atLeast"/>
              </w:trPr>
              <w:tc>
                <w:tcPr>
                  <w:tcW w:w="536" w:type="pct"/>
                  <w:shd w:val="clear" w:color="auto" w:fill="auto"/>
                  <w:noWrap w:val="0"/>
                  <w:vAlign w:val="center"/>
                </w:tcPr>
                <w:p w14:paraId="340462C2">
                  <w:pPr>
                    <w:keepNext w:val="0"/>
                    <w:keepLines w:val="0"/>
                    <w:suppressLineNumbers w:val="0"/>
                    <w:shd w:val="clear" w:color="auto" w:fill="auto"/>
                    <w:spacing w:before="0" w:beforeAutospacing="0" w:after="0" w:afterAutospacing="0" w:line="240" w:lineRule="auto"/>
                    <w:ind w:left="0" w:right="0" w:firstLine="0" w:firstLineChars="0"/>
                    <w:jc w:val="center"/>
                    <w:rPr>
                      <w:rFonts w:hint="eastAsia" w:ascii="Times New Roman" w:hAnsi="Times New Roman" w:eastAsia="宋体" w:cs="Times New Roman"/>
                      <w:bCs/>
                      <w:color w:val="auto"/>
                      <w:kern w:val="2"/>
                      <w:sz w:val="21"/>
                      <w:szCs w:val="21"/>
                      <w:highlight w:val="none"/>
                      <w:lang w:val="en-US" w:eastAsia="zh-CN" w:bidi="ar-SA"/>
                    </w:rPr>
                  </w:pPr>
                  <w:r>
                    <w:rPr>
                      <w:rFonts w:hint="eastAsia"/>
                      <w:bCs/>
                      <w:color w:val="auto"/>
                      <w:sz w:val="21"/>
                      <w:szCs w:val="21"/>
                      <w:highlight w:val="none"/>
                    </w:rPr>
                    <w:t>8</w:t>
                  </w:r>
                </w:p>
              </w:tc>
              <w:tc>
                <w:tcPr>
                  <w:tcW w:w="2552" w:type="pct"/>
                  <w:vMerge w:val="continue"/>
                  <w:tcBorders>
                    <w:right w:val="single" w:color="auto" w:sz="4" w:space="0"/>
                  </w:tcBorders>
                  <w:noWrap w:val="0"/>
                  <w:vAlign w:val="center"/>
                </w:tcPr>
                <w:p w14:paraId="10A916C1">
                  <w:pPr>
                    <w:keepNext w:val="0"/>
                    <w:keepLines w:val="0"/>
                    <w:suppressLineNumbers w:val="0"/>
                    <w:shd w:val="clear" w:color="auto" w:fill="auto"/>
                    <w:spacing w:before="0" w:beforeAutospacing="0" w:after="0" w:afterAutospacing="0" w:line="240" w:lineRule="auto"/>
                    <w:ind w:left="0" w:right="0" w:firstLine="0" w:firstLineChars="0"/>
                    <w:jc w:val="center"/>
                    <w:rPr>
                      <w:rFonts w:hint="default"/>
                      <w:bCs/>
                      <w:color w:val="auto"/>
                      <w:sz w:val="21"/>
                      <w:szCs w:val="21"/>
                      <w:highlight w:val="none"/>
                    </w:rPr>
                  </w:pPr>
                </w:p>
              </w:tc>
              <w:tc>
                <w:tcPr>
                  <w:tcW w:w="813" w:type="pct"/>
                  <w:tcBorders>
                    <w:left w:val="single" w:color="auto" w:sz="4" w:space="0"/>
                  </w:tcBorders>
                  <w:shd w:val="clear" w:color="auto" w:fill="auto"/>
                  <w:noWrap w:val="0"/>
                  <w:vAlign w:val="center"/>
                </w:tcPr>
                <w:p w14:paraId="53ADE772">
                  <w:pPr>
                    <w:keepNext w:val="0"/>
                    <w:keepLines w:val="0"/>
                    <w:suppressLineNumbers w:val="0"/>
                    <w:shd w:val="clear" w:color="auto" w:fill="auto"/>
                    <w:spacing w:before="0" w:beforeAutospacing="0" w:after="0" w:afterAutospacing="0" w:line="240" w:lineRule="auto"/>
                    <w:ind w:left="0" w:right="0" w:firstLine="0" w:firstLineChars="0"/>
                    <w:jc w:val="center"/>
                    <w:rPr>
                      <w:rFonts w:hint="eastAsia" w:ascii="Times New Roman" w:hAnsi="Times New Roman" w:eastAsia="宋体" w:cs="Times New Roman"/>
                      <w:bCs/>
                      <w:color w:val="auto"/>
                      <w:kern w:val="2"/>
                      <w:sz w:val="21"/>
                      <w:szCs w:val="21"/>
                      <w:highlight w:val="none"/>
                      <w:lang w:val="en-US" w:eastAsia="zh-CN" w:bidi="ar-SA"/>
                    </w:rPr>
                  </w:pPr>
                  <w:r>
                    <w:rPr>
                      <w:rFonts w:hint="default"/>
                      <w:bCs/>
                      <w:color w:val="auto"/>
                      <w:sz w:val="21"/>
                      <w:szCs w:val="21"/>
                      <w:highlight w:val="none"/>
                    </w:rPr>
                    <w:t>SS</w:t>
                  </w:r>
                </w:p>
              </w:tc>
              <w:tc>
                <w:tcPr>
                  <w:tcW w:w="1097" w:type="pct"/>
                  <w:noWrap w:val="0"/>
                  <w:vAlign w:val="center"/>
                </w:tcPr>
                <w:p w14:paraId="4E97776C">
                  <w:pPr>
                    <w:keepNext w:val="0"/>
                    <w:keepLines w:val="0"/>
                    <w:suppressLineNumbers w:val="0"/>
                    <w:shd w:val="clear" w:color="auto" w:fill="auto"/>
                    <w:spacing w:before="0" w:beforeAutospacing="0" w:after="0" w:afterAutospacing="0" w:line="240" w:lineRule="auto"/>
                    <w:ind w:left="0" w:right="0" w:firstLine="0" w:firstLineChars="0"/>
                    <w:jc w:val="center"/>
                    <w:rPr>
                      <w:rFonts w:hint="default"/>
                      <w:bCs/>
                      <w:color w:val="auto"/>
                      <w:sz w:val="21"/>
                      <w:szCs w:val="21"/>
                      <w:highlight w:val="none"/>
                      <w:lang w:val="en-US" w:eastAsia="zh-CN"/>
                    </w:rPr>
                  </w:pPr>
                  <w:r>
                    <w:rPr>
                      <w:rFonts w:hint="eastAsia"/>
                      <w:bCs/>
                      <w:color w:val="auto"/>
                      <w:sz w:val="21"/>
                      <w:szCs w:val="21"/>
                      <w:highlight w:val="none"/>
                      <w:lang w:val="en-US" w:eastAsia="zh-CN"/>
                    </w:rPr>
                    <w:t>400</w:t>
                  </w:r>
                </w:p>
              </w:tc>
            </w:tr>
            <w:tr w14:paraId="6684FED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72" w:hRule="atLeast"/>
              </w:trPr>
              <w:tc>
                <w:tcPr>
                  <w:tcW w:w="536" w:type="pct"/>
                  <w:shd w:val="clear" w:color="auto" w:fill="auto"/>
                  <w:noWrap w:val="0"/>
                  <w:vAlign w:val="center"/>
                </w:tcPr>
                <w:p w14:paraId="677B7D30">
                  <w:pPr>
                    <w:keepNext w:val="0"/>
                    <w:keepLines w:val="0"/>
                    <w:suppressLineNumbers w:val="0"/>
                    <w:shd w:val="clear" w:color="auto" w:fill="auto"/>
                    <w:spacing w:before="0" w:beforeAutospacing="0" w:after="0" w:afterAutospacing="0" w:line="240" w:lineRule="auto"/>
                    <w:ind w:left="0" w:right="0" w:firstLine="0" w:firstLineChars="0"/>
                    <w:jc w:val="center"/>
                    <w:rPr>
                      <w:rFonts w:hint="eastAsia" w:ascii="Times New Roman" w:hAnsi="Times New Roman" w:eastAsia="宋体" w:cs="Times New Roman"/>
                      <w:bCs/>
                      <w:color w:val="auto"/>
                      <w:kern w:val="2"/>
                      <w:sz w:val="21"/>
                      <w:szCs w:val="21"/>
                      <w:highlight w:val="none"/>
                      <w:lang w:val="en-US" w:eastAsia="zh-CN" w:bidi="ar-SA"/>
                    </w:rPr>
                  </w:pPr>
                  <w:r>
                    <w:rPr>
                      <w:rFonts w:hint="eastAsia"/>
                      <w:bCs/>
                      <w:color w:val="auto"/>
                      <w:sz w:val="21"/>
                      <w:szCs w:val="21"/>
                      <w:highlight w:val="none"/>
                    </w:rPr>
                    <w:t>9</w:t>
                  </w:r>
                </w:p>
              </w:tc>
              <w:tc>
                <w:tcPr>
                  <w:tcW w:w="2552" w:type="pct"/>
                  <w:vMerge w:val="continue"/>
                  <w:tcBorders>
                    <w:right w:val="single" w:color="auto" w:sz="4" w:space="0"/>
                  </w:tcBorders>
                  <w:noWrap w:val="0"/>
                  <w:vAlign w:val="center"/>
                </w:tcPr>
                <w:p w14:paraId="10FBF273">
                  <w:pPr>
                    <w:keepNext w:val="0"/>
                    <w:keepLines w:val="0"/>
                    <w:suppressLineNumbers w:val="0"/>
                    <w:shd w:val="clear" w:color="auto" w:fill="auto"/>
                    <w:spacing w:before="0" w:beforeAutospacing="0" w:after="0" w:afterAutospacing="0" w:line="240" w:lineRule="auto"/>
                    <w:ind w:left="0" w:right="0" w:firstLine="0" w:firstLineChars="0"/>
                    <w:jc w:val="center"/>
                    <w:rPr>
                      <w:rFonts w:hint="default"/>
                      <w:bCs/>
                      <w:color w:val="auto"/>
                      <w:sz w:val="21"/>
                      <w:szCs w:val="21"/>
                      <w:highlight w:val="none"/>
                    </w:rPr>
                  </w:pPr>
                </w:p>
              </w:tc>
              <w:tc>
                <w:tcPr>
                  <w:tcW w:w="813" w:type="pct"/>
                  <w:tcBorders>
                    <w:left w:val="single" w:color="auto" w:sz="4" w:space="0"/>
                  </w:tcBorders>
                  <w:shd w:val="clear" w:color="auto" w:fill="auto"/>
                  <w:noWrap w:val="0"/>
                  <w:vAlign w:val="center"/>
                </w:tcPr>
                <w:p w14:paraId="564072E2">
                  <w:pPr>
                    <w:keepNext w:val="0"/>
                    <w:keepLines w:val="0"/>
                    <w:suppressLineNumbers w:val="0"/>
                    <w:shd w:val="clear" w:color="auto" w:fill="auto"/>
                    <w:spacing w:before="0" w:beforeAutospacing="0" w:after="0" w:afterAutospacing="0" w:line="240" w:lineRule="auto"/>
                    <w:ind w:left="0" w:right="0" w:firstLine="0" w:firstLineChars="0"/>
                    <w:jc w:val="center"/>
                    <w:rPr>
                      <w:rFonts w:hint="eastAsia" w:ascii="Times New Roman" w:hAnsi="Times New Roman" w:eastAsia="宋体" w:cs="Times New Roman"/>
                      <w:bCs/>
                      <w:color w:val="auto"/>
                      <w:kern w:val="2"/>
                      <w:sz w:val="21"/>
                      <w:szCs w:val="21"/>
                      <w:highlight w:val="none"/>
                      <w:lang w:val="en-US" w:eastAsia="zh-CN" w:bidi="ar-SA"/>
                    </w:rPr>
                  </w:pPr>
                  <w:r>
                    <w:rPr>
                      <w:rFonts w:hint="default"/>
                      <w:bCs/>
                      <w:color w:val="auto"/>
                      <w:sz w:val="21"/>
                      <w:szCs w:val="21"/>
                      <w:highlight w:val="none"/>
                    </w:rPr>
                    <w:t>氨氮</w:t>
                  </w:r>
                </w:p>
              </w:tc>
              <w:tc>
                <w:tcPr>
                  <w:tcW w:w="1097" w:type="pct"/>
                  <w:noWrap w:val="0"/>
                  <w:vAlign w:val="center"/>
                </w:tcPr>
                <w:p w14:paraId="59BE6138">
                  <w:pPr>
                    <w:keepNext w:val="0"/>
                    <w:keepLines w:val="0"/>
                    <w:suppressLineNumbers w:val="0"/>
                    <w:shd w:val="clear" w:color="auto" w:fill="auto"/>
                    <w:spacing w:before="0" w:beforeAutospacing="0" w:after="0" w:afterAutospacing="0" w:line="240" w:lineRule="auto"/>
                    <w:ind w:left="0" w:right="0" w:firstLine="0" w:firstLineChars="0"/>
                    <w:jc w:val="center"/>
                    <w:rPr>
                      <w:rFonts w:hint="default"/>
                      <w:bCs/>
                      <w:color w:val="auto"/>
                      <w:sz w:val="21"/>
                      <w:szCs w:val="21"/>
                      <w:highlight w:val="none"/>
                      <w:lang w:val="en-US" w:eastAsia="zh-CN"/>
                    </w:rPr>
                  </w:pPr>
                  <w:r>
                    <w:rPr>
                      <w:rFonts w:hint="eastAsia"/>
                      <w:bCs/>
                      <w:color w:val="auto"/>
                      <w:sz w:val="21"/>
                      <w:szCs w:val="21"/>
                      <w:highlight w:val="none"/>
                      <w:lang w:val="en-US" w:eastAsia="zh-CN"/>
                    </w:rPr>
                    <w:t>/</w:t>
                  </w:r>
                </w:p>
              </w:tc>
            </w:tr>
            <w:tr w14:paraId="6F2E6A1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72" w:hRule="atLeast"/>
              </w:trPr>
              <w:tc>
                <w:tcPr>
                  <w:tcW w:w="536" w:type="pct"/>
                  <w:shd w:val="clear" w:color="auto" w:fill="auto"/>
                  <w:noWrap w:val="0"/>
                  <w:vAlign w:val="center"/>
                </w:tcPr>
                <w:p w14:paraId="28B4EE93">
                  <w:pPr>
                    <w:keepNext w:val="0"/>
                    <w:keepLines w:val="0"/>
                    <w:suppressLineNumbers w:val="0"/>
                    <w:shd w:val="clear" w:color="auto" w:fill="auto"/>
                    <w:spacing w:before="0" w:beforeAutospacing="0" w:after="0" w:afterAutospacing="0" w:line="240" w:lineRule="auto"/>
                    <w:ind w:left="0" w:right="0" w:firstLine="0" w:firstLineChars="0"/>
                    <w:jc w:val="center"/>
                    <w:rPr>
                      <w:rFonts w:hint="eastAsia" w:ascii="Times New Roman" w:hAnsi="Times New Roman" w:eastAsia="宋体" w:cs="Times New Roman"/>
                      <w:bCs/>
                      <w:color w:val="auto"/>
                      <w:kern w:val="2"/>
                      <w:sz w:val="21"/>
                      <w:szCs w:val="21"/>
                      <w:highlight w:val="none"/>
                      <w:lang w:val="en-US" w:eastAsia="zh-CN" w:bidi="ar-SA"/>
                    </w:rPr>
                  </w:pPr>
                  <w:r>
                    <w:rPr>
                      <w:rFonts w:hint="eastAsia"/>
                      <w:bCs/>
                      <w:color w:val="auto"/>
                      <w:sz w:val="21"/>
                      <w:szCs w:val="21"/>
                      <w:highlight w:val="none"/>
                    </w:rPr>
                    <w:t>10</w:t>
                  </w:r>
                </w:p>
              </w:tc>
              <w:tc>
                <w:tcPr>
                  <w:tcW w:w="2552" w:type="pct"/>
                  <w:vMerge w:val="continue"/>
                  <w:tcBorders>
                    <w:right w:val="single" w:color="auto" w:sz="4" w:space="0"/>
                  </w:tcBorders>
                  <w:noWrap w:val="0"/>
                  <w:vAlign w:val="center"/>
                </w:tcPr>
                <w:p w14:paraId="4F00175D">
                  <w:pPr>
                    <w:keepNext w:val="0"/>
                    <w:keepLines w:val="0"/>
                    <w:suppressLineNumbers w:val="0"/>
                    <w:shd w:val="clear" w:color="auto" w:fill="auto"/>
                    <w:spacing w:before="0" w:beforeAutospacing="0" w:after="0" w:afterAutospacing="0" w:line="240" w:lineRule="auto"/>
                    <w:ind w:left="0" w:right="0" w:firstLine="0" w:firstLineChars="0"/>
                    <w:jc w:val="center"/>
                    <w:rPr>
                      <w:rFonts w:hint="default"/>
                      <w:bCs/>
                      <w:color w:val="auto"/>
                      <w:sz w:val="21"/>
                      <w:szCs w:val="21"/>
                      <w:highlight w:val="none"/>
                    </w:rPr>
                  </w:pPr>
                </w:p>
              </w:tc>
              <w:tc>
                <w:tcPr>
                  <w:tcW w:w="813" w:type="pct"/>
                  <w:tcBorders>
                    <w:left w:val="single" w:color="auto" w:sz="4" w:space="0"/>
                  </w:tcBorders>
                  <w:shd w:val="clear" w:color="auto" w:fill="auto"/>
                  <w:noWrap w:val="0"/>
                  <w:vAlign w:val="center"/>
                </w:tcPr>
                <w:p w14:paraId="7627EBCD">
                  <w:pPr>
                    <w:keepNext w:val="0"/>
                    <w:keepLines w:val="0"/>
                    <w:suppressLineNumbers w:val="0"/>
                    <w:shd w:val="clear" w:color="auto" w:fill="auto"/>
                    <w:spacing w:before="0" w:beforeAutospacing="0" w:after="0" w:afterAutospacing="0" w:line="240" w:lineRule="auto"/>
                    <w:ind w:left="0" w:right="0" w:firstLine="0" w:firstLineChars="0"/>
                    <w:jc w:val="center"/>
                    <w:rPr>
                      <w:rFonts w:hint="eastAsia" w:ascii="Times New Roman" w:hAnsi="Times New Roman" w:eastAsia="宋体" w:cs="Times New Roman"/>
                      <w:bCs/>
                      <w:color w:val="auto"/>
                      <w:kern w:val="2"/>
                      <w:sz w:val="21"/>
                      <w:szCs w:val="21"/>
                      <w:highlight w:val="none"/>
                      <w:lang w:val="en-US" w:eastAsia="zh-CN" w:bidi="ar-SA"/>
                    </w:rPr>
                  </w:pPr>
                  <w:r>
                    <w:rPr>
                      <w:rFonts w:hint="default"/>
                      <w:bCs/>
                      <w:color w:val="auto"/>
                      <w:sz w:val="21"/>
                      <w:szCs w:val="21"/>
                      <w:highlight w:val="none"/>
                    </w:rPr>
                    <w:t>TP</w:t>
                  </w:r>
                </w:p>
              </w:tc>
              <w:tc>
                <w:tcPr>
                  <w:tcW w:w="1097" w:type="pct"/>
                  <w:noWrap w:val="0"/>
                  <w:vAlign w:val="center"/>
                </w:tcPr>
                <w:p w14:paraId="285BA219">
                  <w:pPr>
                    <w:keepNext w:val="0"/>
                    <w:keepLines w:val="0"/>
                    <w:suppressLineNumbers w:val="0"/>
                    <w:shd w:val="clear" w:color="auto" w:fill="auto"/>
                    <w:spacing w:before="0" w:beforeAutospacing="0" w:after="0" w:afterAutospacing="0" w:line="240" w:lineRule="auto"/>
                    <w:ind w:left="0" w:right="0" w:firstLine="0" w:firstLineChars="0"/>
                    <w:jc w:val="center"/>
                    <w:rPr>
                      <w:rFonts w:hint="eastAsia"/>
                      <w:bCs/>
                      <w:color w:val="auto"/>
                      <w:sz w:val="21"/>
                      <w:szCs w:val="21"/>
                      <w:highlight w:val="none"/>
                      <w:lang w:val="en-US" w:eastAsia="zh-CN"/>
                    </w:rPr>
                  </w:pPr>
                  <w:r>
                    <w:rPr>
                      <w:rFonts w:hint="eastAsia"/>
                      <w:bCs/>
                      <w:color w:val="auto"/>
                      <w:sz w:val="21"/>
                      <w:szCs w:val="21"/>
                      <w:highlight w:val="none"/>
                      <w:lang w:val="en-US" w:eastAsia="zh-CN"/>
                    </w:rPr>
                    <w:t>/</w:t>
                  </w:r>
                </w:p>
              </w:tc>
            </w:tr>
            <w:tr w14:paraId="6EC9D51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72" w:hRule="atLeast"/>
              </w:trPr>
              <w:tc>
                <w:tcPr>
                  <w:tcW w:w="536" w:type="pct"/>
                  <w:shd w:val="clear" w:color="auto" w:fill="auto"/>
                  <w:noWrap w:val="0"/>
                  <w:vAlign w:val="center"/>
                </w:tcPr>
                <w:p w14:paraId="64F8605D">
                  <w:pPr>
                    <w:keepNext w:val="0"/>
                    <w:keepLines w:val="0"/>
                    <w:suppressLineNumbers w:val="0"/>
                    <w:shd w:val="clear" w:color="auto" w:fill="auto"/>
                    <w:spacing w:before="0" w:beforeAutospacing="0" w:after="0" w:afterAutospacing="0" w:line="240" w:lineRule="auto"/>
                    <w:ind w:left="0" w:right="0" w:firstLine="0" w:firstLineChars="0"/>
                    <w:jc w:val="center"/>
                    <w:rPr>
                      <w:rFonts w:hint="eastAsia"/>
                      <w:bCs/>
                      <w:color w:val="auto"/>
                      <w:sz w:val="21"/>
                      <w:szCs w:val="21"/>
                      <w:highlight w:val="none"/>
                    </w:rPr>
                  </w:pPr>
                </w:p>
              </w:tc>
              <w:tc>
                <w:tcPr>
                  <w:tcW w:w="2552" w:type="pct"/>
                  <w:vMerge w:val="continue"/>
                  <w:tcBorders>
                    <w:right w:val="single" w:color="auto" w:sz="4" w:space="0"/>
                  </w:tcBorders>
                  <w:noWrap w:val="0"/>
                  <w:vAlign w:val="center"/>
                </w:tcPr>
                <w:p w14:paraId="1C4609D9">
                  <w:pPr>
                    <w:keepNext w:val="0"/>
                    <w:keepLines w:val="0"/>
                    <w:suppressLineNumbers w:val="0"/>
                    <w:shd w:val="clear" w:color="auto" w:fill="auto"/>
                    <w:spacing w:before="0" w:beforeAutospacing="0" w:after="0" w:afterAutospacing="0" w:line="240" w:lineRule="auto"/>
                    <w:ind w:left="0" w:right="0" w:firstLine="0" w:firstLineChars="0"/>
                    <w:jc w:val="center"/>
                    <w:rPr>
                      <w:rFonts w:hint="default"/>
                      <w:bCs/>
                      <w:color w:val="auto"/>
                      <w:sz w:val="21"/>
                      <w:szCs w:val="21"/>
                      <w:highlight w:val="none"/>
                    </w:rPr>
                  </w:pPr>
                </w:p>
              </w:tc>
              <w:tc>
                <w:tcPr>
                  <w:tcW w:w="813" w:type="pct"/>
                  <w:tcBorders>
                    <w:left w:val="single" w:color="auto" w:sz="4" w:space="0"/>
                  </w:tcBorders>
                  <w:shd w:val="clear" w:color="auto" w:fill="auto"/>
                  <w:noWrap w:val="0"/>
                  <w:vAlign w:val="center"/>
                </w:tcPr>
                <w:p w14:paraId="24F4970A">
                  <w:pPr>
                    <w:keepNext w:val="0"/>
                    <w:keepLines w:val="0"/>
                    <w:suppressLineNumbers w:val="0"/>
                    <w:shd w:val="clear" w:color="auto" w:fill="auto"/>
                    <w:spacing w:before="0" w:beforeAutospacing="0" w:after="0" w:afterAutospacing="0" w:line="240" w:lineRule="auto"/>
                    <w:ind w:left="0" w:right="0" w:firstLine="0" w:firstLineChars="0"/>
                    <w:jc w:val="center"/>
                    <w:rPr>
                      <w:rFonts w:hint="eastAsia" w:eastAsia="宋体"/>
                      <w:bCs/>
                      <w:color w:val="auto"/>
                      <w:sz w:val="21"/>
                      <w:szCs w:val="21"/>
                      <w:highlight w:val="none"/>
                      <w:lang w:val="en-US" w:eastAsia="zh-CN"/>
                    </w:rPr>
                  </w:pPr>
                  <w:r>
                    <w:rPr>
                      <w:rFonts w:hint="eastAsia"/>
                      <w:bCs/>
                      <w:color w:val="auto"/>
                      <w:sz w:val="21"/>
                      <w:szCs w:val="21"/>
                      <w:highlight w:val="none"/>
                      <w:lang w:val="en-US" w:eastAsia="zh-CN"/>
                    </w:rPr>
                    <w:t>TN</w:t>
                  </w:r>
                </w:p>
              </w:tc>
              <w:tc>
                <w:tcPr>
                  <w:tcW w:w="1097" w:type="pct"/>
                  <w:noWrap w:val="0"/>
                  <w:vAlign w:val="center"/>
                </w:tcPr>
                <w:p w14:paraId="134D07CD">
                  <w:pPr>
                    <w:keepNext w:val="0"/>
                    <w:keepLines w:val="0"/>
                    <w:suppressLineNumbers w:val="0"/>
                    <w:shd w:val="clear" w:color="auto" w:fill="auto"/>
                    <w:spacing w:before="0" w:beforeAutospacing="0" w:after="0" w:afterAutospacing="0" w:line="240" w:lineRule="auto"/>
                    <w:ind w:left="0" w:right="0" w:firstLine="0" w:firstLineChars="0"/>
                    <w:jc w:val="center"/>
                    <w:rPr>
                      <w:rFonts w:hint="default"/>
                      <w:bCs/>
                      <w:color w:val="auto"/>
                      <w:sz w:val="21"/>
                      <w:szCs w:val="21"/>
                      <w:highlight w:val="none"/>
                      <w:lang w:val="en-US" w:eastAsia="zh-CN"/>
                    </w:rPr>
                  </w:pPr>
                  <w:r>
                    <w:rPr>
                      <w:rFonts w:hint="eastAsia"/>
                      <w:bCs/>
                      <w:color w:val="auto"/>
                      <w:sz w:val="21"/>
                      <w:szCs w:val="21"/>
                      <w:highlight w:val="none"/>
                      <w:lang w:val="en-US" w:eastAsia="zh-CN"/>
                    </w:rPr>
                    <w:t>/</w:t>
                  </w:r>
                </w:p>
              </w:tc>
            </w:tr>
            <w:tr w14:paraId="70CFEDA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72" w:hRule="atLeast"/>
              </w:trPr>
              <w:tc>
                <w:tcPr>
                  <w:tcW w:w="536" w:type="pct"/>
                  <w:shd w:val="clear" w:color="auto" w:fill="auto"/>
                  <w:noWrap w:val="0"/>
                  <w:vAlign w:val="center"/>
                </w:tcPr>
                <w:p w14:paraId="01C32796">
                  <w:pPr>
                    <w:keepNext w:val="0"/>
                    <w:keepLines w:val="0"/>
                    <w:suppressLineNumbers w:val="0"/>
                    <w:shd w:val="clear" w:color="auto" w:fill="auto"/>
                    <w:spacing w:before="0" w:beforeAutospacing="0" w:after="0" w:afterAutospacing="0" w:line="240" w:lineRule="auto"/>
                    <w:ind w:left="0" w:right="0" w:firstLine="0" w:firstLineChars="0"/>
                    <w:jc w:val="center"/>
                    <w:rPr>
                      <w:rFonts w:hint="eastAsia" w:ascii="Times New Roman" w:hAnsi="Times New Roman" w:eastAsia="宋体" w:cs="Times New Roman"/>
                      <w:bCs/>
                      <w:color w:val="auto"/>
                      <w:kern w:val="2"/>
                      <w:sz w:val="21"/>
                      <w:szCs w:val="21"/>
                      <w:highlight w:val="none"/>
                      <w:lang w:val="en-US" w:eastAsia="zh-CN" w:bidi="ar-SA"/>
                    </w:rPr>
                  </w:pPr>
                  <w:r>
                    <w:rPr>
                      <w:rFonts w:hint="eastAsia"/>
                      <w:bCs/>
                      <w:color w:val="auto"/>
                      <w:sz w:val="21"/>
                      <w:szCs w:val="21"/>
                      <w:highlight w:val="none"/>
                      <w:lang w:val="en-US" w:eastAsia="zh-CN"/>
                    </w:rPr>
                    <w:t>11</w:t>
                  </w:r>
                </w:p>
              </w:tc>
              <w:tc>
                <w:tcPr>
                  <w:tcW w:w="2552" w:type="pct"/>
                  <w:vMerge w:val="continue"/>
                  <w:tcBorders>
                    <w:right w:val="single" w:color="auto" w:sz="4" w:space="0"/>
                  </w:tcBorders>
                  <w:noWrap w:val="0"/>
                  <w:vAlign w:val="center"/>
                </w:tcPr>
                <w:p w14:paraId="5F86D7E5">
                  <w:pPr>
                    <w:keepNext w:val="0"/>
                    <w:keepLines w:val="0"/>
                    <w:suppressLineNumbers w:val="0"/>
                    <w:shd w:val="clear" w:color="auto" w:fill="auto"/>
                    <w:spacing w:before="0" w:beforeAutospacing="0" w:after="0" w:afterAutospacing="0" w:line="240" w:lineRule="auto"/>
                    <w:ind w:left="0" w:right="0" w:firstLine="0" w:firstLineChars="0"/>
                    <w:jc w:val="center"/>
                    <w:rPr>
                      <w:rFonts w:hint="default"/>
                      <w:bCs/>
                      <w:color w:val="auto"/>
                      <w:sz w:val="21"/>
                      <w:szCs w:val="21"/>
                      <w:highlight w:val="none"/>
                    </w:rPr>
                  </w:pPr>
                </w:p>
              </w:tc>
              <w:tc>
                <w:tcPr>
                  <w:tcW w:w="813" w:type="pct"/>
                  <w:tcBorders>
                    <w:left w:val="single" w:color="auto" w:sz="4" w:space="0"/>
                  </w:tcBorders>
                  <w:shd w:val="clear" w:color="auto" w:fill="auto"/>
                  <w:noWrap w:val="0"/>
                  <w:vAlign w:val="center"/>
                </w:tcPr>
                <w:p w14:paraId="14744E9A">
                  <w:pPr>
                    <w:keepNext w:val="0"/>
                    <w:keepLines w:val="0"/>
                    <w:suppressLineNumbers w:val="0"/>
                    <w:shd w:val="clear" w:color="auto" w:fill="auto"/>
                    <w:spacing w:before="0" w:beforeAutospacing="0" w:after="0" w:afterAutospacing="0" w:line="240" w:lineRule="auto"/>
                    <w:ind w:left="0" w:right="0" w:firstLine="0" w:firstLineChars="0"/>
                    <w:jc w:val="center"/>
                    <w:rPr>
                      <w:rFonts w:hint="eastAsia" w:ascii="Times New Roman" w:hAnsi="Times New Roman" w:eastAsia="宋体" w:cs="Times New Roman"/>
                      <w:bCs/>
                      <w:color w:val="auto"/>
                      <w:kern w:val="2"/>
                      <w:sz w:val="21"/>
                      <w:szCs w:val="21"/>
                      <w:highlight w:val="none"/>
                      <w:lang w:val="en-US" w:eastAsia="zh-CN" w:bidi="ar-SA"/>
                    </w:rPr>
                  </w:pPr>
                  <w:r>
                    <w:rPr>
                      <w:rFonts w:hint="eastAsia"/>
                      <w:bCs/>
                      <w:color w:val="auto"/>
                      <w:sz w:val="21"/>
                      <w:szCs w:val="21"/>
                      <w:highlight w:val="none"/>
                    </w:rPr>
                    <w:t>BOD</w:t>
                  </w:r>
                  <w:r>
                    <w:rPr>
                      <w:rFonts w:hint="eastAsia"/>
                      <w:bCs/>
                      <w:color w:val="auto"/>
                      <w:sz w:val="21"/>
                      <w:szCs w:val="21"/>
                      <w:highlight w:val="none"/>
                      <w:vertAlign w:val="subscript"/>
                    </w:rPr>
                    <w:t>5</w:t>
                  </w:r>
                </w:p>
              </w:tc>
              <w:tc>
                <w:tcPr>
                  <w:tcW w:w="1097" w:type="pct"/>
                  <w:noWrap w:val="0"/>
                  <w:vAlign w:val="center"/>
                </w:tcPr>
                <w:p w14:paraId="3B063273">
                  <w:pPr>
                    <w:keepNext w:val="0"/>
                    <w:keepLines w:val="0"/>
                    <w:suppressLineNumbers w:val="0"/>
                    <w:shd w:val="clear" w:color="auto" w:fill="auto"/>
                    <w:spacing w:before="0" w:beforeAutospacing="0" w:after="0" w:afterAutospacing="0" w:line="240" w:lineRule="auto"/>
                    <w:ind w:left="0" w:right="0" w:firstLine="0" w:firstLineChars="0"/>
                    <w:jc w:val="center"/>
                    <w:rPr>
                      <w:rFonts w:hint="default"/>
                      <w:bCs/>
                      <w:color w:val="auto"/>
                      <w:sz w:val="21"/>
                      <w:szCs w:val="21"/>
                      <w:highlight w:val="none"/>
                      <w:lang w:val="en-US" w:eastAsia="zh-CN"/>
                    </w:rPr>
                  </w:pPr>
                  <w:r>
                    <w:rPr>
                      <w:rFonts w:hint="eastAsia"/>
                      <w:bCs/>
                      <w:color w:val="auto"/>
                      <w:sz w:val="21"/>
                      <w:szCs w:val="21"/>
                      <w:highlight w:val="none"/>
                      <w:lang w:val="en-US" w:eastAsia="zh-CN"/>
                    </w:rPr>
                    <w:t>300</w:t>
                  </w:r>
                </w:p>
              </w:tc>
            </w:tr>
            <w:tr w14:paraId="25C3F78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72" w:hRule="atLeast"/>
              </w:trPr>
              <w:tc>
                <w:tcPr>
                  <w:tcW w:w="536" w:type="pct"/>
                  <w:shd w:val="clear" w:color="auto" w:fill="auto"/>
                  <w:noWrap w:val="0"/>
                  <w:vAlign w:val="center"/>
                </w:tcPr>
                <w:p w14:paraId="3846220C">
                  <w:pPr>
                    <w:keepNext w:val="0"/>
                    <w:keepLines w:val="0"/>
                    <w:suppressLineNumbers w:val="0"/>
                    <w:shd w:val="clear" w:color="auto" w:fill="auto"/>
                    <w:spacing w:before="0" w:beforeAutospacing="0" w:after="0" w:afterAutospacing="0" w:line="240" w:lineRule="auto"/>
                    <w:ind w:left="0" w:right="0" w:firstLine="0" w:firstLineChars="0"/>
                    <w:jc w:val="center"/>
                    <w:rPr>
                      <w:rFonts w:hint="eastAsia" w:ascii="Times New Roman" w:hAnsi="Times New Roman" w:eastAsia="宋体" w:cs="Times New Roman"/>
                      <w:bCs/>
                      <w:color w:val="auto"/>
                      <w:kern w:val="2"/>
                      <w:sz w:val="21"/>
                      <w:szCs w:val="21"/>
                      <w:highlight w:val="none"/>
                      <w:lang w:val="en-US" w:eastAsia="zh-CN" w:bidi="ar-SA"/>
                    </w:rPr>
                  </w:pPr>
                  <w:r>
                    <w:rPr>
                      <w:rFonts w:hint="eastAsia"/>
                      <w:bCs/>
                      <w:color w:val="auto"/>
                      <w:sz w:val="21"/>
                      <w:szCs w:val="21"/>
                      <w:highlight w:val="none"/>
                      <w:lang w:val="en-US" w:eastAsia="zh-CN"/>
                    </w:rPr>
                    <w:t>12</w:t>
                  </w:r>
                </w:p>
              </w:tc>
              <w:tc>
                <w:tcPr>
                  <w:tcW w:w="2552" w:type="pct"/>
                  <w:vMerge w:val="continue"/>
                  <w:tcBorders>
                    <w:right w:val="single" w:color="auto" w:sz="4" w:space="0"/>
                  </w:tcBorders>
                  <w:noWrap w:val="0"/>
                  <w:vAlign w:val="center"/>
                </w:tcPr>
                <w:p w14:paraId="79A7B656">
                  <w:pPr>
                    <w:keepNext w:val="0"/>
                    <w:keepLines w:val="0"/>
                    <w:suppressLineNumbers w:val="0"/>
                    <w:shd w:val="clear" w:color="auto" w:fill="auto"/>
                    <w:spacing w:before="0" w:beforeAutospacing="0" w:after="0" w:afterAutospacing="0" w:line="240" w:lineRule="auto"/>
                    <w:ind w:left="0" w:right="0" w:firstLine="0" w:firstLineChars="0"/>
                    <w:jc w:val="center"/>
                    <w:rPr>
                      <w:rFonts w:hint="default"/>
                      <w:bCs/>
                      <w:color w:val="auto"/>
                      <w:sz w:val="21"/>
                      <w:szCs w:val="21"/>
                      <w:highlight w:val="none"/>
                    </w:rPr>
                  </w:pPr>
                </w:p>
              </w:tc>
              <w:tc>
                <w:tcPr>
                  <w:tcW w:w="813" w:type="pct"/>
                  <w:tcBorders>
                    <w:left w:val="single" w:color="auto" w:sz="4" w:space="0"/>
                  </w:tcBorders>
                  <w:shd w:val="clear" w:color="auto" w:fill="auto"/>
                  <w:noWrap w:val="0"/>
                  <w:vAlign w:val="center"/>
                </w:tcPr>
                <w:p w14:paraId="4F9CD988">
                  <w:pPr>
                    <w:keepNext w:val="0"/>
                    <w:keepLines w:val="0"/>
                    <w:suppressLineNumbers w:val="0"/>
                    <w:shd w:val="clear" w:color="auto" w:fill="auto"/>
                    <w:spacing w:before="0" w:beforeAutospacing="0" w:after="0" w:afterAutospacing="0" w:line="240" w:lineRule="auto"/>
                    <w:ind w:left="0" w:right="0" w:firstLine="0" w:firstLineChars="0"/>
                    <w:jc w:val="center"/>
                    <w:rPr>
                      <w:rFonts w:hint="eastAsia" w:ascii="Times New Roman" w:hAnsi="Times New Roman" w:eastAsia="宋体" w:cs="Times New Roman"/>
                      <w:bCs/>
                      <w:color w:val="auto"/>
                      <w:kern w:val="2"/>
                      <w:sz w:val="21"/>
                      <w:szCs w:val="21"/>
                      <w:highlight w:val="none"/>
                      <w:lang w:val="en-US" w:eastAsia="zh-CN" w:bidi="ar-SA"/>
                    </w:rPr>
                  </w:pPr>
                  <w:r>
                    <w:rPr>
                      <w:rFonts w:hint="eastAsia"/>
                      <w:bCs/>
                      <w:color w:val="auto"/>
                      <w:sz w:val="21"/>
                      <w:szCs w:val="21"/>
                      <w:highlight w:val="none"/>
                      <w:lang w:eastAsia="zh-CN"/>
                    </w:rPr>
                    <w:t>动植物油</w:t>
                  </w:r>
                </w:p>
              </w:tc>
              <w:tc>
                <w:tcPr>
                  <w:tcW w:w="1097" w:type="pct"/>
                  <w:noWrap w:val="0"/>
                  <w:vAlign w:val="center"/>
                </w:tcPr>
                <w:p w14:paraId="67435619">
                  <w:pPr>
                    <w:keepNext w:val="0"/>
                    <w:keepLines w:val="0"/>
                    <w:suppressLineNumbers w:val="0"/>
                    <w:shd w:val="clear" w:color="auto" w:fill="auto"/>
                    <w:spacing w:before="0" w:beforeAutospacing="0" w:after="0" w:afterAutospacing="0" w:line="240" w:lineRule="auto"/>
                    <w:ind w:left="0" w:right="0" w:firstLine="0" w:firstLineChars="0"/>
                    <w:jc w:val="center"/>
                    <w:rPr>
                      <w:rFonts w:hint="default"/>
                      <w:bCs/>
                      <w:color w:val="auto"/>
                      <w:sz w:val="21"/>
                      <w:szCs w:val="21"/>
                      <w:highlight w:val="none"/>
                      <w:lang w:val="en-US" w:eastAsia="zh-CN"/>
                    </w:rPr>
                  </w:pPr>
                  <w:r>
                    <w:rPr>
                      <w:rFonts w:hint="eastAsia"/>
                      <w:bCs/>
                      <w:color w:val="auto"/>
                      <w:sz w:val="21"/>
                      <w:szCs w:val="21"/>
                      <w:highlight w:val="none"/>
                      <w:lang w:val="en-US" w:eastAsia="zh-CN"/>
                    </w:rPr>
                    <w:t>100</w:t>
                  </w:r>
                </w:p>
              </w:tc>
            </w:tr>
            <w:tr w14:paraId="342C805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72" w:hRule="atLeast"/>
              </w:trPr>
              <w:tc>
                <w:tcPr>
                  <w:tcW w:w="536" w:type="pct"/>
                  <w:shd w:val="clear" w:color="auto" w:fill="auto"/>
                  <w:noWrap w:val="0"/>
                  <w:vAlign w:val="center"/>
                </w:tcPr>
                <w:p w14:paraId="3C33786E">
                  <w:pPr>
                    <w:keepNext w:val="0"/>
                    <w:keepLines w:val="0"/>
                    <w:suppressLineNumbers w:val="0"/>
                    <w:shd w:val="clear" w:color="auto" w:fill="auto"/>
                    <w:spacing w:before="0" w:beforeAutospacing="0" w:after="0" w:afterAutospacing="0" w:line="240" w:lineRule="auto"/>
                    <w:ind w:left="0" w:right="0" w:firstLine="0" w:firstLineChars="0"/>
                    <w:jc w:val="center"/>
                    <w:rPr>
                      <w:rFonts w:hint="default" w:ascii="Times New Roman" w:hAnsi="Times New Roman" w:eastAsia="宋体" w:cs="Times New Roman"/>
                      <w:bCs/>
                      <w:color w:val="auto"/>
                      <w:kern w:val="2"/>
                      <w:sz w:val="21"/>
                      <w:szCs w:val="21"/>
                      <w:highlight w:val="none"/>
                      <w:lang w:val="en-US" w:eastAsia="zh-CN" w:bidi="ar-SA"/>
                    </w:rPr>
                  </w:pPr>
                  <w:r>
                    <w:rPr>
                      <w:rFonts w:hint="eastAsia"/>
                      <w:bCs/>
                      <w:color w:val="auto"/>
                      <w:sz w:val="21"/>
                      <w:szCs w:val="21"/>
                      <w:highlight w:val="none"/>
                      <w:lang w:val="en-US" w:eastAsia="zh-CN"/>
                    </w:rPr>
                    <w:t>13</w:t>
                  </w:r>
                </w:p>
              </w:tc>
              <w:tc>
                <w:tcPr>
                  <w:tcW w:w="2552" w:type="pct"/>
                  <w:vMerge w:val="restart"/>
                  <w:tcBorders>
                    <w:right w:val="single" w:color="auto" w:sz="4" w:space="0"/>
                  </w:tcBorders>
                  <w:noWrap w:val="0"/>
                  <w:vAlign w:val="center"/>
                </w:tcPr>
                <w:p w14:paraId="576283E6">
                  <w:pPr>
                    <w:keepNext w:val="0"/>
                    <w:keepLines w:val="0"/>
                    <w:suppressLineNumbers w:val="0"/>
                    <w:shd w:val="clear" w:color="auto" w:fill="auto"/>
                    <w:spacing w:before="0" w:beforeAutospacing="0" w:after="0" w:afterAutospacing="0" w:line="240" w:lineRule="auto"/>
                    <w:ind w:left="0" w:right="0" w:firstLine="0" w:firstLineChars="0"/>
                    <w:jc w:val="center"/>
                    <w:rPr>
                      <w:rFonts w:hint="default"/>
                      <w:bCs/>
                      <w:color w:val="auto"/>
                      <w:sz w:val="21"/>
                      <w:szCs w:val="21"/>
                      <w:highlight w:val="none"/>
                    </w:rPr>
                  </w:pPr>
                  <w:r>
                    <w:rPr>
                      <w:rFonts w:hint="default"/>
                      <w:color w:val="auto"/>
                      <w:sz w:val="21"/>
                      <w:szCs w:val="21"/>
                      <w:highlight w:val="none"/>
                    </w:rPr>
                    <w:t>《城镇污水处理厂污染物排放标准》（GB18918-2002）一级A标准</w:t>
                  </w:r>
                </w:p>
              </w:tc>
              <w:tc>
                <w:tcPr>
                  <w:tcW w:w="813" w:type="pct"/>
                  <w:tcBorders>
                    <w:left w:val="single" w:color="auto" w:sz="4" w:space="0"/>
                  </w:tcBorders>
                  <w:noWrap w:val="0"/>
                  <w:vAlign w:val="center"/>
                </w:tcPr>
                <w:p w14:paraId="0CFFB10E">
                  <w:pPr>
                    <w:keepNext w:val="0"/>
                    <w:keepLines w:val="0"/>
                    <w:suppressLineNumbers w:val="0"/>
                    <w:shd w:val="clear" w:color="auto" w:fill="auto"/>
                    <w:spacing w:before="0" w:beforeAutospacing="0" w:after="0" w:afterAutospacing="0" w:line="240" w:lineRule="auto"/>
                    <w:ind w:left="0" w:right="0" w:firstLine="0" w:firstLineChars="0"/>
                    <w:jc w:val="center"/>
                    <w:rPr>
                      <w:rFonts w:hint="eastAsia"/>
                      <w:bCs/>
                      <w:color w:val="auto"/>
                      <w:sz w:val="21"/>
                      <w:szCs w:val="21"/>
                      <w:highlight w:val="none"/>
                    </w:rPr>
                  </w:pPr>
                  <w:r>
                    <w:rPr>
                      <w:rFonts w:hint="default"/>
                      <w:bCs/>
                      <w:color w:val="auto"/>
                      <w:sz w:val="21"/>
                      <w:szCs w:val="21"/>
                      <w:highlight w:val="none"/>
                    </w:rPr>
                    <w:t>COD</w:t>
                  </w:r>
                  <w:r>
                    <w:rPr>
                      <w:rFonts w:hint="eastAsia"/>
                      <w:bCs/>
                      <w:color w:val="auto"/>
                      <w:sz w:val="21"/>
                      <w:szCs w:val="21"/>
                      <w:highlight w:val="none"/>
                      <w:vertAlign w:val="subscript"/>
                    </w:rPr>
                    <w:t>C</w:t>
                  </w:r>
                  <w:r>
                    <w:rPr>
                      <w:rFonts w:hint="default"/>
                      <w:bCs/>
                      <w:color w:val="auto"/>
                      <w:sz w:val="21"/>
                      <w:szCs w:val="21"/>
                      <w:highlight w:val="none"/>
                      <w:vertAlign w:val="subscript"/>
                    </w:rPr>
                    <w:t>r</w:t>
                  </w:r>
                </w:p>
              </w:tc>
              <w:tc>
                <w:tcPr>
                  <w:tcW w:w="1097" w:type="pct"/>
                  <w:noWrap w:val="0"/>
                  <w:vAlign w:val="center"/>
                </w:tcPr>
                <w:p w14:paraId="18564D0C">
                  <w:pPr>
                    <w:keepNext w:val="0"/>
                    <w:keepLines w:val="0"/>
                    <w:suppressLineNumbers w:val="0"/>
                    <w:shd w:val="clear" w:color="auto" w:fill="auto"/>
                    <w:spacing w:before="0" w:beforeAutospacing="0" w:after="0" w:afterAutospacing="0" w:line="240" w:lineRule="auto"/>
                    <w:ind w:left="0" w:right="0" w:firstLine="0" w:firstLineChars="0"/>
                    <w:jc w:val="center"/>
                    <w:rPr>
                      <w:rFonts w:hint="eastAsia"/>
                      <w:bCs/>
                      <w:color w:val="auto"/>
                      <w:sz w:val="21"/>
                      <w:szCs w:val="21"/>
                      <w:highlight w:val="none"/>
                    </w:rPr>
                  </w:pPr>
                  <w:r>
                    <w:rPr>
                      <w:rFonts w:hint="eastAsia"/>
                      <w:bCs/>
                      <w:color w:val="auto"/>
                      <w:sz w:val="21"/>
                      <w:szCs w:val="21"/>
                      <w:highlight w:val="none"/>
                    </w:rPr>
                    <w:t>50</w:t>
                  </w:r>
                </w:p>
              </w:tc>
            </w:tr>
            <w:tr w14:paraId="1486235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72" w:hRule="atLeast"/>
              </w:trPr>
              <w:tc>
                <w:tcPr>
                  <w:tcW w:w="536" w:type="pct"/>
                  <w:shd w:val="clear" w:color="auto" w:fill="auto"/>
                  <w:noWrap w:val="0"/>
                  <w:vAlign w:val="center"/>
                </w:tcPr>
                <w:p w14:paraId="6E88EC05">
                  <w:pPr>
                    <w:keepNext w:val="0"/>
                    <w:keepLines w:val="0"/>
                    <w:suppressLineNumbers w:val="0"/>
                    <w:shd w:val="clear" w:color="auto" w:fill="auto"/>
                    <w:spacing w:before="0" w:beforeAutospacing="0" w:after="0" w:afterAutospacing="0" w:line="240" w:lineRule="auto"/>
                    <w:ind w:left="0" w:right="0" w:firstLine="0" w:firstLineChars="0"/>
                    <w:jc w:val="center"/>
                    <w:rPr>
                      <w:rFonts w:hint="default" w:ascii="Times New Roman" w:hAnsi="Times New Roman" w:eastAsia="宋体" w:cs="Times New Roman"/>
                      <w:bCs/>
                      <w:color w:val="auto"/>
                      <w:kern w:val="2"/>
                      <w:sz w:val="21"/>
                      <w:szCs w:val="21"/>
                      <w:highlight w:val="none"/>
                      <w:lang w:val="en-US" w:eastAsia="zh-CN" w:bidi="ar-SA"/>
                    </w:rPr>
                  </w:pPr>
                  <w:r>
                    <w:rPr>
                      <w:rFonts w:hint="eastAsia"/>
                      <w:bCs/>
                      <w:color w:val="auto"/>
                      <w:kern w:val="2"/>
                      <w:sz w:val="21"/>
                      <w:szCs w:val="21"/>
                      <w:highlight w:val="none"/>
                      <w:lang w:val="en-US" w:eastAsia="zh-CN" w:bidi="ar-SA"/>
                    </w:rPr>
                    <w:t>14</w:t>
                  </w:r>
                </w:p>
              </w:tc>
              <w:tc>
                <w:tcPr>
                  <w:tcW w:w="2552" w:type="pct"/>
                  <w:vMerge w:val="continue"/>
                  <w:tcBorders>
                    <w:right w:val="single" w:color="auto" w:sz="4" w:space="0"/>
                  </w:tcBorders>
                  <w:noWrap w:val="0"/>
                  <w:vAlign w:val="center"/>
                </w:tcPr>
                <w:p w14:paraId="0CDECC1A">
                  <w:pPr>
                    <w:keepNext w:val="0"/>
                    <w:keepLines w:val="0"/>
                    <w:suppressLineNumbers w:val="0"/>
                    <w:shd w:val="clear" w:color="auto" w:fill="auto"/>
                    <w:spacing w:before="0" w:beforeAutospacing="0" w:after="0" w:afterAutospacing="0" w:line="240" w:lineRule="auto"/>
                    <w:ind w:left="0" w:right="0" w:firstLine="0" w:firstLineChars="0"/>
                    <w:jc w:val="center"/>
                    <w:rPr>
                      <w:rFonts w:hint="default"/>
                      <w:bCs/>
                      <w:color w:val="auto"/>
                      <w:sz w:val="21"/>
                      <w:szCs w:val="21"/>
                      <w:highlight w:val="none"/>
                    </w:rPr>
                  </w:pPr>
                </w:p>
              </w:tc>
              <w:tc>
                <w:tcPr>
                  <w:tcW w:w="813" w:type="pct"/>
                  <w:tcBorders>
                    <w:left w:val="single" w:color="auto" w:sz="4" w:space="0"/>
                  </w:tcBorders>
                  <w:noWrap w:val="0"/>
                  <w:vAlign w:val="center"/>
                </w:tcPr>
                <w:p w14:paraId="1AF9BDF0">
                  <w:pPr>
                    <w:keepNext w:val="0"/>
                    <w:keepLines w:val="0"/>
                    <w:suppressLineNumbers w:val="0"/>
                    <w:shd w:val="clear" w:color="auto" w:fill="auto"/>
                    <w:spacing w:before="0" w:beforeAutospacing="0" w:after="0" w:afterAutospacing="0" w:line="240" w:lineRule="auto"/>
                    <w:ind w:left="0" w:right="0" w:firstLine="0" w:firstLineChars="0"/>
                    <w:jc w:val="center"/>
                    <w:rPr>
                      <w:rFonts w:hint="eastAsia"/>
                      <w:bCs/>
                      <w:color w:val="auto"/>
                      <w:sz w:val="21"/>
                      <w:szCs w:val="21"/>
                      <w:highlight w:val="none"/>
                    </w:rPr>
                  </w:pPr>
                  <w:r>
                    <w:rPr>
                      <w:rFonts w:hint="default"/>
                      <w:bCs/>
                      <w:color w:val="auto"/>
                      <w:sz w:val="21"/>
                      <w:szCs w:val="21"/>
                      <w:highlight w:val="none"/>
                    </w:rPr>
                    <w:t>SS</w:t>
                  </w:r>
                </w:p>
              </w:tc>
              <w:tc>
                <w:tcPr>
                  <w:tcW w:w="1097" w:type="pct"/>
                  <w:noWrap w:val="0"/>
                  <w:vAlign w:val="center"/>
                </w:tcPr>
                <w:p w14:paraId="099EA327">
                  <w:pPr>
                    <w:keepNext w:val="0"/>
                    <w:keepLines w:val="0"/>
                    <w:suppressLineNumbers w:val="0"/>
                    <w:shd w:val="clear" w:color="auto" w:fill="auto"/>
                    <w:spacing w:before="0" w:beforeAutospacing="0" w:after="0" w:afterAutospacing="0" w:line="240" w:lineRule="auto"/>
                    <w:ind w:left="0" w:right="0" w:firstLine="0" w:firstLineChars="0"/>
                    <w:jc w:val="center"/>
                    <w:rPr>
                      <w:rFonts w:hint="eastAsia"/>
                      <w:bCs/>
                      <w:color w:val="auto"/>
                      <w:sz w:val="21"/>
                      <w:szCs w:val="21"/>
                      <w:highlight w:val="none"/>
                    </w:rPr>
                  </w:pPr>
                  <w:r>
                    <w:rPr>
                      <w:rFonts w:hint="eastAsia"/>
                      <w:bCs/>
                      <w:color w:val="auto"/>
                      <w:sz w:val="21"/>
                      <w:szCs w:val="21"/>
                      <w:highlight w:val="none"/>
                    </w:rPr>
                    <w:t>10</w:t>
                  </w:r>
                </w:p>
              </w:tc>
            </w:tr>
            <w:tr w14:paraId="2D0BEF3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72" w:hRule="atLeast"/>
              </w:trPr>
              <w:tc>
                <w:tcPr>
                  <w:tcW w:w="536" w:type="pct"/>
                  <w:shd w:val="clear" w:color="auto" w:fill="auto"/>
                  <w:noWrap w:val="0"/>
                  <w:vAlign w:val="center"/>
                </w:tcPr>
                <w:p w14:paraId="799B3494">
                  <w:pPr>
                    <w:keepNext w:val="0"/>
                    <w:keepLines w:val="0"/>
                    <w:suppressLineNumbers w:val="0"/>
                    <w:shd w:val="clear" w:color="auto" w:fill="auto"/>
                    <w:spacing w:before="0" w:beforeAutospacing="0" w:after="0" w:afterAutospacing="0" w:line="240" w:lineRule="auto"/>
                    <w:ind w:left="0" w:right="0" w:firstLine="0" w:firstLineChars="0"/>
                    <w:jc w:val="center"/>
                    <w:rPr>
                      <w:rFonts w:hint="default" w:ascii="Times New Roman" w:hAnsi="Times New Roman" w:eastAsia="宋体" w:cs="Times New Roman"/>
                      <w:bCs/>
                      <w:color w:val="auto"/>
                      <w:kern w:val="2"/>
                      <w:sz w:val="21"/>
                      <w:szCs w:val="21"/>
                      <w:highlight w:val="none"/>
                      <w:lang w:val="en-US" w:eastAsia="zh-CN" w:bidi="ar-SA"/>
                    </w:rPr>
                  </w:pPr>
                  <w:r>
                    <w:rPr>
                      <w:rFonts w:hint="eastAsia"/>
                      <w:bCs/>
                      <w:color w:val="auto"/>
                      <w:kern w:val="2"/>
                      <w:sz w:val="21"/>
                      <w:szCs w:val="21"/>
                      <w:highlight w:val="none"/>
                      <w:lang w:val="en-US" w:eastAsia="zh-CN" w:bidi="ar-SA"/>
                    </w:rPr>
                    <w:t>15</w:t>
                  </w:r>
                </w:p>
              </w:tc>
              <w:tc>
                <w:tcPr>
                  <w:tcW w:w="2552" w:type="pct"/>
                  <w:vMerge w:val="continue"/>
                  <w:tcBorders>
                    <w:right w:val="single" w:color="auto" w:sz="4" w:space="0"/>
                  </w:tcBorders>
                  <w:noWrap w:val="0"/>
                  <w:vAlign w:val="center"/>
                </w:tcPr>
                <w:p w14:paraId="6C69488C">
                  <w:pPr>
                    <w:keepNext w:val="0"/>
                    <w:keepLines w:val="0"/>
                    <w:suppressLineNumbers w:val="0"/>
                    <w:shd w:val="clear" w:color="auto" w:fill="auto"/>
                    <w:spacing w:before="0" w:beforeAutospacing="0" w:after="0" w:afterAutospacing="0" w:line="240" w:lineRule="auto"/>
                    <w:ind w:left="0" w:right="0" w:firstLine="0" w:firstLineChars="0"/>
                    <w:jc w:val="center"/>
                    <w:rPr>
                      <w:rFonts w:hint="default"/>
                      <w:bCs/>
                      <w:color w:val="auto"/>
                      <w:sz w:val="21"/>
                      <w:szCs w:val="21"/>
                      <w:highlight w:val="none"/>
                    </w:rPr>
                  </w:pPr>
                </w:p>
              </w:tc>
              <w:tc>
                <w:tcPr>
                  <w:tcW w:w="813" w:type="pct"/>
                  <w:tcBorders>
                    <w:left w:val="single" w:color="auto" w:sz="4" w:space="0"/>
                  </w:tcBorders>
                  <w:noWrap w:val="0"/>
                  <w:vAlign w:val="center"/>
                </w:tcPr>
                <w:p w14:paraId="5075B392">
                  <w:pPr>
                    <w:keepNext w:val="0"/>
                    <w:keepLines w:val="0"/>
                    <w:suppressLineNumbers w:val="0"/>
                    <w:shd w:val="clear" w:color="auto" w:fill="auto"/>
                    <w:spacing w:before="0" w:beforeAutospacing="0" w:after="0" w:afterAutospacing="0" w:line="240" w:lineRule="auto"/>
                    <w:ind w:left="0" w:right="0" w:firstLine="0" w:firstLineChars="0"/>
                    <w:jc w:val="center"/>
                    <w:rPr>
                      <w:rFonts w:hint="eastAsia"/>
                      <w:bCs/>
                      <w:color w:val="auto"/>
                      <w:sz w:val="21"/>
                      <w:szCs w:val="21"/>
                      <w:highlight w:val="none"/>
                    </w:rPr>
                  </w:pPr>
                  <w:r>
                    <w:rPr>
                      <w:rFonts w:hint="default"/>
                      <w:bCs/>
                      <w:color w:val="auto"/>
                      <w:sz w:val="21"/>
                      <w:szCs w:val="21"/>
                      <w:highlight w:val="none"/>
                    </w:rPr>
                    <w:t>氨氮</w:t>
                  </w:r>
                </w:p>
              </w:tc>
              <w:tc>
                <w:tcPr>
                  <w:tcW w:w="1097" w:type="pct"/>
                  <w:noWrap w:val="0"/>
                  <w:vAlign w:val="center"/>
                </w:tcPr>
                <w:p w14:paraId="68697DAE">
                  <w:pPr>
                    <w:keepNext w:val="0"/>
                    <w:keepLines w:val="0"/>
                    <w:suppressLineNumbers w:val="0"/>
                    <w:shd w:val="clear" w:color="auto" w:fill="auto"/>
                    <w:spacing w:before="0" w:beforeAutospacing="0" w:after="0" w:afterAutospacing="0" w:line="240" w:lineRule="auto"/>
                    <w:ind w:left="0" w:right="0" w:firstLine="0" w:firstLineChars="0"/>
                    <w:jc w:val="center"/>
                    <w:rPr>
                      <w:rFonts w:hint="eastAsia"/>
                      <w:bCs/>
                      <w:color w:val="auto"/>
                      <w:sz w:val="21"/>
                      <w:szCs w:val="21"/>
                      <w:highlight w:val="none"/>
                    </w:rPr>
                  </w:pPr>
                  <w:r>
                    <w:rPr>
                      <w:rFonts w:hint="eastAsia"/>
                      <w:bCs/>
                      <w:color w:val="auto"/>
                      <w:sz w:val="21"/>
                      <w:szCs w:val="21"/>
                      <w:highlight w:val="none"/>
                    </w:rPr>
                    <w:t>5</w:t>
                  </w:r>
                </w:p>
              </w:tc>
            </w:tr>
            <w:tr w14:paraId="0A85A05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72" w:hRule="atLeast"/>
              </w:trPr>
              <w:tc>
                <w:tcPr>
                  <w:tcW w:w="536" w:type="pct"/>
                  <w:shd w:val="clear" w:color="auto" w:fill="auto"/>
                  <w:noWrap w:val="0"/>
                  <w:vAlign w:val="center"/>
                </w:tcPr>
                <w:p w14:paraId="4972326D">
                  <w:pPr>
                    <w:keepNext w:val="0"/>
                    <w:keepLines w:val="0"/>
                    <w:suppressLineNumbers w:val="0"/>
                    <w:shd w:val="clear" w:color="auto" w:fill="auto"/>
                    <w:spacing w:before="0" w:beforeAutospacing="0" w:after="0" w:afterAutospacing="0" w:line="240" w:lineRule="auto"/>
                    <w:ind w:left="0" w:right="0" w:firstLine="0" w:firstLineChars="0"/>
                    <w:jc w:val="center"/>
                    <w:rPr>
                      <w:rFonts w:hint="eastAsia"/>
                      <w:bCs/>
                      <w:color w:val="auto"/>
                      <w:kern w:val="2"/>
                      <w:sz w:val="21"/>
                      <w:szCs w:val="21"/>
                      <w:highlight w:val="none"/>
                      <w:lang w:val="en-US" w:eastAsia="zh-CN" w:bidi="ar-SA"/>
                    </w:rPr>
                  </w:pPr>
                </w:p>
              </w:tc>
              <w:tc>
                <w:tcPr>
                  <w:tcW w:w="2552" w:type="pct"/>
                  <w:vMerge w:val="continue"/>
                  <w:tcBorders>
                    <w:right w:val="single" w:color="auto" w:sz="4" w:space="0"/>
                  </w:tcBorders>
                  <w:noWrap w:val="0"/>
                  <w:vAlign w:val="center"/>
                </w:tcPr>
                <w:p w14:paraId="4A0F0DED">
                  <w:pPr>
                    <w:keepNext w:val="0"/>
                    <w:keepLines w:val="0"/>
                    <w:suppressLineNumbers w:val="0"/>
                    <w:shd w:val="clear" w:color="auto" w:fill="auto"/>
                    <w:spacing w:before="0" w:beforeAutospacing="0" w:after="0" w:afterAutospacing="0" w:line="240" w:lineRule="auto"/>
                    <w:ind w:left="0" w:right="0" w:firstLine="0" w:firstLineChars="0"/>
                    <w:jc w:val="center"/>
                    <w:rPr>
                      <w:rFonts w:hint="default"/>
                      <w:bCs/>
                      <w:color w:val="auto"/>
                      <w:sz w:val="21"/>
                      <w:szCs w:val="21"/>
                      <w:highlight w:val="none"/>
                    </w:rPr>
                  </w:pPr>
                </w:p>
              </w:tc>
              <w:tc>
                <w:tcPr>
                  <w:tcW w:w="813" w:type="pct"/>
                  <w:tcBorders>
                    <w:left w:val="single" w:color="auto" w:sz="4" w:space="0"/>
                  </w:tcBorders>
                  <w:noWrap w:val="0"/>
                  <w:vAlign w:val="center"/>
                </w:tcPr>
                <w:p w14:paraId="4D1ACCCE">
                  <w:pPr>
                    <w:keepNext w:val="0"/>
                    <w:keepLines w:val="0"/>
                    <w:suppressLineNumbers w:val="0"/>
                    <w:shd w:val="clear" w:color="auto" w:fill="auto"/>
                    <w:spacing w:before="0" w:beforeAutospacing="0" w:after="0" w:afterAutospacing="0" w:line="240" w:lineRule="auto"/>
                    <w:ind w:left="0" w:right="0" w:firstLine="0" w:firstLineChars="0"/>
                    <w:jc w:val="center"/>
                    <w:rPr>
                      <w:rFonts w:hint="eastAsia" w:eastAsia="宋体"/>
                      <w:bCs/>
                      <w:color w:val="auto"/>
                      <w:sz w:val="21"/>
                      <w:szCs w:val="21"/>
                      <w:highlight w:val="none"/>
                      <w:lang w:val="en-US" w:eastAsia="zh-CN"/>
                    </w:rPr>
                  </w:pPr>
                  <w:r>
                    <w:rPr>
                      <w:rFonts w:hint="eastAsia"/>
                      <w:bCs/>
                      <w:color w:val="auto"/>
                      <w:sz w:val="21"/>
                      <w:szCs w:val="21"/>
                      <w:highlight w:val="none"/>
                      <w:lang w:val="en-US" w:eastAsia="zh-CN"/>
                    </w:rPr>
                    <w:t>TN</w:t>
                  </w:r>
                </w:p>
              </w:tc>
              <w:tc>
                <w:tcPr>
                  <w:tcW w:w="1097" w:type="pct"/>
                  <w:noWrap w:val="0"/>
                  <w:vAlign w:val="center"/>
                </w:tcPr>
                <w:p w14:paraId="0BB1B139">
                  <w:pPr>
                    <w:keepNext w:val="0"/>
                    <w:keepLines w:val="0"/>
                    <w:suppressLineNumbers w:val="0"/>
                    <w:shd w:val="clear" w:color="auto" w:fill="auto"/>
                    <w:spacing w:before="0" w:beforeAutospacing="0" w:after="0" w:afterAutospacing="0" w:line="240" w:lineRule="auto"/>
                    <w:ind w:left="0" w:right="0" w:firstLine="0" w:firstLineChars="0"/>
                    <w:jc w:val="center"/>
                    <w:rPr>
                      <w:rFonts w:hint="default" w:eastAsia="宋体"/>
                      <w:bCs/>
                      <w:color w:val="auto"/>
                      <w:sz w:val="21"/>
                      <w:szCs w:val="21"/>
                      <w:highlight w:val="none"/>
                      <w:lang w:val="en-US" w:eastAsia="zh-CN"/>
                    </w:rPr>
                  </w:pPr>
                  <w:r>
                    <w:rPr>
                      <w:rFonts w:hint="eastAsia"/>
                      <w:bCs/>
                      <w:color w:val="auto"/>
                      <w:sz w:val="21"/>
                      <w:szCs w:val="21"/>
                      <w:highlight w:val="none"/>
                      <w:lang w:val="en-US" w:eastAsia="zh-CN"/>
                    </w:rPr>
                    <w:t>15</w:t>
                  </w:r>
                </w:p>
              </w:tc>
            </w:tr>
            <w:tr w14:paraId="5FF8C87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72" w:hRule="atLeast"/>
              </w:trPr>
              <w:tc>
                <w:tcPr>
                  <w:tcW w:w="536" w:type="pct"/>
                  <w:shd w:val="clear" w:color="auto" w:fill="auto"/>
                  <w:noWrap w:val="0"/>
                  <w:vAlign w:val="center"/>
                </w:tcPr>
                <w:p w14:paraId="5F182224">
                  <w:pPr>
                    <w:keepNext w:val="0"/>
                    <w:keepLines w:val="0"/>
                    <w:suppressLineNumbers w:val="0"/>
                    <w:shd w:val="clear" w:color="auto" w:fill="auto"/>
                    <w:spacing w:before="0" w:beforeAutospacing="0" w:after="0" w:afterAutospacing="0" w:line="240" w:lineRule="auto"/>
                    <w:ind w:left="0" w:right="0" w:firstLine="0" w:firstLineChars="0"/>
                    <w:jc w:val="center"/>
                    <w:rPr>
                      <w:rFonts w:hint="default" w:ascii="Times New Roman" w:hAnsi="Times New Roman" w:eastAsia="宋体" w:cs="Times New Roman"/>
                      <w:bCs/>
                      <w:color w:val="auto"/>
                      <w:kern w:val="2"/>
                      <w:sz w:val="21"/>
                      <w:szCs w:val="21"/>
                      <w:highlight w:val="none"/>
                      <w:lang w:val="en-US" w:eastAsia="zh-CN" w:bidi="ar-SA"/>
                    </w:rPr>
                  </w:pPr>
                  <w:r>
                    <w:rPr>
                      <w:rFonts w:hint="eastAsia"/>
                      <w:bCs/>
                      <w:color w:val="auto"/>
                      <w:kern w:val="2"/>
                      <w:sz w:val="21"/>
                      <w:szCs w:val="21"/>
                      <w:highlight w:val="none"/>
                      <w:lang w:val="en-US" w:eastAsia="zh-CN" w:bidi="ar-SA"/>
                    </w:rPr>
                    <w:t>16</w:t>
                  </w:r>
                </w:p>
              </w:tc>
              <w:tc>
                <w:tcPr>
                  <w:tcW w:w="2552" w:type="pct"/>
                  <w:vMerge w:val="continue"/>
                  <w:tcBorders>
                    <w:right w:val="single" w:color="auto" w:sz="4" w:space="0"/>
                  </w:tcBorders>
                  <w:noWrap w:val="0"/>
                  <w:vAlign w:val="center"/>
                </w:tcPr>
                <w:p w14:paraId="5F321967">
                  <w:pPr>
                    <w:keepNext w:val="0"/>
                    <w:keepLines w:val="0"/>
                    <w:suppressLineNumbers w:val="0"/>
                    <w:shd w:val="clear" w:color="auto" w:fill="auto"/>
                    <w:spacing w:before="0" w:beforeAutospacing="0" w:after="0" w:afterAutospacing="0" w:line="240" w:lineRule="auto"/>
                    <w:ind w:left="0" w:right="0" w:firstLine="0" w:firstLineChars="0"/>
                    <w:jc w:val="center"/>
                    <w:rPr>
                      <w:rFonts w:hint="default"/>
                      <w:bCs/>
                      <w:color w:val="auto"/>
                      <w:sz w:val="21"/>
                      <w:szCs w:val="21"/>
                      <w:highlight w:val="none"/>
                    </w:rPr>
                  </w:pPr>
                </w:p>
              </w:tc>
              <w:tc>
                <w:tcPr>
                  <w:tcW w:w="813" w:type="pct"/>
                  <w:tcBorders>
                    <w:left w:val="single" w:color="auto" w:sz="4" w:space="0"/>
                  </w:tcBorders>
                  <w:noWrap w:val="0"/>
                  <w:vAlign w:val="center"/>
                </w:tcPr>
                <w:p w14:paraId="3B1AE2AD">
                  <w:pPr>
                    <w:keepNext w:val="0"/>
                    <w:keepLines w:val="0"/>
                    <w:suppressLineNumbers w:val="0"/>
                    <w:shd w:val="clear" w:color="auto" w:fill="auto"/>
                    <w:spacing w:before="0" w:beforeAutospacing="0" w:after="0" w:afterAutospacing="0" w:line="240" w:lineRule="auto"/>
                    <w:ind w:left="0" w:right="0" w:firstLine="0" w:firstLineChars="0"/>
                    <w:jc w:val="center"/>
                    <w:rPr>
                      <w:rFonts w:hint="eastAsia"/>
                      <w:bCs/>
                      <w:color w:val="auto"/>
                      <w:sz w:val="21"/>
                      <w:szCs w:val="21"/>
                      <w:highlight w:val="none"/>
                    </w:rPr>
                  </w:pPr>
                  <w:r>
                    <w:rPr>
                      <w:rFonts w:hint="default"/>
                      <w:bCs/>
                      <w:color w:val="auto"/>
                      <w:sz w:val="21"/>
                      <w:szCs w:val="21"/>
                      <w:highlight w:val="none"/>
                    </w:rPr>
                    <w:t>TP</w:t>
                  </w:r>
                </w:p>
              </w:tc>
              <w:tc>
                <w:tcPr>
                  <w:tcW w:w="1097" w:type="pct"/>
                  <w:noWrap w:val="0"/>
                  <w:vAlign w:val="center"/>
                </w:tcPr>
                <w:p w14:paraId="5AE3F68A">
                  <w:pPr>
                    <w:keepNext w:val="0"/>
                    <w:keepLines w:val="0"/>
                    <w:suppressLineNumbers w:val="0"/>
                    <w:shd w:val="clear" w:color="auto" w:fill="auto"/>
                    <w:spacing w:before="0" w:beforeAutospacing="0" w:after="0" w:afterAutospacing="0" w:line="240" w:lineRule="auto"/>
                    <w:ind w:left="0" w:right="0" w:firstLine="0" w:firstLineChars="0"/>
                    <w:jc w:val="center"/>
                    <w:rPr>
                      <w:rFonts w:hint="eastAsia"/>
                      <w:bCs/>
                      <w:color w:val="auto"/>
                      <w:sz w:val="21"/>
                      <w:szCs w:val="21"/>
                      <w:highlight w:val="none"/>
                    </w:rPr>
                  </w:pPr>
                  <w:r>
                    <w:rPr>
                      <w:rFonts w:hint="eastAsia"/>
                      <w:bCs/>
                      <w:color w:val="auto"/>
                      <w:sz w:val="21"/>
                      <w:szCs w:val="21"/>
                      <w:highlight w:val="none"/>
                    </w:rPr>
                    <w:t>0.5</w:t>
                  </w:r>
                </w:p>
              </w:tc>
            </w:tr>
            <w:tr w14:paraId="786C5FE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72" w:hRule="atLeast"/>
              </w:trPr>
              <w:tc>
                <w:tcPr>
                  <w:tcW w:w="536" w:type="pct"/>
                  <w:shd w:val="clear" w:color="auto" w:fill="auto"/>
                  <w:noWrap w:val="0"/>
                  <w:vAlign w:val="center"/>
                </w:tcPr>
                <w:p w14:paraId="2EACF680">
                  <w:pPr>
                    <w:keepNext w:val="0"/>
                    <w:keepLines w:val="0"/>
                    <w:suppressLineNumbers w:val="0"/>
                    <w:shd w:val="clear" w:color="auto" w:fill="auto"/>
                    <w:spacing w:before="0" w:beforeAutospacing="0" w:after="0" w:afterAutospacing="0" w:line="240" w:lineRule="auto"/>
                    <w:ind w:left="0" w:right="0" w:firstLine="0" w:firstLineChars="0"/>
                    <w:jc w:val="center"/>
                    <w:rPr>
                      <w:rFonts w:hint="default" w:ascii="Times New Roman" w:hAnsi="Times New Roman" w:eastAsia="宋体" w:cs="Times New Roman"/>
                      <w:bCs/>
                      <w:color w:val="auto"/>
                      <w:kern w:val="2"/>
                      <w:sz w:val="21"/>
                      <w:szCs w:val="21"/>
                      <w:highlight w:val="none"/>
                      <w:lang w:val="en-US" w:eastAsia="zh-CN" w:bidi="ar-SA"/>
                    </w:rPr>
                  </w:pPr>
                  <w:r>
                    <w:rPr>
                      <w:rFonts w:hint="eastAsia"/>
                      <w:bCs/>
                      <w:color w:val="auto"/>
                      <w:kern w:val="2"/>
                      <w:sz w:val="21"/>
                      <w:szCs w:val="21"/>
                      <w:highlight w:val="none"/>
                      <w:lang w:val="en-US" w:eastAsia="zh-CN" w:bidi="ar-SA"/>
                    </w:rPr>
                    <w:t>17</w:t>
                  </w:r>
                </w:p>
              </w:tc>
              <w:tc>
                <w:tcPr>
                  <w:tcW w:w="2552" w:type="pct"/>
                  <w:vMerge w:val="continue"/>
                  <w:tcBorders>
                    <w:right w:val="single" w:color="auto" w:sz="4" w:space="0"/>
                  </w:tcBorders>
                  <w:noWrap w:val="0"/>
                  <w:vAlign w:val="center"/>
                </w:tcPr>
                <w:p w14:paraId="316826A5">
                  <w:pPr>
                    <w:keepNext w:val="0"/>
                    <w:keepLines w:val="0"/>
                    <w:suppressLineNumbers w:val="0"/>
                    <w:shd w:val="clear" w:color="auto" w:fill="auto"/>
                    <w:spacing w:before="0" w:beforeAutospacing="0" w:after="0" w:afterAutospacing="0" w:line="240" w:lineRule="auto"/>
                    <w:ind w:left="0" w:right="0" w:firstLine="0" w:firstLineChars="0"/>
                    <w:jc w:val="center"/>
                    <w:rPr>
                      <w:rFonts w:hint="default"/>
                      <w:bCs/>
                      <w:color w:val="auto"/>
                      <w:sz w:val="21"/>
                      <w:szCs w:val="21"/>
                      <w:highlight w:val="none"/>
                    </w:rPr>
                  </w:pPr>
                </w:p>
              </w:tc>
              <w:tc>
                <w:tcPr>
                  <w:tcW w:w="813" w:type="pct"/>
                  <w:tcBorders>
                    <w:left w:val="single" w:color="auto" w:sz="4" w:space="0"/>
                  </w:tcBorders>
                  <w:noWrap w:val="0"/>
                  <w:vAlign w:val="center"/>
                </w:tcPr>
                <w:p w14:paraId="5F4B9A26">
                  <w:pPr>
                    <w:keepNext w:val="0"/>
                    <w:keepLines w:val="0"/>
                    <w:suppressLineNumbers w:val="0"/>
                    <w:shd w:val="clear" w:color="auto" w:fill="auto"/>
                    <w:spacing w:before="0" w:beforeAutospacing="0" w:after="0" w:afterAutospacing="0" w:line="240" w:lineRule="auto"/>
                    <w:ind w:left="0" w:right="0" w:firstLine="0" w:firstLineChars="0"/>
                    <w:jc w:val="center"/>
                    <w:rPr>
                      <w:rFonts w:hint="eastAsia"/>
                      <w:bCs/>
                      <w:color w:val="auto"/>
                      <w:sz w:val="21"/>
                      <w:szCs w:val="21"/>
                      <w:highlight w:val="none"/>
                    </w:rPr>
                  </w:pPr>
                  <w:r>
                    <w:rPr>
                      <w:rFonts w:hint="eastAsia"/>
                      <w:bCs/>
                      <w:color w:val="auto"/>
                      <w:sz w:val="21"/>
                      <w:szCs w:val="21"/>
                      <w:highlight w:val="none"/>
                    </w:rPr>
                    <w:t>BOD</w:t>
                  </w:r>
                  <w:r>
                    <w:rPr>
                      <w:rFonts w:hint="eastAsia"/>
                      <w:bCs/>
                      <w:color w:val="auto"/>
                      <w:sz w:val="21"/>
                      <w:szCs w:val="21"/>
                      <w:highlight w:val="none"/>
                      <w:vertAlign w:val="subscript"/>
                    </w:rPr>
                    <w:t>5</w:t>
                  </w:r>
                </w:p>
              </w:tc>
              <w:tc>
                <w:tcPr>
                  <w:tcW w:w="1097" w:type="pct"/>
                  <w:noWrap w:val="0"/>
                  <w:vAlign w:val="center"/>
                </w:tcPr>
                <w:p w14:paraId="1D067142">
                  <w:pPr>
                    <w:keepNext w:val="0"/>
                    <w:keepLines w:val="0"/>
                    <w:suppressLineNumbers w:val="0"/>
                    <w:shd w:val="clear" w:color="auto" w:fill="auto"/>
                    <w:spacing w:before="0" w:beforeAutospacing="0" w:after="0" w:afterAutospacing="0" w:line="240" w:lineRule="auto"/>
                    <w:ind w:left="0" w:right="0" w:firstLine="0" w:firstLineChars="0"/>
                    <w:jc w:val="center"/>
                    <w:rPr>
                      <w:rFonts w:hint="eastAsia"/>
                      <w:bCs/>
                      <w:color w:val="auto"/>
                      <w:sz w:val="21"/>
                      <w:szCs w:val="21"/>
                      <w:highlight w:val="none"/>
                    </w:rPr>
                  </w:pPr>
                  <w:r>
                    <w:rPr>
                      <w:rFonts w:hint="eastAsia"/>
                      <w:bCs/>
                      <w:color w:val="auto"/>
                      <w:sz w:val="21"/>
                      <w:szCs w:val="21"/>
                      <w:highlight w:val="none"/>
                    </w:rPr>
                    <w:t>10</w:t>
                  </w:r>
                </w:p>
              </w:tc>
            </w:tr>
            <w:tr w14:paraId="5F7A625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72" w:hRule="atLeast"/>
              </w:trPr>
              <w:tc>
                <w:tcPr>
                  <w:tcW w:w="536" w:type="pct"/>
                  <w:shd w:val="clear" w:color="auto" w:fill="auto"/>
                  <w:noWrap w:val="0"/>
                  <w:vAlign w:val="center"/>
                </w:tcPr>
                <w:p w14:paraId="50AD0CF5">
                  <w:pPr>
                    <w:keepNext w:val="0"/>
                    <w:keepLines w:val="0"/>
                    <w:suppressLineNumbers w:val="0"/>
                    <w:shd w:val="clear" w:color="auto" w:fill="auto"/>
                    <w:spacing w:before="0" w:beforeAutospacing="0" w:after="0" w:afterAutospacing="0" w:line="240" w:lineRule="auto"/>
                    <w:ind w:left="0" w:right="0" w:firstLine="0" w:firstLineChars="0"/>
                    <w:jc w:val="center"/>
                    <w:rPr>
                      <w:rFonts w:hint="default" w:ascii="Times New Roman" w:hAnsi="Times New Roman" w:eastAsia="宋体" w:cs="Times New Roman"/>
                      <w:bCs/>
                      <w:color w:val="auto"/>
                      <w:kern w:val="2"/>
                      <w:sz w:val="21"/>
                      <w:szCs w:val="21"/>
                      <w:highlight w:val="none"/>
                      <w:lang w:val="en-US" w:eastAsia="zh-CN" w:bidi="ar-SA"/>
                    </w:rPr>
                  </w:pPr>
                  <w:r>
                    <w:rPr>
                      <w:rFonts w:hint="eastAsia"/>
                      <w:bCs/>
                      <w:color w:val="auto"/>
                      <w:sz w:val="21"/>
                      <w:szCs w:val="21"/>
                      <w:highlight w:val="none"/>
                      <w:lang w:val="en-US" w:eastAsia="zh-CN"/>
                    </w:rPr>
                    <w:t>18</w:t>
                  </w:r>
                </w:p>
              </w:tc>
              <w:tc>
                <w:tcPr>
                  <w:tcW w:w="2552" w:type="pct"/>
                  <w:vMerge w:val="continue"/>
                  <w:tcBorders>
                    <w:right w:val="single" w:color="auto" w:sz="4" w:space="0"/>
                  </w:tcBorders>
                  <w:noWrap w:val="0"/>
                  <w:vAlign w:val="center"/>
                </w:tcPr>
                <w:p w14:paraId="79DDD22E">
                  <w:pPr>
                    <w:keepNext w:val="0"/>
                    <w:keepLines w:val="0"/>
                    <w:suppressLineNumbers w:val="0"/>
                    <w:shd w:val="clear" w:color="auto" w:fill="auto"/>
                    <w:spacing w:before="0" w:beforeAutospacing="0" w:after="0" w:afterAutospacing="0" w:line="240" w:lineRule="auto"/>
                    <w:ind w:left="0" w:right="0" w:firstLine="0" w:firstLineChars="0"/>
                    <w:jc w:val="center"/>
                    <w:rPr>
                      <w:rFonts w:hint="default"/>
                      <w:bCs/>
                      <w:color w:val="auto"/>
                      <w:sz w:val="21"/>
                      <w:szCs w:val="21"/>
                      <w:highlight w:val="none"/>
                    </w:rPr>
                  </w:pPr>
                </w:p>
              </w:tc>
              <w:tc>
                <w:tcPr>
                  <w:tcW w:w="813" w:type="pct"/>
                  <w:tcBorders>
                    <w:left w:val="single" w:color="auto" w:sz="4" w:space="0"/>
                  </w:tcBorders>
                  <w:noWrap w:val="0"/>
                  <w:vAlign w:val="center"/>
                </w:tcPr>
                <w:p w14:paraId="58D2937A">
                  <w:pPr>
                    <w:keepNext w:val="0"/>
                    <w:keepLines w:val="0"/>
                    <w:suppressLineNumbers w:val="0"/>
                    <w:shd w:val="clear" w:color="auto" w:fill="auto"/>
                    <w:spacing w:before="0" w:beforeAutospacing="0" w:after="0" w:afterAutospacing="0" w:line="240" w:lineRule="auto"/>
                    <w:ind w:left="0" w:right="0" w:firstLine="0" w:firstLineChars="0"/>
                    <w:jc w:val="center"/>
                    <w:rPr>
                      <w:rFonts w:hint="eastAsia"/>
                      <w:bCs/>
                      <w:color w:val="auto"/>
                      <w:sz w:val="21"/>
                      <w:szCs w:val="21"/>
                      <w:highlight w:val="none"/>
                    </w:rPr>
                  </w:pPr>
                  <w:r>
                    <w:rPr>
                      <w:rFonts w:hint="eastAsia"/>
                      <w:bCs/>
                      <w:color w:val="auto"/>
                      <w:sz w:val="21"/>
                      <w:szCs w:val="21"/>
                      <w:highlight w:val="none"/>
                      <w:lang w:eastAsia="zh-CN"/>
                    </w:rPr>
                    <w:t>动植物油</w:t>
                  </w:r>
                </w:p>
              </w:tc>
              <w:tc>
                <w:tcPr>
                  <w:tcW w:w="1097" w:type="pct"/>
                  <w:noWrap w:val="0"/>
                  <w:vAlign w:val="center"/>
                </w:tcPr>
                <w:p w14:paraId="01848997">
                  <w:pPr>
                    <w:keepNext w:val="0"/>
                    <w:keepLines w:val="0"/>
                    <w:suppressLineNumbers w:val="0"/>
                    <w:shd w:val="clear" w:color="auto" w:fill="auto"/>
                    <w:spacing w:before="0" w:beforeAutospacing="0" w:after="0" w:afterAutospacing="0" w:line="240" w:lineRule="auto"/>
                    <w:ind w:left="0" w:right="0" w:firstLine="0" w:firstLineChars="0"/>
                    <w:jc w:val="center"/>
                    <w:rPr>
                      <w:rFonts w:hint="default" w:eastAsia="宋体"/>
                      <w:bCs/>
                      <w:color w:val="auto"/>
                      <w:sz w:val="21"/>
                      <w:szCs w:val="21"/>
                      <w:highlight w:val="none"/>
                      <w:lang w:val="en-US" w:eastAsia="zh-CN"/>
                    </w:rPr>
                  </w:pPr>
                  <w:r>
                    <w:rPr>
                      <w:rFonts w:hint="eastAsia"/>
                      <w:bCs/>
                      <w:color w:val="auto"/>
                      <w:sz w:val="21"/>
                      <w:szCs w:val="21"/>
                      <w:highlight w:val="none"/>
                      <w:lang w:val="en-US" w:eastAsia="zh-CN"/>
                    </w:rPr>
                    <w:t>1</w:t>
                  </w:r>
                </w:p>
              </w:tc>
            </w:tr>
          </w:tbl>
          <w:p w14:paraId="0190D0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Times New Roman" w:hAnsi="Times New Roman" w:eastAsia="宋体" w:cs="Times New Roman"/>
                <w:b/>
                <w:bCs/>
                <w:color w:val="auto"/>
                <w:sz w:val="24"/>
                <w:highlight w:val="none"/>
              </w:rPr>
            </w:pPr>
            <w:r>
              <w:rPr>
                <w:rFonts w:hint="eastAsia" w:ascii="Times New Roman" w:hAnsi="Times New Roman" w:eastAsia="宋体" w:cs="Times New Roman"/>
                <w:b/>
                <w:bCs/>
                <w:color w:val="auto"/>
                <w:sz w:val="24"/>
                <w:highlight w:val="none"/>
              </w:rPr>
              <w:t>3、噪声排放标准</w:t>
            </w:r>
          </w:p>
          <w:p w14:paraId="378747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color w:val="auto"/>
                <w:kern w:val="0"/>
                <w:sz w:val="24"/>
                <w:highlight w:val="none"/>
                <w:lang w:val="en-GB"/>
              </w:rPr>
            </w:pPr>
            <w:r>
              <w:rPr>
                <w:rFonts w:hint="eastAsia"/>
                <w:color w:val="auto"/>
                <w:kern w:val="0"/>
                <w:sz w:val="24"/>
                <w:highlight w:val="none"/>
                <w:lang w:val="en-US" w:eastAsia="zh-CN"/>
              </w:rPr>
              <w:t>本项目</w:t>
            </w:r>
            <w:r>
              <w:rPr>
                <w:rFonts w:hint="default"/>
                <w:color w:val="auto"/>
                <w:kern w:val="0"/>
                <w:sz w:val="24"/>
                <w:highlight w:val="none"/>
                <w:lang w:val="en-GB"/>
              </w:rPr>
              <w:t>运营期厂界执行《工业企业厂界环境噪声排放标准》（GB12348-2008）中的</w:t>
            </w:r>
            <w:r>
              <w:rPr>
                <w:rFonts w:hint="eastAsia"/>
                <w:color w:val="auto"/>
                <w:kern w:val="0"/>
                <w:sz w:val="24"/>
                <w:highlight w:val="none"/>
                <w:lang w:val="en-US" w:eastAsia="zh-CN"/>
              </w:rPr>
              <w:t>3</w:t>
            </w:r>
            <w:r>
              <w:rPr>
                <w:rFonts w:hint="default"/>
                <w:color w:val="auto"/>
                <w:kern w:val="0"/>
                <w:sz w:val="24"/>
                <w:highlight w:val="none"/>
                <w:lang w:val="en-GB"/>
              </w:rPr>
              <w:t>类标准</w:t>
            </w:r>
            <w:r>
              <w:rPr>
                <w:rFonts w:hint="eastAsia"/>
                <w:color w:val="auto"/>
                <w:kern w:val="0"/>
                <w:sz w:val="24"/>
                <w:highlight w:val="none"/>
              </w:rPr>
              <w:t>。</w:t>
            </w:r>
            <w:r>
              <w:rPr>
                <w:rFonts w:hint="default"/>
                <w:color w:val="auto"/>
                <w:kern w:val="0"/>
                <w:sz w:val="24"/>
                <w:highlight w:val="none"/>
                <w:lang w:val="en-GB"/>
              </w:rPr>
              <w:t>具体限值见表</w:t>
            </w:r>
            <w:r>
              <w:rPr>
                <w:rFonts w:hint="eastAsia"/>
                <w:color w:val="auto"/>
                <w:kern w:val="0"/>
                <w:sz w:val="24"/>
                <w:highlight w:val="none"/>
              </w:rPr>
              <w:t>3</w:t>
            </w:r>
            <w:r>
              <w:rPr>
                <w:rFonts w:hint="eastAsia"/>
                <w:color w:val="auto"/>
                <w:kern w:val="0"/>
                <w:sz w:val="24"/>
                <w:highlight w:val="none"/>
                <w:lang w:val="en-US" w:eastAsia="zh-CN"/>
              </w:rPr>
              <w:t>-9</w:t>
            </w:r>
            <w:r>
              <w:rPr>
                <w:rFonts w:hint="default"/>
                <w:color w:val="auto"/>
                <w:kern w:val="0"/>
                <w:sz w:val="24"/>
                <w:highlight w:val="none"/>
                <w:lang w:val="en-GB"/>
              </w:rPr>
              <w:t>。</w:t>
            </w:r>
          </w:p>
          <w:p w14:paraId="356B7C57">
            <w:pPr>
              <w:pStyle w:val="44"/>
              <w:keepNext w:val="0"/>
              <w:keepLines w:val="0"/>
              <w:pageBreakBefore w:val="0"/>
              <w:widowControl w:val="0"/>
              <w:suppressLineNumbers w:val="0"/>
              <w:kinsoku/>
              <w:wordWrap/>
              <w:overflowPunct/>
              <w:topLinePunct w:val="0"/>
              <w:autoSpaceDE/>
              <w:autoSpaceDN/>
              <w:bidi w:val="0"/>
              <w:adjustRightInd/>
              <w:snapToGrid/>
              <w:spacing w:before="120" w:beforeAutospacing="0" w:after="0" w:afterAutospacing="0"/>
              <w:ind w:left="0" w:leftChars="0" w:right="0" w:firstLine="0" w:firstLineChars="0"/>
              <w:textAlignment w:val="auto"/>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rPr>
              <w:t>表3-</w:t>
            </w:r>
            <w:r>
              <w:rPr>
                <w:rFonts w:hint="eastAsia" w:cs="Times New Roman"/>
                <w:color w:val="auto"/>
                <w:sz w:val="21"/>
                <w:szCs w:val="21"/>
                <w:highlight w:val="none"/>
                <w:lang w:val="en-US" w:eastAsia="zh-CN"/>
              </w:rPr>
              <w:t>9</w:t>
            </w:r>
            <w:r>
              <w:rPr>
                <w:rFonts w:hint="eastAsia" w:ascii="Times New Roman" w:hAnsi="Times New Roman" w:eastAsia="宋体" w:cs="Times New Roman"/>
                <w:color w:val="auto"/>
                <w:sz w:val="21"/>
                <w:szCs w:val="21"/>
                <w:highlight w:val="none"/>
              </w:rPr>
              <w:t xml:space="preserve"> 工业企业厂界环境噪声排放标准（摘录）</w:t>
            </w:r>
          </w:p>
          <w:tbl>
            <w:tblPr>
              <w:tblStyle w:val="27"/>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282"/>
              <w:gridCol w:w="1286"/>
              <w:gridCol w:w="1286"/>
              <w:gridCol w:w="1288"/>
              <w:gridCol w:w="3531"/>
            </w:tblGrid>
            <w:tr w14:paraId="121C816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39" w:type="pct"/>
                  <w:tcBorders>
                    <w:bottom w:val="single" w:color="auto" w:sz="12" w:space="0"/>
                  </w:tcBorders>
                  <w:vAlign w:val="center"/>
                </w:tcPr>
                <w:p w14:paraId="44B2B070">
                  <w:pPr>
                    <w:keepNext w:val="0"/>
                    <w:keepLines w:val="0"/>
                    <w:suppressLineNumbers w:val="0"/>
                    <w:spacing w:before="0" w:beforeAutospacing="0" w:after="0" w:afterAutospacing="0" w:line="240" w:lineRule="atLeast"/>
                    <w:ind w:left="0" w:right="0"/>
                    <w:jc w:val="center"/>
                    <w:rPr>
                      <w:rFonts w:hint="default"/>
                      <w:b/>
                      <w:bCs/>
                      <w:color w:val="auto"/>
                      <w:szCs w:val="21"/>
                      <w:highlight w:val="none"/>
                    </w:rPr>
                  </w:pPr>
                  <w:r>
                    <w:rPr>
                      <w:rFonts w:hint="eastAsia"/>
                      <w:b/>
                      <w:bCs/>
                      <w:color w:val="auto"/>
                      <w:szCs w:val="21"/>
                      <w:highlight w:val="none"/>
                    </w:rPr>
                    <w:t>时段</w:t>
                  </w:r>
                </w:p>
              </w:tc>
              <w:tc>
                <w:tcPr>
                  <w:tcW w:w="741" w:type="pct"/>
                  <w:tcBorders>
                    <w:bottom w:val="single" w:color="auto" w:sz="12" w:space="0"/>
                  </w:tcBorders>
                  <w:vAlign w:val="center"/>
                </w:tcPr>
                <w:p w14:paraId="28D6B3F3">
                  <w:pPr>
                    <w:keepNext w:val="0"/>
                    <w:keepLines w:val="0"/>
                    <w:suppressLineNumbers w:val="0"/>
                    <w:spacing w:before="0" w:beforeAutospacing="0" w:after="0" w:afterAutospacing="0" w:line="240" w:lineRule="atLeast"/>
                    <w:ind w:left="0" w:right="0"/>
                    <w:jc w:val="center"/>
                    <w:rPr>
                      <w:rFonts w:hint="eastAsia" w:eastAsia="宋体"/>
                      <w:b/>
                      <w:bCs/>
                      <w:color w:val="auto"/>
                      <w:szCs w:val="21"/>
                      <w:highlight w:val="none"/>
                      <w:lang w:val="en-US" w:eastAsia="zh-CN"/>
                    </w:rPr>
                  </w:pPr>
                  <w:r>
                    <w:rPr>
                      <w:rFonts w:hint="eastAsia"/>
                      <w:b/>
                      <w:bCs/>
                      <w:color w:val="auto"/>
                      <w:szCs w:val="21"/>
                      <w:highlight w:val="none"/>
                      <w:lang w:val="en-US" w:eastAsia="zh-CN"/>
                    </w:rPr>
                    <w:t>位置</w:t>
                  </w:r>
                </w:p>
              </w:tc>
              <w:tc>
                <w:tcPr>
                  <w:tcW w:w="741" w:type="pct"/>
                  <w:tcBorders>
                    <w:bottom w:val="single" w:color="auto" w:sz="12" w:space="0"/>
                  </w:tcBorders>
                  <w:vAlign w:val="center"/>
                </w:tcPr>
                <w:p w14:paraId="3BEDE533">
                  <w:pPr>
                    <w:keepNext w:val="0"/>
                    <w:keepLines w:val="0"/>
                    <w:suppressLineNumbers w:val="0"/>
                    <w:spacing w:before="0" w:beforeAutospacing="0" w:after="0" w:afterAutospacing="0" w:line="240" w:lineRule="atLeast"/>
                    <w:ind w:left="0" w:right="0"/>
                    <w:jc w:val="center"/>
                    <w:rPr>
                      <w:rFonts w:hint="default"/>
                      <w:b/>
                      <w:bCs/>
                      <w:color w:val="auto"/>
                      <w:szCs w:val="21"/>
                      <w:highlight w:val="none"/>
                    </w:rPr>
                  </w:pPr>
                  <w:r>
                    <w:rPr>
                      <w:rFonts w:hint="default"/>
                      <w:b/>
                      <w:bCs/>
                      <w:color w:val="auto"/>
                      <w:szCs w:val="21"/>
                      <w:highlight w:val="none"/>
                    </w:rPr>
                    <w:t>昼间</w:t>
                  </w:r>
                </w:p>
              </w:tc>
              <w:tc>
                <w:tcPr>
                  <w:tcW w:w="742" w:type="pct"/>
                  <w:tcBorders>
                    <w:bottom w:val="single" w:color="auto" w:sz="12" w:space="0"/>
                  </w:tcBorders>
                  <w:vAlign w:val="center"/>
                </w:tcPr>
                <w:p w14:paraId="685CBD2B">
                  <w:pPr>
                    <w:keepNext w:val="0"/>
                    <w:keepLines w:val="0"/>
                    <w:suppressLineNumbers w:val="0"/>
                    <w:spacing w:before="0" w:beforeAutospacing="0" w:after="0" w:afterAutospacing="0" w:line="240" w:lineRule="atLeast"/>
                    <w:ind w:left="0" w:right="0"/>
                    <w:jc w:val="center"/>
                    <w:rPr>
                      <w:rFonts w:hint="default"/>
                      <w:b/>
                      <w:bCs/>
                      <w:color w:val="auto"/>
                      <w:szCs w:val="21"/>
                      <w:highlight w:val="none"/>
                    </w:rPr>
                  </w:pPr>
                  <w:r>
                    <w:rPr>
                      <w:rFonts w:hint="default"/>
                      <w:b/>
                      <w:bCs/>
                      <w:color w:val="auto"/>
                      <w:szCs w:val="21"/>
                      <w:highlight w:val="none"/>
                    </w:rPr>
                    <w:t>夜间</w:t>
                  </w:r>
                </w:p>
              </w:tc>
              <w:tc>
                <w:tcPr>
                  <w:tcW w:w="2035" w:type="pct"/>
                  <w:tcBorders>
                    <w:bottom w:val="single" w:color="auto" w:sz="12" w:space="0"/>
                  </w:tcBorders>
                  <w:vAlign w:val="center"/>
                </w:tcPr>
                <w:p w14:paraId="0521983E">
                  <w:pPr>
                    <w:keepNext w:val="0"/>
                    <w:keepLines w:val="0"/>
                    <w:suppressLineNumbers w:val="0"/>
                    <w:spacing w:before="0" w:beforeAutospacing="0" w:after="0" w:afterAutospacing="0" w:line="240" w:lineRule="atLeast"/>
                    <w:ind w:left="0" w:right="0"/>
                    <w:jc w:val="center"/>
                    <w:rPr>
                      <w:rFonts w:hint="default"/>
                      <w:b/>
                      <w:bCs/>
                      <w:color w:val="auto"/>
                      <w:szCs w:val="21"/>
                      <w:highlight w:val="none"/>
                    </w:rPr>
                  </w:pPr>
                  <w:r>
                    <w:rPr>
                      <w:rFonts w:hint="default"/>
                      <w:b/>
                      <w:bCs/>
                      <w:color w:val="auto"/>
                      <w:szCs w:val="21"/>
                      <w:highlight w:val="none"/>
                    </w:rPr>
                    <w:t>采用标准</w:t>
                  </w:r>
                </w:p>
              </w:tc>
            </w:tr>
            <w:tr w14:paraId="35E8BA5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39" w:type="pct"/>
                  <w:tcBorders>
                    <w:top w:val="single" w:color="auto" w:sz="12" w:space="0"/>
                    <w:tl2br w:val="nil"/>
                    <w:tr2bl w:val="nil"/>
                  </w:tcBorders>
                  <w:vAlign w:val="center"/>
                </w:tcPr>
                <w:p w14:paraId="1C185F8D">
                  <w:pPr>
                    <w:keepNext w:val="0"/>
                    <w:keepLines w:val="0"/>
                    <w:suppressLineNumbers w:val="0"/>
                    <w:spacing w:before="0" w:beforeAutospacing="0" w:after="0" w:afterAutospacing="0" w:line="240" w:lineRule="atLeast"/>
                    <w:ind w:left="0" w:right="0"/>
                    <w:jc w:val="center"/>
                    <w:rPr>
                      <w:rFonts w:hint="default"/>
                      <w:color w:val="auto"/>
                      <w:szCs w:val="21"/>
                      <w:highlight w:val="none"/>
                    </w:rPr>
                  </w:pPr>
                  <w:r>
                    <w:rPr>
                      <w:rFonts w:hint="default"/>
                      <w:color w:val="auto"/>
                      <w:szCs w:val="21"/>
                      <w:highlight w:val="none"/>
                    </w:rPr>
                    <w:t>运营期</w:t>
                  </w:r>
                </w:p>
              </w:tc>
              <w:tc>
                <w:tcPr>
                  <w:tcW w:w="741" w:type="pct"/>
                  <w:tcBorders>
                    <w:top w:val="single" w:color="auto" w:sz="12" w:space="0"/>
                    <w:tl2br w:val="nil"/>
                    <w:tr2bl w:val="nil"/>
                  </w:tcBorders>
                  <w:vAlign w:val="center"/>
                </w:tcPr>
                <w:p w14:paraId="055292F9">
                  <w:pPr>
                    <w:keepNext w:val="0"/>
                    <w:keepLines w:val="0"/>
                    <w:suppressLineNumbers w:val="0"/>
                    <w:spacing w:before="0" w:beforeAutospacing="0" w:after="0" w:afterAutospacing="0" w:line="240" w:lineRule="atLeast"/>
                    <w:ind w:left="0" w:right="0"/>
                    <w:jc w:val="center"/>
                    <w:rPr>
                      <w:rFonts w:hint="default"/>
                      <w:color w:val="auto"/>
                      <w:szCs w:val="21"/>
                      <w:highlight w:val="none"/>
                      <w:lang w:val="en-US" w:eastAsia="zh-CN"/>
                    </w:rPr>
                  </w:pPr>
                  <w:r>
                    <w:rPr>
                      <w:rFonts w:hint="eastAsia"/>
                      <w:color w:val="auto"/>
                      <w:szCs w:val="21"/>
                      <w:highlight w:val="none"/>
                      <w:lang w:val="en-US" w:eastAsia="zh-CN"/>
                    </w:rPr>
                    <w:t>厂界</w:t>
                  </w:r>
                </w:p>
              </w:tc>
              <w:tc>
                <w:tcPr>
                  <w:tcW w:w="741" w:type="pct"/>
                  <w:tcBorders>
                    <w:top w:val="single" w:color="auto" w:sz="12" w:space="0"/>
                    <w:tl2br w:val="nil"/>
                    <w:tr2bl w:val="nil"/>
                  </w:tcBorders>
                  <w:vAlign w:val="center"/>
                </w:tcPr>
                <w:p w14:paraId="1729486F">
                  <w:pPr>
                    <w:keepNext w:val="0"/>
                    <w:keepLines w:val="0"/>
                    <w:suppressLineNumbers w:val="0"/>
                    <w:spacing w:before="0" w:beforeAutospacing="0" w:after="0" w:afterAutospacing="0" w:line="240" w:lineRule="atLeast"/>
                    <w:ind w:left="0" w:right="0"/>
                    <w:jc w:val="center"/>
                    <w:rPr>
                      <w:rFonts w:hint="default" w:eastAsia="宋体"/>
                      <w:color w:val="auto"/>
                      <w:szCs w:val="21"/>
                      <w:highlight w:val="none"/>
                      <w:lang w:val="en-US" w:eastAsia="zh-CN"/>
                    </w:rPr>
                  </w:pPr>
                  <w:r>
                    <w:rPr>
                      <w:rFonts w:hint="eastAsia"/>
                      <w:color w:val="auto"/>
                      <w:szCs w:val="21"/>
                      <w:highlight w:val="none"/>
                      <w:lang w:val="en-US" w:eastAsia="zh-CN"/>
                    </w:rPr>
                    <w:t>65</w:t>
                  </w:r>
                </w:p>
              </w:tc>
              <w:tc>
                <w:tcPr>
                  <w:tcW w:w="742" w:type="pct"/>
                  <w:tcBorders>
                    <w:top w:val="single" w:color="auto" w:sz="12" w:space="0"/>
                    <w:tl2br w:val="nil"/>
                    <w:tr2bl w:val="nil"/>
                  </w:tcBorders>
                  <w:vAlign w:val="center"/>
                </w:tcPr>
                <w:p w14:paraId="3FAB3E6B">
                  <w:pPr>
                    <w:keepNext w:val="0"/>
                    <w:keepLines w:val="0"/>
                    <w:suppressLineNumbers w:val="0"/>
                    <w:spacing w:before="0" w:beforeAutospacing="0" w:after="0" w:afterAutospacing="0" w:line="240" w:lineRule="atLeast"/>
                    <w:ind w:left="0" w:right="0"/>
                    <w:jc w:val="center"/>
                    <w:rPr>
                      <w:rFonts w:hint="default" w:eastAsia="宋体"/>
                      <w:color w:val="auto"/>
                      <w:szCs w:val="21"/>
                      <w:highlight w:val="none"/>
                      <w:lang w:val="en-US" w:eastAsia="zh-CN"/>
                    </w:rPr>
                  </w:pPr>
                  <w:r>
                    <w:rPr>
                      <w:rFonts w:hint="eastAsia"/>
                      <w:color w:val="auto"/>
                      <w:szCs w:val="21"/>
                      <w:highlight w:val="none"/>
                      <w:lang w:val="en-US" w:eastAsia="zh-CN"/>
                    </w:rPr>
                    <w:t>55</w:t>
                  </w:r>
                </w:p>
              </w:tc>
              <w:tc>
                <w:tcPr>
                  <w:tcW w:w="2035" w:type="pct"/>
                  <w:tcBorders>
                    <w:top w:val="single" w:color="auto" w:sz="12" w:space="0"/>
                    <w:tl2br w:val="nil"/>
                    <w:tr2bl w:val="nil"/>
                  </w:tcBorders>
                  <w:vAlign w:val="center"/>
                </w:tcPr>
                <w:p w14:paraId="3C2D4F35">
                  <w:pPr>
                    <w:keepNext w:val="0"/>
                    <w:keepLines w:val="0"/>
                    <w:suppressLineNumbers w:val="0"/>
                    <w:spacing w:before="0" w:beforeAutospacing="0" w:after="0" w:afterAutospacing="0" w:line="240" w:lineRule="atLeast"/>
                    <w:ind w:left="0" w:right="0"/>
                    <w:jc w:val="center"/>
                    <w:rPr>
                      <w:rFonts w:hint="default"/>
                      <w:color w:val="auto"/>
                      <w:szCs w:val="21"/>
                      <w:highlight w:val="none"/>
                    </w:rPr>
                  </w:pPr>
                  <w:r>
                    <w:rPr>
                      <w:rFonts w:hint="default"/>
                      <w:color w:val="auto"/>
                      <w:szCs w:val="21"/>
                      <w:highlight w:val="none"/>
                    </w:rPr>
                    <w:t>《工业企业厂界环境噪声排放标准》(GB12348-2008)</w:t>
                  </w:r>
                  <w:r>
                    <w:rPr>
                      <w:rFonts w:hint="eastAsia"/>
                      <w:color w:val="auto"/>
                      <w:szCs w:val="21"/>
                      <w:highlight w:val="none"/>
                      <w:lang w:val="en-US" w:eastAsia="zh-CN"/>
                    </w:rPr>
                    <w:t>3</w:t>
                  </w:r>
                  <w:r>
                    <w:rPr>
                      <w:rFonts w:hint="default"/>
                      <w:color w:val="auto"/>
                      <w:szCs w:val="21"/>
                      <w:highlight w:val="none"/>
                    </w:rPr>
                    <w:t>类区标准</w:t>
                  </w:r>
                </w:p>
              </w:tc>
            </w:tr>
          </w:tbl>
          <w:p w14:paraId="7316B982">
            <w:pPr>
              <w:pStyle w:val="48"/>
              <w:keepNext w:val="0"/>
              <w:keepLines w:val="0"/>
              <w:pageBreakBefore w:val="0"/>
              <w:widowControl w:val="0"/>
              <w:suppressLineNumbers w:val="0"/>
              <w:kinsoku/>
              <w:wordWrap/>
              <w:overflowPunct/>
              <w:topLinePunct w:val="0"/>
              <w:autoSpaceDE/>
              <w:autoSpaceDN/>
              <w:bidi w:val="0"/>
              <w:spacing w:before="0" w:beforeLines="0" w:beforeAutospacing="0" w:after="0" w:afterAutospacing="0" w:line="360" w:lineRule="auto"/>
              <w:ind w:left="0" w:right="0" w:firstLine="482" w:firstLineChars="200"/>
              <w:textAlignment w:val="auto"/>
              <w:rPr>
                <w:rFonts w:hint="default"/>
                <w:b/>
                <w:bCs/>
                <w:color w:val="auto"/>
                <w:sz w:val="24"/>
                <w:highlight w:val="none"/>
              </w:rPr>
            </w:pPr>
            <w:r>
              <w:rPr>
                <w:rFonts w:hint="eastAsia"/>
                <w:b/>
                <w:bCs/>
                <w:color w:val="auto"/>
                <w:sz w:val="24"/>
                <w:highlight w:val="none"/>
              </w:rPr>
              <w:t>4</w:t>
            </w:r>
            <w:r>
              <w:rPr>
                <w:rFonts w:hint="default"/>
                <w:b/>
                <w:bCs/>
                <w:color w:val="auto"/>
                <w:sz w:val="24"/>
                <w:highlight w:val="none"/>
              </w:rPr>
              <w:t>、固体废物</w:t>
            </w:r>
          </w:p>
          <w:p w14:paraId="38F23AB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textAlignment w:val="auto"/>
              <w:rPr>
                <w:rFonts w:hint="default"/>
                <w:color w:val="auto"/>
                <w:kern w:val="0"/>
                <w:szCs w:val="21"/>
                <w:highlight w:val="none"/>
              </w:rPr>
            </w:pPr>
            <w:r>
              <w:rPr>
                <w:rFonts w:hint="default" w:ascii="Times New Roman" w:hAnsi="Times New Roman" w:eastAsia="宋体" w:cs="Times New Roman"/>
                <w:color w:val="auto"/>
                <w:kern w:val="0"/>
                <w:sz w:val="24"/>
                <w:szCs w:val="24"/>
                <w:highlight w:val="none"/>
                <w:lang w:val="en-US" w:eastAsia="zh-CN" w:bidi="ar-SA"/>
              </w:rPr>
              <w:t>一般</w:t>
            </w:r>
            <w:r>
              <w:rPr>
                <w:rFonts w:hint="eastAsia" w:ascii="Times New Roman" w:hAnsi="Times New Roman" w:eastAsia="宋体" w:cs="Times New Roman"/>
                <w:color w:val="auto"/>
                <w:kern w:val="0"/>
                <w:sz w:val="24"/>
                <w:szCs w:val="24"/>
                <w:highlight w:val="none"/>
                <w:lang w:val="en-US" w:eastAsia="zh-CN" w:bidi="ar-SA"/>
              </w:rPr>
              <w:t>工业</w:t>
            </w:r>
            <w:r>
              <w:rPr>
                <w:rFonts w:hint="default" w:ascii="Times New Roman" w:hAnsi="Times New Roman" w:eastAsia="宋体" w:cs="Times New Roman"/>
                <w:color w:val="auto"/>
                <w:kern w:val="0"/>
                <w:sz w:val="24"/>
                <w:szCs w:val="24"/>
                <w:highlight w:val="none"/>
                <w:lang w:val="en-US" w:eastAsia="zh-CN" w:bidi="ar-SA"/>
              </w:rPr>
              <w:t>固体废物贮存过程满足相应防渗漏、防雨淋、防扬尘等环境保护要求；危险废物暂存执行《危险废物贮存污染控制标准》（GB18597-2023）</w:t>
            </w:r>
            <w:r>
              <w:rPr>
                <w:rFonts w:hint="eastAsia" w:ascii="Times New Roman" w:hAnsi="Times New Roman" w:eastAsia="宋体" w:cs="Times New Roman"/>
                <w:color w:val="auto"/>
                <w:kern w:val="0"/>
                <w:sz w:val="24"/>
                <w:szCs w:val="24"/>
                <w:highlight w:val="none"/>
                <w:lang w:val="en-US" w:eastAsia="zh-CN" w:bidi="ar-SA"/>
              </w:rPr>
              <w:t>相关标准</w:t>
            </w:r>
            <w:r>
              <w:rPr>
                <w:rFonts w:hint="default" w:ascii="Times New Roman" w:hAnsi="Times New Roman" w:eastAsia="宋体" w:cs="Times New Roman"/>
                <w:color w:val="auto"/>
                <w:kern w:val="0"/>
                <w:sz w:val="24"/>
                <w:szCs w:val="24"/>
                <w:highlight w:val="none"/>
                <w:lang w:val="en-US" w:eastAsia="zh-CN" w:bidi="ar-SA"/>
              </w:rPr>
              <w:t>。</w:t>
            </w:r>
          </w:p>
        </w:tc>
      </w:tr>
      <w:tr w14:paraId="0167017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414" w:hRule="atLeast"/>
          <w:jc w:val="center"/>
        </w:trPr>
        <w:tc>
          <w:tcPr>
            <w:tcW w:w="512" w:type="dxa"/>
            <w:vAlign w:val="center"/>
          </w:tcPr>
          <w:p w14:paraId="7756B349">
            <w:pPr>
              <w:keepNext w:val="0"/>
              <w:keepLines w:val="0"/>
              <w:suppressLineNumbers w:val="0"/>
              <w:adjustRightInd w:val="0"/>
              <w:snapToGrid w:val="0"/>
              <w:spacing w:before="0" w:beforeAutospacing="0" w:after="0" w:afterAutospacing="0"/>
              <w:ind w:left="0" w:right="0"/>
              <w:jc w:val="center"/>
              <w:rPr>
                <w:rFonts w:hint="default" w:ascii="宋体" w:hAnsi="宋体" w:cs="宋体"/>
                <w:b/>
                <w:bCs/>
                <w:color w:val="auto"/>
                <w:kern w:val="0"/>
                <w:sz w:val="24"/>
                <w:highlight w:val="none"/>
              </w:rPr>
            </w:pPr>
            <w:r>
              <w:rPr>
                <w:rFonts w:hint="eastAsia" w:ascii="宋体" w:hAnsi="宋体" w:cs="宋体"/>
                <w:b/>
                <w:bCs/>
                <w:color w:val="auto"/>
                <w:kern w:val="0"/>
                <w:sz w:val="24"/>
                <w:highlight w:val="none"/>
              </w:rPr>
              <w:t>总量</w:t>
            </w:r>
          </w:p>
          <w:p w14:paraId="49C2D330">
            <w:pPr>
              <w:keepNext w:val="0"/>
              <w:keepLines w:val="0"/>
              <w:suppressLineNumbers w:val="0"/>
              <w:adjustRightInd w:val="0"/>
              <w:snapToGrid w:val="0"/>
              <w:spacing w:before="0" w:beforeAutospacing="0" w:after="0" w:afterAutospacing="0"/>
              <w:ind w:left="0" w:right="0"/>
              <w:jc w:val="center"/>
              <w:rPr>
                <w:rFonts w:hint="default" w:ascii="宋体" w:hAnsi="宋体" w:cs="宋体"/>
                <w:b/>
                <w:bCs/>
                <w:color w:val="auto"/>
                <w:kern w:val="0"/>
                <w:sz w:val="24"/>
                <w:highlight w:val="none"/>
              </w:rPr>
            </w:pPr>
            <w:r>
              <w:rPr>
                <w:rFonts w:hint="eastAsia" w:ascii="宋体" w:hAnsi="宋体" w:cs="宋体"/>
                <w:b/>
                <w:bCs/>
                <w:color w:val="auto"/>
                <w:kern w:val="0"/>
                <w:sz w:val="24"/>
                <w:highlight w:val="none"/>
              </w:rPr>
              <w:t>控制</w:t>
            </w:r>
          </w:p>
          <w:p w14:paraId="7ECAF954">
            <w:pPr>
              <w:keepNext w:val="0"/>
              <w:keepLines w:val="0"/>
              <w:suppressLineNumbers w:val="0"/>
              <w:adjustRightInd w:val="0"/>
              <w:snapToGrid w:val="0"/>
              <w:spacing w:before="0" w:beforeAutospacing="0" w:after="0" w:afterAutospacing="0"/>
              <w:ind w:left="0" w:right="0"/>
              <w:jc w:val="center"/>
              <w:rPr>
                <w:rFonts w:hint="default" w:ascii="宋体" w:hAnsi="宋体" w:cs="宋体"/>
                <w:color w:val="auto"/>
                <w:kern w:val="0"/>
                <w:sz w:val="24"/>
                <w:highlight w:val="none"/>
              </w:rPr>
            </w:pPr>
            <w:r>
              <w:rPr>
                <w:rFonts w:hint="eastAsia" w:ascii="宋体" w:hAnsi="宋体" w:cs="宋体"/>
                <w:b/>
                <w:bCs/>
                <w:color w:val="auto"/>
                <w:kern w:val="0"/>
                <w:sz w:val="24"/>
                <w:highlight w:val="none"/>
              </w:rPr>
              <w:t>指标</w:t>
            </w:r>
          </w:p>
        </w:tc>
        <w:tc>
          <w:tcPr>
            <w:tcW w:w="8892" w:type="dxa"/>
            <w:vAlign w:val="top"/>
          </w:tcPr>
          <w:p w14:paraId="29251C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根据《江西省</w:t>
            </w:r>
            <w:r>
              <w:rPr>
                <w:rFonts w:hint="eastAsia" w:cs="Times New Roman"/>
                <w:color w:val="auto"/>
                <w:sz w:val="24"/>
                <w:szCs w:val="24"/>
                <w:lang w:eastAsia="zh-CN"/>
              </w:rPr>
              <w:t>“</w:t>
            </w:r>
            <w:r>
              <w:rPr>
                <w:rFonts w:hint="default" w:ascii="Times New Roman" w:hAnsi="Times New Roman" w:eastAsia="宋体" w:cs="Times New Roman"/>
                <w:color w:val="auto"/>
                <w:sz w:val="24"/>
                <w:szCs w:val="24"/>
              </w:rPr>
              <w:t>十</w:t>
            </w:r>
            <w:r>
              <w:rPr>
                <w:rFonts w:hint="eastAsia" w:cs="Times New Roman"/>
                <w:color w:val="auto"/>
                <w:sz w:val="24"/>
                <w:szCs w:val="24"/>
                <w:lang w:val="en-US" w:eastAsia="zh-CN"/>
              </w:rPr>
              <w:t>四</w:t>
            </w:r>
            <w:r>
              <w:rPr>
                <w:rFonts w:hint="default" w:ascii="Times New Roman" w:hAnsi="Times New Roman" w:eastAsia="宋体" w:cs="Times New Roman"/>
                <w:color w:val="auto"/>
                <w:sz w:val="24"/>
                <w:szCs w:val="24"/>
              </w:rPr>
              <w:t>五</w:t>
            </w:r>
            <w:r>
              <w:rPr>
                <w:rFonts w:hint="eastAsia" w:cs="Times New Roman"/>
                <w:color w:val="auto"/>
                <w:sz w:val="24"/>
                <w:szCs w:val="24"/>
                <w:lang w:eastAsia="zh-CN"/>
              </w:rPr>
              <w:t>”</w:t>
            </w:r>
            <w:r>
              <w:rPr>
                <w:rFonts w:hint="default" w:ascii="Times New Roman" w:hAnsi="Times New Roman" w:eastAsia="宋体" w:cs="Times New Roman"/>
                <w:color w:val="auto"/>
                <w:sz w:val="24"/>
                <w:szCs w:val="24"/>
              </w:rPr>
              <w:t>生态环境保护规划》及《江西省生态环境厅关于做好2021年主要大气污染物总量减排核算工作的通知》</w:t>
            </w:r>
            <w:r>
              <w:rPr>
                <w:rFonts w:hint="eastAsia" w:ascii="Times New Roman" w:hAnsi="Times New Roman" w:eastAsia="宋体" w:cs="Times New Roman"/>
                <w:color w:val="auto"/>
                <w:sz w:val="24"/>
                <w:szCs w:val="24"/>
              </w:rPr>
              <w:t>（</w:t>
            </w:r>
            <w:r>
              <w:rPr>
                <w:rFonts w:hint="default" w:ascii="Times New Roman" w:hAnsi="Times New Roman" w:eastAsia="宋体" w:cs="Times New Roman"/>
                <w:color w:val="auto"/>
                <w:sz w:val="24"/>
                <w:szCs w:val="24"/>
              </w:rPr>
              <w:t>赣环大气</w:t>
            </w:r>
            <w:r>
              <w:rPr>
                <w:rFonts w:hint="eastAsia" w:ascii="宋体" w:hAnsi="宋体" w:eastAsia="宋体" w:cs="Times New Roman"/>
                <w:color w:val="auto"/>
                <w:sz w:val="24"/>
                <w:szCs w:val="24"/>
              </w:rPr>
              <w:t>〔</w:t>
            </w:r>
            <w:r>
              <w:rPr>
                <w:rFonts w:hint="default" w:ascii="Times New Roman" w:hAnsi="Times New Roman" w:eastAsia="宋体" w:cs="Times New Roman"/>
                <w:color w:val="auto"/>
                <w:sz w:val="24"/>
                <w:szCs w:val="24"/>
              </w:rPr>
              <w:t>2021</w:t>
            </w:r>
            <w:r>
              <w:rPr>
                <w:rFonts w:hint="eastAsia" w:ascii="宋体" w:hAnsi="宋体" w:eastAsia="宋体" w:cs="Times New Roman"/>
                <w:color w:val="auto"/>
                <w:sz w:val="24"/>
                <w:szCs w:val="24"/>
              </w:rPr>
              <w:t>〕</w:t>
            </w:r>
            <w:r>
              <w:rPr>
                <w:rFonts w:hint="default" w:ascii="Times New Roman" w:hAnsi="Times New Roman" w:eastAsia="宋体" w:cs="Times New Roman"/>
                <w:color w:val="auto"/>
                <w:sz w:val="24"/>
                <w:szCs w:val="24"/>
              </w:rPr>
              <w:t>24号</w:t>
            </w:r>
            <w:r>
              <w:rPr>
                <w:rFonts w:hint="eastAsia" w:ascii="Times New Roman" w:hAnsi="Times New Roman" w:eastAsia="宋体" w:cs="Times New Roman"/>
                <w:color w:val="auto"/>
                <w:sz w:val="24"/>
                <w:szCs w:val="24"/>
              </w:rPr>
              <w:t>）</w:t>
            </w:r>
            <w:r>
              <w:rPr>
                <w:rFonts w:hint="default" w:ascii="Times New Roman" w:hAnsi="Times New Roman" w:eastAsia="宋体" w:cs="Times New Roman"/>
                <w:color w:val="auto"/>
                <w:sz w:val="24"/>
                <w:szCs w:val="24"/>
              </w:rPr>
              <w:t>，国家实行总量控制的污染物有NO</w:t>
            </w:r>
            <w:r>
              <w:rPr>
                <w:rFonts w:hint="default" w:ascii="Times New Roman" w:hAnsi="Times New Roman" w:eastAsia="宋体" w:cs="Times New Roman"/>
                <w:color w:val="auto"/>
                <w:sz w:val="24"/>
                <w:szCs w:val="24"/>
                <w:vertAlign w:val="subscript"/>
              </w:rPr>
              <w:t>x</w:t>
            </w:r>
            <w:r>
              <w:rPr>
                <w:rFonts w:hint="default" w:ascii="Times New Roman" w:hAnsi="Times New Roman" w:eastAsia="宋体" w:cs="Times New Roman"/>
                <w:color w:val="auto"/>
                <w:sz w:val="24"/>
                <w:szCs w:val="24"/>
              </w:rPr>
              <w:t>、VOCs、COD</w:t>
            </w:r>
            <w:r>
              <w:rPr>
                <w:rFonts w:hint="default" w:ascii="Times New Roman" w:hAnsi="Times New Roman" w:eastAsia="宋体" w:cs="Times New Roman"/>
                <w:color w:val="auto"/>
                <w:sz w:val="24"/>
                <w:szCs w:val="24"/>
                <w:vertAlign w:val="subscript"/>
              </w:rPr>
              <w:t>cr</w:t>
            </w:r>
            <w:r>
              <w:rPr>
                <w:rFonts w:hint="default" w:ascii="Times New Roman" w:hAnsi="Times New Roman" w:eastAsia="宋体" w:cs="Times New Roman"/>
                <w:color w:val="auto"/>
                <w:sz w:val="24"/>
                <w:szCs w:val="24"/>
              </w:rPr>
              <w:t>和NH</w:t>
            </w:r>
            <w:r>
              <w:rPr>
                <w:rFonts w:hint="default" w:ascii="Times New Roman" w:hAnsi="Times New Roman" w:eastAsia="宋体" w:cs="Times New Roman"/>
                <w:color w:val="auto"/>
                <w:sz w:val="24"/>
                <w:szCs w:val="24"/>
                <w:vertAlign w:val="subscript"/>
              </w:rPr>
              <w:t>3</w:t>
            </w:r>
            <w:r>
              <w:rPr>
                <w:rFonts w:hint="default" w:ascii="Times New Roman" w:hAnsi="Times New Roman" w:eastAsia="宋体" w:cs="Times New Roman"/>
                <w:color w:val="auto"/>
                <w:sz w:val="24"/>
                <w:szCs w:val="24"/>
              </w:rPr>
              <w:t>-N。</w:t>
            </w:r>
          </w:p>
          <w:p w14:paraId="64ED75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jc w:val="both"/>
              <w:textAlignment w:val="auto"/>
              <w:outlineLvl w:val="9"/>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根据工程分析可知，本项目总量控制指标主要为COD</w:t>
            </w:r>
            <w:r>
              <w:rPr>
                <w:rFonts w:hint="default" w:ascii="Times New Roman" w:hAnsi="Times New Roman" w:eastAsia="宋体" w:cs="Times New Roman"/>
                <w:color w:val="auto"/>
                <w:sz w:val="24"/>
                <w:highlight w:val="none"/>
                <w:vertAlign w:val="subscript"/>
              </w:rPr>
              <w:t>Cr</w:t>
            </w:r>
            <w:r>
              <w:rPr>
                <w:rFonts w:hint="default" w:ascii="Times New Roman" w:hAnsi="Times New Roman" w:eastAsia="宋体" w:cs="Times New Roman"/>
                <w:color w:val="auto"/>
                <w:sz w:val="24"/>
                <w:highlight w:val="none"/>
              </w:rPr>
              <w:t>、NH</w:t>
            </w:r>
            <w:r>
              <w:rPr>
                <w:rFonts w:hint="default" w:ascii="Times New Roman" w:hAnsi="Times New Roman" w:eastAsia="宋体" w:cs="Times New Roman"/>
                <w:color w:val="auto"/>
                <w:sz w:val="24"/>
                <w:highlight w:val="none"/>
                <w:vertAlign w:val="subscript"/>
              </w:rPr>
              <w:t>3</w:t>
            </w:r>
            <w:r>
              <w:rPr>
                <w:rFonts w:hint="default" w:ascii="Times New Roman" w:hAnsi="Times New Roman" w:eastAsia="宋体" w:cs="Times New Roman"/>
                <w:color w:val="auto"/>
                <w:sz w:val="24"/>
                <w:highlight w:val="none"/>
              </w:rPr>
              <w:t>-N。</w:t>
            </w:r>
          </w:p>
          <w:p w14:paraId="0A227E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lang w:val="en-US" w:eastAsia="zh-CN"/>
              </w:rPr>
              <w:t>本项目外排废水主要为生活污水，生活污水</w:t>
            </w:r>
            <w:r>
              <w:rPr>
                <w:rFonts w:hint="default" w:ascii="Times New Roman" w:hAnsi="Times New Roman" w:eastAsia="宋体" w:cs="Times New Roman"/>
                <w:color w:val="auto"/>
                <w:sz w:val="24"/>
                <w:highlight w:val="none"/>
                <w:lang w:val="en-US" w:eastAsia="zh-CN"/>
              </w:rPr>
              <w:t>经预处理达标后进入金山园区一期一体化污水处理站</w:t>
            </w:r>
            <w:r>
              <w:rPr>
                <w:rFonts w:hint="default" w:ascii="Times New Roman" w:hAnsi="Times New Roman" w:eastAsia="宋体" w:cs="Times New Roman"/>
                <w:color w:val="auto"/>
                <w:sz w:val="24"/>
                <w:highlight w:val="none"/>
              </w:rPr>
              <w:t>进一步处理</w:t>
            </w:r>
            <w:r>
              <w:rPr>
                <w:rFonts w:hint="default" w:ascii="Times New Roman" w:hAnsi="Times New Roman" w:eastAsia="宋体" w:cs="Times New Roman"/>
                <w:color w:val="auto"/>
                <w:sz w:val="24"/>
                <w:highlight w:val="none"/>
                <w:lang w:eastAsia="zh-CN"/>
              </w:rPr>
              <w:t>。</w:t>
            </w:r>
            <w:r>
              <w:rPr>
                <w:rFonts w:hint="default" w:ascii="Times New Roman" w:hAnsi="Times New Roman" w:eastAsia="宋体" w:cs="Times New Roman"/>
                <w:color w:val="auto"/>
                <w:sz w:val="24"/>
                <w:highlight w:val="none"/>
                <w:lang w:val="en-US" w:eastAsia="zh-CN"/>
              </w:rPr>
              <w:t>污水处理站出水标准执行</w:t>
            </w:r>
            <w:r>
              <w:rPr>
                <w:rFonts w:hint="default" w:ascii="Times New Roman" w:hAnsi="Times New Roman" w:eastAsia="宋体" w:cs="Times New Roman"/>
                <w:color w:val="auto"/>
                <w:sz w:val="24"/>
                <w:highlight w:val="none"/>
              </w:rPr>
              <w:t>《城镇污水处理厂污染物排放标准》（GB18918-2002）中一级A标准后外排至乐安河</w:t>
            </w:r>
            <w:r>
              <w:rPr>
                <w:rFonts w:hint="default" w:ascii="Times New Roman" w:hAnsi="Times New Roman" w:eastAsia="宋体" w:cs="Times New Roman"/>
                <w:color w:val="auto"/>
                <w:sz w:val="24"/>
                <w:highlight w:val="none"/>
                <w:lang w:eastAsia="zh-CN"/>
              </w:rPr>
              <w:t>，</w:t>
            </w:r>
            <w:r>
              <w:rPr>
                <w:rFonts w:hint="default" w:ascii="Times New Roman" w:hAnsi="Times New Roman" w:eastAsia="宋体" w:cs="Times New Roman"/>
                <w:color w:val="auto"/>
                <w:sz w:val="24"/>
                <w:highlight w:val="none"/>
              </w:rPr>
              <w:t>其对应的COD</w:t>
            </w:r>
            <w:r>
              <w:rPr>
                <w:rFonts w:hint="default" w:ascii="Times New Roman" w:hAnsi="Times New Roman" w:eastAsia="宋体" w:cs="Times New Roman"/>
                <w:color w:val="auto"/>
                <w:sz w:val="24"/>
                <w:highlight w:val="none"/>
                <w:vertAlign w:val="subscript"/>
              </w:rPr>
              <w:t>Cr</w:t>
            </w:r>
            <w:r>
              <w:rPr>
                <w:rFonts w:hint="default" w:ascii="Times New Roman" w:hAnsi="Times New Roman" w:eastAsia="宋体" w:cs="Times New Roman"/>
                <w:color w:val="auto"/>
                <w:sz w:val="24"/>
                <w:highlight w:val="none"/>
              </w:rPr>
              <w:t>、NH</w:t>
            </w:r>
            <w:r>
              <w:rPr>
                <w:rFonts w:hint="default" w:ascii="Times New Roman" w:hAnsi="Times New Roman" w:eastAsia="宋体" w:cs="Times New Roman"/>
                <w:color w:val="auto"/>
                <w:sz w:val="24"/>
                <w:highlight w:val="none"/>
                <w:vertAlign w:val="subscript"/>
              </w:rPr>
              <w:t>3</w:t>
            </w:r>
            <w:r>
              <w:rPr>
                <w:rFonts w:hint="default" w:ascii="Times New Roman" w:hAnsi="Times New Roman" w:eastAsia="宋体" w:cs="Times New Roman"/>
                <w:color w:val="auto"/>
                <w:sz w:val="24"/>
                <w:highlight w:val="none"/>
              </w:rPr>
              <w:t>-N的浓度为50mg/L、5mg/L。本项目</w:t>
            </w:r>
            <w:r>
              <w:rPr>
                <w:rFonts w:hint="default" w:ascii="Times New Roman" w:hAnsi="Times New Roman" w:eastAsia="宋体" w:cs="Times New Roman"/>
                <w:color w:val="auto"/>
                <w:sz w:val="24"/>
                <w:highlight w:val="none"/>
                <w:lang w:val="en-US" w:eastAsia="zh-CN"/>
              </w:rPr>
              <w:t>废水</w:t>
            </w:r>
            <w:r>
              <w:rPr>
                <w:rFonts w:hint="default" w:ascii="Times New Roman" w:hAnsi="Times New Roman" w:eastAsia="宋体" w:cs="Times New Roman"/>
                <w:color w:val="auto"/>
                <w:sz w:val="24"/>
                <w:highlight w:val="none"/>
              </w:rPr>
              <w:t>总量控制指标</w:t>
            </w:r>
            <w:r>
              <w:rPr>
                <w:rFonts w:hint="default" w:ascii="Times New Roman" w:hAnsi="Times New Roman" w:eastAsia="宋体" w:cs="Times New Roman"/>
                <w:color w:val="auto"/>
                <w:sz w:val="24"/>
                <w:highlight w:val="none"/>
                <w:lang w:val="en-US" w:eastAsia="zh-CN"/>
              </w:rPr>
              <w:t>纳入污水处理厂总量指标中，不另外申请总量。</w:t>
            </w:r>
          </w:p>
          <w:p w14:paraId="734BA1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Times New Roman" w:hAnsi="Times New Roman" w:cs="Times New Roman"/>
                <w:bCs/>
                <w:color w:val="auto"/>
                <w:sz w:val="24"/>
                <w:highlight w:val="none"/>
                <w:lang w:val="en-US" w:eastAsia="zh-CN"/>
              </w:rPr>
            </w:pPr>
            <w:r>
              <w:rPr>
                <w:rFonts w:hint="eastAsia" w:ascii="Times New Roman" w:hAnsi="Times New Roman" w:cs="Times New Roman"/>
                <w:bCs/>
                <w:color w:val="auto"/>
                <w:sz w:val="24"/>
                <w:highlight w:val="none"/>
                <w:lang w:val="en-US" w:eastAsia="zh-CN"/>
              </w:rPr>
              <w:t>VOCs总量控制指标：</w:t>
            </w:r>
          </w:p>
          <w:p w14:paraId="4013C7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Times New Roman" w:hAnsi="Times New Roman" w:cs="Times New Roman"/>
                <w:bCs/>
                <w:color w:val="auto"/>
                <w:sz w:val="24"/>
                <w:highlight w:val="none"/>
                <w:lang w:val="en-US" w:eastAsia="zh-CN"/>
              </w:rPr>
            </w:pPr>
            <w:r>
              <w:rPr>
                <w:rFonts w:hint="eastAsia" w:ascii="Times New Roman" w:hAnsi="Times New Roman" w:cs="Times New Roman"/>
                <w:bCs/>
                <w:color w:val="auto"/>
                <w:sz w:val="24"/>
                <w:highlight w:val="none"/>
                <w:lang w:val="en-US" w:eastAsia="zh-CN"/>
              </w:rPr>
              <w:t>PVC注塑有机废气：根据下文废气污染源强核算，</w:t>
            </w:r>
            <w:r>
              <w:rPr>
                <w:rFonts w:hint="eastAsia" w:ascii="Times New Roman" w:hAnsi="Times New Roman" w:eastAsia="宋体" w:cs="Times New Roman"/>
                <w:b w:val="0"/>
                <w:bCs w:val="0"/>
                <w:color w:val="auto"/>
                <w:kern w:val="2"/>
                <w:sz w:val="24"/>
                <w:szCs w:val="24"/>
                <w:highlight w:val="none"/>
                <w:lang w:val="en-US" w:eastAsia="zh-CN" w:bidi="ar-SA"/>
              </w:rPr>
              <w:t>注塑工序</w:t>
            </w:r>
            <w:r>
              <w:rPr>
                <w:rFonts w:hint="eastAsia" w:ascii="Times New Roman" w:hAnsi="Times New Roman" w:cs="Times New Roman"/>
                <w:bCs/>
                <w:color w:val="auto"/>
                <w:sz w:val="24"/>
                <w:highlight w:val="none"/>
                <w:lang w:val="en-US" w:eastAsia="zh-CN"/>
              </w:rPr>
              <w:t>有机废气</w:t>
            </w:r>
            <w:r>
              <w:rPr>
                <w:rFonts w:hint="eastAsia" w:ascii="Times New Roman" w:hAnsi="Times New Roman" w:eastAsia="宋体" w:cs="Times New Roman"/>
                <w:b w:val="0"/>
                <w:bCs w:val="0"/>
                <w:color w:val="auto"/>
                <w:kern w:val="2"/>
                <w:sz w:val="24"/>
                <w:szCs w:val="24"/>
                <w:highlight w:val="none"/>
                <w:lang w:val="en-US" w:eastAsia="zh-CN" w:bidi="ar-SA"/>
              </w:rPr>
              <w:t>产生量为1.175</w:t>
            </w:r>
            <w:r>
              <w:rPr>
                <w:rFonts w:hint="default" w:ascii="Times New Roman" w:hAnsi="Times New Roman" w:eastAsia="宋体" w:cs="Times New Roman"/>
                <w:b w:val="0"/>
                <w:bCs w:val="0"/>
                <w:color w:val="auto"/>
                <w:kern w:val="2"/>
                <w:sz w:val="24"/>
                <w:szCs w:val="24"/>
                <w:highlight w:val="none"/>
                <w:lang w:val="en-US" w:eastAsia="zh-CN" w:bidi="ar-SA"/>
              </w:rPr>
              <w:t>t/a</w:t>
            </w:r>
            <w:r>
              <w:rPr>
                <w:rFonts w:hint="eastAsia" w:ascii="Times New Roman" w:hAnsi="Times New Roman" w:cs="Times New Roman"/>
                <w:b w:val="0"/>
                <w:bCs w:val="0"/>
                <w:color w:val="auto"/>
                <w:kern w:val="2"/>
                <w:sz w:val="24"/>
                <w:szCs w:val="24"/>
                <w:highlight w:val="none"/>
                <w:lang w:val="en-US" w:eastAsia="zh-CN" w:bidi="ar-SA"/>
              </w:rPr>
              <w:t>，</w:t>
            </w:r>
            <w:r>
              <w:rPr>
                <w:rFonts w:hint="eastAsia" w:ascii="Times New Roman" w:hAnsi="Times New Roman" w:cs="Times New Roman"/>
                <w:bCs/>
                <w:color w:val="auto"/>
                <w:sz w:val="24"/>
                <w:highlight w:val="none"/>
                <w:lang w:val="en-US" w:eastAsia="zh-CN"/>
              </w:rPr>
              <w:t>采用半密闭集气罩负压收集+</w:t>
            </w:r>
            <w:r>
              <w:rPr>
                <w:rFonts w:hint="eastAsia" w:cs="Times New Roman"/>
                <w:bCs/>
                <w:color w:val="auto"/>
                <w:sz w:val="24"/>
                <w:highlight w:val="none"/>
                <w:lang w:val="en-US" w:eastAsia="zh-CN"/>
              </w:rPr>
              <w:t>五级活性炭</w:t>
            </w:r>
            <w:r>
              <w:rPr>
                <w:rFonts w:hint="eastAsia" w:ascii="Times New Roman" w:hAnsi="Times New Roman" w:cs="Times New Roman"/>
                <w:bCs/>
                <w:color w:val="auto"/>
                <w:sz w:val="24"/>
                <w:highlight w:val="none"/>
                <w:lang w:val="en-US" w:eastAsia="zh-CN"/>
              </w:rPr>
              <w:t>吸附，集气效率65%，</w:t>
            </w:r>
            <w:r>
              <w:rPr>
                <w:rFonts w:hint="eastAsia" w:cs="Times New Roman"/>
                <w:bCs/>
                <w:color w:val="auto"/>
                <w:sz w:val="24"/>
                <w:highlight w:val="none"/>
                <w:lang w:val="en-US" w:eastAsia="zh-CN"/>
              </w:rPr>
              <w:t>五级活性炭</w:t>
            </w:r>
            <w:r>
              <w:rPr>
                <w:rFonts w:hint="eastAsia" w:ascii="Times New Roman" w:hAnsi="Times New Roman" w:cs="Times New Roman"/>
                <w:bCs/>
                <w:color w:val="auto"/>
                <w:sz w:val="24"/>
                <w:highlight w:val="none"/>
                <w:lang w:val="en-US" w:eastAsia="zh-CN"/>
              </w:rPr>
              <w:t>吸附效率取</w:t>
            </w:r>
            <w:r>
              <w:rPr>
                <w:rFonts w:hint="eastAsia" w:cs="Times New Roman"/>
                <w:bCs/>
                <w:color w:val="auto"/>
                <w:sz w:val="24"/>
                <w:highlight w:val="none"/>
                <w:lang w:val="en-US" w:eastAsia="zh-CN"/>
              </w:rPr>
              <w:t>83.19%</w:t>
            </w:r>
            <w:r>
              <w:rPr>
                <w:rFonts w:hint="eastAsia" w:ascii="Times New Roman" w:hAnsi="Times New Roman" w:cs="Times New Roman"/>
                <w:bCs/>
                <w:color w:val="auto"/>
                <w:sz w:val="24"/>
                <w:highlight w:val="none"/>
                <w:lang w:val="en-US" w:eastAsia="zh-CN"/>
              </w:rPr>
              <w:t>，则有组织排放量为0.</w:t>
            </w:r>
            <w:r>
              <w:rPr>
                <w:rFonts w:hint="eastAsia" w:cs="Times New Roman"/>
                <w:bCs/>
                <w:color w:val="auto"/>
                <w:sz w:val="24"/>
                <w:highlight w:val="none"/>
                <w:lang w:val="en-US" w:eastAsia="zh-CN"/>
              </w:rPr>
              <w:t>128</w:t>
            </w:r>
            <w:r>
              <w:rPr>
                <w:rFonts w:hint="eastAsia" w:ascii="Times New Roman" w:hAnsi="Times New Roman" w:cs="Times New Roman"/>
                <w:bCs/>
                <w:color w:val="auto"/>
                <w:sz w:val="24"/>
                <w:highlight w:val="none"/>
                <w:lang w:val="en-US" w:eastAsia="zh-CN"/>
              </w:rPr>
              <w:t>t/a；</w:t>
            </w:r>
          </w:p>
          <w:p w14:paraId="2C6AA7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Times New Roman" w:hAnsi="Times New Roman" w:eastAsia="宋体" w:cs="Times New Roman"/>
                <w:color w:val="auto"/>
                <w:sz w:val="24"/>
                <w:lang w:val="en-US" w:eastAsia="zh-CN"/>
              </w:rPr>
            </w:pPr>
            <w:r>
              <w:rPr>
                <w:rFonts w:hint="eastAsia" w:ascii="Times New Roman" w:hAnsi="Times New Roman" w:cs="Times New Roman"/>
                <w:bCs/>
                <w:color w:val="auto"/>
                <w:sz w:val="24"/>
                <w:highlight w:val="none"/>
                <w:lang w:val="en-US" w:eastAsia="zh-CN"/>
              </w:rPr>
              <w:t>发泡有机废气：根据下文废气污染源强核算，</w:t>
            </w:r>
            <w:r>
              <w:rPr>
                <w:rFonts w:hint="eastAsia" w:ascii="Times New Roman" w:hAnsi="Times New Roman" w:eastAsia="宋体" w:cs="Times New Roman"/>
                <w:color w:val="auto"/>
                <w:sz w:val="24"/>
                <w:lang w:val="en-US" w:eastAsia="zh-CN"/>
              </w:rPr>
              <w:t>发泡有机废气VOCs产生量为0.633t/a。发泡有机废气采用半密闭集气罩负压收集+五级活性炭吸附，集气效率65%，五级活性炭吸附效率取83.19%，则有组织排放量为0.069t/a，无组织排放为0.222t/a。</w:t>
            </w:r>
          </w:p>
          <w:p w14:paraId="494514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Times New Roman" w:hAnsi="Times New Roman" w:cs="Times New Roman"/>
                <w:bCs/>
                <w:color w:val="auto"/>
                <w:sz w:val="24"/>
                <w:highlight w:val="none"/>
                <w:lang w:val="en-US" w:eastAsia="zh-CN"/>
              </w:rPr>
            </w:pPr>
            <w:r>
              <w:rPr>
                <w:rFonts w:hint="eastAsia" w:ascii="Times New Roman" w:hAnsi="Times New Roman" w:cs="Times New Roman"/>
                <w:bCs/>
                <w:color w:val="auto"/>
                <w:sz w:val="24"/>
                <w:highlight w:val="none"/>
                <w:lang w:val="en-US" w:eastAsia="zh-CN"/>
              </w:rPr>
              <w:t>发泡脱模有机废气：根据下文废气污染源强核算，发泡脱模有机废气</w:t>
            </w:r>
            <w:r>
              <w:rPr>
                <w:rFonts w:hint="eastAsia" w:ascii="Times New Roman" w:hAnsi="Times New Roman" w:eastAsia="宋体" w:cs="Times New Roman"/>
                <w:b w:val="0"/>
                <w:bCs w:val="0"/>
                <w:color w:val="auto"/>
                <w:kern w:val="2"/>
                <w:sz w:val="24"/>
                <w:szCs w:val="24"/>
                <w:highlight w:val="none"/>
                <w:u w:val="none"/>
                <w:lang w:val="en-US" w:eastAsia="zh-CN" w:bidi="ar-SA"/>
              </w:rPr>
              <w:t>产生量为0.084</w:t>
            </w:r>
            <w:r>
              <w:rPr>
                <w:rFonts w:hint="default" w:ascii="Times New Roman" w:hAnsi="Times New Roman" w:eastAsia="宋体" w:cs="Times New Roman"/>
                <w:b w:val="0"/>
                <w:bCs w:val="0"/>
                <w:color w:val="auto"/>
                <w:kern w:val="2"/>
                <w:sz w:val="24"/>
                <w:szCs w:val="24"/>
                <w:highlight w:val="none"/>
                <w:u w:val="none"/>
                <w:lang w:val="en-US" w:eastAsia="zh-CN" w:bidi="ar-SA"/>
              </w:rPr>
              <w:t>t/a</w:t>
            </w:r>
            <w:r>
              <w:rPr>
                <w:rFonts w:hint="eastAsia" w:ascii="Times New Roman" w:hAnsi="Times New Roman" w:cs="Times New Roman"/>
                <w:b w:val="0"/>
                <w:bCs w:val="0"/>
                <w:color w:val="auto"/>
                <w:kern w:val="2"/>
                <w:sz w:val="24"/>
                <w:szCs w:val="24"/>
                <w:highlight w:val="none"/>
                <w:u w:val="none"/>
                <w:lang w:val="en-US" w:eastAsia="zh-CN" w:bidi="ar-SA"/>
              </w:rPr>
              <w:t>，</w:t>
            </w:r>
            <w:r>
              <w:rPr>
                <w:rFonts w:hint="eastAsia" w:ascii="Times New Roman" w:hAnsi="Times New Roman" w:cs="Times New Roman"/>
                <w:bCs/>
                <w:color w:val="auto"/>
                <w:sz w:val="24"/>
                <w:highlight w:val="none"/>
                <w:lang w:val="en-US" w:eastAsia="zh-CN"/>
              </w:rPr>
              <w:t>采用半密闭集气罩负压收集+</w:t>
            </w:r>
            <w:r>
              <w:rPr>
                <w:rFonts w:hint="eastAsia" w:cs="Times New Roman"/>
                <w:bCs/>
                <w:color w:val="auto"/>
                <w:sz w:val="24"/>
                <w:highlight w:val="none"/>
                <w:lang w:val="en-US" w:eastAsia="zh-CN"/>
              </w:rPr>
              <w:t>五级活性炭</w:t>
            </w:r>
            <w:r>
              <w:rPr>
                <w:rFonts w:hint="eastAsia" w:ascii="Times New Roman" w:hAnsi="Times New Roman" w:cs="Times New Roman"/>
                <w:bCs/>
                <w:color w:val="auto"/>
                <w:sz w:val="24"/>
                <w:highlight w:val="none"/>
                <w:lang w:val="en-US" w:eastAsia="zh-CN"/>
              </w:rPr>
              <w:t>吸附，集气效率65%，</w:t>
            </w:r>
            <w:r>
              <w:rPr>
                <w:rFonts w:hint="eastAsia" w:cs="Times New Roman"/>
                <w:bCs/>
                <w:color w:val="auto"/>
                <w:sz w:val="24"/>
                <w:highlight w:val="none"/>
                <w:lang w:val="en-US" w:eastAsia="zh-CN"/>
              </w:rPr>
              <w:t>五级活性炭</w:t>
            </w:r>
            <w:r>
              <w:rPr>
                <w:rFonts w:hint="eastAsia" w:ascii="Times New Roman" w:hAnsi="Times New Roman" w:cs="Times New Roman"/>
                <w:bCs/>
                <w:color w:val="auto"/>
                <w:sz w:val="24"/>
                <w:highlight w:val="none"/>
                <w:lang w:val="en-US" w:eastAsia="zh-CN"/>
              </w:rPr>
              <w:t>吸附效率取</w:t>
            </w:r>
            <w:r>
              <w:rPr>
                <w:rFonts w:hint="eastAsia" w:cs="Times New Roman"/>
                <w:bCs/>
                <w:color w:val="auto"/>
                <w:sz w:val="24"/>
                <w:highlight w:val="none"/>
                <w:lang w:val="en-US" w:eastAsia="zh-CN"/>
              </w:rPr>
              <w:t>83.19%</w:t>
            </w:r>
            <w:r>
              <w:rPr>
                <w:rFonts w:hint="eastAsia" w:ascii="Times New Roman" w:hAnsi="Times New Roman" w:cs="Times New Roman"/>
                <w:bCs/>
                <w:color w:val="auto"/>
                <w:sz w:val="24"/>
                <w:highlight w:val="none"/>
                <w:lang w:val="en-US" w:eastAsia="zh-CN"/>
              </w:rPr>
              <w:t>，则有组织排放量为</w:t>
            </w:r>
            <w:r>
              <w:rPr>
                <w:rFonts w:hint="eastAsia" w:ascii="Times New Roman" w:hAnsi="Times New Roman" w:eastAsia="宋体" w:cs="Times New Roman"/>
                <w:b w:val="0"/>
                <w:bCs w:val="0"/>
                <w:color w:val="auto"/>
                <w:kern w:val="2"/>
                <w:sz w:val="24"/>
                <w:szCs w:val="24"/>
                <w:highlight w:val="none"/>
                <w:lang w:val="en-US" w:eastAsia="zh-CN" w:bidi="ar-SA"/>
              </w:rPr>
              <w:t>0.009</w:t>
            </w:r>
            <w:r>
              <w:rPr>
                <w:rFonts w:hint="eastAsia" w:ascii="Times New Roman" w:hAnsi="Times New Roman" w:cs="Times New Roman"/>
                <w:bCs/>
                <w:color w:val="auto"/>
                <w:sz w:val="24"/>
                <w:highlight w:val="none"/>
                <w:lang w:val="en-US" w:eastAsia="zh-CN"/>
              </w:rPr>
              <w:t>t/a；</w:t>
            </w:r>
          </w:p>
          <w:p w14:paraId="4A4B04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Times New Roman" w:hAnsi="Times New Roman" w:cs="Times New Roman"/>
                <w:bCs/>
                <w:color w:val="auto"/>
                <w:sz w:val="24"/>
                <w:highlight w:val="none"/>
                <w:lang w:val="en-US" w:eastAsia="zh-CN"/>
              </w:rPr>
            </w:pPr>
            <w:r>
              <w:rPr>
                <w:rFonts w:hint="eastAsia" w:ascii="Times New Roman" w:hAnsi="Times New Roman" w:cs="Times New Roman"/>
                <w:color w:val="auto"/>
                <w:sz w:val="24"/>
                <w:highlight w:val="none"/>
                <w:lang w:val="en-US" w:eastAsia="zh-CN"/>
              </w:rPr>
              <w:t>表面处理、刷胶及烘干有机废气：</w:t>
            </w:r>
            <w:r>
              <w:rPr>
                <w:rFonts w:hint="eastAsia" w:ascii="Times New Roman" w:hAnsi="Times New Roman" w:cs="Times New Roman"/>
                <w:bCs/>
                <w:color w:val="auto"/>
                <w:sz w:val="24"/>
                <w:highlight w:val="none"/>
                <w:lang w:val="en-US" w:eastAsia="zh-CN"/>
              </w:rPr>
              <w:t>根据下文废气污染源强核算，表面处理、刷胶及烘干有机废气</w:t>
            </w:r>
            <w:r>
              <w:rPr>
                <w:rFonts w:hint="eastAsia" w:ascii="Times New Roman" w:hAnsi="Times New Roman" w:eastAsia="宋体" w:cs="Times New Roman"/>
                <w:b w:val="0"/>
                <w:bCs w:val="0"/>
                <w:color w:val="auto"/>
                <w:kern w:val="2"/>
                <w:sz w:val="24"/>
                <w:szCs w:val="24"/>
                <w:highlight w:val="none"/>
                <w:u w:val="none"/>
                <w:lang w:val="en-US" w:eastAsia="zh-CN" w:bidi="ar-SA"/>
              </w:rPr>
              <w:t>产生量为</w:t>
            </w:r>
            <w:r>
              <w:rPr>
                <w:rFonts w:hint="eastAsia" w:cs="Times New Roman"/>
                <w:b w:val="0"/>
                <w:bCs w:val="0"/>
                <w:color w:val="auto"/>
                <w:kern w:val="2"/>
                <w:sz w:val="24"/>
                <w:szCs w:val="24"/>
                <w:highlight w:val="none"/>
                <w:u w:val="none"/>
                <w:lang w:val="en-US" w:eastAsia="zh-CN" w:bidi="ar-SA"/>
              </w:rPr>
              <w:t>7.37</w:t>
            </w:r>
            <w:r>
              <w:rPr>
                <w:rFonts w:hint="default" w:ascii="Times New Roman" w:hAnsi="Times New Roman" w:eastAsia="宋体" w:cs="Times New Roman"/>
                <w:b w:val="0"/>
                <w:bCs w:val="0"/>
                <w:color w:val="auto"/>
                <w:kern w:val="2"/>
                <w:sz w:val="24"/>
                <w:szCs w:val="24"/>
                <w:highlight w:val="none"/>
                <w:u w:val="none"/>
                <w:lang w:val="en-US" w:eastAsia="zh-CN" w:bidi="ar-SA"/>
              </w:rPr>
              <w:t>t/a</w:t>
            </w:r>
            <w:r>
              <w:rPr>
                <w:rFonts w:hint="eastAsia" w:ascii="Times New Roman" w:hAnsi="Times New Roman" w:cs="Times New Roman"/>
                <w:b w:val="0"/>
                <w:bCs w:val="0"/>
                <w:color w:val="auto"/>
                <w:kern w:val="2"/>
                <w:sz w:val="24"/>
                <w:szCs w:val="24"/>
                <w:highlight w:val="none"/>
                <w:u w:val="none"/>
                <w:lang w:val="en-US" w:eastAsia="zh-CN" w:bidi="ar-SA"/>
              </w:rPr>
              <w:t>，</w:t>
            </w:r>
            <w:r>
              <w:rPr>
                <w:rFonts w:hint="eastAsia" w:ascii="Times New Roman" w:hAnsi="Times New Roman" w:cs="Times New Roman"/>
                <w:bCs/>
                <w:color w:val="auto"/>
                <w:sz w:val="24"/>
                <w:highlight w:val="none"/>
                <w:lang w:val="en-US" w:eastAsia="zh-CN"/>
              </w:rPr>
              <w:t>采用半密闭集气罩负压收集+</w:t>
            </w:r>
            <w:r>
              <w:rPr>
                <w:rFonts w:hint="eastAsia" w:cs="Times New Roman"/>
                <w:bCs/>
                <w:color w:val="auto"/>
                <w:sz w:val="24"/>
                <w:highlight w:val="none"/>
                <w:lang w:val="en-US" w:eastAsia="zh-CN"/>
              </w:rPr>
              <w:t>五级活性炭</w:t>
            </w:r>
            <w:r>
              <w:rPr>
                <w:rFonts w:hint="eastAsia" w:ascii="Times New Roman" w:hAnsi="Times New Roman" w:cs="Times New Roman"/>
                <w:bCs/>
                <w:color w:val="auto"/>
                <w:sz w:val="24"/>
                <w:highlight w:val="none"/>
                <w:lang w:val="en-US" w:eastAsia="zh-CN"/>
              </w:rPr>
              <w:t>吸附，集气效率65%，</w:t>
            </w:r>
            <w:r>
              <w:rPr>
                <w:rFonts w:hint="eastAsia" w:cs="Times New Roman"/>
                <w:bCs/>
                <w:color w:val="auto"/>
                <w:sz w:val="24"/>
                <w:highlight w:val="none"/>
                <w:lang w:val="en-US" w:eastAsia="zh-CN"/>
              </w:rPr>
              <w:t>五级活性炭</w:t>
            </w:r>
            <w:r>
              <w:rPr>
                <w:rFonts w:hint="eastAsia" w:ascii="Times New Roman" w:hAnsi="Times New Roman" w:cs="Times New Roman"/>
                <w:bCs/>
                <w:color w:val="auto"/>
                <w:sz w:val="24"/>
                <w:highlight w:val="none"/>
                <w:lang w:val="en-US" w:eastAsia="zh-CN"/>
              </w:rPr>
              <w:t>吸附效率取</w:t>
            </w:r>
            <w:r>
              <w:rPr>
                <w:rFonts w:hint="eastAsia" w:cs="Times New Roman"/>
                <w:bCs/>
                <w:color w:val="auto"/>
                <w:sz w:val="24"/>
                <w:highlight w:val="none"/>
                <w:lang w:val="en-US" w:eastAsia="zh-CN"/>
              </w:rPr>
              <w:t>83.19%</w:t>
            </w:r>
            <w:r>
              <w:rPr>
                <w:rFonts w:hint="eastAsia" w:ascii="Times New Roman" w:hAnsi="Times New Roman" w:cs="Times New Roman"/>
                <w:bCs/>
                <w:color w:val="auto"/>
                <w:sz w:val="24"/>
                <w:highlight w:val="none"/>
                <w:lang w:val="en-US" w:eastAsia="zh-CN"/>
              </w:rPr>
              <w:t>，则有组织排放量为</w:t>
            </w:r>
            <w:r>
              <w:rPr>
                <w:rFonts w:hint="eastAsia"/>
                <w:color w:val="auto"/>
                <w:sz w:val="24"/>
                <w:szCs w:val="32"/>
                <w:u w:val="none"/>
                <w:shd w:val="clear" w:color="auto" w:fill="auto"/>
                <w:lang w:val="en-US" w:eastAsia="zh-CN"/>
              </w:rPr>
              <w:t>1.239</w:t>
            </w:r>
            <w:r>
              <w:rPr>
                <w:rFonts w:hint="eastAsia" w:ascii="Times New Roman" w:hAnsi="Times New Roman" w:cs="Times New Roman"/>
                <w:bCs/>
                <w:color w:val="auto"/>
                <w:sz w:val="24"/>
                <w:highlight w:val="none"/>
                <w:lang w:val="en-US" w:eastAsia="zh-CN"/>
              </w:rPr>
              <w:t>t/a。</w:t>
            </w:r>
          </w:p>
          <w:p w14:paraId="282B2A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Times New Roman" w:hAnsi="Times New Roman" w:cs="Times New Roman"/>
                <w:bCs/>
                <w:color w:val="auto"/>
                <w:sz w:val="24"/>
                <w:highlight w:val="none"/>
                <w:lang w:val="en-US" w:eastAsia="zh-CN"/>
              </w:rPr>
            </w:pPr>
            <w:r>
              <w:rPr>
                <w:rFonts w:hint="eastAsia" w:ascii="Times New Roman" w:hAnsi="Times New Roman" w:cs="Times New Roman"/>
                <w:bCs/>
                <w:color w:val="auto"/>
                <w:sz w:val="24"/>
                <w:highlight w:val="none"/>
                <w:lang w:val="en-US" w:eastAsia="zh-CN"/>
              </w:rPr>
              <w:t>综上，项目挥发性有机物排放量为</w:t>
            </w:r>
            <w:r>
              <w:rPr>
                <w:rFonts w:hint="eastAsia" w:cs="Times New Roman"/>
                <w:bCs/>
                <w:color w:val="auto"/>
                <w:sz w:val="24"/>
                <w:highlight w:val="none"/>
                <w:lang w:val="en-US" w:eastAsia="zh-CN"/>
              </w:rPr>
              <w:t>1.445</w:t>
            </w:r>
            <w:r>
              <w:rPr>
                <w:rFonts w:hint="eastAsia" w:ascii="Times New Roman" w:hAnsi="Times New Roman" w:cs="Times New Roman"/>
                <w:bCs/>
                <w:color w:val="auto"/>
                <w:sz w:val="24"/>
                <w:highlight w:val="none"/>
                <w:lang w:val="en-US" w:eastAsia="zh-CN"/>
              </w:rPr>
              <w:t>t/a。</w:t>
            </w:r>
          </w:p>
          <w:p w14:paraId="500970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cs="Times New Roman"/>
                <w:bCs/>
                <w:color w:val="auto"/>
                <w:sz w:val="24"/>
                <w:highlight w:val="none"/>
                <w:lang w:val="en-US" w:eastAsia="zh-CN"/>
              </w:rPr>
            </w:pPr>
            <w:r>
              <w:rPr>
                <w:rFonts w:hint="eastAsia" w:cs="Times New Roman"/>
                <w:bCs/>
                <w:color w:val="auto"/>
                <w:sz w:val="24"/>
                <w:highlight w:val="none"/>
                <w:lang w:val="en-US" w:eastAsia="zh-CN"/>
              </w:rPr>
              <w:t>最终以生态环境部门出具的总量确认书为准。</w:t>
            </w:r>
          </w:p>
          <w:p w14:paraId="401A28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default"/>
                <w:color w:val="auto"/>
                <w:kern w:val="0"/>
                <w:highlight w:val="none"/>
                <w:lang w:val="en-US"/>
              </w:rPr>
            </w:pPr>
          </w:p>
        </w:tc>
      </w:tr>
    </w:tbl>
    <w:p w14:paraId="53D68DB0">
      <w:pPr>
        <w:adjustRightInd w:val="0"/>
        <w:snapToGrid w:val="0"/>
        <w:spacing w:line="360" w:lineRule="auto"/>
        <w:rPr>
          <w:rFonts w:hint="default" w:ascii="Times New Roman" w:hAnsi="Times New Roman" w:cs="Times New Roman"/>
          <w:b/>
          <w:color w:val="auto"/>
          <w:kern w:val="0"/>
          <w:sz w:val="28"/>
          <w:szCs w:val="28"/>
          <w:highlight w:val="none"/>
        </w:rPr>
        <w:sectPr>
          <w:pgSz w:w="11907" w:h="16840"/>
          <w:pgMar w:top="1701" w:right="1531" w:bottom="2127" w:left="1531" w:header="851" w:footer="851" w:gutter="0"/>
          <w:pgBorders>
            <w:top w:val="none" w:sz="0" w:space="0"/>
            <w:left w:val="none" w:sz="0" w:space="0"/>
            <w:bottom w:val="none" w:sz="0" w:space="0"/>
            <w:right w:val="none" w:sz="0" w:space="0"/>
          </w:pgBorders>
          <w:pgNumType w:fmt="decimal"/>
          <w:cols w:space="720" w:num="1"/>
          <w:docGrid w:linePitch="312" w:charSpace="0"/>
        </w:sectPr>
      </w:pPr>
    </w:p>
    <w:p w14:paraId="2703FD3B">
      <w:pPr>
        <w:jc w:val="center"/>
        <w:outlineLvl w:val="0"/>
        <w:rPr>
          <w:rFonts w:hint="default"/>
          <w:color w:val="auto"/>
          <w:highlight w:val="none"/>
        </w:rPr>
      </w:pPr>
      <w:bookmarkStart w:id="21" w:name="_Toc28940"/>
      <w:r>
        <w:rPr>
          <w:rFonts w:hint="default" w:ascii="Times New Roman" w:hAnsi="Times New Roman" w:eastAsia="黑体" w:cs="Times New Roman"/>
          <w:snapToGrid w:val="0"/>
          <w:color w:val="auto"/>
          <w:sz w:val="30"/>
          <w:szCs w:val="30"/>
          <w:highlight w:val="none"/>
        </w:rPr>
        <w:t>四、主要环境影响和保护措施</w:t>
      </w:r>
      <w:bookmarkEnd w:id="21"/>
    </w:p>
    <w:tbl>
      <w:tblPr>
        <w:tblStyle w:val="26"/>
        <w:tblW w:w="5026"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297"/>
        <w:gridCol w:w="15699"/>
      </w:tblGrid>
      <w:tr w14:paraId="64A5DC5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trHeight w:val="7317" w:hRule="atLeast"/>
          <w:jc w:val="center"/>
        </w:trPr>
        <w:tc>
          <w:tcPr>
            <w:tcW w:w="109" w:type="pct"/>
            <w:tcMar>
              <w:left w:w="28" w:type="dxa"/>
              <w:right w:w="28" w:type="dxa"/>
            </w:tcMar>
            <w:vAlign w:val="center"/>
          </w:tcPr>
          <w:p w14:paraId="49F0F77F">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bCs/>
                <w:color w:val="auto"/>
                <w:kern w:val="2"/>
                <w:sz w:val="24"/>
                <w:szCs w:val="24"/>
                <w:highlight w:val="none"/>
                <w:lang w:val="en-US" w:eastAsia="zh-CN" w:bidi="ar-SA"/>
              </w:rPr>
            </w:pPr>
            <w:r>
              <w:rPr>
                <w:rFonts w:hint="eastAsia" w:ascii="Times New Roman" w:hAnsi="Times New Roman" w:eastAsia="宋体" w:cs="Times New Roman"/>
                <w:b/>
                <w:bCs/>
                <w:color w:val="auto"/>
                <w:kern w:val="2"/>
                <w:sz w:val="24"/>
                <w:szCs w:val="24"/>
                <w:highlight w:val="none"/>
                <w:lang w:val="en-US" w:eastAsia="zh-CN" w:bidi="ar-SA"/>
              </w:rPr>
              <w:t>施</w:t>
            </w:r>
          </w:p>
          <w:p w14:paraId="6D94D584">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bCs/>
                <w:color w:val="auto"/>
                <w:kern w:val="2"/>
                <w:sz w:val="24"/>
                <w:szCs w:val="24"/>
                <w:highlight w:val="none"/>
                <w:lang w:val="en-US" w:eastAsia="zh-CN" w:bidi="ar-SA"/>
              </w:rPr>
            </w:pPr>
            <w:r>
              <w:rPr>
                <w:rFonts w:hint="eastAsia" w:ascii="Times New Roman" w:hAnsi="Times New Roman" w:eastAsia="宋体" w:cs="Times New Roman"/>
                <w:b/>
                <w:bCs/>
                <w:color w:val="auto"/>
                <w:kern w:val="2"/>
                <w:sz w:val="24"/>
                <w:szCs w:val="24"/>
                <w:highlight w:val="none"/>
                <w:lang w:val="en-US" w:eastAsia="zh-CN" w:bidi="ar-SA"/>
              </w:rPr>
              <w:t>工</w:t>
            </w:r>
          </w:p>
          <w:p w14:paraId="5D721281">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bCs/>
                <w:color w:val="auto"/>
                <w:kern w:val="2"/>
                <w:sz w:val="24"/>
                <w:szCs w:val="24"/>
                <w:highlight w:val="none"/>
                <w:lang w:val="en-US" w:eastAsia="zh-CN" w:bidi="ar-SA"/>
              </w:rPr>
            </w:pPr>
            <w:r>
              <w:rPr>
                <w:rFonts w:hint="eastAsia" w:ascii="Times New Roman" w:hAnsi="Times New Roman" w:eastAsia="宋体" w:cs="Times New Roman"/>
                <w:b/>
                <w:bCs/>
                <w:color w:val="auto"/>
                <w:kern w:val="2"/>
                <w:sz w:val="24"/>
                <w:szCs w:val="24"/>
                <w:highlight w:val="none"/>
                <w:lang w:val="en-US" w:eastAsia="zh-CN" w:bidi="ar-SA"/>
              </w:rPr>
              <w:t>期</w:t>
            </w:r>
          </w:p>
          <w:p w14:paraId="6AB2C74C">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bCs/>
                <w:color w:val="auto"/>
                <w:kern w:val="2"/>
                <w:sz w:val="24"/>
                <w:szCs w:val="24"/>
                <w:highlight w:val="none"/>
                <w:lang w:val="en-US" w:eastAsia="zh-CN" w:bidi="ar-SA"/>
              </w:rPr>
            </w:pPr>
            <w:r>
              <w:rPr>
                <w:rFonts w:hint="eastAsia" w:ascii="Times New Roman" w:hAnsi="Times New Roman" w:eastAsia="宋体" w:cs="Times New Roman"/>
                <w:b/>
                <w:bCs/>
                <w:color w:val="auto"/>
                <w:kern w:val="2"/>
                <w:sz w:val="24"/>
                <w:szCs w:val="24"/>
                <w:highlight w:val="none"/>
                <w:lang w:val="en-US" w:eastAsia="zh-CN" w:bidi="ar-SA"/>
              </w:rPr>
              <w:t>环</w:t>
            </w:r>
          </w:p>
          <w:p w14:paraId="638E17B4">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bCs/>
                <w:color w:val="auto"/>
                <w:kern w:val="2"/>
                <w:sz w:val="24"/>
                <w:szCs w:val="24"/>
                <w:highlight w:val="none"/>
                <w:lang w:val="en-US" w:eastAsia="zh-CN" w:bidi="ar-SA"/>
              </w:rPr>
            </w:pPr>
            <w:r>
              <w:rPr>
                <w:rFonts w:hint="eastAsia" w:ascii="Times New Roman" w:hAnsi="Times New Roman" w:eastAsia="宋体" w:cs="Times New Roman"/>
                <w:b/>
                <w:bCs/>
                <w:color w:val="auto"/>
                <w:kern w:val="2"/>
                <w:sz w:val="24"/>
                <w:szCs w:val="24"/>
                <w:highlight w:val="none"/>
                <w:lang w:val="en-US" w:eastAsia="zh-CN" w:bidi="ar-SA"/>
              </w:rPr>
              <w:t>境</w:t>
            </w:r>
          </w:p>
          <w:p w14:paraId="10150E29">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bCs/>
                <w:color w:val="auto"/>
                <w:kern w:val="2"/>
                <w:sz w:val="24"/>
                <w:szCs w:val="24"/>
                <w:highlight w:val="none"/>
                <w:lang w:val="en-US" w:eastAsia="zh-CN" w:bidi="ar-SA"/>
              </w:rPr>
            </w:pPr>
            <w:r>
              <w:rPr>
                <w:rFonts w:hint="eastAsia" w:ascii="Times New Roman" w:hAnsi="Times New Roman" w:eastAsia="宋体" w:cs="Times New Roman"/>
                <w:b/>
                <w:bCs/>
                <w:color w:val="auto"/>
                <w:kern w:val="2"/>
                <w:sz w:val="24"/>
                <w:szCs w:val="24"/>
                <w:highlight w:val="none"/>
                <w:lang w:val="en-US" w:eastAsia="zh-CN" w:bidi="ar-SA"/>
              </w:rPr>
              <w:t>保</w:t>
            </w:r>
          </w:p>
          <w:p w14:paraId="51F807C9">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bCs/>
                <w:color w:val="auto"/>
                <w:kern w:val="2"/>
                <w:sz w:val="24"/>
                <w:szCs w:val="24"/>
                <w:highlight w:val="none"/>
                <w:lang w:val="en-US" w:eastAsia="zh-CN" w:bidi="ar-SA"/>
              </w:rPr>
            </w:pPr>
            <w:r>
              <w:rPr>
                <w:rFonts w:hint="eastAsia" w:ascii="Times New Roman" w:hAnsi="Times New Roman" w:eastAsia="宋体" w:cs="Times New Roman"/>
                <w:b/>
                <w:bCs/>
                <w:color w:val="auto"/>
                <w:kern w:val="2"/>
                <w:sz w:val="24"/>
                <w:szCs w:val="24"/>
                <w:highlight w:val="none"/>
                <w:lang w:val="en-US" w:eastAsia="zh-CN" w:bidi="ar-SA"/>
              </w:rPr>
              <w:t>护</w:t>
            </w:r>
          </w:p>
          <w:p w14:paraId="7F0C247F">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bCs/>
                <w:color w:val="auto"/>
                <w:kern w:val="2"/>
                <w:sz w:val="24"/>
                <w:szCs w:val="24"/>
                <w:highlight w:val="none"/>
                <w:lang w:val="en-US" w:eastAsia="zh-CN" w:bidi="ar-SA"/>
              </w:rPr>
            </w:pPr>
            <w:r>
              <w:rPr>
                <w:rFonts w:hint="eastAsia" w:ascii="Times New Roman" w:hAnsi="Times New Roman" w:eastAsia="宋体" w:cs="Times New Roman"/>
                <w:b/>
                <w:bCs/>
                <w:color w:val="auto"/>
                <w:kern w:val="2"/>
                <w:sz w:val="24"/>
                <w:szCs w:val="24"/>
                <w:highlight w:val="none"/>
                <w:lang w:val="en-US" w:eastAsia="zh-CN" w:bidi="ar-SA"/>
              </w:rPr>
              <w:t>措</w:t>
            </w:r>
          </w:p>
          <w:p w14:paraId="3EFEE05F">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bCs/>
                <w:color w:val="auto"/>
                <w:kern w:val="2"/>
                <w:sz w:val="24"/>
                <w:szCs w:val="24"/>
                <w:highlight w:val="none"/>
                <w:lang w:val="en-US" w:eastAsia="zh-CN" w:bidi="ar-SA"/>
              </w:rPr>
            </w:pPr>
            <w:r>
              <w:rPr>
                <w:rFonts w:hint="eastAsia" w:ascii="Times New Roman" w:hAnsi="Times New Roman" w:eastAsia="宋体" w:cs="Times New Roman"/>
                <w:b/>
                <w:bCs/>
                <w:color w:val="auto"/>
                <w:kern w:val="2"/>
                <w:sz w:val="24"/>
                <w:szCs w:val="24"/>
                <w:highlight w:val="none"/>
                <w:lang w:val="en-US" w:eastAsia="zh-CN" w:bidi="ar-SA"/>
              </w:rPr>
              <w:t>施</w:t>
            </w:r>
          </w:p>
        </w:tc>
        <w:tc>
          <w:tcPr>
            <w:tcW w:w="4890" w:type="pct"/>
            <w:vAlign w:val="center"/>
          </w:tcPr>
          <w:p w14:paraId="22FDF28C">
            <w:pPr>
              <w:keepNext w:val="0"/>
              <w:keepLines w:val="0"/>
              <w:suppressLineNumbers w:val="0"/>
              <w:spacing w:before="0" w:beforeAutospacing="0" w:after="0" w:afterAutospacing="0" w:line="360" w:lineRule="auto"/>
              <w:ind w:left="0" w:leftChars="0" w:right="0" w:firstLine="480" w:firstLineChars="200"/>
              <w:rPr>
                <w:rFonts w:hint="default"/>
                <w:color w:val="auto"/>
                <w:sz w:val="24"/>
                <w:highlight w:val="none"/>
              </w:rPr>
            </w:pPr>
            <w:r>
              <w:rPr>
                <w:rFonts w:hint="default" w:ascii="Times New Roman" w:hAnsi="Times New Roman" w:eastAsia="宋体" w:cs="Times New Roman"/>
                <w:color w:val="auto"/>
                <w:spacing w:val="0"/>
                <w:kern w:val="2"/>
                <w:sz w:val="24"/>
                <w:szCs w:val="24"/>
                <w:highlight w:val="none"/>
                <w:lang w:val="en-US" w:eastAsia="zh-CN" w:bidi="ar-SA"/>
              </w:rPr>
              <w:t>本项目租赁</w:t>
            </w:r>
            <w:r>
              <w:rPr>
                <w:rFonts w:hint="eastAsia" w:ascii="Times New Roman" w:hAnsi="Times New Roman" w:eastAsia="宋体" w:cs="Times New Roman"/>
                <w:color w:val="auto"/>
                <w:sz w:val="24"/>
                <w:highlight w:val="none"/>
                <w:shd w:val="clear" w:color="auto" w:fill="auto"/>
                <w:lang w:val="en-US" w:eastAsia="zh-CN"/>
              </w:rPr>
              <w:t>乐平绿创物流有限公司</w:t>
            </w:r>
            <w:r>
              <w:rPr>
                <w:rFonts w:hint="eastAsia" w:cs="Times New Roman"/>
                <w:color w:val="auto"/>
                <w:spacing w:val="0"/>
                <w:kern w:val="2"/>
                <w:sz w:val="24"/>
                <w:szCs w:val="24"/>
                <w:highlight w:val="none"/>
                <w:lang w:val="en-US" w:eastAsia="zh-CN" w:bidi="ar-SA"/>
              </w:rPr>
              <w:t>已建厂房</w:t>
            </w:r>
            <w:r>
              <w:rPr>
                <w:rFonts w:hint="default" w:ascii="Times New Roman" w:hAnsi="Times New Roman" w:eastAsia="宋体" w:cs="Times New Roman"/>
                <w:color w:val="auto"/>
                <w:spacing w:val="0"/>
                <w:kern w:val="2"/>
                <w:sz w:val="24"/>
                <w:szCs w:val="24"/>
                <w:highlight w:val="none"/>
                <w:lang w:val="en-US" w:eastAsia="zh-CN" w:bidi="ar-SA"/>
              </w:rPr>
              <w:t>，仅进行设备安装，至环评踏勘阶段，本项目已进行生产，因此本评价不再开展施工期环境影响分析，不对施工期提出环境保护措施。</w:t>
            </w:r>
          </w:p>
        </w:tc>
      </w:tr>
      <w:tr w14:paraId="6786133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944" w:hRule="atLeast"/>
          <w:jc w:val="center"/>
        </w:trPr>
        <w:tc>
          <w:tcPr>
            <w:tcW w:w="109" w:type="pct"/>
            <w:tcMar>
              <w:left w:w="28" w:type="dxa"/>
              <w:right w:w="28" w:type="dxa"/>
            </w:tcMar>
            <w:vAlign w:val="center"/>
          </w:tcPr>
          <w:p w14:paraId="64DE9D68">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bCs/>
                <w:color w:val="auto"/>
                <w:kern w:val="2"/>
                <w:sz w:val="24"/>
                <w:szCs w:val="24"/>
                <w:highlight w:val="none"/>
                <w:lang w:val="en-US" w:eastAsia="zh-CN" w:bidi="ar-SA"/>
              </w:rPr>
            </w:pPr>
            <w:r>
              <w:rPr>
                <w:rFonts w:hint="eastAsia" w:ascii="Times New Roman" w:hAnsi="Times New Roman" w:eastAsia="宋体" w:cs="Times New Roman"/>
                <w:b/>
                <w:bCs/>
                <w:color w:val="auto"/>
                <w:kern w:val="2"/>
                <w:sz w:val="24"/>
                <w:szCs w:val="24"/>
                <w:highlight w:val="none"/>
                <w:lang w:val="en-US" w:eastAsia="zh-CN" w:bidi="ar-SA"/>
              </w:rPr>
              <w:t>运</w:t>
            </w:r>
          </w:p>
          <w:p w14:paraId="4E605719">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bCs/>
                <w:color w:val="auto"/>
                <w:kern w:val="2"/>
                <w:sz w:val="24"/>
                <w:szCs w:val="24"/>
                <w:highlight w:val="none"/>
                <w:lang w:val="en-US" w:eastAsia="zh-CN" w:bidi="ar-SA"/>
              </w:rPr>
            </w:pPr>
            <w:r>
              <w:rPr>
                <w:rFonts w:hint="eastAsia" w:ascii="Times New Roman" w:hAnsi="Times New Roman" w:eastAsia="宋体" w:cs="Times New Roman"/>
                <w:b/>
                <w:bCs/>
                <w:color w:val="auto"/>
                <w:kern w:val="2"/>
                <w:sz w:val="24"/>
                <w:szCs w:val="24"/>
                <w:highlight w:val="none"/>
                <w:lang w:val="en-US" w:eastAsia="zh-CN" w:bidi="ar-SA"/>
              </w:rPr>
              <w:t>营</w:t>
            </w:r>
          </w:p>
          <w:p w14:paraId="7767861A">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bCs/>
                <w:color w:val="auto"/>
                <w:kern w:val="2"/>
                <w:sz w:val="24"/>
                <w:szCs w:val="24"/>
                <w:highlight w:val="none"/>
                <w:lang w:val="en-US" w:eastAsia="zh-CN" w:bidi="ar-SA"/>
              </w:rPr>
            </w:pPr>
            <w:r>
              <w:rPr>
                <w:rFonts w:hint="eastAsia" w:ascii="Times New Roman" w:hAnsi="Times New Roman" w:eastAsia="宋体" w:cs="Times New Roman"/>
                <w:b/>
                <w:bCs/>
                <w:color w:val="auto"/>
                <w:kern w:val="2"/>
                <w:sz w:val="24"/>
                <w:szCs w:val="24"/>
                <w:highlight w:val="none"/>
                <w:lang w:val="en-US" w:eastAsia="zh-CN" w:bidi="ar-SA"/>
              </w:rPr>
              <w:t>期</w:t>
            </w:r>
          </w:p>
          <w:p w14:paraId="064B3806">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bCs/>
                <w:color w:val="auto"/>
                <w:kern w:val="2"/>
                <w:sz w:val="24"/>
                <w:szCs w:val="24"/>
                <w:highlight w:val="none"/>
                <w:lang w:val="en-US" w:eastAsia="zh-CN" w:bidi="ar-SA"/>
              </w:rPr>
            </w:pPr>
            <w:r>
              <w:rPr>
                <w:rFonts w:hint="eastAsia" w:ascii="Times New Roman" w:hAnsi="Times New Roman" w:eastAsia="宋体" w:cs="Times New Roman"/>
                <w:b/>
                <w:bCs/>
                <w:color w:val="auto"/>
                <w:kern w:val="2"/>
                <w:sz w:val="24"/>
                <w:szCs w:val="24"/>
                <w:highlight w:val="none"/>
                <w:lang w:val="en-US" w:eastAsia="zh-CN" w:bidi="ar-SA"/>
              </w:rPr>
              <w:t>环</w:t>
            </w:r>
          </w:p>
          <w:p w14:paraId="20D3616A">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bCs/>
                <w:color w:val="auto"/>
                <w:kern w:val="2"/>
                <w:sz w:val="24"/>
                <w:szCs w:val="24"/>
                <w:highlight w:val="none"/>
                <w:lang w:val="en-US" w:eastAsia="zh-CN" w:bidi="ar-SA"/>
              </w:rPr>
            </w:pPr>
            <w:r>
              <w:rPr>
                <w:rFonts w:hint="eastAsia" w:ascii="Times New Roman" w:hAnsi="Times New Roman" w:eastAsia="宋体" w:cs="Times New Roman"/>
                <w:b/>
                <w:bCs/>
                <w:color w:val="auto"/>
                <w:kern w:val="2"/>
                <w:sz w:val="24"/>
                <w:szCs w:val="24"/>
                <w:highlight w:val="none"/>
                <w:lang w:val="en-US" w:eastAsia="zh-CN" w:bidi="ar-SA"/>
              </w:rPr>
              <w:t>境</w:t>
            </w:r>
          </w:p>
          <w:p w14:paraId="7B89A5E6">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bCs/>
                <w:color w:val="auto"/>
                <w:kern w:val="2"/>
                <w:sz w:val="24"/>
                <w:szCs w:val="24"/>
                <w:highlight w:val="none"/>
                <w:lang w:val="en-US" w:eastAsia="zh-CN" w:bidi="ar-SA"/>
              </w:rPr>
            </w:pPr>
            <w:r>
              <w:rPr>
                <w:rFonts w:hint="eastAsia" w:ascii="Times New Roman" w:hAnsi="Times New Roman" w:eastAsia="宋体" w:cs="Times New Roman"/>
                <w:b/>
                <w:bCs/>
                <w:color w:val="auto"/>
                <w:kern w:val="2"/>
                <w:sz w:val="24"/>
                <w:szCs w:val="24"/>
                <w:highlight w:val="none"/>
                <w:lang w:val="en-US" w:eastAsia="zh-CN" w:bidi="ar-SA"/>
              </w:rPr>
              <w:t>影</w:t>
            </w:r>
          </w:p>
          <w:p w14:paraId="01FBAE52">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bCs/>
                <w:color w:val="auto"/>
                <w:kern w:val="2"/>
                <w:sz w:val="24"/>
                <w:szCs w:val="24"/>
                <w:highlight w:val="none"/>
                <w:lang w:val="en-US" w:eastAsia="zh-CN" w:bidi="ar-SA"/>
              </w:rPr>
            </w:pPr>
            <w:r>
              <w:rPr>
                <w:rFonts w:hint="eastAsia" w:ascii="Times New Roman" w:hAnsi="Times New Roman" w:eastAsia="宋体" w:cs="Times New Roman"/>
                <w:b/>
                <w:bCs/>
                <w:color w:val="auto"/>
                <w:kern w:val="2"/>
                <w:sz w:val="24"/>
                <w:szCs w:val="24"/>
                <w:highlight w:val="none"/>
                <w:lang w:val="en-US" w:eastAsia="zh-CN" w:bidi="ar-SA"/>
              </w:rPr>
              <w:t>响</w:t>
            </w:r>
          </w:p>
          <w:p w14:paraId="34619168">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bCs/>
                <w:color w:val="auto"/>
                <w:kern w:val="2"/>
                <w:sz w:val="24"/>
                <w:szCs w:val="24"/>
                <w:highlight w:val="none"/>
                <w:lang w:val="en-US" w:eastAsia="zh-CN" w:bidi="ar-SA"/>
              </w:rPr>
            </w:pPr>
            <w:r>
              <w:rPr>
                <w:rFonts w:hint="eastAsia" w:ascii="Times New Roman" w:hAnsi="Times New Roman" w:eastAsia="宋体" w:cs="Times New Roman"/>
                <w:b/>
                <w:bCs/>
                <w:color w:val="auto"/>
                <w:kern w:val="2"/>
                <w:sz w:val="24"/>
                <w:szCs w:val="24"/>
                <w:highlight w:val="none"/>
                <w:lang w:val="en-US" w:eastAsia="zh-CN" w:bidi="ar-SA"/>
              </w:rPr>
              <w:t>和</w:t>
            </w:r>
          </w:p>
          <w:p w14:paraId="514D777F">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bCs/>
                <w:color w:val="auto"/>
                <w:kern w:val="2"/>
                <w:sz w:val="24"/>
                <w:szCs w:val="24"/>
                <w:highlight w:val="none"/>
                <w:lang w:val="en-US" w:eastAsia="zh-CN" w:bidi="ar-SA"/>
              </w:rPr>
            </w:pPr>
            <w:r>
              <w:rPr>
                <w:rFonts w:hint="eastAsia" w:ascii="Times New Roman" w:hAnsi="Times New Roman" w:eastAsia="宋体" w:cs="Times New Roman"/>
                <w:b/>
                <w:bCs/>
                <w:color w:val="auto"/>
                <w:kern w:val="2"/>
                <w:sz w:val="24"/>
                <w:szCs w:val="24"/>
                <w:highlight w:val="none"/>
                <w:lang w:val="en-US" w:eastAsia="zh-CN" w:bidi="ar-SA"/>
              </w:rPr>
              <w:t>保</w:t>
            </w:r>
          </w:p>
          <w:p w14:paraId="7BE78DB6">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bCs/>
                <w:color w:val="auto"/>
                <w:kern w:val="2"/>
                <w:sz w:val="24"/>
                <w:szCs w:val="24"/>
                <w:highlight w:val="none"/>
                <w:lang w:val="en-US" w:eastAsia="zh-CN" w:bidi="ar-SA"/>
              </w:rPr>
            </w:pPr>
            <w:r>
              <w:rPr>
                <w:rFonts w:hint="eastAsia" w:ascii="Times New Roman" w:hAnsi="Times New Roman" w:eastAsia="宋体" w:cs="Times New Roman"/>
                <w:b/>
                <w:bCs/>
                <w:color w:val="auto"/>
                <w:kern w:val="2"/>
                <w:sz w:val="24"/>
                <w:szCs w:val="24"/>
                <w:highlight w:val="none"/>
                <w:lang w:val="en-US" w:eastAsia="zh-CN" w:bidi="ar-SA"/>
              </w:rPr>
              <w:t>护</w:t>
            </w:r>
          </w:p>
          <w:p w14:paraId="2A28E256">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bCs/>
                <w:color w:val="auto"/>
                <w:kern w:val="2"/>
                <w:sz w:val="24"/>
                <w:szCs w:val="24"/>
                <w:highlight w:val="none"/>
                <w:lang w:val="en-US" w:eastAsia="zh-CN" w:bidi="ar-SA"/>
              </w:rPr>
            </w:pPr>
            <w:r>
              <w:rPr>
                <w:rFonts w:hint="eastAsia" w:ascii="Times New Roman" w:hAnsi="Times New Roman" w:eastAsia="宋体" w:cs="Times New Roman"/>
                <w:b/>
                <w:bCs/>
                <w:color w:val="auto"/>
                <w:kern w:val="2"/>
                <w:sz w:val="24"/>
                <w:szCs w:val="24"/>
                <w:highlight w:val="none"/>
                <w:lang w:val="en-US" w:eastAsia="zh-CN" w:bidi="ar-SA"/>
              </w:rPr>
              <w:t>措</w:t>
            </w:r>
          </w:p>
          <w:p w14:paraId="59154A4F">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21"/>
                <w:szCs w:val="21"/>
                <w:highlight w:val="none"/>
                <w:lang w:val="en-US" w:eastAsia="zh-CN" w:bidi="ar-SA"/>
              </w:rPr>
            </w:pPr>
            <w:r>
              <w:rPr>
                <w:rFonts w:hint="eastAsia" w:ascii="Times New Roman" w:hAnsi="Times New Roman" w:eastAsia="宋体" w:cs="Times New Roman"/>
                <w:b/>
                <w:bCs/>
                <w:color w:val="auto"/>
                <w:kern w:val="2"/>
                <w:sz w:val="24"/>
                <w:szCs w:val="24"/>
                <w:highlight w:val="none"/>
                <w:lang w:val="en-US" w:eastAsia="zh-CN" w:bidi="ar-SA"/>
              </w:rPr>
              <w:t>施</w:t>
            </w:r>
          </w:p>
        </w:tc>
        <w:tc>
          <w:tcPr>
            <w:tcW w:w="4890" w:type="pct"/>
          </w:tcPr>
          <w:p w14:paraId="6DEFFDD8">
            <w:pPr>
              <w:keepNext w:val="0"/>
              <w:keepLines w:val="0"/>
              <w:suppressLineNumbers w:val="0"/>
              <w:spacing w:before="0" w:beforeAutospacing="0" w:after="0" w:afterAutospacing="0" w:line="360" w:lineRule="auto"/>
              <w:ind w:left="0" w:right="0" w:firstLine="482" w:firstLineChars="200"/>
              <w:rPr>
                <w:rFonts w:hint="default"/>
                <w:b/>
                <w:bCs/>
                <w:color w:val="auto"/>
                <w:sz w:val="24"/>
                <w:szCs w:val="32"/>
                <w:highlight w:val="none"/>
              </w:rPr>
            </w:pPr>
            <w:r>
              <w:rPr>
                <w:rFonts w:hint="eastAsia"/>
                <w:b/>
                <w:bCs/>
                <w:color w:val="auto"/>
                <w:sz w:val="24"/>
                <w:szCs w:val="32"/>
                <w:highlight w:val="none"/>
              </w:rPr>
              <w:t>1</w:t>
            </w:r>
            <w:r>
              <w:rPr>
                <w:rFonts w:hint="default"/>
                <w:b/>
                <w:bCs/>
                <w:color w:val="auto"/>
                <w:sz w:val="24"/>
                <w:szCs w:val="32"/>
                <w:highlight w:val="none"/>
              </w:rPr>
              <w:t>、废气</w:t>
            </w:r>
          </w:p>
          <w:p w14:paraId="69E506F3">
            <w:pPr>
              <w:pStyle w:val="52"/>
              <w:keepNext w:val="0"/>
              <w:keepLines w:val="0"/>
              <w:suppressLineNumbers w:val="0"/>
              <w:tabs>
                <w:tab w:val="left" w:pos="2595"/>
              </w:tabs>
              <w:adjustRightInd/>
              <w:spacing w:before="0" w:beforeAutospacing="0" w:after="0" w:afterAutospacing="0"/>
              <w:ind w:left="0" w:right="0"/>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（1）废气污染源情况</w:t>
            </w:r>
          </w:p>
          <w:p w14:paraId="21E493C7">
            <w:pPr>
              <w:pStyle w:val="52"/>
              <w:keepNext w:val="0"/>
              <w:keepLines w:val="0"/>
              <w:suppressLineNumbers w:val="0"/>
              <w:tabs>
                <w:tab w:val="left" w:pos="2595"/>
              </w:tabs>
              <w:adjustRightInd/>
              <w:spacing w:before="0" w:beforeAutospacing="0" w:after="0" w:afterAutospacing="0"/>
              <w:ind w:left="0" w:right="0"/>
              <w:textAlignment w:val="auto"/>
              <w:rPr>
                <w:rFonts w:hint="default" w:ascii="Times New Roman" w:hAnsi="Times New Roman" w:cs="Times New Roman"/>
                <w:color w:val="auto"/>
                <w:kern w:val="0"/>
                <w:highlight w:val="none"/>
                <w:lang w:val="zh-CN"/>
              </w:rPr>
            </w:pPr>
            <w:r>
              <w:rPr>
                <w:rFonts w:hint="default" w:ascii="Times New Roman" w:hAnsi="Times New Roman" w:cs="Times New Roman"/>
                <w:color w:val="auto"/>
                <w:highlight w:val="none"/>
                <w:lang w:val="en-US" w:eastAsia="zh-CN"/>
              </w:rPr>
              <w:t>本项目废气污染源排放情况见表4-1。</w:t>
            </w:r>
          </w:p>
          <w:p w14:paraId="3A35DA64">
            <w:pPr>
              <w:pStyle w:val="88"/>
              <w:keepNext w:val="0"/>
              <w:keepLines w:val="0"/>
              <w:numPr>
                <w:ilvl w:val="5"/>
                <w:numId w:val="0"/>
              </w:numPr>
              <w:suppressLineNumbers w:val="0"/>
              <w:spacing w:before="0" w:beforeAutospacing="0" w:after="0" w:afterAutospacing="0"/>
              <w:ind w:left="0" w:leftChars="0" w:right="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lang w:val="en-US" w:eastAsia="zh-CN"/>
              </w:rPr>
              <w:t>表4-</w:t>
            </w:r>
            <w:r>
              <w:rPr>
                <w:rFonts w:hint="eastAsia" w:cs="Times New Roman"/>
                <w:color w:val="auto"/>
                <w:sz w:val="21"/>
                <w:szCs w:val="21"/>
                <w:highlight w:val="none"/>
                <w:lang w:val="en-US" w:eastAsia="zh-CN"/>
              </w:rPr>
              <w:t>1</w:t>
            </w:r>
            <w:r>
              <w:rPr>
                <w:rFonts w:hint="default" w:ascii="Times New Roman" w:hAnsi="Times New Roman" w:cs="Times New Roman"/>
                <w:color w:val="auto"/>
                <w:sz w:val="21"/>
                <w:szCs w:val="21"/>
                <w:highlight w:val="none"/>
                <w:lang w:val="en-US" w:eastAsia="zh-CN"/>
              </w:rPr>
              <w:t xml:space="preserve"> </w:t>
            </w:r>
            <w:r>
              <w:rPr>
                <w:rFonts w:hint="default" w:ascii="Times New Roman" w:hAnsi="Times New Roman" w:cs="Times New Roman"/>
                <w:color w:val="auto"/>
                <w:sz w:val="21"/>
                <w:szCs w:val="21"/>
                <w:highlight w:val="none"/>
              </w:rPr>
              <w:t>废气污染源产生、正常排放汇总表</w:t>
            </w:r>
          </w:p>
          <w:tbl>
            <w:tblPr>
              <w:tblStyle w:val="26"/>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636"/>
              <w:gridCol w:w="427"/>
              <w:gridCol w:w="625"/>
              <w:gridCol w:w="798"/>
              <w:gridCol w:w="794"/>
              <w:gridCol w:w="794"/>
              <w:gridCol w:w="741"/>
              <w:gridCol w:w="427"/>
              <w:gridCol w:w="689"/>
              <w:gridCol w:w="427"/>
              <w:gridCol w:w="427"/>
              <w:gridCol w:w="798"/>
              <w:gridCol w:w="794"/>
              <w:gridCol w:w="794"/>
              <w:gridCol w:w="835"/>
              <w:gridCol w:w="427"/>
              <w:gridCol w:w="479"/>
              <w:gridCol w:w="444"/>
              <w:gridCol w:w="427"/>
              <w:gridCol w:w="1552"/>
              <w:gridCol w:w="584"/>
              <w:gridCol w:w="951"/>
              <w:gridCol w:w="613"/>
            </w:tblGrid>
            <w:tr w14:paraId="1BB4C59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0" w:type="auto"/>
                  <w:vMerge w:val="restart"/>
                  <w:tcBorders>
                    <w:tl2br w:val="nil"/>
                    <w:tr2bl w:val="nil"/>
                  </w:tcBorders>
                  <w:noWrap w:val="0"/>
                  <w:vAlign w:val="center"/>
                </w:tcPr>
                <w:p w14:paraId="3DD3CC6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产排污环节</w:t>
                  </w:r>
                </w:p>
              </w:tc>
              <w:tc>
                <w:tcPr>
                  <w:tcW w:w="0" w:type="auto"/>
                  <w:vMerge w:val="restart"/>
                  <w:tcBorders>
                    <w:tl2br w:val="nil"/>
                    <w:tr2bl w:val="nil"/>
                  </w:tcBorders>
                  <w:noWrap w:val="0"/>
                  <w:vAlign w:val="center"/>
                </w:tcPr>
                <w:p w14:paraId="708EEA4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排放形式</w:t>
                  </w:r>
                </w:p>
              </w:tc>
              <w:tc>
                <w:tcPr>
                  <w:tcW w:w="625" w:type="dxa"/>
                  <w:vMerge w:val="restart"/>
                  <w:tcBorders>
                    <w:tl2br w:val="nil"/>
                    <w:tr2bl w:val="nil"/>
                  </w:tcBorders>
                  <w:noWrap w:val="0"/>
                  <w:vAlign w:val="center"/>
                </w:tcPr>
                <w:p w14:paraId="0F36F63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污染物种类</w:t>
                  </w:r>
                </w:p>
              </w:tc>
              <w:tc>
                <w:tcPr>
                  <w:tcW w:w="2386" w:type="dxa"/>
                  <w:gridSpan w:val="3"/>
                  <w:tcBorders>
                    <w:tl2br w:val="nil"/>
                    <w:tr2bl w:val="nil"/>
                  </w:tcBorders>
                  <w:noWrap w:val="0"/>
                  <w:vAlign w:val="center"/>
                </w:tcPr>
                <w:p w14:paraId="6116352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污染物产生量和浓度</w:t>
                  </w:r>
                </w:p>
              </w:tc>
              <w:tc>
                <w:tcPr>
                  <w:tcW w:w="2711" w:type="dxa"/>
                  <w:gridSpan w:val="5"/>
                  <w:tcBorders>
                    <w:tl2br w:val="nil"/>
                    <w:tr2bl w:val="nil"/>
                  </w:tcBorders>
                  <w:noWrap w:val="0"/>
                  <w:vAlign w:val="center"/>
                </w:tcPr>
                <w:p w14:paraId="396BCA9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污染治理设施</w:t>
                  </w:r>
                </w:p>
              </w:tc>
              <w:tc>
                <w:tcPr>
                  <w:tcW w:w="0" w:type="auto"/>
                  <w:gridSpan w:val="3"/>
                  <w:tcBorders>
                    <w:tl2br w:val="nil"/>
                    <w:tr2bl w:val="nil"/>
                  </w:tcBorders>
                  <w:noWrap w:val="0"/>
                  <w:vAlign w:val="center"/>
                </w:tcPr>
                <w:p w14:paraId="51EC76E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污染物排放量和浓度</w:t>
                  </w:r>
                </w:p>
              </w:tc>
              <w:tc>
                <w:tcPr>
                  <w:tcW w:w="0" w:type="auto"/>
                  <w:gridSpan w:val="7"/>
                  <w:tcBorders>
                    <w:tl2br w:val="nil"/>
                    <w:tr2bl w:val="nil"/>
                  </w:tcBorders>
                  <w:noWrap w:val="0"/>
                  <w:vAlign w:val="center"/>
                </w:tcPr>
                <w:p w14:paraId="146F004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排放口基本情况</w:t>
                  </w:r>
                </w:p>
              </w:tc>
              <w:tc>
                <w:tcPr>
                  <w:tcW w:w="0" w:type="auto"/>
                  <w:gridSpan w:val="2"/>
                  <w:tcBorders>
                    <w:tl2br w:val="nil"/>
                    <w:tr2bl w:val="nil"/>
                  </w:tcBorders>
                  <w:noWrap w:val="0"/>
                  <w:vAlign w:val="center"/>
                </w:tcPr>
                <w:p w14:paraId="17A673E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排放标准</w:t>
                  </w:r>
                </w:p>
              </w:tc>
            </w:tr>
            <w:tr w14:paraId="6A28CE9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0" w:type="auto"/>
                  <w:vMerge w:val="continue"/>
                  <w:tcBorders>
                    <w:tl2br w:val="nil"/>
                    <w:tr2bl w:val="nil"/>
                  </w:tcBorders>
                  <w:noWrap w:val="0"/>
                  <w:vAlign w:val="center"/>
                </w:tcPr>
                <w:p w14:paraId="28CADD7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highlight w:val="none"/>
                    </w:rPr>
                  </w:pPr>
                </w:p>
              </w:tc>
              <w:tc>
                <w:tcPr>
                  <w:tcW w:w="0" w:type="auto"/>
                  <w:vMerge w:val="continue"/>
                  <w:tcBorders>
                    <w:tl2br w:val="nil"/>
                    <w:tr2bl w:val="nil"/>
                  </w:tcBorders>
                  <w:noWrap w:val="0"/>
                  <w:vAlign w:val="center"/>
                </w:tcPr>
                <w:p w14:paraId="2823992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highlight w:val="none"/>
                    </w:rPr>
                  </w:pPr>
                </w:p>
              </w:tc>
              <w:tc>
                <w:tcPr>
                  <w:tcW w:w="625" w:type="dxa"/>
                  <w:vMerge w:val="continue"/>
                  <w:tcBorders>
                    <w:tl2br w:val="nil"/>
                    <w:tr2bl w:val="nil"/>
                  </w:tcBorders>
                  <w:noWrap w:val="0"/>
                  <w:vAlign w:val="center"/>
                </w:tcPr>
                <w:p w14:paraId="6263305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highlight w:val="none"/>
                    </w:rPr>
                  </w:pPr>
                </w:p>
              </w:tc>
              <w:tc>
                <w:tcPr>
                  <w:tcW w:w="798" w:type="dxa"/>
                  <w:vMerge w:val="restart"/>
                  <w:tcBorders>
                    <w:tl2br w:val="nil"/>
                    <w:tr2bl w:val="nil"/>
                  </w:tcBorders>
                  <w:noWrap w:val="0"/>
                  <w:vAlign w:val="center"/>
                </w:tcPr>
                <w:p w14:paraId="2250E2B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产生浓度</w:t>
                  </w:r>
                </w:p>
                <w:p w14:paraId="5148153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mg/m</w:t>
                  </w:r>
                  <w:r>
                    <w:rPr>
                      <w:rFonts w:hint="default" w:ascii="Times New Roman" w:hAnsi="Times New Roman" w:eastAsia="宋体" w:cs="Times New Roman"/>
                      <w:b/>
                      <w:bCs/>
                      <w:color w:val="auto"/>
                      <w:sz w:val="21"/>
                      <w:szCs w:val="21"/>
                      <w:highlight w:val="none"/>
                      <w:vertAlign w:val="superscript"/>
                    </w:rPr>
                    <w:t>3</w:t>
                  </w:r>
                </w:p>
              </w:tc>
              <w:tc>
                <w:tcPr>
                  <w:tcW w:w="1588" w:type="dxa"/>
                  <w:gridSpan w:val="2"/>
                  <w:tcBorders>
                    <w:tl2br w:val="nil"/>
                    <w:tr2bl w:val="nil"/>
                  </w:tcBorders>
                  <w:noWrap w:val="0"/>
                  <w:vAlign w:val="center"/>
                </w:tcPr>
                <w:p w14:paraId="4111014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产生量</w:t>
                  </w:r>
                </w:p>
              </w:tc>
              <w:tc>
                <w:tcPr>
                  <w:tcW w:w="741" w:type="dxa"/>
                  <w:tcBorders>
                    <w:tl2br w:val="nil"/>
                    <w:tr2bl w:val="nil"/>
                  </w:tcBorders>
                  <w:noWrap w:val="0"/>
                  <w:vAlign w:val="center"/>
                </w:tcPr>
                <w:p w14:paraId="78B0368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处理能力</w:t>
                  </w:r>
                </w:p>
              </w:tc>
              <w:tc>
                <w:tcPr>
                  <w:tcW w:w="427" w:type="dxa"/>
                  <w:tcBorders>
                    <w:tl2br w:val="nil"/>
                    <w:tr2bl w:val="nil"/>
                  </w:tcBorders>
                  <w:noWrap w:val="0"/>
                  <w:vAlign w:val="center"/>
                </w:tcPr>
                <w:p w14:paraId="01DA6E4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收集效率</w:t>
                  </w:r>
                </w:p>
              </w:tc>
              <w:tc>
                <w:tcPr>
                  <w:tcW w:w="689" w:type="dxa"/>
                  <w:tcBorders>
                    <w:tl2br w:val="nil"/>
                    <w:tr2bl w:val="nil"/>
                  </w:tcBorders>
                  <w:noWrap w:val="0"/>
                  <w:vAlign w:val="center"/>
                </w:tcPr>
                <w:p w14:paraId="1B4157D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去除效率</w:t>
                  </w:r>
                </w:p>
              </w:tc>
              <w:tc>
                <w:tcPr>
                  <w:tcW w:w="0" w:type="auto"/>
                  <w:vMerge w:val="restart"/>
                  <w:tcBorders>
                    <w:tl2br w:val="nil"/>
                    <w:tr2bl w:val="nil"/>
                  </w:tcBorders>
                  <w:noWrap w:val="0"/>
                  <w:vAlign w:val="center"/>
                </w:tcPr>
                <w:p w14:paraId="2943149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是否可行技术</w:t>
                  </w:r>
                </w:p>
              </w:tc>
              <w:tc>
                <w:tcPr>
                  <w:tcW w:w="0" w:type="auto"/>
                  <w:vMerge w:val="restart"/>
                  <w:tcBorders>
                    <w:tl2br w:val="nil"/>
                    <w:tr2bl w:val="nil"/>
                  </w:tcBorders>
                  <w:noWrap w:val="0"/>
                  <w:vAlign w:val="center"/>
                </w:tcPr>
                <w:p w14:paraId="2E14E3C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处理工艺</w:t>
                  </w:r>
                </w:p>
              </w:tc>
              <w:tc>
                <w:tcPr>
                  <w:tcW w:w="0" w:type="auto"/>
                  <w:vMerge w:val="restart"/>
                  <w:tcBorders>
                    <w:tl2br w:val="nil"/>
                    <w:tr2bl w:val="nil"/>
                  </w:tcBorders>
                  <w:noWrap w:val="0"/>
                  <w:vAlign w:val="center"/>
                </w:tcPr>
                <w:p w14:paraId="16BFDE0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排放浓度mg/m</w:t>
                  </w:r>
                  <w:r>
                    <w:rPr>
                      <w:rFonts w:hint="default" w:ascii="Times New Roman" w:hAnsi="Times New Roman" w:eastAsia="宋体" w:cs="Times New Roman"/>
                      <w:b/>
                      <w:bCs/>
                      <w:color w:val="auto"/>
                      <w:sz w:val="21"/>
                      <w:szCs w:val="21"/>
                      <w:highlight w:val="none"/>
                      <w:vertAlign w:val="superscript"/>
                    </w:rPr>
                    <w:t>3</w:t>
                  </w:r>
                </w:p>
              </w:tc>
              <w:tc>
                <w:tcPr>
                  <w:tcW w:w="0" w:type="auto"/>
                  <w:gridSpan w:val="2"/>
                  <w:tcBorders>
                    <w:tl2br w:val="nil"/>
                    <w:tr2bl w:val="nil"/>
                  </w:tcBorders>
                  <w:noWrap w:val="0"/>
                  <w:vAlign w:val="center"/>
                </w:tcPr>
                <w:p w14:paraId="097996A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排放量</w:t>
                  </w:r>
                </w:p>
              </w:tc>
              <w:tc>
                <w:tcPr>
                  <w:tcW w:w="0" w:type="auto"/>
                  <w:vMerge w:val="restart"/>
                  <w:tcBorders>
                    <w:tl2br w:val="nil"/>
                    <w:tr2bl w:val="nil"/>
                  </w:tcBorders>
                  <w:noWrap w:val="0"/>
                  <w:vAlign w:val="center"/>
                </w:tcPr>
                <w:p w14:paraId="7D7E57A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pacing w:val="-10"/>
                      <w:sz w:val="21"/>
                      <w:szCs w:val="21"/>
                      <w:highlight w:val="none"/>
                    </w:rPr>
                  </w:pPr>
                  <w:r>
                    <w:rPr>
                      <w:rFonts w:hint="default" w:ascii="Times New Roman" w:hAnsi="Times New Roman" w:eastAsia="宋体" w:cs="Times New Roman"/>
                      <w:b/>
                      <w:bCs/>
                      <w:color w:val="auto"/>
                      <w:spacing w:val="-10"/>
                      <w:sz w:val="21"/>
                      <w:szCs w:val="21"/>
                      <w:highlight w:val="none"/>
                    </w:rPr>
                    <w:t>编号及名称</w:t>
                  </w:r>
                </w:p>
              </w:tc>
              <w:tc>
                <w:tcPr>
                  <w:tcW w:w="0" w:type="auto"/>
                  <w:tcBorders>
                    <w:tl2br w:val="nil"/>
                    <w:tr2bl w:val="nil"/>
                  </w:tcBorders>
                  <w:noWrap w:val="0"/>
                  <w:vAlign w:val="center"/>
                </w:tcPr>
                <w:p w14:paraId="692C0C3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高度</w:t>
                  </w:r>
                </w:p>
              </w:tc>
              <w:tc>
                <w:tcPr>
                  <w:tcW w:w="0" w:type="auto"/>
                  <w:tcBorders>
                    <w:tl2br w:val="nil"/>
                    <w:tr2bl w:val="nil"/>
                  </w:tcBorders>
                  <w:noWrap w:val="0"/>
                  <w:vAlign w:val="center"/>
                </w:tcPr>
                <w:p w14:paraId="082C74D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内径</w:t>
                  </w:r>
                </w:p>
              </w:tc>
              <w:tc>
                <w:tcPr>
                  <w:tcW w:w="0" w:type="auto"/>
                  <w:tcBorders>
                    <w:tl2br w:val="nil"/>
                    <w:tr2bl w:val="nil"/>
                  </w:tcBorders>
                  <w:noWrap w:val="0"/>
                  <w:vAlign w:val="center"/>
                </w:tcPr>
                <w:p w14:paraId="61A9747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温度</w:t>
                  </w:r>
                </w:p>
              </w:tc>
              <w:tc>
                <w:tcPr>
                  <w:tcW w:w="0" w:type="auto"/>
                  <w:vMerge w:val="restart"/>
                  <w:tcBorders>
                    <w:tl2br w:val="nil"/>
                    <w:tr2bl w:val="nil"/>
                  </w:tcBorders>
                  <w:noWrap w:val="0"/>
                  <w:vAlign w:val="center"/>
                </w:tcPr>
                <w:p w14:paraId="7377CF7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类型</w:t>
                  </w:r>
                </w:p>
              </w:tc>
              <w:tc>
                <w:tcPr>
                  <w:tcW w:w="1552" w:type="dxa"/>
                  <w:vMerge w:val="restart"/>
                  <w:tcBorders>
                    <w:tl2br w:val="nil"/>
                    <w:tr2bl w:val="nil"/>
                  </w:tcBorders>
                  <w:noWrap w:val="0"/>
                  <w:vAlign w:val="center"/>
                </w:tcPr>
                <w:p w14:paraId="3E8DA65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地理</w:t>
                  </w:r>
                </w:p>
                <w:p w14:paraId="443ADA7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坐标</w:t>
                  </w:r>
                </w:p>
              </w:tc>
              <w:tc>
                <w:tcPr>
                  <w:tcW w:w="689" w:type="dxa"/>
                  <w:tcBorders>
                    <w:tl2br w:val="nil"/>
                    <w:tr2bl w:val="nil"/>
                  </w:tcBorders>
                  <w:noWrap w:val="0"/>
                  <w:vAlign w:val="center"/>
                </w:tcPr>
                <w:p w14:paraId="750816A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highlight w:val="none"/>
                      <w:lang w:val="en-US" w:eastAsia="zh-CN"/>
                    </w:rPr>
                  </w:pPr>
                  <w:r>
                    <w:rPr>
                      <w:rFonts w:hint="eastAsia" w:cs="Times New Roman"/>
                      <w:b/>
                      <w:bCs/>
                      <w:color w:val="auto"/>
                      <w:sz w:val="21"/>
                      <w:szCs w:val="21"/>
                      <w:highlight w:val="none"/>
                      <w:lang w:val="en-US" w:eastAsia="zh-CN"/>
                    </w:rPr>
                    <w:t>排气速度</w:t>
                  </w:r>
                </w:p>
              </w:tc>
              <w:tc>
                <w:tcPr>
                  <w:tcW w:w="0" w:type="auto"/>
                  <w:tcBorders>
                    <w:tl2br w:val="nil"/>
                    <w:tr2bl w:val="nil"/>
                  </w:tcBorders>
                  <w:noWrap w:val="0"/>
                  <w:vAlign w:val="center"/>
                </w:tcPr>
                <w:p w14:paraId="4722AEF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浓度</w:t>
                  </w:r>
                </w:p>
              </w:tc>
              <w:tc>
                <w:tcPr>
                  <w:tcW w:w="0" w:type="auto"/>
                  <w:tcBorders>
                    <w:tl2br w:val="nil"/>
                    <w:tr2bl w:val="nil"/>
                  </w:tcBorders>
                  <w:noWrap w:val="0"/>
                  <w:vAlign w:val="center"/>
                </w:tcPr>
                <w:p w14:paraId="4F4A3DF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速率</w:t>
                  </w:r>
                </w:p>
              </w:tc>
            </w:tr>
            <w:tr w14:paraId="3CFD09C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0" w:type="auto"/>
                  <w:vMerge w:val="continue"/>
                  <w:tcBorders>
                    <w:tl2br w:val="nil"/>
                    <w:tr2bl w:val="nil"/>
                  </w:tcBorders>
                  <w:noWrap w:val="0"/>
                  <w:vAlign w:val="center"/>
                </w:tcPr>
                <w:p w14:paraId="73C3E0E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Cs/>
                      <w:color w:val="auto"/>
                      <w:sz w:val="21"/>
                      <w:szCs w:val="21"/>
                      <w:highlight w:val="none"/>
                    </w:rPr>
                  </w:pPr>
                </w:p>
              </w:tc>
              <w:tc>
                <w:tcPr>
                  <w:tcW w:w="0" w:type="auto"/>
                  <w:vMerge w:val="continue"/>
                  <w:tcBorders>
                    <w:tl2br w:val="nil"/>
                    <w:tr2bl w:val="nil"/>
                  </w:tcBorders>
                  <w:noWrap w:val="0"/>
                  <w:vAlign w:val="center"/>
                </w:tcPr>
                <w:p w14:paraId="5A89E7A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Cs/>
                      <w:color w:val="auto"/>
                      <w:sz w:val="21"/>
                      <w:szCs w:val="21"/>
                      <w:highlight w:val="none"/>
                    </w:rPr>
                  </w:pPr>
                </w:p>
              </w:tc>
              <w:tc>
                <w:tcPr>
                  <w:tcW w:w="625" w:type="dxa"/>
                  <w:vMerge w:val="continue"/>
                  <w:tcBorders>
                    <w:tl2br w:val="nil"/>
                    <w:tr2bl w:val="nil"/>
                  </w:tcBorders>
                  <w:noWrap w:val="0"/>
                  <w:vAlign w:val="center"/>
                </w:tcPr>
                <w:p w14:paraId="610DB3A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Cs/>
                      <w:color w:val="auto"/>
                      <w:sz w:val="21"/>
                      <w:szCs w:val="21"/>
                      <w:highlight w:val="none"/>
                    </w:rPr>
                  </w:pPr>
                </w:p>
              </w:tc>
              <w:tc>
                <w:tcPr>
                  <w:tcW w:w="798" w:type="dxa"/>
                  <w:vMerge w:val="continue"/>
                  <w:tcBorders>
                    <w:tl2br w:val="nil"/>
                    <w:tr2bl w:val="nil"/>
                  </w:tcBorders>
                  <w:noWrap w:val="0"/>
                  <w:vAlign w:val="center"/>
                </w:tcPr>
                <w:p w14:paraId="2482B37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Cs/>
                      <w:color w:val="auto"/>
                      <w:sz w:val="21"/>
                      <w:szCs w:val="21"/>
                      <w:highlight w:val="none"/>
                    </w:rPr>
                  </w:pPr>
                </w:p>
              </w:tc>
              <w:tc>
                <w:tcPr>
                  <w:tcW w:w="0" w:type="auto"/>
                  <w:tcBorders>
                    <w:tl2br w:val="nil"/>
                    <w:tr2bl w:val="nil"/>
                  </w:tcBorders>
                  <w:noWrap w:val="0"/>
                  <w:vAlign w:val="center"/>
                </w:tcPr>
                <w:p w14:paraId="2D94208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kg/h</w:t>
                  </w:r>
                </w:p>
              </w:tc>
              <w:tc>
                <w:tcPr>
                  <w:tcW w:w="794" w:type="dxa"/>
                  <w:tcBorders>
                    <w:tl2br w:val="nil"/>
                    <w:tr2bl w:val="nil"/>
                  </w:tcBorders>
                  <w:noWrap w:val="0"/>
                  <w:vAlign w:val="center"/>
                </w:tcPr>
                <w:p w14:paraId="05BC9AF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t/a</w:t>
                  </w:r>
                </w:p>
              </w:tc>
              <w:tc>
                <w:tcPr>
                  <w:tcW w:w="741" w:type="dxa"/>
                  <w:tcBorders>
                    <w:tl2br w:val="nil"/>
                    <w:tr2bl w:val="nil"/>
                  </w:tcBorders>
                  <w:noWrap w:val="0"/>
                  <w:vAlign w:val="center"/>
                </w:tcPr>
                <w:p w14:paraId="63CE356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ascii="Times New Roman" w:hAnsi="Times New Roman" w:eastAsia="宋体" w:cs="Times New Roman"/>
                      <w:b/>
                      <w:bCs/>
                      <w:color w:val="auto"/>
                      <w:sz w:val="21"/>
                      <w:szCs w:val="21"/>
                      <w:highlight w:val="none"/>
                      <w:lang w:eastAsia="zh-CN"/>
                    </w:rPr>
                  </w:pPr>
                  <w:r>
                    <w:rPr>
                      <w:rFonts w:hint="default" w:ascii="Times New Roman" w:hAnsi="Times New Roman" w:eastAsia="宋体" w:cs="Times New Roman"/>
                      <w:b/>
                      <w:bCs/>
                      <w:color w:val="auto"/>
                      <w:sz w:val="21"/>
                      <w:szCs w:val="21"/>
                      <w:highlight w:val="none"/>
                    </w:rPr>
                    <w:t>m</w:t>
                  </w:r>
                  <w:r>
                    <w:rPr>
                      <w:rFonts w:hint="default" w:ascii="Times New Roman" w:hAnsi="Times New Roman" w:eastAsia="宋体" w:cs="Times New Roman"/>
                      <w:b/>
                      <w:bCs/>
                      <w:color w:val="auto"/>
                      <w:sz w:val="21"/>
                      <w:szCs w:val="21"/>
                      <w:highlight w:val="none"/>
                      <w:vertAlign w:val="superscript"/>
                    </w:rPr>
                    <w:t>3</w:t>
                  </w:r>
                  <w:r>
                    <w:rPr>
                      <w:rFonts w:hint="default" w:ascii="Times New Roman" w:hAnsi="Times New Roman" w:eastAsia="宋体" w:cs="Times New Roman"/>
                      <w:b/>
                      <w:bCs/>
                      <w:color w:val="auto"/>
                      <w:sz w:val="21"/>
                      <w:szCs w:val="21"/>
                      <w:highlight w:val="none"/>
                    </w:rPr>
                    <w:t>/</w:t>
                  </w:r>
                  <w:r>
                    <w:rPr>
                      <w:rFonts w:hint="eastAsia" w:cs="Times New Roman"/>
                      <w:b/>
                      <w:bCs/>
                      <w:color w:val="auto"/>
                      <w:sz w:val="21"/>
                      <w:szCs w:val="21"/>
                      <w:highlight w:val="none"/>
                      <w:lang w:val="en-US" w:eastAsia="zh-CN"/>
                    </w:rPr>
                    <w:t>h</w:t>
                  </w:r>
                </w:p>
              </w:tc>
              <w:tc>
                <w:tcPr>
                  <w:tcW w:w="427" w:type="dxa"/>
                  <w:tcBorders>
                    <w:tl2br w:val="nil"/>
                    <w:tr2bl w:val="nil"/>
                  </w:tcBorders>
                  <w:noWrap w:val="0"/>
                  <w:vAlign w:val="center"/>
                </w:tcPr>
                <w:p w14:paraId="6FAC29C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w:t>
                  </w:r>
                </w:p>
              </w:tc>
              <w:tc>
                <w:tcPr>
                  <w:tcW w:w="689" w:type="dxa"/>
                  <w:tcBorders>
                    <w:tl2br w:val="nil"/>
                    <w:tr2bl w:val="nil"/>
                  </w:tcBorders>
                  <w:noWrap w:val="0"/>
                  <w:vAlign w:val="center"/>
                </w:tcPr>
                <w:p w14:paraId="0B1D339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w:t>
                  </w:r>
                </w:p>
              </w:tc>
              <w:tc>
                <w:tcPr>
                  <w:tcW w:w="0" w:type="auto"/>
                  <w:vMerge w:val="continue"/>
                  <w:tcBorders>
                    <w:tl2br w:val="nil"/>
                    <w:tr2bl w:val="nil"/>
                  </w:tcBorders>
                  <w:noWrap w:val="0"/>
                  <w:vAlign w:val="center"/>
                </w:tcPr>
                <w:p w14:paraId="74F7E0A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Cs/>
                      <w:color w:val="auto"/>
                      <w:sz w:val="21"/>
                      <w:szCs w:val="21"/>
                      <w:highlight w:val="none"/>
                    </w:rPr>
                  </w:pPr>
                </w:p>
              </w:tc>
              <w:tc>
                <w:tcPr>
                  <w:tcW w:w="0" w:type="auto"/>
                  <w:vMerge w:val="continue"/>
                  <w:tcBorders>
                    <w:tl2br w:val="nil"/>
                    <w:tr2bl w:val="nil"/>
                  </w:tcBorders>
                  <w:noWrap w:val="0"/>
                  <w:vAlign w:val="center"/>
                </w:tcPr>
                <w:p w14:paraId="015AD2F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Cs/>
                      <w:color w:val="auto"/>
                      <w:sz w:val="21"/>
                      <w:szCs w:val="21"/>
                      <w:highlight w:val="none"/>
                    </w:rPr>
                  </w:pPr>
                </w:p>
              </w:tc>
              <w:tc>
                <w:tcPr>
                  <w:tcW w:w="0" w:type="auto"/>
                  <w:vMerge w:val="continue"/>
                  <w:tcBorders>
                    <w:tl2br w:val="nil"/>
                    <w:tr2bl w:val="nil"/>
                  </w:tcBorders>
                  <w:noWrap w:val="0"/>
                  <w:vAlign w:val="center"/>
                </w:tcPr>
                <w:p w14:paraId="769216F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Cs/>
                      <w:color w:val="auto"/>
                      <w:sz w:val="21"/>
                      <w:szCs w:val="21"/>
                      <w:highlight w:val="none"/>
                    </w:rPr>
                  </w:pPr>
                </w:p>
              </w:tc>
              <w:tc>
                <w:tcPr>
                  <w:tcW w:w="794" w:type="dxa"/>
                  <w:tcBorders>
                    <w:tl2br w:val="nil"/>
                    <w:tr2bl w:val="nil"/>
                  </w:tcBorders>
                  <w:noWrap w:val="0"/>
                  <w:vAlign w:val="center"/>
                </w:tcPr>
                <w:p w14:paraId="358B069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kg/h</w:t>
                  </w:r>
                </w:p>
              </w:tc>
              <w:tc>
                <w:tcPr>
                  <w:tcW w:w="794" w:type="dxa"/>
                  <w:tcBorders>
                    <w:tl2br w:val="nil"/>
                    <w:tr2bl w:val="nil"/>
                  </w:tcBorders>
                  <w:noWrap w:val="0"/>
                  <w:vAlign w:val="center"/>
                </w:tcPr>
                <w:p w14:paraId="669F664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t/a</w:t>
                  </w:r>
                </w:p>
              </w:tc>
              <w:tc>
                <w:tcPr>
                  <w:tcW w:w="0" w:type="auto"/>
                  <w:vMerge w:val="continue"/>
                  <w:tcBorders>
                    <w:tl2br w:val="nil"/>
                    <w:tr2bl w:val="nil"/>
                  </w:tcBorders>
                  <w:noWrap w:val="0"/>
                  <w:vAlign w:val="center"/>
                </w:tcPr>
                <w:p w14:paraId="1771BDA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highlight w:val="none"/>
                    </w:rPr>
                  </w:pPr>
                </w:p>
              </w:tc>
              <w:tc>
                <w:tcPr>
                  <w:tcW w:w="0" w:type="auto"/>
                  <w:tcBorders>
                    <w:tl2br w:val="nil"/>
                    <w:tr2bl w:val="nil"/>
                  </w:tcBorders>
                  <w:noWrap w:val="0"/>
                  <w:vAlign w:val="center"/>
                </w:tcPr>
                <w:p w14:paraId="3A621FE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m</w:t>
                  </w:r>
                </w:p>
              </w:tc>
              <w:tc>
                <w:tcPr>
                  <w:tcW w:w="0" w:type="auto"/>
                  <w:tcBorders>
                    <w:tl2br w:val="nil"/>
                    <w:tr2bl w:val="nil"/>
                  </w:tcBorders>
                  <w:noWrap w:val="0"/>
                  <w:vAlign w:val="center"/>
                </w:tcPr>
                <w:p w14:paraId="5A40EED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m</w:t>
                  </w:r>
                </w:p>
              </w:tc>
              <w:tc>
                <w:tcPr>
                  <w:tcW w:w="0" w:type="auto"/>
                  <w:tcBorders>
                    <w:tl2br w:val="nil"/>
                    <w:tr2bl w:val="nil"/>
                  </w:tcBorders>
                  <w:noWrap w:val="0"/>
                  <w:vAlign w:val="center"/>
                </w:tcPr>
                <w:p w14:paraId="2B5EB74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w:t>
                  </w:r>
                </w:p>
              </w:tc>
              <w:tc>
                <w:tcPr>
                  <w:tcW w:w="0" w:type="auto"/>
                  <w:vMerge w:val="continue"/>
                  <w:tcBorders>
                    <w:tl2br w:val="nil"/>
                    <w:tr2bl w:val="nil"/>
                  </w:tcBorders>
                  <w:noWrap w:val="0"/>
                  <w:vAlign w:val="center"/>
                </w:tcPr>
                <w:p w14:paraId="0593200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highlight w:val="none"/>
                    </w:rPr>
                  </w:pPr>
                </w:p>
              </w:tc>
              <w:tc>
                <w:tcPr>
                  <w:tcW w:w="1552" w:type="dxa"/>
                  <w:vMerge w:val="continue"/>
                  <w:tcBorders>
                    <w:tl2br w:val="nil"/>
                    <w:tr2bl w:val="nil"/>
                  </w:tcBorders>
                  <w:noWrap w:val="0"/>
                  <w:vAlign w:val="center"/>
                </w:tcPr>
                <w:p w14:paraId="6793D72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highlight w:val="none"/>
                    </w:rPr>
                  </w:pPr>
                </w:p>
              </w:tc>
              <w:tc>
                <w:tcPr>
                  <w:tcW w:w="689" w:type="dxa"/>
                  <w:tcBorders>
                    <w:tl2br w:val="nil"/>
                    <w:tr2bl w:val="nil"/>
                  </w:tcBorders>
                  <w:noWrap w:val="0"/>
                  <w:vAlign w:val="center"/>
                </w:tcPr>
                <w:p w14:paraId="0FE4D10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highlight w:val="none"/>
                      <w:lang w:val="en-US" w:eastAsia="zh-CN"/>
                    </w:rPr>
                  </w:pPr>
                  <w:r>
                    <w:rPr>
                      <w:rFonts w:hint="default" w:ascii="Times New Roman" w:hAnsi="Times New Roman" w:eastAsia="宋体" w:cs="Times New Roman"/>
                      <w:b/>
                      <w:bCs/>
                      <w:color w:val="auto"/>
                      <w:sz w:val="21"/>
                      <w:szCs w:val="21"/>
                      <w:highlight w:val="none"/>
                    </w:rPr>
                    <w:t>m</w:t>
                  </w:r>
                  <w:r>
                    <w:rPr>
                      <w:rFonts w:hint="eastAsia" w:cs="Times New Roman"/>
                      <w:b/>
                      <w:bCs/>
                      <w:color w:val="auto"/>
                      <w:sz w:val="21"/>
                      <w:szCs w:val="21"/>
                      <w:highlight w:val="none"/>
                      <w:lang w:val="en-US" w:eastAsia="zh-CN"/>
                    </w:rPr>
                    <w:t>/s</w:t>
                  </w:r>
                </w:p>
              </w:tc>
              <w:tc>
                <w:tcPr>
                  <w:tcW w:w="0" w:type="auto"/>
                  <w:tcBorders>
                    <w:tl2br w:val="nil"/>
                    <w:tr2bl w:val="nil"/>
                  </w:tcBorders>
                  <w:noWrap w:val="0"/>
                  <w:vAlign w:val="center"/>
                </w:tcPr>
                <w:p w14:paraId="614FC6A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Cs/>
                      <w:color w:val="auto"/>
                      <w:sz w:val="21"/>
                      <w:szCs w:val="21"/>
                      <w:highlight w:val="none"/>
                    </w:rPr>
                  </w:pPr>
                  <w:r>
                    <w:rPr>
                      <w:rFonts w:hint="default" w:ascii="Times New Roman" w:hAnsi="Times New Roman" w:eastAsia="宋体" w:cs="Times New Roman"/>
                      <w:b/>
                      <w:bCs/>
                      <w:color w:val="auto"/>
                      <w:sz w:val="21"/>
                      <w:szCs w:val="21"/>
                      <w:highlight w:val="none"/>
                    </w:rPr>
                    <w:t>mg/m</w:t>
                  </w:r>
                  <w:r>
                    <w:rPr>
                      <w:rFonts w:hint="default" w:ascii="Times New Roman" w:hAnsi="Times New Roman" w:eastAsia="宋体" w:cs="Times New Roman"/>
                      <w:b/>
                      <w:bCs/>
                      <w:color w:val="auto"/>
                      <w:sz w:val="21"/>
                      <w:szCs w:val="21"/>
                      <w:highlight w:val="none"/>
                      <w:vertAlign w:val="superscript"/>
                    </w:rPr>
                    <w:t>3</w:t>
                  </w:r>
                </w:p>
              </w:tc>
              <w:tc>
                <w:tcPr>
                  <w:tcW w:w="0" w:type="auto"/>
                  <w:tcBorders>
                    <w:tl2br w:val="nil"/>
                    <w:tr2bl w:val="nil"/>
                  </w:tcBorders>
                  <w:noWrap w:val="0"/>
                  <w:vAlign w:val="center"/>
                </w:tcPr>
                <w:p w14:paraId="76A2EF9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Cs/>
                      <w:color w:val="auto"/>
                      <w:sz w:val="21"/>
                      <w:szCs w:val="21"/>
                      <w:highlight w:val="none"/>
                    </w:rPr>
                  </w:pPr>
                  <w:r>
                    <w:rPr>
                      <w:rFonts w:hint="default" w:ascii="Times New Roman" w:hAnsi="Times New Roman" w:eastAsia="宋体" w:cs="Times New Roman"/>
                      <w:b/>
                      <w:bCs/>
                      <w:color w:val="auto"/>
                      <w:sz w:val="21"/>
                      <w:szCs w:val="21"/>
                      <w:highlight w:val="none"/>
                    </w:rPr>
                    <w:t>kg/h</w:t>
                  </w:r>
                </w:p>
              </w:tc>
            </w:tr>
            <w:tr w14:paraId="7AF42F5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0" w:type="auto"/>
                  <w:vMerge w:val="restart"/>
                  <w:tcBorders>
                    <w:tl2br w:val="nil"/>
                    <w:tr2bl w:val="nil"/>
                  </w:tcBorders>
                  <w:noWrap w:val="0"/>
                  <w:vAlign w:val="center"/>
                </w:tcPr>
                <w:p w14:paraId="050EA7E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Cs/>
                      <w:color w:val="auto"/>
                      <w:sz w:val="21"/>
                      <w:szCs w:val="21"/>
                      <w:highlight w:val="none"/>
                      <w:lang w:val="en-US"/>
                    </w:rPr>
                  </w:pPr>
                  <w:r>
                    <w:rPr>
                      <w:rFonts w:hint="default" w:ascii="Times New Roman" w:hAnsi="Times New Roman" w:eastAsia="宋体" w:cs="Times New Roman"/>
                      <w:bCs/>
                      <w:color w:val="auto"/>
                      <w:sz w:val="21"/>
                      <w:szCs w:val="21"/>
                      <w:highlight w:val="none"/>
                      <w:lang w:val="en-US" w:eastAsia="zh-CN"/>
                    </w:rPr>
                    <w:t>刷鞋头（打磨）</w:t>
                  </w:r>
                  <w:r>
                    <w:rPr>
                      <w:rFonts w:hint="eastAsia" w:cs="Times New Roman"/>
                      <w:bCs/>
                      <w:color w:val="auto"/>
                      <w:sz w:val="21"/>
                      <w:szCs w:val="21"/>
                      <w:highlight w:val="none"/>
                      <w:lang w:val="en-US" w:eastAsia="zh-CN"/>
                    </w:rPr>
                    <w:t>粉尘</w:t>
                  </w:r>
                </w:p>
              </w:tc>
              <w:tc>
                <w:tcPr>
                  <w:tcW w:w="0" w:type="auto"/>
                  <w:tcBorders>
                    <w:tl2br w:val="nil"/>
                    <w:tr2bl w:val="nil"/>
                  </w:tcBorders>
                  <w:noWrap w:val="0"/>
                  <w:vAlign w:val="center"/>
                </w:tcPr>
                <w:p w14:paraId="18CC09E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Cs/>
                      <w:color w:val="auto"/>
                      <w:sz w:val="21"/>
                      <w:szCs w:val="21"/>
                      <w:highlight w:val="none"/>
                    </w:rPr>
                  </w:pPr>
                  <w:r>
                    <w:rPr>
                      <w:rFonts w:hint="default" w:ascii="Times New Roman" w:hAnsi="Times New Roman" w:eastAsia="宋体" w:cs="Times New Roman"/>
                      <w:color w:val="auto"/>
                      <w:sz w:val="21"/>
                      <w:szCs w:val="21"/>
                      <w:highlight w:val="none"/>
                    </w:rPr>
                    <w:t>有组织</w:t>
                  </w:r>
                </w:p>
              </w:tc>
              <w:tc>
                <w:tcPr>
                  <w:tcW w:w="625" w:type="dxa"/>
                  <w:vMerge w:val="restart"/>
                  <w:tcBorders>
                    <w:tl2br w:val="nil"/>
                    <w:tr2bl w:val="nil"/>
                  </w:tcBorders>
                  <w:noWrap w:val="0"/>
                  <w:vAlign w:val="center"/>
                </w:tcPr>
                <w:p w14:paraId="321FDCE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颗粒物</w:t>
                  </w:r>
                </w:p>
              </w:tc>
              <w:tc>
                <w:tcPr>
                  <w:tcW w:w="798" w:type="dxa"/>
                  <w:tcBorders>
                    <w:tl2br w:val="nil"/>
                    <w:tr2bl w:val="nil"/>
                  </w:tcBorders>
                  <w:noWrap w:val="0"/>
                  <w:vAlign w:val="center"/>
                </w:tcPr>
                <w:p w14:paraId="6D4C7D64">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eastAsia" w:cs="Times New Roman"/>
                      <w:i w:val="0"/>
                      <w:iCs w:val="0"/>
                      <w:color w:val="auto"/>
                      <w:kern w:val="0"/>
                      <w:sz w:val="21"/>
                      <w:szCs w:val="21"/>
                      <w:highlight w:val="none"/>
                      <w:u w:val="none"/>
                      <w:lang w:val="en-US" w:eastAsia="zh-CN" w:bidi="ar"/>
                    </w:rPr>
                    <w:t>90.2</w:t>
                  </w:r>
                </w:p>
              </w:tc>
              <w:tc>
                <w:tcPr>
                  <w:tcW w:w="794" w:type="dxa"/>
                  <w:tcBorders>
                    <w:tl2br w:val="nil"/>
                    <w:tr2bl w:val="nil"/>
                  </w:tcBorders>
                  <w:noWrap w:val="0"/>
                  <w:vAlign w:val="center"/>
                </w:tcPr>
                <w:p w14:paraId="4B5144F7">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eastAsia" w:cs="Times New Roman"/>
                      <w:i w:val="0"/>
                      <w:iCs w:val="0"/>
                      <w:color w:val="auto"/>
                      <w:kern w:val="0"/>
                      <w:sz w:val="21"/>
                      <w:szCs w:val="21"/>
                      <w:highlight w:val="none"/>
                      <w:u w:val="none"/>
                      <w:lang w:val="en-US" w:eastAsia="zh-CN" w:bidi="ar"/>
                    </w:rPr>
                    <w:t>0.902</w:t>
                  </w:r>
                </w:p>
              </w:tc>
              <w:tc>
                <w:tcPr>
                  <w:tcW w:w="794" w:type="dxa"/>
                  <w:tcBorders>
                    <w:tl2br w:val="nil"/>
                    <w:tr2bl w:val="nil"/>
                  </w:tcBorders>
                  <w:noWrap w:val="0"/>
                  <w:vAlign w:val="center"/>
                </w:tcPr>
                <w:p w14:paraId="437978B8">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eastAsia" w:cs="Times New Roman"/>
                      <w:i w:val="0"/>
                      <w:iCs w:val="0"/>
                      <w:color w:val="auto"/>
                      <w:kern w:val="2"/>
                      <w:sz w:val="21"/>
                      <w:szCs w:val="21"/>
                      <w:highlight w:val="none"/>
                      <w:u w:val="none"/>
                      <w:lang w:val="en-US" w:eastAsia="zh-CN" w:bidi="ar-SA"/>
                    </w:rPr>
                    <w:t>4.329</w:t>
                  </w:r>
                </w:p>
              </w:tc>
              <w:tc>
                <w:tcPr>
                  <w:tcW w:w="741" w:type="dxa"/>
                  <w:tcBorders>
                    <w:tl2br w:val="nil"/>
                    <w:tr2bl w:val="nil"/>
                  </w:tcBorders>
                  <w:noWrap w:val="0"/>
                  <w:vAlign w:val="center"/>
                </w:tcPr>
                <w:p w14:paraId="2B9B39F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10000</w:t>
                  </w:r>
                </w:p>
              </w:tc>
              <w:tc>
                <w:tcPr>
                  <w:tcW w:w="427" w:type="dxa"/>
                  <w:tcBorders>
                    <w:tl2br w:val="nil"/>
                    <w:tr2bl w:val="nil"/>
                  </w:tcBorders>
                  <w:noWrap w:val="0"/>
                  <w:vAlign w:val="center"/>
                </w:tcPr>
                <w:p w14:paraId="100A7F9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65</w:t>
                  </w:r>
                </w:p>
              </w:tc>
              <w:tc>
                <w:tcPr>
                  <w:tcW w:w="689" w:type="dxa"/>
                  <w:tcBorders>
                    <w:tl2br w:val="nil"/>
                    <w:tr2bl w:val="nil"/>
                  </w:tcBorders>
                  <w:noWrap w:val="0"/>
                  <w:vAlign w:val="center"/>
                </w:tcPr>
                <w:p w14:paraId="3AF9BD6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95</w:t>
                  </w:r>
                </w:p>
              </w:tc>
              <w:tc>
                <w:tcPr>
                  <w:tcW w:w="0" w:type="auto"/>
                  <w:tcBorders>
                    <w:tl2br w:val="nil"/>
                    <w:tr2bl w:val="nil"/>
                  </w:tcBorders>
                  <w:noWrap w:val="0"/>
                  <w:vAlign w:val="center"/>
                </w:tcPr>
                <w:p w14:paraId="6719BE0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是</w:t>
                  </w:r>
                </w:p>
              </w:tc>
              <w:tc>
                <w:tcPr>
                  <w:tcW w:w="0" w:type="auto"/>
                  <w:tcBorders>
                    <w:tl2br w:val="nil"/>
                    <w:tr2bl w:val="nil"/>
                  </w:tcBorders>
                  <w:noWrap w:val="0"/>
                  <w:vAlign w:val="center"/>
                </w:tcPr>
                <w:p w14:paraId="1F8C928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半密闭集气罩+</w:t>
                  </w:r>
                  <w:r>
                    <w:rPr>
                      <w:rFonts w:hint="eastAsia" w:cs="Times New Roman"/>
                      <w:color w:val="auto"/>
                      <w:sz w:val="21"/>
                      <w:szCs w:val="21"/>
                      <w:highlight w:val="none"/>
                      <w:lang w:val="en-US" w:eastAsia="zh-CN"/>
                    </w:rPr>
                    <w:t>布袋除尘</w:t>
                  </w:r>
                </w:p>
              </w:tc>
              <w:tc>
                <w:tcPr>
                  <w:tcW w:w="798" w:type="dxa"/>
                  <w:tcBorders>
                    <w:tl2br w:val="nil"/>
                    <w:tr2bl w:val="nil"/>
                  </w:tcBorders>
                  <w:noWrap w:val="0"/>
                  <w:vAlign w:val="center"/>
                </w:tcPr>
                <w:p w14:paraId="1B9CBDD5">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eastAsia" w:cs="Times New Roman"/>
                      <w:i w:val="0"/>
                      <w:iCs w:val="0"/>
                      <w:color w:val="auto"/>
                      <w:kern w:val="0"/>
                      <w:sz w:val="21"/>
                      <w:szCs w:val="21"/>
                      <w:highlight w:val="none"/>
                      <w:u w:val="none"/>
                      <w:lang w:val="en-US" w:eastAsia="zh-CN" w:bidi="ar"/>
                    </w:rPr>
                    <w:t>4.5</w:t>
                  </w:r>
                </w:p>
              </w:tc>
              <w:tc>
                <w:tcPr>
                  <w:tcW w:w="794" w:type="dxa"/>
                  <w:tcBorders>
                    <w:tl2br w:val="nil"/>
                    <w:tr2bl w:val="nil"/>
                  </w:tcBorders>
                  <w:noWrap w:val="0"/>
                  <w:vAlign w:val="center"/>
                </w:tcPr>
                <w:p w14:paraId="5BD24F1D">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0.</w:t>
                  </w:r>
                  <w:r>
                    <w:rPr>
                      <w:rFonts w:hint="eastAsia" w:cs="Times New Roman"/>
                      <w:i w:val="0"/>
                      <w:iCs w:val="0"/>
                      <w:color w:val="auto"/>
                      <w:kern w:val="0"/>
                      <w:sz w:val="21"/>
                      <w:szCs w:val="21"/>
                      <w:highlight w:val="none"/>
                      <w:u w:val="none"/>
                      <w:lang w:val="en-US" w:eastAsia="zh-CN" w:bidi="ar"/>
                    </w:rPr>
                    <w:t>045</w:t>
                  </w:r>
                </w:p>
              </w:tc>
              <w:tc>
                <w:tcPr>
                  <w:tcW w:w="794" w:type="dxa"/>
                  <w:tcBorders>
                    <w:tl2br w:val="nil"/>
                    <w:tr2bl w:val="nil"/>
                  </w:tcBorders>
                  <w:noWrap w:val="0"/>
                  <w:vAlign w:val="center"/>
                </w:tcPr>
                <w:p w14:paraId="3C7FA6B0">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eastAsia" w:cs="Times New Roman"/>
                      <w:i w:val="0"/>
                      <w:iCs w:val="0"/>
                      <w:color w:val="auto"/>
                      <w:kern w:val="0"/>
                      <w:sz w:val="21"/>
                      <w:szCs w:val="21"/>
                      <w:highlight w:val="none"/>
                      <w:u w:val="none"/>
                      <w:lang w:val="en-US" w:eastAsia="zh-CN" w:bidi="ar"/>
                    </w:rPr>
                    <w:t>0.216</w:t>
                  </w:r>
                </w:p>
              </w:tc>
              <w:tc>
                <w:tcPr>
                  <w:tcW w:w="835" w:type="dxa"/>
                  <w:tcBorders>
                    <w:tl2br w:val="nil"/>
                    <w:tr2bl w:val="nil"/>
                  </w:tcBorders>
                  <w:noWrap w:val="0"/>
                  <w:vAlign w:val="center"/>
                </w:tcPr>
                <w:p w14:paraId="0BCC119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DA0</w:t>
                  </w:r>
                  <w:r>
                    <w:rPr>
                      <w:rFonts w:hint="default" w:ascii="Times New Roman" w:hAnsi="Times New Roman" w:cs="Times New Roman"/>
                      <w:color w:val="auto"/>
                      <w:sz w:val="21"/>
                      <w:szCs w:val="21"/>
                      <w:highlight w:val="none"/>
                      <w:lang w:val="en-US" w:eastAsia="zh-CN"/>
                    </w:rPr>
                    <w:t>0</w:t>
                  </w:r>
                  <w:r>
                    <w:rPr>
                      <w:rFonts w:hint="eastAsia" w:cs="Times New Roman"/>
                      <w:color w:val="auto"/>
                      <w:sz w:val="21"/>
                      <w:szCs w:val="21"/>
                      <w:highlight w:val="none"/>
                      <w:lang w:val="en-US" w:eastAsia="zh-CN"/>
                    </w:rPr>
                    <w:t>1</w:t>
                  </w:r>
                </w:p>
              </w:tc>
              <w:tc>
                <w:tcPr>
                  <w:tcW w:w="427" w:type="dxa"/>
                  <w:tcBorders>
                    <w:tl2br w:val="nil"/>
                    <w:tr2bl w:val="nil"/>
                  </w:tcBorders>
                  <w:noWrap w:val="0"/>
                  <w:vAlign w:val="center"/>
                </w:tcPr>
                <w:p w14:paraId="77C5923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15</w:t>
                  </w:r>
                </w:p>
              </w:tc>
              <w:tc>
                <w:tcPr>
                  <w:tcW w:w="479" w:type="dxa"/>
                  <w:tcBorders>
                    <w:tl2br w:val="nil"/>
                    <w:tr2bl w:val="nil"/>
                  </w:tcBorders>
                  <w:noWrap w:val="0"/>
                  <w:vAlign w:val="center"/>
                </w:tcPr>
                <w:p w14:paraId="7F69C81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0.5</w:t>
                  </w:r>
                </w:p>
              </w:tc>
              <w:tc>
                <w:tcPr>
                  <w:tcW w:w="444" w:type="dxa"/>
                  <w:tcBorders>
                    <w:tl2br w:val="nil"/>
                    <w:tr2bl w:val="nil"/>
                  </w:tcBorders>
                  <w:noWrap w:val="0"/>
                  <w:vAlign w:val="center"/>
                </w:tcPr>
                <w:p w14:paraId="2E30661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25</w:t>
                  </w:r>
                </w:p>
              </w:tc>
              <w:tc>
                <w:tcPr>
                  <w:tcW w:w="427" w:type="dxa"/>
                  <w:tcBorders>
                    <w:tl2br w:val="nil"/>
                    <w:tr2bl w:val="nil"/>
                  </w:tcBorders>
                  <w:noWrap w:val="0"/>
                  <w:vAlign w:val="center"/>
                </w:tcPr>
                <w:p w14:paraId="41BC72A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一般排放口</w:t>
                  </w:r>
                </w:p>
              </w:tc>
              <w:tc>
                <w:tcPr>
                  <w:tcW w:w="1552" w:type="dxa"/>
                  <w:tcBorders>
                    <w:tl2br w:val="nil"/>
                    <w:tr2bl w:val="nil"/>
                  </w:tcBorders>
                  <w:noWrap w:val="0"/>
                  <w:vAlign w:val="center"/>
                </w:tcPr>
                <w:p w14:paraId="7BCE50A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eastAsia" w:cs="Times New Roman"/>
                      <w:color w:val="auto"/>
                      <w:sz w:val="21"/>
                      <w:szCs w:val="21"/>
                      <w:highlight w:val="none"/>
                      <w:lang w:val="en-US" w:eastAsia="zh-CN"/>
                    </w:rPr>
                    <w:t>E</w:t>
                  </w:r>
                  <w:r>
                    <w:rPr>
                      <w:rFonts w:hint="default" w:ascii="Times New Roman" w:hAnsi="Times New Roman" w:eastAsia="宋体" w:cs="Times New Roman"/>
                      <w:color w:val="auto"/>
                      <w:sz w:val="21"/>
                      <w:szCs w:val="21"/>
                      <w:highlight w:val="none"/>
                    </w:rPr>
                    <w:t>117°</w:t>
                  </w:r>
                  <w:r>
                    <w:rPr>
                      <w:rFonts w:hint="eastAsia" w:cs="Times New Roman"/>
                      <w:color w:val="auto"/>
                      <w:sz w:val="21"/>
                      <w:szCs w:val="21"/>
                      <w:highlight w:val="none"/>
                      <w:lang w:val="en-US" w:eastAsia="zh-CN"/>
                    </w:rPr>
                    <w:t>9</w:t>
                  </w:r>
                  <w:r>
                    <w:rPr>
                      <w:rFonts w:hint="default" w:ascii="Times New Roman" w:hAnsi="Times New Roman" w:eastAsia="宋体" w:cs="Times New Roman"/>
                      <w:color w:val="auto"/>
                      <w:sz w:val="21"/>
                      <w:szCs w:val="21"/>
                      <w:highlight w:val="none"/>
                    </w:rPr>
                    <w:t>′</w:t>
                  </w:r>
                  <w:r>
                    <w:rPr>
                      <w:rFonts w:hint="eastAsia" w:cs="Times New Roman"/>
                      <w:color w:val="auto"/>
                      <w:sz w:val="21"/>
                      <w:szCs w:val="21"/>
                      <w:highlight w:val="none"/>
                      <w:lang w:val="en-US" w:eastAsia="zh-CN"/>
                    </w:rPr>
                    <w:t>31.373</w:t>
                  </w:r>
                  <w:r>
                    <w:rPr>
                      <w:rFonts w:hint="default" w:ascii="Times New Roman" w:hAnsi="Times New Roman" w:eastAsia="宋体" w:cs="Times New Roman"/>
                      <w:color w:val="auto"/>
                      <w:sz w:val="21"/>
                      <w:szCs w:val="21"/>
                      <w:highlight w:val="none"/>
                    </w:rPr>
                    <w:t>″</w:t>
                  </w:r>
                </w:p>
                <w:p w14:paraId="054D3A0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eastAsia" w:cs="Times New Roman"/>
                      <w:color w:val="auto"/>
                      <w:sz w:val="21"/>
                      <w:szCs w:val="21"/>
                      <w:highlight w:val="none"/>
                      <w:lang w:val="en-US" w:eastAsia="zh-CN"/>
                    </w:rPr>
                    <w:t>N</w:t>
                  </w:r>
                  <w:r>
                    <w:rPr>
                      <w:rFonts w:hint="default" w:ascii="Times New Roman" w:hAnsi="Times New Roman" w:eastAsia="宋体" w:cs="Times New Roman"/>
                      <w:color w:val="auto"/>
                      <w:sz w:val="21"/>
                      <w:szCs w:val="21"/>
                      <w:highlight w:val="none"/>
                    </w:rPr>
                    <w:t>29°0′</w:t>
                  </w:r>
                  <w:r>
                    <w:rPr>
                      <w:rFonts w:hint="eastAsia" w:cs="Times New Roman"/>
                      <w:color w:val="auto"/>
                      <w:sz w:val="21"/>
                      <w:szCs w:val="21"/>
                      <w:highlight w:val="none"/>
                      <w:lang w:val="en-US" w:eastAsia="zh-CN"/>
                    </w:rPr>
                    <w:t>30</w:t>
                  </w:r>
                  <w:r>
                    <w:rPr>
                      <w:rFonts w:hint="default" w:ascii="Times New Roman" w:hAnsi="Times New Roman" w:eastAsia="宋体" w:cs="Times New Roman"/>
                      <w:color w:val="auto"/>
                      <w:sz w:val="21"/>
                      <w:szCs w:val="21"/>
                      <w:highlight w:val="none"/>
                    </w:rPr>
                    <w:t>.</w:t>
                  </w:r>
                  <w:r>
                    <w:rPr>
                      <w:rFonts w:hint="eastAsia" w:cs="Times New Roman"/>
                      <w:color w:val="auto"/>
                      <w:sz w:val="21"/>
                      <w:szCs w:val="21"/>
                      <w:highlight w:val="none"/>
                      <w:lang w:val="en-US" w:eastAsia="zh-CN"/>
                    </w:rPr>
                    <w:t>209</w:t>
                  </w:r>
                  <w:r>
                    <w:rPr>
                      <w:rFonts w:hint="default" w:ascii="Times New Roman" w:hAnsi="Times New Roman" w:eastAsia="宋体" w:cs="Times New Roman"/>
                      <w:color w:val="auto"/>
                      <w:sz w:val="21"/>
                      <w:szCs w:val="21"/>
                      <w:highlight w:val="none"/>
                    </w:rPr>
                    <w:t>″</w:t>
                  </w:r>
                </w:p>
              </w:tc>
              <w:tc>
                <w:tcPr>
                  <w:tcW w:w="689" w:type="dxa"/>
                  <w:tcBorders>
                    <w:tl2br w:val="nil"/>
                    <w:tr2bl w:val="nil"/>
                  </w:tcBorders>
                  <w:noWrap w:val="0"/>
                  <w:vAlign w:val="center"/>
                </w:tcPr>
                <w:p w14:paraId="5D0F220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14.1</w:t>
                  </w:r>
                </w:p>
              </w:tc>
              <w:tc>
                <w:tcPr>
                  <w:tcW w:w="0" w:type="auto"/>
                  <w:tcBorders>
                    <w:tl2br w:val="nil"/>
                    <w:tr2bl w:val="nil"/>
                  </w:tcBorders>
                  <w:noWrap w:val="0"/>
                  <w:vAlign w:val="center"/>
                </w:tcPr>
                <w:p w14:paraId="30FF46D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ascii="Times New Roman" w:hAnsi="Times New Roman" w:eastAsia="宋体" w:cs="Times New Roman"/>
                      <w:bCs/>
                      <w:color w:val="auto"/>
                      <w:sz w:val="21"/>
                      <w:szCs w:val="21"/>
                      <w:highlight w:val="none"/>
                      <w:lang w:val="en-US" w:eastAsia="zh-CN"/>
                    </w:rPr>
                  </w:pPr>
                  <w:r>
                    <w:rPr>
                      <w:rFonts w:hint="eastAsia" w:cs="Times New Roman"/>
                      <w:bCs/>
                      <w:color w:val="auto"/>
                      <w:sz w:val="21"/>
                      <w:szCs w:val="21"/>
                      <w:highlight w:val="none"/>
                      <w:lang w:val="en-US" w:eastAsia="zh-CN"/>
                    </w:rPr>
                    <w:t>120</w:t>
                  </w:r>
                </w:p>
              </w:tc>
              <w:tc>
                <w:tcPr>
                  <w:tcW w:w="0" w:type="auto"/>
                  <w:tcBorders>
                    <w:tl2br w:val="nil"/>
                    <w:tr2bl w:val="nil"/>
                  </w:tcBorders>
                  <w:noWrap w:val="0"/>
                  <w:vAlign w:val="center"/>
                </w:tcPr>
                <w:p w14:paraId="02F465C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Cs/>
                      <w:color w:val="auto"/>
                      <w:sz w:val="21"/>
                      <w:szCs w:val="21"/>
                      <w:highlight w:val="none"/>
                      <w:lang w:val="en-US" w:eastAsia="zh-CN"/>
                    </w:rPr>
                  </w:pPr>
                  <w:r>
                    <w:rPr>
                      <w:rFonts w:hint="eastAsia" w:cs="Times New Roman"/>
                      <w:bCs/>
                      <w:color w:val="auto"/>
                      <w:sz w:val="21"/>
                      <w:szCs w:val="21"/>
                      <w:highlight w:val="none"/>
                      <w:lang w:val="en-US" w:eastAsia="zh-CN"/>
                    </w:rPr>
                    <w:t>1.75</w:t>
                  </w:r>
                </w:p>
              </w:tc>
            </w:tr>
            <w:tr w14:paraId="13B7DCE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0" w:type="auto"/>
                  <w:vMerge w:val="continue"/>
                  <w:tcBorders>
                    <w:tl2br w:val="nil"/>
                    <w:tr2bl w:val="nil"/>
                  </w:tcBorders>
                  <w:noWrap w:val="0"/>
                  <w:vAlign w:val="center"/>
                </w:tcPr>
                <w:p w14:paraId="08B4D82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Cs/>
                      <w:color w:val="auto"/>
                      <w:sz w:val="21"/>
                      <w:szCs w:val="21"/>
                      <w:highlight w:val="none"/>
                    </w:rPr>
                  </w:pPr>
                </w:p>
              </w:tc>
              <w:tc>
                <w:tcPr>
                  <w:tcW w:w="0" w:type="auto"/>
                  <w:tcBorders>
                    <w:tl2br w:val="nil"/>
                    <w:tr2bl w:val="nil"/>
                  </w:tcBorders>
                  <w:noWrap w:val="0"/>
                  <w:vAlign w:val="center"/>
                </w:tcPr>
                <w:p w14:paraId="619112B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Cs/>
                      <w:color w:val="auto"/>
                      <w:sz w:val="21"/>
                      <w:szCs w:val="21"/>
                      <w:highlight w:val="none"/>
                      <w:lang w:val="en-US" w:eastAsia="zh-CN"/>
                    </w:rPr>
                  </w:pPr>
                  <w:r>
                    <w:rPr>
                      <w:rFonts w:hint="default" w:ascii="Times New Roman" w:hAnsi="Times New Roman" w:cs="Times New Roman"/>
                      <w:bCs/>
                      <w:color w:val="auto"/>
                      <w:sz w:val="21"/>
                      <w:szCs w:val="21"/>
                      <w:highlight w:val="none"/>
                      <w:lang w:val="en-US" w:eastAsia="zh-CN"/>
                    </w:rPr>
                    <w:t>无组织</w:t>
                  </w:r>
                </w:p>
              </w:tc>
              <w:tc>
                <w:tcPr>
                  <w:tcW w:w="625" w:type="dxa"/>
                  <w:vMerge w:val="continue"/>
                  <w:tcBorders>
                    <w:tl2br w:val="nil"/>
                    <w:tr2bl w:val="nil"/>
                  </w:tcBorders>
                  <w:noWrap w:val="0"/>
                  <w:vAlign w:val="center"/>
                </w:tcPr>
                <w:p w14:paraId="558480B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rPr>
                  </w:pPr>
                </w:p>
              </w:tc>
              <w:tc>
                <w:tcPr>
                  <w:tcW w:w="798" w:type="dxa"/>
                  <w:tcBorders>
                    <w:tl2br w:val="nil"/>
                    <w:tr2bl w:val="nil"/>
                  </w:tcBorders>
                  <w:noWrap w:val="0"/>
                  <w:vAlign w:val="center"/>
                </w:tcPr>
                <w:p w14:paraId="324C10E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794" w:type="dxa"/>
                  <w:tcBorders>
                    <w:tl2br w:val="nil"/>
                    <w:tr2bl w:val="nil"/>
                  </w:tcBorders>
                  <w:noWrap w:val="0"/>
                  <w:vAlign w:val="center"/>
                </w:tcPr>
                <w:p w14:paraId="1AB828ED">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eastAsia" w:cs="Times New Roman"/>
                      <w:i w:val="0"/>
                      <w:iCs w:val="0"/>
                      <w:color w:val="auto"/>
                      <w:kern w:val="0"/>
                      <w:sz w:val="21"/>
                      <w:szCs w:val="21"/>
                      <w:highlight w:val="none"/>
                      <w:u w:val="none"/>
                      <w:lang w:val="en-US" w:eastAsia="zh-CN" w:bidi="ar"/>
                    </w:rPr>
                    <w:t>0.486</w:t>
                  </w:r>
                </w:p>
              </w:tc>
              <w:tc>
                <w:tcPr>
                  <w:tcW w:w="794" w:type="dxa"/>
                  <w:tcBorders>
                    <w:tl2br w:val="nil"/>
                    <w:tr2bl w:val="nil"/>
                  </w:tcBorders>
                  <w:noWrap w:val="0"/>
                  <w:vAlign w:val="center"/>
                </w:tcPr>
                <w:p w14:paraId="1E316ABC">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eastAsia" w:cs="Times New Roman"/>
                      <w:i w:val="0"/>
                      <w:iCs w:val="0"/>
                      <w:color w:val="auto"/>
                      <w:kern w:val="0"/>
                      <w:sz w:val="21"/>
                      <w:szCs w:val="21"/>
                      <w:highlight w:val="none"/>
                      <w:u w:val="none"/>
                      <w:lang w:val="en-US" w:eastAsia="zh-CN" w:bidi="ar"/>
                    </w:rPr>
                    <w:t>2.331</w:t>
                  </w:r>
                </w:p>
              </w:tc>
              <w:tc>
                <w:tcPr>
                  <w:tcW w:w="741" w:type="dxa"/>
                  <w:tcBorders>
                    <w:tl2br w:val="nil"/>
                    <w:tr2bl w:val="nil"/>
                  </w:tcBorders>
                  <w:noWrap w:val="0"/>
                  <w:vAlign w:val="center"/>
                </w:tcPr>
                <w:p w14:paraId="3B6B5DB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w:t>
                  </w:r>
                </w:p>
              </w:tc>
              <w:tc>
                <w:tcPr>
                  <w:tcW w:w="427" w:type="dxa"/>
                  <w:tcBorders>
                    <w:tl2br w:val="nil"/>
                    <w:tr2bl w:val="nil"/>
                  </w:tcBorders>
                  <w:noWrap w:val="0"/>
                  <w:vAlign w:val="center"/>
                </w:tcPr>
                <w:p w14:paraId="3BC1FD7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eastAsia" w:cs="Times New Roman"/>
                      <w:color w:val="auto"/>
                      <w:kern w:val="2"/>
                      <w:sz w:val="21"/>
                      <w:szCs w:val="21"/>
                      <w:highlight w:val="none"/>
                      <w:lang w:val="en-US" w:eastAsia="zh-CN" w:bidi="ar-SA"/>
                    </w:rPr>
                    <w:t>/</w:t>
                  </w:r>
                </w:p>
              </w:tc>
              <w:tc>
                <w:tcPr>
                  <w:tcW w:w="689" w:type="dxa"/>
                  <w:tcBorders>
                    <w:tl2br w:val="nil"/>
                    <w:tr2bl w:val="nil"/>
                  </w:tcBorders>
                  <w:noWrap w:val="0"/>
                  <w:vAlign w:val="center"/>
                </w:tcPr>
                <w:p w14:paraId="1B9FC20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eastAsia" w:cs="Times New Roman"/>
                      <w:color w:val="auto"/>
                      <w:kern w:val="2"/>
                      <w:sz w:val="21"/>
                      <w:szCs w:val="21"/>
                      <w:highlight w:val="none"/>
                      <w:lang w:val="en-US" w:eastAsia="zh-CN" w:bidi="ar-SA"/>
                    </w:rPr>
                    <w:t>/</w:t>
                  </w:r>
                </w:p>
              </w:tc>
              <w:tc>
                <w:tcPr>
                  <w:tcW w:w="0" w:type="auto"/>
                  <w:tcBorders>
                    <w:tl2br w:val="nil"/>
                    <w:tr2bl w:val="nil"/>
                  </w:tcBorders>
                  <w:noWrap w:val="0"/>
                  <w:vAlign w:val="center"/>
                </w:tcPr>
                <w:p w14:paraId="0F867F3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w:t>
                  </w:r>
                </w:p>
              </w:tc>
              <w:tc>
                <w:tcPr>
                  <w:tcW w:w="0" w:type="auto"/>
                  <w:tcBorders>
                    <w:tl2br w:val="nil"/>
                    <w:tr2bl w:val="nil"/>
                  </w:tcBorders>
                  <w:noWrap w:val="0"/>
                  <w:vAlign w:val="center"/>
                </w:tcPr>
                <w:p w14:paraId="7D63430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eastAsia" w:cs="Times New Roman"/>
                      <w:color w:val="auto"/>
                      <w:kern w:val="2"/>
                      <w:sz w:val="21"/>
                      <w:szCs w:val="21"/>
                      <w:highlight w:val="none"/>
                      <w:lang w:val="en-US" w:eastAsia="zh-CN" w:bidi="ar-SA"/>
                    </w:rPr>
                    <w:t>/</w:t>
                  </w:r>
                </w:p>
              </w:tc>
              <w:tc>
                <w:tcPr>
                  <w:tcW w:w="0" w:type="auto"/>
                  <w:tcBorders>
                    <w:tl2br w:val="nil"/>
                    <w:tr2bl w:val="nil"/>
                  </w:tcBorders>
                  <w:noWrap w:val="0"/>
                  <w:vAlign w:val="center"/>
                </w:tcPr>
                <w:p w14:paraId="6A9DE82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794" w:type="dxa"/>
                  <w:tcBorders>
                    <w:tl2br w:val="nil"/>
                    <w:tr2bl w:val="nil"/>
                  </w:tcBorders>
                  <w:noWrap w:val="0"/>
                  <w:vAlign w:val="center"/>
                </w:tcPr>
                <w:p w14:paraId="1C2207D0">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eastAsia" w:cs="Times New Roman"/>
                      <w:i w:val="0"/>
                      <w:iCs w:val="0"/>
                      <w:color w:val="auto"/>
                      <w:kern w:val="0"/>
                      <w:sz w:val="21"/>
                      <w:szCs w:val="21"/>
                      <w:highlight w:val="none"/>
                      <w:u w:val="none"/>
                      <w:lang w:val="en-US" w:eastAsia="zh-CN" w:bidi="ar"/>
                    </w:rPr>
                    <w:t>0.486</w:t>
                  </w:r>
                </w:p>
              </w:tc>
              <w:tc>
                <w:tcPr>
                  <w:tcW w:w="794" w:type="dxa"/>
                  <w:tcBorders>
                    <w:tl2br w:val="nil"/>
                    <w:tr2bl w:val="nil"/>
                  </w:tcBorders>
                  <w:noWrap w:val="0"/>
                  <w:vAlign w:val="center"/>
                </w:tcPr>
                <w:p w14:paraId="02383EEB">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eastAsia" w:cs="Times New Roman"/>
                      <w:i w:val="0"/>
                      <w:iCs w:val="0"/>
                      <w:color w:val="auto"/>
                      <w:kern w:val="0"/>
                      <w:sz w:val="21"/>
                      <w:szCs w:val="21"/>
                      <w:highlight w:val="none"/>
                      <w:u w:val="none"/>
                      <w:lang w:val="en-US" w:eastAsia="zh-CN" w:bidi="ar"/>
                    </w:rPr>
                    <w:t>2.331</w:t>
                  </w:r>
                </w:p>
              </w:tc>
              <w:tc>
                <w:tcPr>
                  <w:tcW w:w="835" w:type="dxa"/>
                  <w:tcBorders>
                    <w:tl2br w:val="nil"/>
                    <w:tr2bl w:val="nil"/>
                  </w:tcBorders>
                  <w:noWrap w:val="0"/>
                  <w:vAlign w:val="center"/>
                </w:tcPr>
                <w:p w14:paraId="602D617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w:t>
                  </w:r>
                </w:p>
              </w:tc>
              <w:tc>
                <w:tcPr>
                  <w:tcW w:w="427" w:type="dxa"/>
                  <w:tcBorders>
                    <w:tl2br w:val="nil"/>
                    <w:tr2bl w:val="nil"/>
                  </w:tcBorders>
                  <w:noWrap w:val="0"/>
                  <w:vAlign w:val="center"/>
                </w:tcPr>
                <w:p w14:paraId="65C3B96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lang w:bidi="ar"/>
                    </w:rPr>
                  </w:pPr>
                  <w:r>
                    <w:rPr>
                      <w:rFonts w:hint="eastAsia" w:cs="Times New Roman"/>
                      <w:color w:val="auto"/>
                      <w:kern w:val="2"/>
                      <w:sz w:val="21"/>
                      <w:szCs w:val="21"/>
                      <w:highlight w:val="none"/>
                      <w:lang w:val="en-US" w:eastAsia="zh-CN" w:bidi="ar-SA"/>
                    </w:rPr>
                    <w:t>/</w:t>
                  </w:r>
                </w:p>
              </w:tc>
              <w:tc>
                <w:tcPr>
                  <w:tcW w:w="479" w:type="dxa"/>
                  <w:tcBorders>
                    <w:tl2br w:val="nil"/>
                    <w:tr2bl w:val="nil"/>
                  </w:tcBorders>
                  <w:noWrap w:val="0"/>
                  <w:vAlign w:val="center"/>
                </w:tcPr>
                <w:p w14:paraId="41E7DDE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eastAsia" w:cs="Times New Roman"/>
                      <w:color w:val="auto"/>
                      <w:kern w:val="2"/>
                      <w:sz w:val="21"/>
                      <w:szCs w:val="21"/>
                      <w:highlight w:val="none"/>
                      <w:lang w:val="en-US" w:eastAsia="zh-CN" w:bidi="ar-SA"/>
                    </w:rPr>
                    <w:t>/</w:t>
                  </w:r>
                </w:p>
              </w:tc>
              <w:tc>
                <w:tcPr>
                  <w:tcW w:w="444" w:type="dxa"/>
                  <w:tcBorders>
                    <w:tl2br w:val="nil"/>
                    <w:tr2bl w:val="nil"/>
                  </w:tcBorders>
                  <w:noWrap w:val="0"/>
                  <w:vAlign w:val="center"/>
                </w:tcPr>
                <w:p w14:paraId="2A404FB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lang w:bidi="ar"/>
                    </w:rPr>
                  </w:pPr>
                  <w:r>
                    <w:rPr>
                      <w:rFonts w:hint="default" w:ascii="Times New Roman" w:hAnsi="Times New Roman" w:eastAsia="宋体" w:cs="Times New Roman"/>
                      <w:color w:val="auto"/>
                      <w:sz w:val="21"/>
                      <w:szCs w:val="21"/>
                      <w:highlight w:val="none"/>
                    </w:rPr>
                    <w:t>/</w:t>
                  </w:r>
                </w:p>
              </w:tc>
              <w:tc>
                <w:tcPr>
                  <w:tcW w:w="427" w:type="dxa"/>
                  <w:tcBorders>
                    <w:tl2br w:val="nil"/>
                    <w:tr2bl w:val="nil"/>
                  </w:tcBorders>
                  <w:noWrap w:val="0"/>
                  <w:vAlign w:val="center"/>
                </w:tcPr>
                <w:p w14:paraId="3CC8F71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lang w:bidi="ar"/>
                    </w:rPr>
                  </w:pPr>
                  <w:r>
                    <w:rPr>
                      <w:rFonts w:hint="eastAsia" w:cs="Times New Roman"/>
                      <w:color w:val="auto"/>
                      <w:kern w:val="2"/>
                      <w:sz w:val="21"/>
                      <w:szCs w:val="21"/>
                      <w:highlight w:val="none"/>
                      <w:lang w:val="en-US" w:eastAsia="zh-CN" w:bidi="ar-SA"/>
                    </w:rPr>
                    <w:t>/</w:t>
                  </w:r>
                </w:p>
              </w:tc>
              <w:tc>
                <w:tcPr>
                  <w:tcW w:w="1552" w:type="dxa"/>
                  <w:tcBorders>
                    <w:tl2br w:val="nil"/>
                    <w:tr2bl w:val="nil"/>
                  </w:tcBorders>
                  <w:noWrap w:val="0"/>
                  <w:vAlign w:val="center"/>
                </w:tcPr>
                <w:p w14:paraId="1C3C887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Cs/>
                      <w:color w:val="auto"/>
                      <w:sz w:val="21"/>
                      <w:szCs w:val="21"/>
                      <w:highlight w:val="none"/>
                    </w:rPr>
                  </w:pPr>
                  <w:r>
                    <w:rPr>
                      <w:rFonts w:hint="eastAsia" w:cs="Times New Roman"/>
                      <w:color w:val="auto"/>
                      <w:kern w:val="2"/>
                      <w:sz w:val="21"/>
                      <w:szCs w:val="21"/>
                      <w:highlight w:val="none"/>
                      <w:lang w:val="en-US" w:eastAsia="zh-CN" w:bidi="ar-SA"/>
                    </w:rPr>
                    <w:t>/</w:t>
                  </w:r>
                </w:p>
              </w:tc>
              <w:tc>
                <w:tcPr>
                  <w:tcW w:w="689" w:type="dxa"/>
                  <w:tcBorders>
                    <w:tl2br w:val="nil"/>
                    <w:tr2bl w:val="nil"/>
                  </w:tcBorders>
                  <w:noWrap w:val="0"/>
                  <w:vAlign w:val="center"/>
                </w:tcPr>
                <w:p w14:paraId="4635BB3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0" w:type="auto"/>
                  <w:tcBorders>
                    <w:tl2br w:val="nil"/>
                    <w:tr2bl w:val="nil"/>
                  </w:tcBorders>
                  <w:noWrap w:val="0"/>
                  <w:vAlign w:val="center"/>
                </w:tcPr>
                <w:p w14:paraId="56C953C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ascii="Times New Roman" w:hAnsi="Times New Roman" w:eastAsia="宋体" w:cs="Times New Roman"/>
                      <w:bCs/>
                      <w:color w:val="auto"/>
                      <w:sz w:val="21"/>
                      <w:szCs w:val="21"/>
                      <w:highlight w:val="none"/>
                      <w:lang w:val="en-US" w:eastAsia="zh-CN"/>
                    </w:rPr>
                  </w:pPr>
                  <w:r>
                    <w:rPr>
                      <w:rFonts w:hint="eastAsia" w:cs="Times New Roman"/>
                      <w:bCs/>
                      <w:color w:val="auto"/>
                      <w:sz w:val="21"/>
                      <w:szCs w:val="21"/>
                      <w:highlight w:val="none"/>
                      <w:lang w:val="en-US" w:eastAsia="zh-CN"/>
                    </w:rPr>
                    <w:t>1.0</w:t>
                  </w:r>
                </w:p>
              </w:tc>
              <w:tc>
                <w:tcPr>
                  <w:tcW w:w="0" w:type="auto"/>
                  <w:tcBorders>
                    <w:tl2br w:val="nil"/>
                    <w:tr2bl w:val="nil"/>
                  </w:tcBorders>
                  <w:noWrap w:val="0"/>
                  <w:vAlign w:val="center"/>
                </w:tcPr>
                <w:p w14:paraId="3C847A2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ascii="Times New Roman" w:hAnsi="Times New Roman" w:eastAsia="宋体" w:cs="Times New Roman"/>
                      <w:color w:val="auto"/>
                      <w:sz w:val="21"/>
                      <w:szCs w:val="21"/>
                      <w:highlight w:val="none"/>
                    </w:rPr>
                  </w:pPr>
                  <w:r>
                    <w:rPr>
                      <w:rFonts w:hint="eastAsia" w:cs="Times New Roman"/>
                      <w:bCs/>
                      <w:color w:val="auto"/>
                      <w:sz w:val="21"/>
                      <w:szCs w:val="21"/>
                      <w:highlight w:val="none"/>
                      <w:lang w:val="en-US" w:eastAsia="zh-CN"/>
                    </w:rPr>
                    <w:t>/</w:t>
                  </w:r>
                </w:p>
              </w:tc>
            </w:tr>
            <w:tr w14:paraId="6C87B48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636" w:type="dxa"/>
                  <w:vMerge w:val="restart"/>
                  <w:tcBorders>
                    <w:tl2br w:val="nil"/>
                    <w:tr2bl w:val="nil"/>
                  </w:tcBorders>
                  <w:noWrap w:val="0"/>
                  <w:vAlign w:val="center"/>
                </w:tcPr>
                <w:p w14:paraId="5D22CD7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Cs/>
                      <w:color w:val="auto"/>
                      <w:sz w:val="21"/>
                      <w:szCs w:val="21"/>
                      <w:highlight w:val="none"/>
                    </w:rPr>
                  </w:pPr>
                  <w:r>
                    <w:rPr>
                      <w:rFonts w:hint="eastAsia" w:cs="Times New Roman"/>
                      <w:color w:val="auto"/>
                      <w:kern w:val="21"/>
                      <w:sz w:val="21"/>
                      <w:szCs w:val="21"/>
                      <w:lang w:val="en-US" w:eastAsia="zh-CN" w:bidi="ar-SA"/>
                    </w:rPr>
                    <w:t>PVC</w:t>
                  </w:r>
                  <w:r>
                    <w:rPr>
                      <w:rFonts w:hint="eastAsia" w:ascii="Times New Roman" w:hAnsi="Times New Roman" w:cs="Times New Roman"/>
                      <w:color w:val="auto"/>
                      <w:kern w:val="21"/>
                      <w:sz w:val="21"/>
                      <w:szCs w:val="21"/>
                      <w:lang w:val="en-US" w:eastAsia="zh-CN" w:bidi="ar-SA"/>
                    </w:rPr>
                    <w:t>注塑</w:t>
                  </w:r>
                  <w:r>
                    <w:rPr>
                      <w:rFonts w:hint="eastAsia" w:ascii="Times New Roman" w:hAnsi="Times New Roman" w:eastAsia="宋体" w:cs="Times New Roman"/>
                      <w:color w:val="auto"/>
                      <w:kern w:val="21"/>
                      <w:sz w:val="21"/>
                      <w:szCs w:val="21"/>
                      <w:lang w:val="en-US" w:eastAsia="zh-CN" w:bidi="ar-SA"/>
                    </w:rPr>
                    <w:t>投拌料粉尘</w:t>
                  </w:r>
                </w:p>
              </w:tc>
              <w:tc>
                <w:tcPr>
                  <w:tcW w:w="427" w:type="dxa"/>
                  <w:tcBorders>
                    <w:tl2br w:val="nil"/>
                    <w:tr2bl w:val="nil"/>
                  </w:tcBorders>
                  <w:noWrap w:val="0"/>
                  <w:vAlign w:val="center"/>
                </w:tcPr>
                <w:p w14:paraId="1F9AB15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cs="Times New Roman"/>
                      <w:bCs/>
                      <w:color w:val="auto"/>
                      <w:sz w:val="21"/>
                      <w:szCs w:val="21"/>
                      <w:highlight w:val="none"/>
                      <w:lang w:val="en-US" w:eastAsia="zh-CN"/>
                    </w:rPr>
                  </w:pPr>
                  <w:r>
                    <w:rPr>
                      <w:rFonts w:hint="default" w:ascii="Times New Roman" w:hAnsi="Times New Roman" w:eastAsia="宋体" w:cs="Times New Roman"/>
                      <w:color w:val="auto"/>
                      <w:sz w:val="21"/>
                      <w:szCs w:val="21"/>
                      <w:highlight w:val="none"/>
                    </w:rPr>
                    <w:t>有组织</w:t>
                  </w:r>
                </w:p>
              </w:tc>
              <w:tc>
                <w:tcPr>
                  <w:tcW w:w="625" w:type="dxa"/>
                  <w:vMerge w:val="continue"/>
                  <w:tcBorders>
                    <w:tl2br w:val="nil"/>
                    <w:tr2bl w:val="nil"/>
                  </w:tcBorders>
                  <w:noWrap w:val="0"/>
                  <w:vAlign w:val="center"/>
                </w:tcPr>
                <w:p w14:paraId="123D1E6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rPr>
                  </w:pPr>
                </w:p>
              </w:tc>
              <w:tc>
                <w:tcPr>
                  <w:tcW w:w="798" w:type="dxa"/>
                  <w:tcBorders>
                    <w:tl2br w:val="nil"/>
                    <w:tr2bl w:val="nil"/>
                  </w:tcBorders>
                  <w:noWrap w:val="0"/>
                  <w:vAlign w:val="center"/>
                </w:tcPr>
                <w:p w14:paraId="123B7F3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40.3</w:t>
                  </w:r>
                </w:p>
              </w:tc>
              <w:tc>
                <w:tcPr>
                  <w:tcW w:w="794" w:type="dxa"/>
                  <w:tcBorders>
                    <w:tl2br w:val="nil"/>
                    <w:tr2bl w:val="nil"/>
                  </w:tcBorders>
                  <w:noWrap w:val="0"/>
                  <w:vAlign w:val="center"/>
                </w:tcPr>
                <w:p w14:paraId="32300338">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0.403</w:t>
                  </w:r>
                </w:p>
              </w:tc>
              <w:tc>
                <w:tcPr>
                  <w:tcW w:w="794" w:type="dxa"/>
                  <w:tcBorders>
                    <w:tl2br w:val="nil"/>
                    <w:tr2bl w:val="nil"/>
                  </w:tcBorders>
                  <w:noWrap w:val="0"/>
                  <w:vAlign w:val="center"/>
                </w:tcPr>
                <w:p w14:paraId="1C31B99C">
                  <w:pPr>
                    <w:keepNext w:val="0"/>
                    <w:keepLines w:val="0"/>
                    <w:widowControl/>
                    <w:suppressLineNumbers w:val="0"/>
                    <w:spacing w:before="0" w:beforeAutospacing="0" w:after="0" w:afterAutospacing="0"/>
                    <w:ind w:left="0" w:right="0"/>
                    <w:jc w:val="center"/>
                    <w:textAlignment w:val="center"/>
                    <w:rPr>
                      <w:rFonts w:hint="default"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1.934</w:t>
                  </w:r>
                </w:p>
              </w:tc>
              <w:tc>
                <w:tcPr>
                  <w:tcW w:w="741" w:type="dxa"/>
                  <w:tcBorders>
                    <w:tl2br w:val="nil"/>
                    <w:tr2bl w:val="nil"/>
                  </w:tcBorders>
                  <w:noWrap w:val="0"/>
                  <w:vAlign w:val="center"/>
                </w:tcPr>
                <w:p w14:paraId="2A607E4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10000</w:t>
                  </w:r>
                </w:p>
              </w:tc>
              <w:tc>
                <w:tcPr>
                  <w:tcW w:w="427" w:type="dxa"/>
                  <w:tcBorders>
                    <w:tl2br w:val="nil"/>
                    <w:tr2bl w:val="nil"/>
                  </w:tcBorders>
                  <w:noWrap w:val="0"/>
                  <w:vAlign w:val="center"/>
                </w:tcPr>
                <w:p w14:paraId="79B0245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65</w:t>
                  </w:r>
                </w:p>
              </w:tc>
              <w:tc>
                <w:tcPr>
                  <w:tcW w:w="689" w:type="dxa"/>
                  <w:tcBorders>
                    <w:tl2br w:val="nil"/>
                    <w:tr2bl w:val="nil"/>
                  </w:tcBorders>
                  <w:noWrap w:val="0"/>
                  <w:vAlign w:val="center"/>
                </w:tcPr>
                <w:p w14:paraId="42175AE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95</w:t>
                  </w:r>
                </w:p>
              </w:tc>
              <w:tc>
                <w:tcPr>
                  <w:tcW w:w="0" w:type="auto"/>
                  <w:tcBorders>
                    <w:tl2br w:val="nil"/>
                    <w:tr2bl w:val="nil"/>
                  </w:tcBorders>
                  <w:noWrap w:val="0"/>
                  <w:vAlign w:val="center"/>
                </w:tcPr>
                <w:p w14:paraId="734EE35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是</w:t>
                  </w:r>
                </w:p>
              </w:tc>
              <w:tc>
                <w:tcPr>
                  <w:tcW w:w="0" w:type="auto"/>
                  <w:tcBorders>
                    <w:tl2br w:val="nil"/>
                    <w:tr2bl w:val="nil"/>
                  </w:tcBorders>
                  <w:noWrap w:val="0"/>
                  <w:vAlign w:val="center"/>
                </w:tcPr>
                <w:p w14:paraId="6294054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半密闭集气罩+</w:t>
                  </w:r>
                  <w:r>
                    <w:rPr>
                      <w:rFonts w:hint="eastAsia" w:cs="Times New Roman"/>
                      <w:color w:val="auto"/>
                      <w:sz w:val="21"/>
                      <w:szCs w:val="21"/>
                      <w:highlight w:val="none"/>
                      <w:lang w:val="en-US" w:eastAsia="zh-CN"/>
                    </w:rPr>
                    <w:t>布袋除尘</w:t>
                  </w:r>
                </w:p>
              </w:tc>
              <w:tc>
                <w:tcPr>
                  <w:tcW w:w="0" w:type="auto"/>
                  <w:tcBorders>
                    <w:tl2br w:val="nil"/>
                    <w:tr2bl w:val="nil"/>
                  </w:tcBorders>
                  <w:noWrap w:val="0"/>
                  <w:vAlign w:val="center"/>
                </w:tcPr>
                <w:p w14:paraId="1D293E3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2</w:t>
                  </w:r>
                </w:p>
              </w:tc>
              <w:tc>
                <w:tcPr>
                  <w:tcW w:w="794" w:type="dxa"/>
                  <w:tcBorders>
                    <w:tl2br w:val="nil"/>
                    <w:tr2bl w:val="nil"/>
                  </w:tcBorders>
                  <w:noWrap w:val="0"/>
                  <w:vAlign w:val="center"/>
                </w:tcPr>
                <w:p w14:paraId="6EA92652">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0.0</w:t>
                  </w:r>
                  <w:r>
                    <w:rPr>
                      <w:rFonts w:hint="eastAsia" w:cs="Times New Roman"/>
                      <w:i w:val="0"/>
                      <w:iCs w:val="0"/>
                      <w:color w:val="auto"/>
                      <w:kern w:val="0"/>
                      <w:sz w:val="21"/>
                      <w:szCs w:val="21"/>
                      <w:highlight w:val="none"/>
                      <w:u w:val="none"/>
                      <w:lang w:val="en-US" w:eastAsia="zh-CN" w:bidi="ar"/>
                    </w:rPr>
                    <w:t>2</w:t>
                  </w:r>
                </w:p>
              </w:tc>
              <w:tc>
                <w:tcPr>
                  <w:tcW w:w="794" w:type="dxa"/>
                  <w:tcBorders>
                    <w:tl2br w:val="nil"/>
                    <w:tr2bl w:val="nil"/>
                  </w:tcBorders>
                  <w:noWrap w:val="0"/>
                  <w:vAlign w:val="center"/>
                </w:tcPr>
                <w:p w14:paraId="24E0E364">
                  <w:pPr>
                    <w:keepNext w:val="0"/>
                    <w:keepLines w:val="0"/>
                    <w:widowControl/>
                    <w:suppressLineNumbers w:val="0"/>
                    <w:spacing w:before="0" w:beforeAutospacing="0" w:after="0" w:afterAutospacing="0"/>
                    <w:ind w:left="0" w:right="0"/>
                    <w:jc w:val="center"/>
                    <w:textAlignment w:val="center"/>
                    <w:rPr>
                      <w:rFonts w:hint="default"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0.097</w:t>
                  </w:r>
                </w:p>
              </w:tc>
              <w:tc>
                <w:tcPr>
                  <w:tcW w:w="835" w:type="dxa"/>
                  <w:tcBorders>
                    <w:tl2br w:val="nil"/>
                    <w:tr2bl w:val="nil"/>
                  </w:tcBorders>
                  <w:shd w:val="clear" w:color="auto" w:fill="auto"/>
                  <w:noWrap w:val="0"/>
                  <w:vAlign w:val="center"/>
                </w:tcPr>
                <w:p w14:paraId="303F54C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DA0</w:t>
                  </w:r>
                  <w:r>
                    <w:rPr>
                      <w:rFonts w:hint="default" w:ascii="Times New Roman" w:hAnsi="Times New Roman" w:cs="Times New Roman"/>
                      <w:color w:val="auto"/>
                      <w:sz w:val="21"/>
                      <w:szCs w:val="21"/>
                      <w:highlight w:val="none"/>
                      <w:lang w:val="en-US" w:eastAsia="zh-CN"/>
                    </w:rPr>
                    <w:t>0</w:t>
                  </w:r>
                  <w:r>
                    <w:rPr>
                      <w:rFonts w:hint="eastAsia" w:cs="Times New Roman"/>
                      <w:color w:val="auto"/>
                      <w:sz w:val="21"/>
                      <w:szCs w:val="21"/>
                      <w:highlight w:val="none"/>
                      <w:lang w:val="en-US" w:eastAsia="zh-CN"/>
                    </w:rPr>
                    <w:t>1</w:t>
                  </w:r>
                </w:p>
              </w:tc>
              <w:tc>
                <w:tcPr>
                  <w:tcW w:w="427" w:type="dxa"/>
                  <w:tcBorders>
                    <w:tl2br w:val="nil"/>
                    <w:tr2bl w:val="nil"/>
                  </w:tcBorders>
                  <w:shd w:val="clear" w:color="auto" w:fill="auto"/>
                  <w:noWrap w:val="0"/>
                  <w:vAlign w:val="center"/>
                </w:tcPr>
                <w:p w14:paraId="1C3C6AE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15</w:t>
                  </w:r>
                </w:p>
              </w:tc>
              <w:tc>
                <w:tcPr>
                  <w:tcW w:w="479" w:type="dxa"/>
                  <w:tcBorders>
                    <w:tl2br w:val="nil"/>
                    <w:tr2bl w:val="nil"/>
                  </w:tcBorders>
                  <w:shd w:val="clear" w:color="auto" w:fill="auto"/>
                  <w:noWrap w:val="0"/>
                  <w:vAlign w:val="center"/>
                </w:tcPr>
                <w:p w14:paraId="1FA0DD1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0.5</w:t>
                  </w:r>
                </w:p>
              </w:tc>
              <w:tc>
                <w:tcPr>
                  <w:tcW w:w="444" w:type="dxa"/>
                  <w:tcBorders>
                    <w:tl2br w:val="nil"/>
                    <w:tr2bl w:val="nil"/>
                  </w:tcBorders>
                  <w:shd w:val="clear" w:color="auto" w:fill="auto"/>
                  <w:noWrap w:val="0"/>
                  <w:vAlign w:val="center"/>
                </w:tcPr>
                <w:p w14:paraId="666AFCB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25</w:t>
                  </w:r>
                </w:p>
              </w:tc>
              <w:tc>
                <w:tcPr>
                  <w:tcW w:w="427" w:type="dxa"/>
                  <w:tcBorders>
                    <w:tl2br w:val="nil"/>
                    <w:tr2bl w:val="nil"/>
                  </w:tcBorders>
                  <w:shd w:val="clear" w:color="auto" w:fill="auto"/>
                  <w:noWrap w:val="0"/>
                  <w:vAlign w:val="center"/>
                </w:tcPr>
                <w:p w14:paraId="7AF0CBF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一般排放口</w:t>
                  </w:r>
                </w:p>
              </w:tc>
              <w:tc>
                <w:tcPr>
                  <w:tcW w:w="1552" w:type="dxa"/>
                  <w:tcBorders>
                    <w:tl2br w:val="nil"/>
                    <w:tr2bl w:val="nil"/>
                  </w:tcBorders>
                  <w:noWrap w:val="0"/>
                  <w:vAlign w:val="center"/>
                </w:tcPr>
                <w:p w14:paraId="13E4154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eastAsia" w:cs="Times New Roman"/>
                      <w:color w:val="auto"/>
                      <w:sz w:val="21"/>
                      <w:szCs w:val="21"/>
                      <w:highlight w:val="none"/>
                      <w:lang w:val="en-US" w:eastAsia="zh-CN"/>
                    </w:rPr>
                    <w:t>E</w:t>
                  </w:r>
                  <w:r>
                    <w:rPr>
                      <w:rFonts w:hint="default" w:ascii="Times New Roman" w:hAnsi="Times New Roman" w:eastAsia="宋体" w:cs="Times New Roman"/>
                      <w:color w:val="auto"/>
                      <w:sz w:val="21"/>
                      <w:szCs w:val="21"/>
                      <w:highlight w:val="none"/>
                    </w:rPr>
                    <w:t>117°</w:t>
                  </w:r>
                  <w:r>
                    <w:rPr>
                      <w:rFonts w:hint="eastAsia" w:cs="Times New Roman"/>
                      <w:color w:val="auto"/>
                      <w:sz w:val="21"/>
                      <w:szCs w:val="21"/>
                      <w:highlight w:val="none"/>
                      <w:lang w:val="en-US" w:eastAsia="zh-CN"/>
                    </w:rPr>
                    <w:t>9</w:t>
                  </w:r>
                  <w:r>
                    <w:rPr>
                      <w:rFonts w:hint="default" w:ascii="Times New Roman" w:hAnsi="Times New Roman" w:eastAsia="宋体" w:cs="Times New Roman"/>
                      <w:color w:val="auto"/>
                      <w:sz w:val="21"/>
                      <w:szCs w:val="21"/>
                      <w:highlight w:val="none"/>
                    </w:rPr>
                    <w:t>′</w:t>
                  </w:r>
                  <w:r>
                    <w:rPr>
                      <w:rFonts w:hint="eastAsia" w:cs="Times New Roman"/>
                      <w:color w:val="auto"/>
                      <w:sz w:val="21"/>
                      <w:szCs w:val="21"/>
                      <w:highlight w:val="none"/>
                      <w:lang w:val="en-US" w:eastAsia="zh-CN"/>
                    </w:rPr>
                    <w:t>31.373</w:t>
                  </w:r>
                  <w:r>
                    <w:rPr>
                      <w:rFonts w:hint="default" w:ascii="Times New Roman" w:hAnsi="Times New Roman" w:eastAsia="宋体" w:cs="Times New Roman"/>
                      <w:color w:val="auto"/>
                      <w:sz w:val="21"/>
                      <w:szCs w:val="21"/>
                      <w:highlight w:val="none"/>
                    </w:rPr>
                    <w:t>″</w:t>
                  </w:r>
                </w:p>
                <w:p w14:paraId="2D90E82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Cs/>
                      <w:color w:val="auto"/>
                      <w:sz w:val="21"/>
                      <w:szCs w:val="21"/>
                      <w:highlight w:val="none"/>
                    </w:rPr>
                  </w:pPr>
                  <w:r>
                    <w:rPr>
                      <w:rFonts w:hint="eastAsia" w:cs="Times New Roman"/>
                      <w:color w:val="auto"/>
                      <w:sz w:val="21"/>
                      <w:szCs w:val="21"/>
                      <w:highlight w:val="none"/>
                      <w:lang w:val="en-US" w:eastAsia="zh-CN"/>
                    </w:rPr>
                    <w:t>N</w:t>
                  </w:r>
                  <w:r>
                    <w:rPr>
                      <w:rFonts w:hint="default" w:ascii="Times New Roman" w:hAnsi="Times New Roman" w:eastAsia="宋体" w:cs="Times New Roman"/>
                      <w:color w:val="auto"/>
                      <w:sz w:val="21"/>
                      <w:szCs w:val="21"/>
                      <w:highlight w:val="none"/>
                    </w:rPr>
                    <w:t>29°0′</w:t>
                  </w:r>
                  <w:r>
                    <w:rPr>
                      <w:rFonts w:hint="eastAsia" w:cs="Times New Roman"/>
                      <w:color w:val="auto"/>
                      <w:sz w:val="21"/>
                      <w:szCs w:val="21"/>
                      <w:highlight w:val="none"/>
                      <w:lang w:val="en-US" w:eastAsia="zh-CN"/>
                    </w:rPr>
                    <w:t>30</w:t>
                  </w:r>
                  <w:r>
                    <w:rPr>
                      <w:rFonts w:hint="default" w:ascii="Times New Roman" w:hAnsi="Times New Roman" w:eastAsia="宋体" w:cs="Times New Roman"/>
                      <w:color w:val="auto"/>
                      <w:sz w:val="21"/>
                      <w:szCs w:val="21"/>
                      <w:highlight w:val="none"/>
                    </w:rPr>
                    <w:t>.</w:t>
                  </w:r>
                  <w:r>
                    <w:rPr>
                      <w:rFonts w:hint="eastAsia" w:cs="Times New Roman"/>
                      <w:color w:val="auto"/>
                      <w:sz w:val="21"/>
                      <w:szCs w:val="21"/>
                      <w:highlight w:val="none"/>
                      <w:lang w:val="en-US" w:eastAsia="zh-CN"/>
                    </w:rPr>
                    <w:t>209</w:t>
                  </w:r>
                  <w:r>
                    <w:rPr>
                      <w:rFonts w:hint="default" w:ascii="Times New Roman" w:hAnsi="Times New Roman" w:eastAsia="宋体" w:cs="Times New Roman"/>
                      <w:color w:val="auto"/>
                      <w:sz w:val="21"/>
                      <w:szCs w:val="21"/>
                      <w:highlight w:val="none"/>
                    </w:rPr>
                    <w:t>″</w:t>
                  </w:r>
                </w:p>
              </w:tc>
              <w:tc>
                <w:tcPr>
                  <w:tcW w:w="689" w:type="dxa"/>
                  <w:tcBorders>
                    <w:tl2br w:val="nil"/>
                    <w:tr2bl w:val="nil"/>
                  </w:tcBorders>
                  <w:noWrap w:val="0"/>
                  <w:vAlign w:val="center"/>
                </w:tcPr>
                <w:p w14:paraId="4AA598B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14.1</w:t>
                  </w:r>
                </w:p>
              </w:tc>
              <w:tc>
                <w:tcPr>
                  <w:tcW w:w="951" w:type="dxa"/>
                  <w:tcBorders>
                    <w:tl2br w:val="nil"/>
                    <w:tr2bl w:val="nil"/>
                  </w:tcBorders>
                  <w:noWrap w:val="0"/>
                  <w:vAlign w:val="center"/>
                </w:tcPr>
                <w:p w14:paraId="216D170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cs="Times New Roman"/>
                      <w:bCs/>
                      <w:color w:val="auto"/>
                      <w:sz w:val="21"/>
                      <w:szCs w:val="21"/>
                      <w:highlight w:val="none"/>
                      <w:lang w:val="en-US" w:eastAsia="zh-CN"/>
                    </w:rPr>
                  </w:pPr>
                  <w:r>
                    <w:rPr>
                      <w:rFonts w:hint="eastAsia" w:cs="Times New Roman"/>
                      <w:bCs/>
                      <w:color w:val="auto"/>
                      <w:sz w:val="21"/>
                      <w:szCs w:val="21"/>
                      <w:highlight w:val="none"/>
                      <w:lang w:val="en-US" w:eastAsia="zh-CN"/>
                    </w:rPr>
                    <w:t>120</w:t>
                  </w:r>
                </w:p>
              </w:tc>
              <w:tc>
                <w:tcPr>
                  <w:tcW w:w="613" w:type="dxa"/>
                  <w:tcBorders>
                    <w:tl2br w:val="nil"/>
                    <w:tr2bl w:val="nil"/>
                  </w:tcBorders>
                  <w:noWrap w:val="0"/>
                  <w:vAlign w:val="center"/>
                </w:tcPr>
                <w:p w14:paraId="681D34A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cs="Times New Roman"/>
                      <w:bCs/>
                      <w:color w:val="auto"/>
                      <w:sz w:val="21"/>
                      <w:szCs w:val="21"/>
                      <w:highlight w:val="none"/>
                      <w:lang w:val="en-US" w:eastAsia="zh-CN"/>
                    </w:rPr>
                  </w:pPr>
                  <w:r>
                    <w:rPr>
                      <w:rFonts w:hint="eastAsia" w:cs="Times New Roman"/>
                      <w:bCs/>
                      <w:color w:val="auto"/>
                      <w:sz w:val="21"/>
                      <w:szCs w:val="21"/>
                      <w:highlight w:val="none"/>
                      <w:lang w:val="en-US" w:eastAsia="zh-CN"/>
                    </w:rPr>
                    <w:t>1.75</w:t>
                  </w:r>
                </w:p>
              </w:tc>
            </w:tr>
            <w:tr w14:paraId="7E800E3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636" w:type="dxa"/>
                  <w:vMerge w:val="continue"/>
                  <w:tcBorders>
                    <w:tl2br w:val="nil"/>
                    <w:tr2bl w:val="nil"/>
                  </w:tcBorders>
                  <w:noWrap w:val="0"/>
                  <w:vAlign w:val="center"/>
                </w:tcPr>
                <w:p w14:paraId="2E95038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Cs/>
                      <w:color w:val="auto"/>
                      <w:sz w:val="21"/>
                      <w:szCs w:val="21"/>
                      <w:highlight w:val="none"/>
                    </w:rPr>
                  </w:pPr>
                </w:p>
              </w:tc>
              <w:tc>
                <w:tcPr>
                  <w:tcW w:w="427" w:type="dxa"/>
                  <w:tcBorders>
                    <w:tl2br w:val="nil"/>
                    <w:tr2bl w:val="nil"/>
                  </w:tcBorders>
                  <w:noWrap w:val="0"/>
                  <w:vAlign w:val="center"/>
                </w:tcPr>
                <w:p w14:paraId="7759081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cs="Times New Roman"/>
                      <w:bCs/>
                      <w:color w:val="auto"/>
                      <w:sz w:val="21"/>
                      <w:szCs w:val="21"/>
                      <w:highlight w:val="none"/>
                      <w:lang w:val="en-US" w:eastAsia="zh-CN"/>
                    </w:rPr>
                  </w:pPr>
                  <w:r>
                    <w:rPr>
                      <w:rFonts w:hint="default" w:ascii="Times New Roman" w:hAnsi="Times New Roman" w:cs="Times New Roman"/>
                      <w:bCs/>
                      <w:color w:val="auto"/>
                      <w:sz w:val="21"/>
                      <w:szCs w:val="21"/>
                      <w:highlight w:val="none"/>
                      <w:lang w:val="en-US" w:eastAsia="zh-CN"/>
                    </w:rPr>
                    <w:t>无组织</w:t>
                  </w:r>
                </w:p>
              </w:tc>
              <w:tc>
                <w:tcPr>
                  <w:tcW w:w="625" w:type="dxa"/>
                  <w:vMerge w:val="continue"/>
                  <w:tcBorders>
                    <w:tl2br w:val="nil"/>
                    <w:tr2bl w:val="nil"/>
                  </w:tcBorders>
                  <w:noWrap w:val="0"/>
                  <w:vAlign w:val="center"/>
                </w:tcPr>
                <w:p w14:paraId="4F686F5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rPr>
                  </w:pPr>
                </w:p>
              </w:tc>
              <w:tc>
                <w:tcPr>
                  <w:tcW w:w="798" w:type="dxa"/>
                  <w:tcBorders>
                    <w:tl2br w:val="nil"/>
                    <w:tr2bl w:val="nil"/>
                  </w:tcBorders>
                  <w:noWrap w:val="0"/>
                  <w:vAlign w:val="center"/>
                </w:tcPr>
                <w:p w14:paraId="2C166E8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794" w:type="dxa"/>
                  <w:tcBorders>
                    <w:tl2br w:val="nil"/>
                    <w:tr2bl w:val="nil"/>
                  </w:tcBorders>
                  <w:noWrap w:val="0"/>
                  <w:vAlign w:val="center"/>
                </w:tcPr>
                <w:p w14:paraId="13D48A3A">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0.217</w:t>
                  </w:r>
                </w:p>
              </w:tc>
              <w:tc>
                <w:tcPr>
                  <w:tcW w:w="794" w:type="dxa"/>
                  <w:tcBorders>
                    <w:tl2br w:val="nil"/>
                    <w:tr2bl w:val="nil"/>
                  </w:tcBorders>
                  <w:noWrap w:val="0"/>
                  <w:vAlign w:val="center"/>
                </w:tcPr>
                <w:p w14:paraId="12387CF5">
                  <w:pPr>
                    <w:keepNext w:val="0"/>
                    <w:keepLines w:val="0"/>
                    <w:widowControl/>
                    <w:suppressLineNumbers w:val="0"/>
                    <w:spacing w:before="0" w:beforeAutospacing="0" w:after="0" w:afterAutospacing="0"/>
                    <w:ind w:left="0" w:right="0"/>
                    <w:jc w:val="center"/>
                    <w:textAlignment w:val="center"/>
                    <w:rPr>
                      <w:rFonts w:hint="default"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1.042</w:t>
                  </w:r>
                </w:p>
              </w:tc>
              <w:tc>
                <w:tcPr>
                  <w:tcW w:w="741" w:type="dxa"/>
                  <w:tcBorders>
                    <w:tl2br w:val="nil"/>
                    <w:tr2bl w:val="nil"/>
                  </w:tcBorders>
                  <w:shd w:val="clear" w:color="auto" w:fill="auto"/>
                  <w:noWrap w:val="0"/>
                  <w:vAlign w:val="center"/>
                </w:tcPr>
                <w:p w14:paraId="6C2C354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w:t>
                  </w:r>
                </w:p>
              </w:tc>
              <w:tc>
                <w:tcPr>
                  <w:tcW w:w="427" w:type="dxa"/>
                  <w:tcBorders>
                    <w:tl2br w:val="nil"/>
                    <w:tr2bl w:val="nil"/>
                  </w:tcBorders>
                  <w:shd w:val="clear" w:color="auto" w:fill="auto"/>
                  <w:noWrap w:val="0"/>
                  <w:vAlign w:val="center"/>
                </w:tcPr>
                <w:p w14:paraId="4DFD71A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689" w:type="dxa"/>
                  <w:tcBorders>
                    <w:tl2br w:val="nil"/>
                    <w:tr2bl w:val="nil"/>
                  </w:tcBorders>
                  <w:shd w:val="clear" w:color="auto" w:fill="auto"/>
                  <w:noWrap w:val="0"/>
                  <w:vAlign w:val="center"/>
                </w:tcPr>
                <w:p w14:paraId="72ED893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0" w:type="auto"/>
                  <w:tcBorders>
                    <w:tl2br w:val="nil"/>
                    <w:tr2bl w:val="nil"/>
                  </w:tcBorders>
                  <w:shd w:val="clear" w:color="auto" w:fill="auto"/>
                  <w:noWrap w:val="0"/>
                  <w:vAlign w:val="center"/>
                </w:tcPr>
                <w:p w14:paraId="409BB3D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t>
                  </w:r>
                </w:p>
              </w:tc>
              <w:tc>
                <w:tcPr>
                  <w:tcW w:w="0" w:type="auto"/>
                  <w:tcBorders>
                    <w:tl2br w:val="nil"/>
                    <w:tr2bl w:val="nil"/>
                  </w:tcBorders>
                  <w:shd w:val="clear" w:color="auto" w:fill="auto"/>
                  <w:noWrap w:val="0"/>
                  <w:vAlign w:val="center"/>
                </w:tcPr>
                <w:p w14:paraId="53AD934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0" w:type="auto"/>
                  <w:tcBorders>
                    <w:tl2br w:val="nil"/>
                    <w:tr2bl w:val="nil"/>
                  </w:tcBorders>
                  <w:shd w:val="clear" w:color="auto" w:fill="auto"/>
                  <w:noWrap w:val="0"/>
                  <w:vAlign w:val="center"/>
                </w:tcPr>
                <w:p w14:paraId="2C0BB06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794" w:type="dxa"/>
                  <w:tcBorders>
                    <w:tl2br w:val="nil"/>
                    <w:tr2bl w:val="nil"/>
                  </w:tcBorders>
                  <w:noWrap w:val="0"/>
                  <w:vAlign w:val="center"/>
                </w:tcPr>
                <w:p w14:paraId="69AB63B0">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0.217</w:t>
                  </w:r>
                </w:p>
              </w:tc>
              <w:tc>
                <w:tcPr>
                  <w:tcW w:w="794" w:type="dxa"/>
                  <w:tcBorders>
                    <w:tl2br w:val="nil"/>
                    <w:tr2bl w:val="nil"/>
                  </w:tcBorders>
                  <w:noWrap w:val="0"/>
                  <w:vAlign w:val="center"/>
                </w:tcPr>
                <w:p w14:paraId="4E618719">
                  <w:pPr>
                    <w:keepNext w:val="0"/>
                    <w:keepLines w:val="0"/>
                    <w:widowControl/>
                    <w:suppressLineNumbers w:val="0"/>
                    <w:spacing w:before="0" w:beforeAutospacing="0" w:after="0" w:afterAutospacing="0"/>
                    <w:ind w:left="0" w:right="0"/>
                    <w:jc w:val="center"/>
                    <w:textAlignment w:val="center"/>
                    <w:rPr>
                      <w:rFonts w:hint="eastAsia"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1.042</w:t>
                  </w:r>
                </w:p>
              </w:tc>
              <w:tc>
                <w:tcPr>
                  <w:tcW w:w="835" w:type="dxa"/>
                  <w:tcBorders>
                    <w:tl2br w:val="nil"/>
                    <w:tr2bl w:val="nil"/>
                  </w:tcBorders>
                  <w:noWrap w:val="0"/>
                  <w:vAlign w:val="center"/>
                </w:tcPr>
                <w:p w14:paraId="564DCFB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w:t>
                  </w:r>
                </w:p>
              </w:tc>
              <w:tc>
                <w:tcPr>
                  <w:tcW w:w="427" w:type="dxa"/>
                  <w:tcBorders>
                    <w:tl2br w:val="nil"/>
                    <w:tr2bl w:val="nil"/>
                  </w:tcBorders>
                  <w:noWrap w:val="0"/>
                  <w:vAlign w:val="center"/>
                </w:tcPr>
                <w:p w14:paraId="04D1AF1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lang w:bidi="ar"/>
                    </w:rPr>
                  </w:pPr>
                  <w:r>
                    <w:rPr>
                      <w:rFonts w:hint="eastAsia" w:cs="Times New Roman"/>
                      <w:color w:val="auto"/>
                      <w:kern w:val="2"/>
                      <w:sz w:val="21"/>
                      <w:szCs w:val="21"/>
                      <w:highlight w:val="none"/>
                      <w:lang w:val="en-US" w:eastAsia="zh-CN" w:bidi="ar-SA"/>
                    </w:rPr>
                    <w:t>/</w:t>
                  </w:r>
                </w:p>
              </w:tc>
              <w:tc>
                <w:tcPr>
                  <w:tcW w:w="479" w:type="dxa"/>
                  <w:tcBorders>
                    <w:tl2br w:val="nil"/>
                    <w:tr2bl w:val="nil"/>
                  </w:tcBorders>
                  <w:noWrap w:val="0"/>
                  <w:vAlign w:val="center"/>
                </w:tcPr>
                <w:p w14:paraId="0736A26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eastAsia" w:cs="Times New Roman"/>
                      <w:color w:val="auto"/>
                      <w:kern w:val="2"/>
                      <w:sz w:val="21"/>
                      <w:szCs w:val="21"/>
                      <w:highlight w:val="none"/>
                      <w:lang w:val="en-US" w:eastAsia="zh-CN" w:bidi="ar-SA"/>
                    </w:rPr>
                    <w:t>/</w:t>
                  </w:r>
                </w:p>
              </w:tc>
              <w:tc>
                <w:tcPr>
                  <w:tcW w:w="444" w:type="dxa"/>
                  <w:tcBorders>
                    <w:tl2br w:val="nil"/>
                    <w:tr2bl w:val="nil"/>
                  </w:tcBorders>
                  <w:noWrap w:val="0"/>
                  <w:vAlign w:val="center"/>
                </w:tcPr>
                <w:p w14:paraId="4E3E0CB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lang w:bidi="ar"/>
                    </w:rPr>
                  </w:pPr>
                  <w:r>
                    <w:rPr>
                      <w:rFonts w:hint="default" w:ascii="Times New Roman" w:hAnsi="Times New Roman" w:eastAsia="宋体" w:cs="Times New Roman"/>
                      <w:color w:val="auto"/>
                      <w:sz w:val="21"/>
                      <w:szCs w:val="21"/>
                      <w:highlight w:val="none"/>
                    </w:rPr>
                    <w:t>/</w:t>
                  </w:r>
                </w:p>
              </w:tc>
              <w:tc>
                <w:tcPr>
                  <w:tcW w:w="427" w:type="dxa"/>
                  <w:tcBorders>
                    <w:tl2br w:val="nil"/>
                    <w:tr2bl w:val="nil"/>
                  </w:tcBorders>
                  <w:noWrap w:val="0"/>
                  <w:vAlign w:val="center"/>
                </w:tcPr>
                <w:p w14:paraId="4B230F4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lang w:bidi="ar"/>
                    </w:rPr>
                  </w:pPr>
                  <w:r>
                    <w:rPr>
                      <w:rFonts w:hint="eastAsia" w:cs="Times New Roman"/>
                      <w:color w:val="auto"/>
                      <w:kern w:val="2"/>
                      <w:sz w:val="21"/>
                      <w:szCs w:val="21"/>
                      <w:highlight w:val="none"/>
                      <w:lang w:val="en-US" w:eastAsia="zh-CN" w:bidi="ar-SA"/>
                    </w:rPr>
                    <w:t>/</w:t>
                  </w:r>
                </w:p>
              </w:tc>
              <w:tc>
                <w:tcPr>
                  <w:tcW w:w="1552" w:type="dxa"/>
                  <w:tcBorders>
                    <w:tl2br w:val="nil"/>
                    <w:tr2bl w:val="nil"/>
                  </w:tcBorders>
                  <w:noWrap w:val="0"/>
                  <w:vAlign w:val="center"/>
                </w:tcPr>
                <w:p w14:paraId="29C4821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Cs/>
                      <w:color w:val="auto"/>
                      <w:sz w:val="21"/>
                      <w:szCs w:val="21"/>
                      <w:highlight w:val="none"/>
                    </w:rPr>
                  </w:pPr>
                  <w:r>
                    <w:rPr>
                      <w:rFonts w:hint="eastAsia" w:cs="Times New Roman"/>
                      <w:color w:val="auto"/>
                      <w:kern w:val="2"/>
                      <w:sz w:val="21"/>
                      <w:szCs w:val="21"/>
                      <w:highlight w:val="none"/>
                      <w:lang w:val="en-US" w:eastAsia="zh-CN" w:bidi="ar-SA"/>
                    </w:rPr>
                    <w:t>/</w:t>
                  </w:r>
                </w:p>
              </w:tc>
              <w:tc>
                <w:tcPr>
                  <w:tcW w:w="689" w:type="dxa"/>
                  <w:tcBorders>
                    <w:tl2br w:val="nil"/>
                    <w:tr2bl w:val="nil"/>
                  </w:tcBorders>
                  <w:noWrap w:val="0"/>
                  <w:vAlign w:val="center"/>
                </w:tcPr>
                <w:p w14:paraId="17A96A1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951" w:type="dxa"/>
                  <w:tcBorders>
                    <w:tl2br w:val="nil"/>
                    <w:tr2bl w:val="nil"/>
                  </w:tcBorders>
                  <w:noWrap w:val="0"/>
                  <w:vAlign w:val="center"/>
                </w:tcPr>
                <w:p w14:paraId="1D5B77E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eastAsia" w:cs="Times New Roman"/>
                      <w:bCs/>
                      <w:color w:val="auto"/>
                      <w:sz w:val="21"/>
                      <w:szCs w:val="21"/>
                      <w:highlight w:val="none"/>
                      <w:lang w:val="en-US" w:eastAsia="zh-CN"/>
                    </w:rPr>
                  </w:pPr>
                  <w:r>
                    <w:rPr>
                      <w:rFonts w:hint="eastAsia" w:cs="Times New Roman"/>
                      <w:bCs/>
                      <w:color w:val="auto"/>
                      <w:sz w:val="21"/>
                      <w:szCs w:val="21"/>
                      <w:highlight w:val="none"/>
                      <w:lang w:val="en-US" w:eastAsia="zh-CN"/>
                    </w:rPr>
                    <w:t>1.0</w:t>
                  </w:r>
                </w:p>
              </w:tc>
              <w:tc>
                <w:tcPr>
                  <w:tcW w:w="613" w:type="dxa"/>
                  <w:tcBorders>
                    <w:tl2br w:val="nil"/>
                    <w:tr2bl w:val="nil"/>
                  </w:tcBorders>
                  <w:noWrap w:val="0"/>
                  <w:vAlign w:val="center"/>
                </w:tcPr>
                <w:p w14:paraId="1958215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eastAsia" w:cs="Times New Roman"/>
                      <w:bCs/>
                      <w:color w:val="auto"/>
                      <w:sz w:val="21"/>
                      <w:szCs w:val="21"/>
                      <w:highlight w:val="none"/>
                      <w:lang w:val="en-US" w:eastAsia="zh-CN"/>
                    </w:rPr>
                  </w:pPr>
                  <w:r>
                    <w:rPr>
                      <w:rFonts w:hint="eastAsia" w:cs="Times New Roman"/>
                      <w:bCs/>
                      <w:color w:val="auto"/>
                      <w:sz w:val="21"/>
                      <w:szCs w:val="21"/>
                      <w:highlight w:val="none"/>
                      <w:lang w:val="en-US" w:eastAsia="zh-CN"/>
                    </w:rPr>
                    <w:t>/</w:t>
                  </w:r>
                </w:p>
              </w:tc>
            </w:tr>
            <w:tr w14:paraId="389E035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636" w:type="dxa"/>
                  <w:vMerge w:val="restart"/>
                  <w:tcBorders>
                    <w:tl2br w:val="nil"/>
                    <w:tr2bl w:val="nil"/>
                  </w:tcBorders>
                  <w:noWrap w:val="0"/>
                  <w:vAlign w:val="center"/>
                </w:tcPr>
                <w:p w14:paraId="3082DED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ascii="Times New Roman" w:hAnsi="Times New Roman" w:eastAsia="宋体" w:cs="Times New Roman"/>
                      <w:bCs/>
                      <w:color w:val="auto"/>
                      <w:sz w:val="21"/>
                      <w:szCs w:val="21"/>
                      <w:highlight w:val="none"/>
                      <w:lang w:val="en-US" w:eastAsia="zh-CN"/>
                    </w:rPr>
                  </w:pPr>
                  <w:r>
                    <w:rPr>
                      <w:rFonts w:hint="eastAsia" w:ascii="Times New Roman" w:hAnsi="Times New Roman" w:cs="Times New Roman"/>
                      <w:color w:val="auto"/>
                      <w:highlight w:val="none"/>
                      <w:lang w:val="en-US" w:eastAsia="zh-CN"/>
                    </w:rPr>
                    <w:t>发泡有机废气</w:t>
                  </w:r>
                </w:p>
              </w:tc>
              <w:tc>
                <w:tcPr>
                  <w:tcW w:w="427" w:type="dxa"/>
                  <w:vMerge w:val="restart"/>
                  <w:tcBorders>
                    <w:tl2br w:val="nil"/>
                    <w:tr2bl w:val="nil"/>
                  </w:tcBorders>
                  <w:noWrap w:val="0"/>
                  <w:vAlign w:val="center"/>
                </w:tcPr>
                <w:p w14:paraId="2FE3BD4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cs="Times New Roman"/>
                      <w:bCs/>
                      <w:color w:val="auto"/>
                      <w:sz w:val="21"/>
                      <w:szCs w:val="21"/>
                      <w:highlight w:val="none"/>
                      <w:lang w:val="en-US" w:eastAsia="zh-CN"/>
                    </w:rPr>
                  </w:pPr>
                  <w:r>
                    <w:rPr>
                      <w:rFonts w:hint="default" w:ascii="Times New Roman" w:hAnsi="Times New Roman" w:eastAsia="宋体" w:cs="Times New Roman"/>
                      <w:color w:val="auto"/>
                      <w:sz w:val="21"/>
                      <w:szCs w:val="21"/>
                      <w:highlight w:val="none"/>
                    </w:rPr>
                    <w:t>有组织</w:t>
                  </w:r>
                </w:p>
              </w:tc>
              <w:tc>
                <w:tcPr>
                  <w:tcW w:w="625" w:type="dxa"/>
                  <w:tcBorders>
                    <w:tl2br w:val="nil"/>
                    <w:tr2bl w:val="nil"/>
                  </w:tcBorders>
                  <w:noWrap w:val="0"/>
                  <w:vAlign w:val="center"/>
                </w:tcPr>
                <w:p w14:paraId="390AC32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lang w:val="en-US"/>
                    </w:rPr>
                  </w:pPr>
                  <w:r>
                    <w:rPr>
                      <w:rFonts w:hint="default" w:ascii="Times New Roman" w:hAnsi="Times New Roman" w:eastAsia="宋体" w:cs="Times New Roman"/>
                      <w:color w:val="auto"/>
                      <w:kern w:val="0"/>
                      <w:sz w:val="21"/>
                      <w:szCs w:val="21"/>
                      <w:highlight w:val="none"/>
                      <w:lang w:val="en-US" w:eastAsia="zh-CN"/>
                    </w:rPr>
                    <w:t>非甲烷总烃</w:t>
                  </w:r>
                </w:p>
              </w:tc>
              <w:tc>
                <w:tcPr>
                  <w:tcW w:w="798" w:type="dxa"/>
                  <w:tcBorders>
                    <w:tl2br w:val="nil"/>
                    <w:tr2bl w:val="nil"/>
                  </w:tcBorders>
                  <w:noWrap w:val="0"/>
                  <w:vAlign w:val="center"/>
                </w:tcPr>
                <w:p w14:paraId="06E4209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cs="Times New Roman"/>
                      <w:color w:val="FF0000"/>
                      <w:kern w:val="2"/>
                      <w:sz w:val="21"/>
                      <w:szCs w:val="21"/>
                      <w:highlight w:val="none"/>
                      <w:lang w:val="en-US" w:eastAsia="zh-CN" w:bidi="ar-SA"/>
                    </w:rPr>
                  </w:pPr>
                  <w:r>
                    <w:rPr>
                      <w:rFonts w:hint="eastAsia" w:cs="Times New Roman"/>
                      <w:color w:val="FF0000"/>
                      <w:kern w:val="2"/>
                      <w:sz w:val="21"/>
                      <w:szCs w:val="21"/>
                      <w:highlight w:val="none"/>
                      <w:lang w:val="en-US" w:eastAsia="zh-CN" w:bidi="ar-SA"/>
                    </w:rPr>
                    <w:t>8.333</w:t>
                  </w:r>
                </w:p>
              </w:tc>
              <w:tc>
                <w:tcPr>
                  <w:tcW w:w="794" w:type="dxa"/>
                  <w:tcBorders>
                    <w:tl2br w:val="nil"/>
                    <w:tr2bl w:val="nil"/>
                  </w:tcBorders>
                  <w:noWrap w:val="0"/>
                  <w:vAlign w:val="center"/>
                </w:tcPr>
                <w:p w14:paraId="7F479D1D">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FF0000"/>
                      <w:kern w:val="0"/>
                      <w:sz w:val="21"/>
                      <w:szCs w:val="21"/>
                      <w:highlight w:val="none"/>
                      <w:u w:val="none"/>
                      <w:lang w:val="en-US" w:eastAsia="zh-CN" w:bidi="ar"/>
                    </w:rPr>
                  </w:pPr>
                  <w:r>
                    <w:rPr>
                      <w:rFonts w:hint="eastAsia" w:cs="Times New Roman"/>
                      <w:i w:val="0"/>
                      <w:iCs w:val="0"/>
                      <w:color w:val="FF0000"/>
                      <w:kern w:val="0"/>
                      <w:sz w:val="21"/>
                      <w:szCs w:val="21"/>
                      <w:highlight w:val="none"/>
                      <w:u w:val="none"/>
                      <w:lang w:val="en-US" w:eastAsia="zh-CN" w:bidi="ar"/>
                    </w:rPr>
                    <w:t>0.055</w:t>
                  </w:r>
                </w:p>
              </w:tc>
              <w:tc>
                <w:tcPr>
                  <w:tcW w:w="794" w:type="dxa"/>
                  <w:tcBorders>
                    <w:tl2br w:val="nil"/>
                    <w:tr2bl w:val="nil"/>
                  </w:tcBorders>
                  <w:noWrap w:val="0"/>
                  <w:vAlign w:val="center"/>
                </w:tcPr>
                <w:p w14:paraId="4CDE26FE">
                  <w:pPr>
                    <w:keepNext w:val="0"/>
                    <w:keepLines w:val="0"/>
                    <w:widowControl/>
                    <w:suppressLineNumbers w:val="0"/>
                    <w:spacing w:before="0" w:beforeAutospacing="0" w:after="0" w:afterAutospacing="0"/>
                    <w:ind w:left="0" w:right="0"/>
                    <w:jc w:val="center"/>
                    <w:textAlignment w:val="center"/>
                    <w:rPr>
                      <w:rFonts w:hint="default" w:cs="Times New Roman"/>
                      <w:i w:val="0"/>
                      <w:iCs w:val="0"/>
                      <w:color w:val="FF0000"/>
                      <w:kern w:val="0"/>
                      <w:sz w:val="21"/>
                      <w:szCs w:val="21"/>
                      <w:highlight w:val="none"/>
                      <w:u w:val="none"/>
                      <w:lang w:val="en-US" w:eastAsia="zh-CN" w:bidi="ar"/>
                    </w:rPr>
                  </w:pPr>
                  <w:r>
                    <w:rPr>
                      <w:rFonts w:hint="eastAsia" w:cs="Times New Roman"/>
                      <w:i w:val="0"/>
                      <w:iCs w:val="0"/>
                      <w:color w:val="FF0000"/>
                      <w:kern w:val="0"/>
                      <w:sz w:val="21"/>
                      <w:szCs w:val="21"/>
                      <w:highlight w:val="none"/>
                      <w:u w:val="none"/>
                      <w:lang w:val="en-US" w:eastAsia="zh-CN" w:bidi="ar"/>
                    </w:rPr>
                    <w:t>0.262</w:t>
                  </w:r>
                </w:p>
              </w:tc>
              <w:tc>
                <w:tcPr>
                  <w:tcW w:w="741" w:type="dxa"/>
                  <w:vMerge w:val="restart"/>
                  <w:tcBorders>
                    <w:tl2br w:val="nil"/>
                    <w:tr2bl w:val="nil"/>
                  </w:tcBorders>
                  <w:noWrap w:val="0"/>
                  <w:vAlign w:val="center"/>
                </w:tcPr>
                <w:p w14:paraId="67E830F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FF0000"/>
                      <w:sz w:val="21"/>
                      <w:szCs w:val="21"/>
                      <w:highlight w:val="none"/>
                      <w:lang w:val="en-US" w:eastAsia="zh-CN"/>
                    </w:rPr>
                  </w:pPr>
                  <w:r>
                    <w:rPr>
                      <w:rFonts w:hint="eastAsia" w:cs="Times New Roman"/>
                      <w:color w:val="FF0000"/>
                      <w:sz w:val="21"/>
                      <w:szCs w:val="21"/>
                      <w:highlight w:val="none"/>
                      <w:lang w:val="en-US" w:eastAsia="zh-CN"/>
                    </w:rPr>
                    <w:t>6000</w:t>
                  </w:r>
                </w:p>
              </w:tc>
              <w:tc>
                <w:tcPr>
                  <w:tcW w:w="427" w:type="dxa"/>
                  <w:vMerge w:val="restart"/>
                  <w:tcBorders>
                    <w:tl2br w:val="nil"/>
                    <w:tr2bl w:val="nil"/>
                  </w:tcBorders>
                  <w:noWrap w:val="0"/>
                  <w:vAlign w:val="center"/>
                </w:tcPr>
                <w:p w14:paraId="25B5593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65</w:t>
                  </w:r>
                </w:p>
              </w:tc>
              <w:tc>
                <w:tcPr>
                  <w:tcW w:w="689" w:type="dxa"/>
                  <w:vMerge w:val="restart"/>
                  <w:tcBorders>
                    <w:tl2br w:val="nil"/>
                    <w:tr2bl w:val="nil"/>
                  </w:tcBorders>
                  <w:noWrap w:val="0"/>
                  <w:vAlign w:val="center"/>
                </w:tcPr>
                <w:p w14:paraId="2BA3ED1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83.19</w:t>
                  </w:r>
                </w:p>
              </w:tc>
              <w:tc>
                <w:tcPr>
                  <w:tcW w:w="427" w:type="dxa"/>
                  <w:vMerge w:val="restart"/>
                  <w:tcBorders>
                    <w:tl2br w:val="nil"/>
                    <w:tr2bl w:val="nil"/>
                  </w:tcBorders>
                  <w:noWrap w:val="0"/>
                  <w:vAlign w:val="center"/>
                </w:tcPr>
                <w:p w14:paraId="5DB0EFD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是</w:t>
                  </w:r>
                </w:p>
              </w:tc>
              <w:tc>
                <w:tcPr>
                  <w:tcW w:w="427" w:type="dxa"/>
                  <w:vMerge w:val="restart"/>
                  <w:tcBorders>
                    <w:tl2br w:val="nil"/>
                    <w:tr2bl w:val="nil"/>
                  </w:tcBorders>
                  <w:noWrap w:val="0"/>
                  <w:vAlign w:val="center"/>
                </w:tcPr>
                <w:p w14:paraId="4581F88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半密闭集气罩+</w:t>
                  </w:r>
                  <w:r>
                    <w:rPr>
                      <w:rFonts w:hint="eastAsia" w:cs="Times New Roman"/>
                      <w:color w:val="auto"/>
                      <w:sz w:val="21"/>
                      <w:szCs w:val="21"/>
                      <w:highlight w:val="none"/>
                      <w:lang w:val="en-US" w:eastAsia="zh-CN"/>
                    </w:rPr>
                    <w:t>五级活性炭</w:t>
                  </w:r>
                </w:p>
              </w:tc>
              <w:tc>
                <w:tcPr>
                  <w:tcW w:w="0" w:type="auto"/>
                  <w:tcBorders>
                    <w:tl2br w:val="nil"/>
                    <w:tr2bl w:val="nil"/>
                  </w:tcBorders>
                  <w:noWrap w:val="0"/>
                  <w:vAlign w:val="center"/>
                </w:tcPr>
                <w:p w14:paraId="7ACD6CE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cs="Times New Roman"/>
                      <w:color w:val="FF0000"/>
                      <w:kern w:val="2"/>
                      <w:sz w:val="21"/>
                      <w:szCs w:val="21"/>
                      <w:highlight w:val="none"/>
                      <w:lang w:val="en-US" w:eastAsia="zh-CN" w:bidi="ar-SA"/>
                    </w:rPr>
                  </w:pPr>
                  <w:r>
                    <w:rPr>
                      <w:rFonts w:hint="eastAsia" w:cs="Times New Roman"/>
                      <w:color w:val="FF0000"/>
                      <w:kern w:val="2"/>
                      <w:sz w:val="21"/>
                      <w:szCs w:val="21"/>
                      <w:highlight w:val="none"/>
                      <w:lang w:val="en-US" w:eastAsia="zh-CN" w:bidi="ar-SA"/>
                    </w:rPr>
                    <w:t>0.167</w:t>
                  </w:r>
                </w:p>
              </w:tc>
              <w:tc>
                <w:tcPr>
                  <w:tcW w:w="794" w:type="dxa"/>
                  <w:tcBorders>
                    <w:tl2br w:val="nil"/>
                    <w:tr2bl w:val="nil"/>
                  </w:tcBorders>
                  <w:noWrap w:val="0"/>
                  <w:vAlign w:val="center"/>
                </w:tcPr>
                <w:p w14:paraId="6998BBD0">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FF0000"/>
                      <w:kern w:val="0"/>
                      <w:sz w:val="21"/>
                      <w:szCs w:val="21"/>
                      <w:highlight w:val="none"/>
                      <w:u w:val="none"/>
                      <w:lang w:val="en-US" w:eastAsia="zh-CN" w:bidi="ar"/>
                    </w:rPr>
                  </w:pPr>
                  <w:r>
                    <w:rPr>
                      <w:rFonts w:hint="eastAsia" w:cs="Times New Roman"/>
                      <w:i w:val="0"/>
                      <w:iCs w:val="0"/>
                      <w:color w:val="FF0000"/>
                      <w:kern w:val="0"/>
                      <w:sz w:val="21"/>
                      <w:szCs w:val="21"/>
                      <w:highlight w:val="none"/>
                      <w:u w:val="none"/>
                      <w:lang w:val="en-US" w:eastAsia="zh-CN" w:bidi="ar"/>
                    </w:rPr>
                    <w:t>0.001</w:t>
                  </w:r>
                </w:p>
              </w:tc>
              <w:tc>
                <w:tcPr>
                  <w:tcW w:w="794" w:type="dxa"/>
                  <w:tcBorders>
                    <w:tl2br w:val="nil"/>
                    <w:tr2bl w:val="nil"/>
                  </w:tcBorders>
                  <w:noWrap w:val="0"/>
                  <w:vAlign w:val="center"/>
                </w:tcPr>
                <w:p w14:paraId="380DCF71">
                  <w:pPr>
                    <w:keepNext w:val="0"/>
                    <w:keepLines w:val="0"/>
                    <w:widowControl/>
                    <w:suppressLineNumbers w:val="0"/>
                    <w:spacing w:before="0" w:beforeAutospacing="0" w:after="0" w:afterAutospacing="0"/>
                    <w:ind w:left="0" w:right="0"/>
                    <w:jc w:val="center"/>
                    <w:textAlignment w:val="center"/>
                    <w:rPr>
                      <w:rFonts w:hint="default" w:cs="Times New Roman"/>
                      <w:i w:val="0"/>
                      <w:iCs w:val="0"/>
                      <w:color w:val="FF0000"/>
                      <w:kern w:val="0"/>
                      <w:sz w:val="21"/>
                      <w:szCs w:val="21"/>
                      <w:highlight w:val="none"/>
                      <w:u w:val="none"/>
                      <w:lang w:val="en-US" w:eastAsia="zh-CN" w:bidi="ar"/>
                    </w:rPr>
                  </w:pPr>
                  <w:r>
                    <w:rPr>
                      <w:rFonts w:hint="eastAsia" w:cs="Times New Roman"/>
                      <w:i w:val="0"/>
                      <w:iCs w:val="0"/>
                      <w:color w:val="FF0000"/>
                      <w:kern w:val="0"/>
                      <w:sz w:val="21"/>
                      <w:szCs w:val="21"/>
                      <w:highlight w:val="none"/>
                      <w:u w:val="none"/>
                      <w:lang w:val="en-US" w:eastAsia="zh-CN" w:bidi="ar"/>
                    </w:rPr>
                    <w:t>0.044</w:t>
                  </w:r>
                </w:p>
              </w:tc>
              <w:tc>
                <w:tcPr>
                  <w:tcW w:w="835" w:type="dxa"/>
                  <w:vMerge w:val="restart"/>
                  <w:tcBorders>
                    <w:tl2br w:val="nil"/>
                    <w:tr2bl w:val="nil"/>
                  </w:tcBorders>
                  <w:noWrap w:val="0"/>
                  <w:vAlign w:val="center"/>
                </w:tcPr>
                <w:p w14:paraId="258A945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DA0</w:t>
                  </w:r>
                  <w:r>
                    <w:rPr>
                      <w:rFonts w:hint="default" w:ascii="Times New Roman" w:hAnsi="Times New Roman" w:cs="Times New Roman"/>
                      <w:color w:val="auto"/>
                      <w:sz w:val="21"/>
                      <w:szCs w:val="21"/>
                      <w:highlight w:val="none"/>
                      <w:lang w:val="en-US" w:eastAsia="zh-CN"/>
                    </w:rPr>
                    <w:t>0</w:t>
                  </w:r>
                  <w:r>
                    <w:rPr>
                      <w:rFonts w:hint="eastAsia" w:cs="Times New Roman"/>
                      <w:color w:val="auto"/>
                      <w:sz w:val="21"/>
                      <w:szCs w:val="21"/>
                      <w:highlight w:val="none"/>
                      <w:lang w:val="en-US" w:eastAsia="zh-CN"/>
                    </w:rPr>
                    <w:t>2</w:t>
                  </w:r>
                </w:p>
              </w:tc>
              <w:tc>
                <w:tcPr>
                  <w:tcW w:w="427" w:type="dxa"/>
                  <w:vMerge w:val="restart"/>
                  <w:tcBorders>
                    <w:tl2br w:val="nil"/>
                    <w:tr2bl w:val="nil"/>
                  </w:tcBorders>
                  <w:noWrap w:val="0"/>
                  <w:vAlign w:val="center"/>
                </w:tcPr>
                <w:p w14:paraId="3B66C38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lang w:bidi="ar"/>
                    </w:rPr>
                  </w:pPr>
                  <w:r>
                    <w:rPr>
                      <w:rFonts w:hint="eastAsia" w:cs="Times New Roman"/>
                      <w:color w:val="auto"/>
                      <w:sz w:val="21"/>
                      <w:szCs w:val="21"/>
                      <w:highlight w:val="none"/>
                      <w:lang w:val="en-US" w:eastAsia="zh-CN"/>
                    </w:rPr>
                    <w:t>15</w:t>
                  </w:r>
                </w:p>
              </w:tc>
              <w:tc>
                <w:tcPr>
                  <w:tcW w:w="479" w:type="dxa"/>
                  <w:vMerge w:val="restart"/>
                  <w:tcBorders>
                    <w:tl2br w:val="nil"/>
                    <w:tr2bl w:val="nil"/>
                  </w:tcBorders>
                  <w:noWrap w:val="0"/>
                  <w:vAlign w:val="center"/>
                </w:tcPr>
                <w:p w14:paraId="6E05763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eastAsia" w:cs="Times New Roman"/>
                      <w:color w:val="auto"/>
                      <w:sz w:val="21"/>
                      <w:szCs w:val="21"/>
                      <w:highlight w:val="none"/>
                      <w:lang w:val="en-US" w:eastAsia="zh-CN"/>
                    </w:rPr>
                    <w:t>0.5</w:t>
                  </w:r>
                </w:p>
              </w:tc>
              <w:tc>
                <w:tcPr>
                  <w:tcW w:w="444" w:type="dxa"/>
                  <w:vMerge w:val="restart"/>
                  <w:tcBorders>
                    <w:tl2br w:val="nil"/>
                    <w:tr2bl w:val="nil"/>
                  </w:tcBorders>
                  <w:noWrap w:val="0"/>
                  <w:vAlign w:val="center"/>
                </w:tcPr>
                <w:p w14:paraId="583B8BC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lang w:bidi="ar"/>
                    </w:rPr>
                  </w:pPr>
                  <w:r>
                    <w:rPr>
                      <w:rFonts w:hint="eastAsia" w:cs="Times New Roman"/>
                      <w:color w:val="auto"/>
                      <w:sz w:val="21"/>
                      <w:szCs w:val="21"/>
                      <w:highlight w:val="none"/>
                      <w:lang w:val="en-US" w:eastAsia="zh-CN"/>
                    </w:rPr>
                    <w:t>25</w:t>
                  </w:r>
                </w:p>
              </w:tc>
              <w:tc>
                <w:tcPr>
                  <w:tcW w:w="427" w:type="dxa"/>
                  <w:vMerge w:val="restart"/>
                  <w:tcBorders>
                    <w:tl2br w:val="nil"/>
                    <w:tr2bl w:val="nil"/>
                  </w:tcBorders>
                  <w:noWrap w:val="0"/>
                  <w:vAlign w:val="center"/>
                </w:tcPr>
                <w:p w14:paraId="5369F56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lang w:bidi="ar"/>
                    </w:rPr>
                  </w:pPr>
                  <w:r>
                    <w:rPr>
                      <w:rFonts w:hint="default" w:ascii="Times New Roman" w:hAnsi="Times New Roman" w:eastAsia="宋体" w:cs="Times New Roman"/>
                      <w:color w:val="auto"/>
                      <w:sz w:val="21"/>
                      <w:szCs w:val="21"/>
                      <w:highlight w:val="none"/>
                    </w:rPr>
                    <w:t>一般排放口</w:t>
                  </w:r>
                </w:p>
              </w:tc>
              <w:tc>
                <w:tcPr>
                  <w:tcW w:w="1552" w:type="dxa"/>
                  <w:vMerge w:val="restart"/>
                  <w:tcBorders>
                    <w:tl2br w:val="nil"/>
                    <w:tr2bl w:val="nil"/>
                  </w:tcBorders>
                  <w:noWrap w:val="0"/>
                  <w:vAlign w:val="center"/>
                </w:tcPr>
                <w:p w14:paraId="6375E6C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eastAsia" w:cs="Times New Roman"/>
                      <w:color w:val="auto"/>
                      <w:sz w:val="21"/>
                      <w:szCs w:val="21"/>
                      <w:highlight w:val="none"/>
                      <w:lang w:val="en-US" w:eastAsia="zh-CN"/>
                    </w:rPr>
                    <w:t>E</w:t>
                  </w:r>
                  <w:r>
                    <w:rPr>
                      <w:rFonts w:hint="default" w:ascii="Times New Roman" w:hAnsi="Times New Roman" w:eastAsia="宋体" w:cs="Times New Roman"/>
                      <w:color w:val="auto"/>
                      <w:sz w:val="21"/>
                      <w:szCs w:val="21"/>
                      <w:highlight w:val="none"/>
                    </w:rPr>
                    <w:t>117°</w:t>
                  </w:r>
                  <w:r>
                    <w:rPr>
                      <w:rFonts w:hint="eastAsia" w:cs="Times New Roman"/>
                      <w:color w:val="auto"/>
                      <w:sz w:val="21"/>
                      <w:szCs w:val="21"/>
                      <w:highlight w:val="none"/>
                      <w:lang w:val="en-US" w:eastAsia="zh-CN"/>
                    </w:rPr>
                    <w:t>9</w:t>
                  </w:r>
                  <w:r>
                    <w:rPr>
                      <w:rFonts w:hint="default" w:ascii="Times New Roman" w:hAnsi="Times New Roman" w:eastAsia="宋体" w:cs="Times New Roman"/>
                      <w:color w:val="auto"/>
                      <w:sz w:val="21"/>
                      <w:szCs w:val="21"/>
                      <w:highlight w:val="none"/>
                    </w:rPr>
                    <w:t>′</w:t>
                  </w:r>
                  <w:r>
                    <w:rPr>
                      <w:rFonts w:hint="eastAsia" w:cs="Times New Roman"/>
                      <w:color w:val="auto"/>
                      <w:sz w:val="21"/>
                      <w:szCs w:val="21"/>
                      <w:highlight w:val="none"/>
                      <w:lang w:val="en-US" w:eastAsia="zh-CN"/>
                    </w:rPr>
                    <w:t>31.367</w:t>
                  </w:r>
                  <w:r>
                    <w:rPr>
                      <w:rFonts w:hint="default" w:ascii="Times New Roman" w:hAnsi="Times New Roman" w:eastAsia="宋体" w:cs="Times New Roman"/>
                      <w:color w:val="auto"/>
                      <w:sz w:val="21"/>
                      <w:szCs w:val="21"/>
                      <w:highlight w:val="none"/>
                    </w:rPr>
                    <w:t>″</w:t>
                  </w:r>
                </w:p>
                <w:p w14:paraId="0381029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Cs/>
                      <w:color w:val="auto"/>
                      <w:sz w:val="21"/>
                      <w:szCs w:val="21"/>
                      <w:highlight w:val="none"/>
                    </w:rPr>
                  </w:pPr>
                  <w:r>
                    <w:rPr>
                      <w:rFonts w:hint="eastAsia" w:cs="Times New Roman"/>
                      <w:color w:val="auto"/>
                      <w:sz w:val="21"/>
                      <w:szCs w:val="21"/>
                      <w:highlight w:val="none"/>
                      <w:lang w:val="en-US" w:eastAsia="zh-CN"/>
                    </w:rPr>
                    <w:t>N</w:t>
                  </w:r>
                  <w:r>
                    <w:rPr>
                      <w:rFonts w:hint="default" w:ascii="Times New Roman" w:hAnsi="Times New Roman" w:eastAsia="宋体" w:cs="Times New Roman"/>
                      <w:color w:val="auto"/>
                      <w:sz w:val="21"/>
                      <w:szCs w:val="21"/>
                      <w:highlight w:val="none"/>
                    </w:rPr>
                    <w:t>29°0′</w:t>
                  </w:r>
                  <w:r>
                    <w:rPr>
                      <w:rFonts w:hint="eastAsia" w:cs="Times New Roman"/>
                      <w:color w:val="auto"/>
                      <w:sz w:val="21"/>
                      <w:szCs w:val="21"/>
                      <w:highlight w:val="none"/>
                      <w:lang w:val="en-US" w:eastAsia="zh-CN"/>
                    </w:rPr>
                    <w:t>30</w:t>
                  </w:r>
                  <w:r>
                    <w:rPr>
                      <w:rFonts w:hint="default" w:ascii="Times New Roman" w:hAnsi="Times New Roman" w:eastAsia="宋体" w:cs="Times New Roman"/>
                      <w:color w:val="auto"/>
                      <w:sz w:val="21"/>
                      <w:szCs w:val="21"/>
                      <w:highlight w:val="none"/>
                    </w:rPr>
                    <w:t>.</w:t>
                  </w:r>
                  <w:r>
                    <w:rPr>
                      <w:rFonts w:hint="eastAsia" w:cs="Times New Roman"/>
                      <w:color w:val="auto"/>
                      <w:sz w:val="21"/>
                      <w:szCs w:val="21"/>
                      <w:highlight w:val="none"/>
                      <w:lang w:val="en-US" w:eastAsia="zh-CN"/>
                    </w:rPr>
                    <w:t>242</w:t>
                  </w:r>
                  <w:r>
                    <w:rPr>
                      <w:rFonts w:hint="default" w:ascii="Times New Roman" w:hAnsi="Times New Roman" w:eastAsia="宋体" w:cs="Times New Roman"/>
                      <w:color w:val="auto"/>
                      <w:sz w:val="21"/>
                      <w:szCs w:val="21"/>
                      <w:highlight w:val="none"/>
                    </w:rPr>
                    <w:t>″</w:t>
                  </w:r>
                </w:p>
              </w:tc>
              <w:tc>
                <w:tcPr>
                  <w:tcW w:w="689" w:type="dxa"/>
                  <w:vMerge w:val="restart"/>
                  <w:tcBorders>
                    <w:tl2br w:val="nil"/>
                    <w:tr2bl w:val="nil"/>
                  </w:tcBorders>
                  <w:noWrap w:val="0"/>
                  <w:vAlign w:val="center"/>
                </w:tcPr>
                <w:p w14:paraId="2795949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14.1</w:t>
                  </w:r>
                </w:p>
              </w:tc>
              <w:tc>
                <w:tcPr>
                  <w:tcW w:w="0" w:type="auto"/>
                  <w:tcBorders>
                    <w:tl2br w:val="nil"/>
                    <w:tr2bl w:val="nil"/>
                  </w:tcBorders>
                  <w:noWrap w:val="0"/>
                  <w:vAlign w:val="center"/>
                </w:tcPr>
                <w:p w14:paraId="3C73EA2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cs="Times New Roman"/>
                      <w:bCs/>
                      <w:color w:val="auto"/>
                      <w:sz w:val="21"/>
                      <w:szCs w:val="21"/>
                      <w:highlight w:val="none"/>
                      <w:lang w:val="en-US" w:eastAsia="zh-CN"/>
                    </w:rPr>
                  </w:pPr>
                  <w:r>
                    <w:rPr>
                      <w:rFonts w:hint="eastAsia" w:cs="Times New Roman"/>
                      <w:bCs/>
                      <w:color w:val="auto"/>
                      <w:sz w:val="21"/>
                      <w:szCs w:val="21"/>
                      <w:highlight w:val="none"/>
                      <w:lang w:val="en-US" w:eastAsia="zh-CN"/>
                    </w:rPr>
                    <w:t>100</w:t>
                  </w:r>
                </w:p>
              </w:tc>
              <w:tc>
                <w:tcPr>
                  <w:tcW w:w="0" w:type="auto"/>
                  <w:tcBorders>
                    <w:tl2br w:val="nil"/>
                    <w:tr2bl w:val="nil"/>
                  </w:tcBorders>
                  <w:noWrap w:val="0"/>
                  <w:vAlign w:val="center"/>
                </w:tcPr>
                <w:p w14:paraId="289044C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cs="Times New Roman"/>
                      <w:bCs/>
                      <w:color w:val="auto"/>
                      <w:sz w:val="21"/>
                      <w:szCs w:val="21"/>
                      <w:highlight w:val="none"/>
                      <w:lang w:val="en-US" w:eastAsia="zh-CN"/>
                    </w:rPr>
                  </w:pPr>
                  <w:r>
                    <w:rPr>
                      <w:rFonts w:hint="eastAsia" w:cs="Times New Roman"/>
                      <w:bCs/>
                      <w:color w:val="auto"/>
                      <w:sz w:val="21"/>
                      <w:szCs w:val="21"/>
                      <w:highlight w:val="none"/>
                      <w:lang w:val="en-US" w:eastAsia="zh-CN"/>
                    </w:rPr>
                    <w:t>/</w:t>
                  </w:r>
                </w:p>
              </w:tc>
            </w:tr>
            <w:tr w14:paraId="3D7BA0C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636" w:type="dxa"/>
                  <w:vMerge w:val="continue"/>
                  <w:tcBorders>
                    <w:tl2br w:val="nil"/>
                    <w:tr2bl w:val="nil"/>
                  </w:tcBorders>
                  <w:noWrap w:val="0"/>
                  <w:vAlign w:val="center"/>
                </w:tcPr>
                <w:p w14:paraId="7B10703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Cs/>
                      <w:color w:val="auto"/>
                      <w:sz w:val="21"/>
                      <w:szCs w:val="21"/>
                      <w:highlight w:val="none"/>
                    </w:rPr>
                  </w:pPr>
                </w:p>
              </w:tc>
              <w:tc>
                <w:tcPr>
                  <w:tcW w:w="427" w:type="dxa"/>
                  <w:vMerge w:val="continue"/>
                  <w:tcBorders>
                    <w:tl2br w:val="nil"/>
                    <w:tr2bl w:val="nil"/>
                  </w:tcBorders>
                  <w:noWrap w:val="0"/>
                  <w:vAlign w:val="center"/>
                </w:tcPr>
                <w:p w14:paraId="7FCDC47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cs="Times New Roman"/>
                      <w:bCs/>
                      <w:color w:val="auto"/>
                      <w:sz w:val="21"/>
                      <w:szCs w:val="21"/>
                      <w:highlight w:val="none"/>
                      <w:lang w:val="en-US" w:eastAsia="zh-CN"/>
                    </w:rPr>
                  </w:pPr>
                </w:p>
              </w:tc>
              <w:tc>
                <w:tcPr>
                  <w:tcW w:w="625" w:type="dxa"/>
                  <w:tcBorders>
                    <w:tl2br w:val="nil"/>
                    <w:tr2bl w:val="nil"/>
                  </w:tcBorders>
                  <w:noWrap w:val="0"/>
                  <w:vAlign w:val="center"/>
                </w:tcPr>
                <w:p w14:paraId="230FF92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MDI</w:t>
                  </w:r>
                </w:p>
              </w:tc>
              <w:tc>
                <w:tcPr>
                  <w:tcW w:w="798" w:type="dxa"/>
                  <w:tcBorders>
                    <w:tl2br w:val="nil"/>
                    <w:tr2bl w:val="nil"/>
                  </w:tcBorders>
                  <w:noWrap w:val="0"/>
                  <w:vAlign w:val="center"/>
                </w:tcPr>
                <w:p w14:paraId="6DEC98B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cs="Times New Roman"/>
                      <w:color w:val="FF0000"/>
                      <w:kern w:val="2"/>
                      <w:sz w:val="21"/>
                      <w:szCs w:val="21"/>
                      <w:highlight w:val="none"/>
                      <w:lang w:val="en-US" w:eastAsia="zh-CN" w:bidi="ar-SA"/>
                    </w:rPr>
                  </w:pPr>
                  <w:r>
                    <w:rPr>
                      <w:rFonts w:hint="eastAsia" w:cs="Times New Roman"/>
                      <w:color w:val="FF0000"/>
                      <w:kern w:val="2"/>
                      <w:sz w:val="21"/>
                      <w:szCs w:val="21"/>
                      <w:highlight w:val="none"/>
                      <w:lang w:val="en-US" w:eastAsia="zh-CN" w:bidi="ar-SA"/>
                    </w:rPr>
                    <w:t>5.167</w:t>
                  </w:r>
                </w:p>
              </w:tc>
              <w:tc>
                <w:tcPr>
                  <w:tcW w:w="794" w:type="dxa"/>
                  <w:tcBorders>
                    <w:tl2br w:val="nil"/>
                    <w:tr2bl w:val="nil"/>
                  </w:tcBorders>
                  <w:noWrap w:val="0"/>
                  <w:vAlign w:val="center"/>
                </w:tcPr>
                <w:p w14:paraId="736CB1B4">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FF0000"/>
                      <w:kern w:val="0"/>
                      <w:sz w:val="21"/>
                      <w:szCs w:val="21"/>
                      <w:highlight w:val="none"/>
                      <w:u w:val="none"/>
                      <w:lang w:val="en-US" w:eastAsia="zh-CN" w:bidi="ar"/>
                    </w:rPr>
                  </w:pPr>
                  <w:r>
                    <w:rPr>
                      <w:rFonts w:hint="eastAsia" w:cs="Times New Roman"/>
                      <w:i w:val="0"/>
                      <w:iCs w:val="0"/>
                      <w:color w:val="FF0000"/>
                      <w:kern w:val="0"/>
                      <w:sz w:val="21"/>
                      <w:szCs w:val="21"/>
                      <w:highlight w:val="none"/>
                      <w:u w:val="none"/>
                      <w:lang w:val="en-US" w:eastAsia="zh-CN" w:bidi="ar"/>
                    </w:rPr>
                    <w:t>0.031</w:t>
                  </w:r>
                </w:p>
              </w:tc>
              <w:tc>
                <w:tcPr>
                  <w:tcW w:w="794" w:type="dxa"/>
                  <w:tcBorders>
                    <w:tl2br w:val="nil"/>
                    <w:tr2bl w:val="nil"/>
                  </w:tcBorders>
                  <w:noWrap w:val="0"/>
                  <w:vAlign w:val="center"/>
                </w:tcPr>
                <w:p w14:paraId="203E02BD">
                  <w:pPr>
                    <w:keepNext w:val="0"/>
                    <w:keepLines w:val="0"/>
                    <w:widowControl/>
                    <w:suppressLineNumbers w:val="0"/>
                    <w:spacing w:before="0" w:beforeAutospacing="0" w:after="0" w:afterAutospacing="0"/>
                    <w:ind w:left="0" w:right="0"/>
                    <w:jc w:val="center"/>
                    <w:textAlignment w:val="center"/>
                    <w:rPr>
                      <w:rFonts w:hint="default" w:cs="Times New Roman"/>
                      <w:i w:val="0"/>
                      <w:iCs w:val="0"/>
                      <w:color w:val="FF0000"/>
                      <w:kern w:val="0"/>
                      <w:sz w:val="21"/>
                      <w:szCs w:val="21"/>
                      <w:highlight w:val="none"/>
                      <w:u w:val="none"/>
                      <w:lang w:val="en-US" w:eastAsia="zh-CN" w:bidi="ar"/>
                    </w:rPr>
                  </w:pPr>
                  <w:r>
                    <w:rPr>
                      <w:rFonts w:hint="eastAsia" w:cs="Times New Roman"/>
                      <w:i w:val="0"/>
                      <w:iCs w:val="0"/>
                      <w:color w:val="FF0000"/>
                      <w:kern w:val="0"/>
                      <w:sz w:val="21"/>
                      <w:szCs w:val="21"/>
                      <w:highlight w:val="none"/>
                      <w:u w:val="none"/>
                      <w:lang w:val="en-US" w:eastAsia="zh-CN" w:bidi="ar"/>
                    </w:rPr>
                    <w:t>0.15</w:t>
                  </w:r>
                </w:p>
              </w:tc>
              <w:tc>
                <w:tcPr>
                  <w:tcW w:w="741" w:type="dxa"/>
                  <w:vMerge w:val="continue"/>
                  <w:tcBorders>
                    <w:tl2br w:val="nil"/>
                    <w:tr2bl w:val="nil"/>
                  </w:tcBorders>
                  <w:noWrap w:val="0"/>
                  <w:vAlign w:val="center"/>
                </w:tcPr>
                <w:p w14:paraId="6C8234D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FF0000"/>
                      <w:sz w:val="21"/>
                      <w:szCs w:val="21"/>
                      <w:highlight w:val="none"/>
                      <w:lang w:val="en-US" w:eastAsia="zh-CN"/>
                    </w:rPr>
                  </w:pPr>
                </w:p>
              </w:tc>
              <w:tc>
                <w:tcPr>
                  <w:tcW w:w="427" w:type="dxa"/>
                  <w:vMerge w:val="continue"/>
                  <w:tcBorders>
                    <w:tl2br w:val="nil"/>
                    <w:tr2bl w:val="nil"/>
                  </w:tcBorders>
                  <w:noWrap w:val="0"/>
                  <w:vAlign w:val="center"/>
                </w:tcPr>
                <w:p w14:paraId="419E55D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kern w:val="2"/>
                      <w:sz w:val="21"/>
                      <w:szCs w:val="21"/>
                      <w:highlight w:val="none"/>
                      <w:lang w:val="en-US" w:eastAsia="zh-CN" w:bidi="ar-SA"/>
                    </w:rPr>
                  </w:pPr>
                </w:p>
              </w:tc>
              <w:tc>
                <w:tcPr>
                  <w:tcW w:w="689" w:type="dxa"/>
                  <w:vMerge w:val="continue"/>
                  <w:tcBorders>
                    <w:tl2br w:val="nil"/>
                    <w:tr2bl w:val="nil"/>
                  </w:tcBorders>
                  <w:noWrap w:val="0"/>
                  <w:vAlign w:val="center"/>
                </w:tcPr>
                <w:p w14:paraId="4B8C1BD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kern w:val="2"/>
                      <w:sz w:val="21"/>
                      <w:szCs w:val="21"/>
                      <w:highlight w:val="none"/>
                      <w:lang w:val="en-US" w:eastAsia="zh-CN" w:bidi="ar-SA"/>
                    </w:rPr>
                  </w:pPr>
                </w:p>
              </w:tc>
              <w:tc>
                <w:tcPr>
                  <w:tcW w:w="427" w:type="dxa"/>
                  <w:vMerge w:val="continue"/>
                  <w:tcBorders>
                    <w:tl2br w:val="nil"/>
                    <w:tr2bl w:val="nil"/>
                  </w:tcBorders>
                  <w:noWrap w:val="0"/>
                  <w:vAlign w:val="center"/>
                </w:tcPr>
                <w:p w14:paraId="2FEAEB6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p>
              </w:tc>
              <w:tc>
                <w:tcPr>
                  <w:tcW w:w="427" w:type="dxa"/>
                  <w:vMerge w:val="continue"/>
                  <w:tcBorders>
                    <w:tl2br w:val="nil"/>
                    <w:tr2bl w:val="nil"/>
                  </w:tcBorders>
                  <w:noWrap w:val="0"/>
                  <w:vAlign w:val="center"/>
                </w:tcPr>
                <w:p w14:paraId="6FC9DB2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kern w:val="2"/>
                      <w:sz w:val="21"/>
                      <w:szCs w:val="21"/>
                      <w:highlight w:val="none"/>
                      <w:lang w:val="en-US" w:eastAsia="zh-CN" w:bidi="ar-SA"/>
                    </w:rPr>
                  </w:pPr>
                </w:p>
              </w:tc>
              <w:tc>
                <w:tcPr>
                  <w:tcW w:w="0" w:type="auto"/>
                  <w:tcBorders>
                    <w:tl2br w:val="nil"/>
                    <w:tr2bl w:val="nil"/>
                  </w:tcBorders>
                  <w:noWrap w:val="0"/>
                  <w:vAlign w:val="center"/>
                </w:tcPr>
                <w:p w14:paraId="7265BD0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cs="Times New Roman"/>
                      <w:color w:val="FF0000"/>
                      <w:kern w:val="2"/>
                      <w:sz w:val="21"/>
                      <w:szCs w:val="21"/>
                      <w:highlight w:val="none"/>
                      <w:lang w:val="en-US" w:eastAsia="zh-CN" w:bidi="ar-SA"/>
                    </w:rPr>
                  </w:pPr>
                  <w:r>
                    <w:rPr>
                      <w:rFonts w:hint="eastAsia" w:cs="Times New Roman"/>
                      <w:color w:val="FF0000"/>
                      <w:kern w:val="2"/>
                      <w:sz w:val="21"/>
                      <w:szCs w:val="21"/>
                      <w:highlight w:val="none"/>
                      <w:lang w:val="en-US" w:eastAsia="zh-CN" w:bidi="ar-SA"/>
                    </w:rPr>
                    <w:t>0.083</w:t>
                  </w:r>
                </w:p>
              </w:tc>
              <w:tc>
                <w:tcPr>
                  <w:tcW w:w="794" w:type="dxa"/>
                  <w:tcBorders>
                    <w:tl2br w:val="nil"/>
                    <w:tr2bl w:val="nil"/>
                  </w:tcBorders>
                  <w:noWrap w:val="0"/>
                  <w:vAlign w:val="center"/>
                </w:tcPr>
                <w:p w14:paraId="116EE7FE">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FF0000"/>
                      <w:kern w:val="0"/>
                      <w:sz w:val="21"/>
                      <w:szCs w:val="21"/>
                      <w:highlight w:val="none"/>
                      <w:u w:val="none"/>
                      <w:lang w:val="en-US" w:eastAsia="zh-CN" w:bidi="ar"/>
                    </w:rPr>
                  </w:pPr>
                  <w:r>
                    <w:rPr>
                      <w:rFonts w:hint="eastAsia" w:cs="Times New Roman"/>
                      <w:i w:val="0"/>
                      <w:iCs w:val="0"/>
                      <w:color w:val="FF0000"/>
                      <w:kern w:val="0"/>
                      <w:sz w:val="21"/>
                      <w:szCs w:val="21"/>
                      <w:highlight w:val="none"/>
                      <w:u w:val="none"/>
                      <w:lang w:val="en-US" w:eastAsia="zh-CN" w:bidi="ar"/>
                    </w:rPr>
                    <w:t>0.0005</w:t>
                  </w:r>
                </w:p>
              </w:tc>
              <w:tc>
                <w:tcPr>
                  <w:tcW w:w="794" w:type="dxa"/>
                  <w:tcBorders>
                    <w:tl2br w:val="nil"/>
                    <w:tr2bl w:val="nil"/>
                  </w:tcBorders>
                  <w:noWrap w:val="0"/>
                  <w:vAlign w:val="center"/>
                </w:tcPr>
                <w:p w14:paraId="69D0C70D">
                  <w:pPr>
                    <w:keepNext w:val="0"/>
                    <w:keepLines w:val="0"/>
                    <w:widowControl/>
                    <w:suppressLineNumbers w:val="0"/>
                    <w:spacing w:before="0" w:beforeAutospacing="0" w:after="0" w:afterAutospacing="0"/>
                    <w:ind w:left="0" w:right="0"/>
                    <w:jc w:val="center"/>
                    <w:textAlignment w:val="center"/>
                    <w:rPr>
                      <w:rFonts w:hint="default" w:cs="Times New Roman"/>
                      <w:i w:val="0"/>
                      <w:iCs w:val="0"/>
                      <w:color w:val="FF0000"/>
                      <w:kern w:val="0"/>
                      <w:sz w:val="21"/>
                      <w:szCs w:val="21"/>
                      <w:highlight w:val="none"/>
                      <w:u w:val="none"/>
                      <w:lang w:val="en-US" w:eastAsia="zh-CN" w:bidi="ar"/>
                    </w:rPr>
                  </w:pPr>
                  <w:r>
                    <w:rPr>
                      <w:rFonts w:hint="eastAsia" w:cs="Times New Roman"/>
                      <w:i w:val="0"/>
                      <w:iCs w:val="0"/>
                      <w:color w:val="FF0000"/>
                      <w:kern w:val="0"/>
                      <w:sz w:val="21"/>
                      <w:szCs w:val="21"/>
                      <w:highlight w:val="none"/>
                      <w:u w:val="none"/>
                      <w:lang w:val="en-US" w:eastAsia="zh-CN" w:bidi="ar"/>
                    </w:rPr>
                    <w:t>0.0025</w:t>
                  </w:r>
                </w:p>
              </w:tc>
              <w:tc>
                <w:tcPr>
                  <w:tcW w:w="835" w:type="dxa"/>
                  <w:vMerge w:val="continue"/>
                  <w:tcBorders>
                    <w:tl2br w:val="nil"/>
                    <w:tr2bl w:val="nil"/>
                  </w:tcBorders>
                  <w:noWrap w:val="0"/>
                  <w:vAlign w:val="center"/>
                </w:tcPr>
                <w:p w14:paraId="121B0D7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p>
              </w:tc>
              <w:tc>
                <w:tcPr>
                  <w:tcW w:w="427" w:type="dxa"/>
                  <w:vMerge w:val="continue"/>
                  <w:tcBorders>
                    <w:tl2br w:val="nil"/>
                    <w:tr2bl w:val="nil"/>
                  </w:tcBorders>
                  <w:noWrap w:val="0"/>
                  <w:vAlign w:val="center"/>
                </w:tcPr>
                <w:p w14:paraId="0F210A8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ascii="Times New Roman" w:hAnsi="Times New Roman" w:eastAsia="宋体" w:cs="Times New Roman"/>
                      <w:color w:val="auto"/>
                      <w:kern w:val="0"/>
                      <w:sz w:val="21"/>
                      <w:szCs w:val="21"/>
                      <w:highlight w:val="none"/>
                      <w:lang w:bidi="ar"/>
                    </w:rPr>
                  </w:pPr>
                </w:p>
              </w:tc>
              <w:tc>
                <w:tcPr>
                  <w:tcW w:w="479" w:type="dxa"/>
                  <w:vMerge w:val="continue"/>
                  <w:tcBorders>
                    <w:tl2br w:val="nil"/>
                    <w:tr2bl w:val="nil"/>
                  </w:tcBorders>
                  <w:noWrap w:val="0"/>
                  <w:vAlign w:val="center"/>
                </w:tcPr>
                <w:p w14:paraId="3318D99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p>
              </w:tc>
              <w:tc>
                <w:tcPr>
                  <w:tcW w:w="444" w:type="dxa"/>
                  <w:vMerge w:val="continue"/>
                  <w:tcBorders>
                    <w:tl2br w:val="nil"/>
                    <w:tr2bl w:val="nil"/>
                  </w:tcBorders>
                  <w:noWrap w:val="0"/>
                  <w:vAlign w:val="center"/>
                </w:tcPr>
                <w:p w14:paraId="690BA5B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ascii="Times New Roman" w:hAnsi="Times New Roman" w:eastAsia="宋体" w:cs="Times New Roman"/>
                      <w:color w:val="auto"/>
                      <w:kern w:val="0"/>
                      <w:sz w:val="21"/>
                      <w:szCs w:val="21"/>
                      <w:highlight w:val="none"/>
                      <w:lang w:bidi="ar"/>
                    </w:rPr>
                  </w:pPr>
                </w:p>
              </w:tc>
              <w:tc>
                <w:tcPr>
                  <w:tcW w:w="427" w:type="dxa"/>
                  <w:vMerge w:val="continue"/>
                  <w:tcBorders>
                    <w:tl2br w:val="nil"/>
                    <w:tr2bl w:val="nil"/>
                  </w:tcBorders>
                  <w:noWrap w:val="0"/>
                  <w:vAlign w:val="center"/>
                </w:tcPr>
                <w:p w14:paraId="35BA2B1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ascii="Times New Roman" w:hAnsi="Times New Roman" w:eastAsia="宋体" w:cs="Times New Roman"/>
                      <w:color w:val="auto"/>
                      <w:kern w:val="0"/>
                      <w:sz w:val="21"/>
                      <w:szCs w:val="21"/>
                      <w:highlight w:val="none"/>
                      <w:lang w:bidi="ar"/>
                    </w:rPr>
                  </w:pPr>
                </w:p>
              </w:tc>
              <w:tc>
                <w:tcPr>
                  <w:tcW w:w="1552" w:type="dxa"/>
                  <w:vMerge w:val="continue"/>
                  <w:tcBorders>
                    <w:tl2br w:val="nil"/>
                    <w:tr2bl w:val="nil"/>
                  </w:tcBorders>
                  <w:noWrap w:val="0"/>
                  <w:vAlign w:val="center"/>
                </w:tcPr>
                <w:p w14:paraId="6BCF6A6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ascii="Times New Roman" w:hAnsi="Times New Roman" w:eastAsia="宋体" w:cs="Times New Roman"/>
                      <w:bCs/>
                      <w:color w:val="auto"/>
                      <w:sz w:val="21"/>
                      <w:szCs w:val="21"/>
                      <w:highlight w:val="none"/>
                    </w:rPr>
                  </w:pPr>
                </w:p>
              </w:tc>
              <w:tc>
                <w:tcPr>
                  <w:tcW w:w="689" w:type="dxa"/>
                  <w:vMerge w:val="continue"/>
                  <w:tcBorders>
                    <w:tl2br w:val="nil"/>
                    <w:tr2bl w:val="nil"/>
                  </w:tcBorders>
                  <w:noWrap w:val="0"/>
                  <w:vAlign w:val="center"/>
                </w:tcPr>
                <w:p w14:paraId="75A4E24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ascii="Times New Roman" w:hAnsi="Times New Roman" w:eastAsia="宋体" w:cs="Times New Roman"/>
                      <w:bCs/>
                      <w:color w:val="auto"/>
                      <w:sz w:val="21"/>
                      <w:szCs w:val="21"/>
                      <w:highlight w:val="none"/>
                    </w:rPr>
                  </w:pPr>
                </w:p>
              </w:tc>
              <w:tc>
                <w:tcPr>
                  <w:tcW w:w="0" w:type="auto"/>
                  <w:tcBorders>
                    <w:tl2br w:val="nil"/>
                    <w:tr2bl w:val="nil"/>
                  </w:tcBorders>
                  <w:noWrap w:val="0"/>
                  <w:vAlign w:val="center"/>
                </w:tcPr>
                <w:p w14:paraId="4E600FD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cs="Times New Roman"/>
                      <w:bCs/>
                      <w:color w:val="auto"/>
                      <w:sz w:val="21"/>
                      <w:szCs w:val="21"/>
                      <w:highlight w:val="none"/>
                      <w:lang w:val="en-US" w:eastAsia="zh-CN"/>
                    </w:rPr>
                  </w:pPr>
                  <w:r>
                    <w:rPr>
                      <w:rFonts w:hint="eastAsia" w:cs="Times New Roman"/>
                      <w:bCs/>
                      <w:color w:val="auto"/>
                      <w:sz w:val="21"/>
                      <w:szCs w:val="21"/>
                      <w:highlight w:val="none"/>
                      <w:lang w:val="en-US" w:eastAsia="zh-CN"/>
                    </w:rPr>
                    <w:t>1.0</w:t>
                  </w:r>
                </w:p>
              </w:tc>
              <w:tc>
                <w:tcPr>
                  <w:tcW w:w="0" w:type="auto"/>
                  <w:tcBorders>
                    <w:tl2br w:val="nil"/>
                    <w:tr2bl w:val="nil"/>
                  </w:tcBorders>
                  <w:noWrap w:val="0"/>
                  <w:vAlign w:val="center"/>
                </w:tcPr>
                <w:p w14:paraId="2E54A1A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eastAsia" w:cs="Times New Roman"/>
                      <w:bCs/>
                      <w:color w:val="auto"/>
                      <w:sz w:val="21"/>
                      <w:szCs w:val="21"/>
                      <w:highlight w:val="none"/>
                      <w:lang w:val="en-US" w:eastAsia="zh-CN"/>
                    </w:rPr>
                  </w:pPr>
                </w:p>
              </w:tc>
            </w:tr>
            <w:tr w14:paraId="7BBCD5A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636" w:type="dxa"/>
                  <w:vMerge w:val="continue"/>
                  <w:tcBorders>
                    <w:tl2br w:val="nil"/>
                    <w:tr2bl w:val="nil"/>
                  </w:tcBorders>
                  <w:noWrap w:val="0"/>
                  <w:vAlign w:val="center"/>
                </w:tcPr>
                <w:p w14:paraId="79B7478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Cs/>
                      <w:color w:val="auto"/>
                      <w:sz w:val="21"/>
                      <w:szCs w:val="21"/>
                      <w:highlight w:val="none"/>
                    </w:rPr>
                  </w:pPr>
                </w:p>
              </w:tc>
              <w:tc>
                <w:tcPr>
                  <w:tcW w:w="427" w:type="dxa"/>
                  <w:vMerge w:val="restart"/>
                  <w:tcBorders>
                    <w:tl2br w:val="nil"/>
                    <w:tr2bl w:val="nil"/>
                  </w:tcBorders>
                  <w:noWrap w:val="0"/>
                  <w:vAlign w:val="center"/>
                </w:tcPr>
                <w:p w14:paraId="007FB95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cs="Times New Roman"/>
                      <w:bCs/>
                      <w:color w:val="auto"/>
                      <w:sz w:val="21"/>
                      <w:szCs w:val="21"/>
                      <w:highlight w:val="none"/>
                      <w:lang w:val="en-US" w:eastAsia="zh-CN"/>
                    </w:rPr>
                  </w:pPr>
                  <w:r>
                    <w:rPr>
                      <w:rFonts w:hint="eastAsia" w:cs="Times New Roman"/>
                      <w:bCs/>
                      <w:color w:val="auto"/>
                      <w:sz w:val="21"/>
                      <w:szCs w:val="21"/>
                      <w:highlight w:val="none"/>
                      <w:lang w:val="en-US" w:eastAsia="zh-CN"/>
                    </w:rPr>
                    <w:t>无组织</w:t>
                  </w:r>
                </w:p>
              </w:tc>
              <w:tc>
                <w:tcPr>
                  <w:tcW w:w="625" w:type="dxa"/>
                  <w:tcBorders>
                    <w:tl2br w:val="nil"/>
                    <w:tr2bl w:val="nil"/>
                  </w:tcBorders>
                  <w:noWrap w:val="0"/>
                  <w:vAlign w:val="center"/>
                </w:tcPr>
                <w:p w14:paraId="5F33964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rPr>
                    <w:t>非甲烷总烃</w:t>
                  </w:r>
                </w:p>
              </w:tc>
              <w:tc>
                <w:tcPr>
                  <w:tcW w:w="798" w:type="dxa"/>
                  <w:tcBorders>
                    <w:tl2br w:val="nil"/>
                    <w:tr2bl w:val="nil"/>
                  </w:tcBorders>
                  <w:noWrap w:val="0"/>
                  <w:vAlign w:val="center"/>
                </w:tcPr>
                <w:p w14:paraId="7050E4B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794" w:type="dxa"/>
                  <w:tcBorders>
                    <w:tl2br w:val="nil"/>
                    <w:tr2bl w:val="nil"/>
                  </w:tcBorders>
                  <w:noWrap w:val="0"/>
                  <w:vAlign w:val="center"/>
                </w:tcPr>
                <w:p w14:paraId="5BE4A4BB">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FF0000"/>
                      <w:kern w:val="0"/>
                      <w:sz w:val="21"/>
                      <w:szCs w:val="21"/>
                      <w:highlight w:val="none"/>
                      <w:u w:val="none"/>
                      <w:lang w:val="en-US" w:eastAsia="zh-CN" w:bidi="ar"/>
                    </w:rPr>
                  </w:pPr>
                  <w:r>
                    <w:rPr>
                      <w:rFonts w:hint="eastAsia" w:cs="Times New Roman"/>
                      <w:i w:val="0"/>
                      <w:iCs w:val="0"/>
                      <w:color w:val="FF0000"/>
                      <w:kern w:val="0"/>
                      <w:sz w:val="21"/>
                      <w:szCs w:val="21"/>
                      <w:highlight w:val="none"/>
                      <w:u w:val="none"/>
                      <w:lang w:val="en-US" w:eastAsia="zh-CN" w:bidi="ar"/>
                    </w:rPr>
                    <w:t>0.029</w:t>
                  </w:r>
                </w:p>
              </w:tc>
              <w:tc>
                <w:tcPr>
                  <w:tcW w:w="794" w:type="dxa"/>
                  <w:tcBorders>
                    <w:tl2br w:val="nil"/>
                    <w:tr2bl w:val="nil"/>
                  </w:tcBorders>
                  <w:noWrap w:val="0"/>
                  <w:vAlign w:val="center"/>
                </w:tcPr>
                <w:p w14:paraId="5F20BB8A">
                  <w:pPr>
                    <w:keepNext w:val="0"/>
                    <w:keepLines w:val="0"/>
                    <w:widowControl/>
                    <w:suppressLineNumbers w:val="0"/>
                    <w:spacing w:before="0" w:beforeAutospacing="0" w:after="0" w:afterAutospacing="0"/>
                    <w:ind w:left="0" w:right="0"/>
                    <w:jc w:val="center"/>
                    <w:textAlignment w:val="center"/>
                    <w:rPr>
                      <w:rFonts w:hint="default" w:cs="Times New Roman"/>
                      <w:i w:val="0"/>
                      <w:iCs w:val="0"/>
                      <w:color w:val="FF0000"/>
                      <w:kern w:val="0"/>
                      <w:sz w:val="21"/>
                      <w:szCs w:val="21"/>
                      <w:highlight w:val="none"/>
                      <w:u w:val="none"/>
                      <w:lang w:val="en-US" w:eastAsia="zh-CN" w:bidi="ar"/>
                    </w:rPr>
                  </w:pPr>
                  <w:r>
                    <w:rPr>
                      <w:rFonts w:hint="eastAsia" w:cs="Times New Roman"/>
                      <w:i w:val="0"/>
                      <w:iCs w:val="0"/>
                      <w:color w:val="FF0000"/>
                      <w:kern w:val="0"/>
                      <w:sz w:val="21"/>
                      <w:szCs w:val="21"/>
                      <w:highlight w:val="none"/>
                      <w:u w:val="none"/>
                      <w:lang w:val="en-US" w:eastAsia="zh-CN" w:bidi="ar"/>
                    </w:rPr>
                    <w:t>0.141</w:t>
                  </w:r>
                </w:p>
              </w:tc>
              <w:tc>
                <w:tcPr>
                  <w:tcW w:w="741" w:type="dxa"/>
                  <w:tcBorders>
                    <w:tl2br w:val="nil"/>
                    <w:tr2bl w:val="nil"/>
                  </w:tcBorders>
                  <w:noWrap w:val="0"/>
                  <w:vAlign w:val="center"/>
                </w:tcPr>
                <w:p w14:paraId="0F533F6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kern w:val="2"/>
                      <w:sz w:val="21"/>
                      <w:szCs w:val="21"/>
                      <w:highlight w:val="none"/>
                      <w:lang w:val="en-US" w:eastAsia="zh-CN" w:bidi="ar-SA"/>
                    </w:rPr>
                    <w:t>/</w:t>
                  </w:r>
                </w:p>
              </w:tc>
              <w:tc>
                <w:tcPr>
                  <w:tcW w:w="427" w:type="dxa"/>
                  <w:tcBorders>
                    <w:tl2br w:val="nil"/>
                    <w:tr2bl w:val="nil"/>
                  </w:tcBorders>
                  <w:noWrap w:val="0"/>
                  <w:vAlign w:val="center"/>
                </w:tcPr>
                <w:p w14:paraId="67C94F0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689" w:type="dxa"/>
                  <w:tcBorders>
                    <w:tl2br w:val="nil"/>
                    <w:tr2bl w:val="nil"/>
                  </w:tcBorders>
                  <w:noWrap w:val="0"/>
                  <w:vAlign w:val="center"/>
                </w:tcPr>
                <w:p w14:paraId="5955F7C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0" w:type="auto"/>
                  <w:tcBorders>
                    <w:tl2br w:val="nil"/>
                    <w:tr2bl w:val="nil"/>
                  </w:tcBorders>
                  <w:noWrap w:val="0"/>
                  <w:vAlign w:val="center"/>
                </w:tcPr>
                <w:p w14:paraId="5637DDF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eastAsia" w:cs="Times New Roman"/>
                      <w:color w:val="auto"/>
                      <w:kern w:val="2"/>
                      <w:sz w:val="21"/>
                      <w:szCs w:val="21"/>
                      <w:highlight w:val="none"/>
                      <w:lang w:val="en-US" w:eastAsia="zh-CN" w:bidi="ar-SA"/>
                    </w:rPr>
                    <w:t>/</w:t>
                  </w:r>
                </w:p>
              </w:tc>
              <w:tc>
                <w:tcPr>
                  <w:tcW w:w="0" w:type="auto"/>
                  <w:tcBorders>
                    <w:tl2br w:val="nil"/>
                    <w:tr2bl w:val="nil"/>
                  </w:tcBorders>
                  <w:noWrap w:val="0"/>
                  <w:vAlign w:val="center"/>
                </w:tcPr>
                <w:p w14:paraId="79A9706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0" w:type="auto"/>
                  <w:tcBorders>
                    <w:tl2br w:val="nil"/>
                    <w:tr2bl w:val="nil"/>
                  </w:tcBorders>
                  <w:noWrap w:val="0"/>
                  <w:vAlign w:val="center"/>
                </w:tcPr>
                <w:p w14:paraId="0ECDD6A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794" w:type="dxa"/>
                  <w:tcBorders>
                    <w:tl2br w:val="nil"/>
                    <w:tr2bl w:val="nil"/>
                  </w:tcBorders>
                  <w:shd w:val="clear" w:color="auto" w:fill="auto"/>
                  <w:noWrap w:val="0"/>
                  <w:vAlign w:val="center"/>
                </w:tcPr>
                <w:p w14:paraId="51A3D2E0">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FF0000"/>
                      <w:kern w:val="0"/>
                      <w:sz w:val="21"/>
                      <w:szCs w:val="21"/>
                      <w:highlight w:val="none"/>
                      <w:u w:val="none"/>
                      <w:lang w:val="en-US" w:eastAsia="zh-CN" w:bidi="ar"/>
                    </w:rPr>
                  </w:pPr>
                  <w:r>
                    <w:rPr>
                      <w:rFonts w:hint="eastAsia" w:cs="Times New Roman"/>
                      <w:i w:val="0"/>
                      <w:iCs w:val="0"/>
                      <w:color w:val="FF0000"/>
                      <w:kern w:val="0"/>
                      <w:sz w:val="21"/>
                      <w:szCs w:val="21"/>
                      <w:highlight w:val="none"/>
                      <w:u w:val="none"/>
                      <w:lang w:val="en-US" w:eastAsia="zh-CN" w:bidi="ar"/>
                    </w:rPr>
                    <w:t>0.029</w:t>
                  </w:r>
                </w:p>
              </w:tc>
              <w:tc>
                <w:tcPr>
                  <w:tcW w:w="794" w:type="dxa"/>
                  <w:tcBorders>
                    <w:tl2br w:val="nil"/>
                    <w:tr2bl w:val="nil"/>
                  </w:tcBorders>
                  <w:shd w:val="clear" w:color="auto" w:fill="auto"/>
                  <w:noWrap w:val="0"/>
                  <w:vAlign w:val="center"/>
                </w:tcPr>
                <w:p w14:paraId="6A8A4797">
                  <w:pPr>
                    <w:keepNext w:val="0"/>
                    <w:keepLines w:val="0"/>
                    <w:widowControl/>
                    <w:suppressLineNumbers w:val="0"/>
                    <w:spacing w:before="0" w:beforeAutospacing="0" w:after="0" w:afterAutospacing="0"/>
                    <w:ind w:left="0" w:leftChars="0" w:right="0" w:rightChars="0"/>
                    <w:jc w:val="center"/>
                    <w:textAlignment w:val="center"/>
                    <w:rPr>
                      <w:rFonts w:hint="eastAsia" w:ascii="Times New Roman" w:hAnsi="Times New Roman" w:eastAsia="宋体" w:cs="Times New Roman"/>
                      <w:i w:val="0"/>
                      <w:iCs w:val="0"/>
                      <w:color w:val="FF0000"/>
                      <w:kern w:val="0"/>
                      <w:sz w:val="21"/>
                      <w:szCs w:val="21"/>
                      <w:highlight w:val="none"/>
                      <w:u w:val="none"/>
                      <w:lang w:val="en-US" w:eastAsia="zh-CN" w:bidi="ar"/>
                    </w:rPr>
                  </w:pPr>
                  <w:r>
                    <w:rPr>
                      <w:rFonts w:hint="eastAsia" w:cs="Times New Roman"/>
                      <w:i w:val="0"/>
                      <w:iCs w:val="0"/>
                      <w:color w:val="FF0000"/>
                      <w:kern w:val="0"/>
                      <w:sz w:val="21"/>
                      <w:szCs w:val="21"/>
                      <w:highlight w:val="none"/>
                      <w:u w:val="none"/>
                      <w:lang w:val="en-US" w:eastAsia="zh-CN" w:bidi="ar"/>
                    </w:rPr>
                    <w:t>0.141</w:t>
                  </w:r>
                </w:p>
              </w:tc>
              <w:tc>
                <w:tcPr>
                  <w:tcW w:w="0" w:type="auto"/>
                  <w:tcBorders>
                    <w:tl2br w:val="nil"/>
                    <w:tr2bl w:val="nil"/>
                  </w:tcBorders>
                  <w:noWrap w:val="0"/>
                  <w:vAlign w:val="center"/>
                </w:tcPr>
                <w:p w14:paraId="22F5A2E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eastAsia" w:cs="Times New Roman"/>
                      <w:color w:val="auto"/>
                      <w:kern w:val="2"/>
                      <w:sz w:val="21"/>
                      <w:szCs w:val="21"/>
                      <w:highlight w:val="none"/>
                      <w:lang w:val="en-US" w:eastAsia="zh-CN" w:bidi="ar-SA"/>
                    </w:rPr>
                    <w:t>/</w:t>
                  </w:r>
                </w:p>
              </w:tc>
              <w:tc>
                <w:tcPr>
                  <w:tcW w:w="0" w:type="auto"/>
                  <w:tcBorders>
                    <w:tl2br w:val="nil"/>
                    <w:tr2bl w:val="nil"/>
                  </w:tcBorders>
                  <w:noWrap w:val="0"/>
                  <w:vAlign w:val="center"/>
                </w:tcPr>
                <w:p w14:paraId="48C7DD8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ascii="Times New Roman" w:hAnsi="Times New Roman" w:eastAsia="宋体" w:cs="Times New Roman"/>
                      <w:color w:val="auto"/>
                      <w:kern w:val="0"/>
                      <w:sz w:val="21"/>
                      <w:szCs w:val="21"/>
                      <w:highlight w:val="none"/>
                      <w:lang w:bidi="ar"/>
                    </w:rPr>
                  </w:pPr>
                  <w:r>
                    <w:rPr>
                      <w:rFonts w:hint="eastAsia" w:cs="Times New Roman"/>
                      <w:color w:val="auto"/>
                      <w:kern w:val="2"/>
                      <w:sz w:val="21"/>
                      <w:szCs w:val="21"/>
                      <w:highlight w:val="none"/>
                      <w:lang w:val="en-US" w:eastAsia="zh-CN" w:bidi="ar-SA"/>
                    </w:rPr>
                    <w:t>/</w:t>
                  </w:r>
                </w:p>
              </w:tc>
              <w:tc>
                <w:tcPr>
                  <w:tcW w:w="0" w:type="auto"/>
                  <w:tcBorders>
                    <w:tl2br w:val="nil"/>
                    <w:tr2bl w:val="nil"/>
                  </w:tcBorders>
                  <w:noWrap w:val="0"/>
                  <w:vAlign w:val="center"/>
                </w:tcPr>
                <w:p w14:paraId="44A7966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eastAsia" w:cs="Times New Roman"/>
                      <w:color w:val="auto"/>
                      <w:kern w:val="2"/>
                      <w:sz w:val="21"/>
                      <w:szCs w:val="21"/>
                      <w:highlight w:val="none"/>
                      <w:lang w:val="en-US" w:eastAsia="zh-CN" w:bidi="ar-SA"/>
                    </w:rPr>
                    <w:t>/</w:t>
                  </w:r>
                </w:p>
              </w:tc>
              <w:tc>
                <w:tcPr>
                  <w:tcW w:w="0" w:type="auto"/>
                  <w:tcBorders>
                    <w:tl2br w:val="nil"/>
                    <w:tr2bl w:val="nil"/>
                  </w:tcBorders>
                  <w:noWrap w:val="0"/>
                  <w:vAlign w:val="center"/>
                </w:tcPr>
                <w:p w14:paraId="7AF82F0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ascii="Times New Roman" w:hAnsi="Times New Roman" w:eastAsia="宋体" w:cs="Times New Roman"/>
                      <w:color w:val="auto"/>
                      <w:kern w:val="0"/>
                      <w:sz w:val="21"/>
                      <w:szCs w:val="21"/>
                      <w:highlight w:val="none"/>
                      <w:lang w:bidi="ar"/>
                    </w:rPr>
                  </w:pPr>
                  <w:r>
                    <w:rPr>
                      <w:rFonts w:hint="eastAsia" w:cs="Times New Roman"/>
                      <w:color w:val="auto"/>
                      <w:kern w:val="2"/>
                      <w:sz w:val="21"/>
                      <w:szCs w:val="21"/>
                      <w:highlight w:val="none"/>
                      <w:lang w:val="en-US" w:eastAsia="zh-CN" w:bidi="ar-SA"/>
                    </w:rPr>
                    <w:t>/</w:t>
                  </w:r>
                </w:p>
              </w:tc>
              <w:tc>
                <w:tcPr>
                  <w:tcW w:w="0" w:type="auto"/>
                  <w:tcBorders>
                    <w:tl2br w:val="nil"/>
                    <w:tr2bl w:val="nil"/>
                  </w:tcBorders>
                  <w:noWrap w:val="0"/>
                  <w:vAlign w:val="center"/>
                </w:tcPr>
                <w:p w14:paraId="3CC6149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ascii="Times New Roman" w:hAnsi="Times New Roman" w:eastAsia="宋体" w:cs="Times New Roman"/>
                      <w:color w:val="auto"/>
                      <w:kern w:val="0"/>
                      <w:sz w:val="21"/>
                      <w:szCs w:val="21"/>
                      <w:highlight w:val="none"/>
                      <w:lang w:bidi="ar"/>
                    </w:rPr>
                  </w:pPr>
                  <w:r>
                    <w:rPr>
                      <w:rFonts w:hint="eastAsia" w:cs="Times New Roman"/>
                      <w:color w:val="auto"/>
                      <w:kern w:val="2"/>
                      <w:sz w:val="21"/>
                      <w:szCs w:val="21"/>
                      <w:highlight w:val="none"/>
                      <w:lang w:val="en-US" w:eastAsia="zh-CN" w:bidi="ar-SA"/>
                    </w:rPr>
                    <w:t>/</w:t>
                  </w:r>
                </w:p>
              </w:tc>
              <w:tc>
                <w:tcPr>
                  <w:tcW w:w="1552" w:type="dxa"/>
                  <w:tcBorders>
                    <w:tl2br w:val="nil"/>
                    <w:tr2bl w:val="nil"/>
                  </w:tcBorders>
                  <w:noWrap w:val="0"/>
                  <w:vAlign w:val="center"/>
                </w:tcPr>
                <w:p w14:paraId="5A12CEB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ascii="Times New Roman" w:hAnsi="Times New Roman" w:eastAsia="宋体" w:cs="Times New Roman"/>
                      <w:bCs/>
                      <w:color w:val="auto"/>
                      <w:sz w:val="21"/>
                      <w:szCs w:val="21"/>
                      <w:highlight w:val="none"/>
                    </w:rPr>
                  </w:pPr>
                  <w:r>
                    <w:rPr>
                      <w:rFonts w:hint="eastAsia" w:cs="Times New Roman"/>
                      <w:color w:val="auto"/>
                      <w:kern w:val="2"/>
                      <w:sz w:val="21"/>
                      <w:szCs w:val="21"/>
                      <w:highlight w:val="none"/>
                      <w:lang w:val="en-US" w:eastAsia="zh-CN" w:bidi="ar-SA"/>
                    </w:rPr>
                    <w:t>/</w:t>
                  </w:r>
                </w:p>
              </w:tc>
              <w:tc>
                <w:tcPr>
                  <w:tcW w:w="689" w:type="dxa"/>
                  <w:tcBorders>
                    <w:tl2br w:val="nil"/>
                    <w:tr2bl w:val="nil"/>
                  </w:tcBorders>
                  <w:noWrap w:val="0"/>
                  <w:vAlign w:val="center"/>
                </w:tcPr>
                <w:p w14:paraId="7B47E9E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0" w:type="auto"/>
                  <w:tcBorders>
                    <w:tl2br w:val="nil"/>
                    <w:tr2bl w:val="nil"/>
                  </w:tcBorders>
                  <w:noWrap w:val="0"/>
                  <w:vAlign w:val="center"/>
                </w:tcPr>
                <w:p w14:paraId="6E6ED7B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cs="Times New Roman"/>
                      <w:bCs/>
                      <w:color w:val="auto"/>
                      <w:sz w:val="21"/>
                      <w:szCs w:val="21"/>
                      <w:highlight w:val="none"/>
                      <w:lang w:val="en-US" w:eastAsia="zh-CN"/>
                    </w:rPr>
                  </w:pPr>
                  <w:r>
                    <w:rPr>
                      <w:rFonts w:hint="eastAsia" w:cs="Times New Roman"/>
                      <w:bCs/>
                      <w:color w:val="auto"/>
                      <w:sz w:val="21"/>
                      <w:szCs w:val="21"/>
                      <w:highlight w:val="none"/>
                      <w:lang w:val="en-US" w:eastAsia="zh-CN"/>
                    </w:rPr>
                    <w:t>4.0</w:t>
                  </w:r>
                </w:p>
              </w:tc>
              <w:tc>
                <w:tcPr>
                  <w:tcW w:w="0" w:type="auto"/>
                  <w:tcBorders>
                    <w:tl2br w:val="nil"/>
                    <w:tr2bl w:val="nil"/>
                  </w:tcBorders>
                  <w:noWrap w:val="0"/>
                  <w:vAlign w:val="center"/>
                </w:tcPr>
                <w:p w14:paraId="1BA9360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eastAsia" w:cs="Times New Roman"/>
                      <w:bCs/>
                      <w:color w:val="auto"/>
                      <w:sz w:val="21"/>
                      <w:szCs w:val="21"/>
                      <w:highlight w:val="none"/>
                      <w:lang w:val="en-US" w:eastAsia="zh-CN"/>
                    </w:rPr>
                  </w:pPr>
                  <w:r>
                    <w:rPr>
                      <w:rFonts w:hint="eastAsia" w:cs="Times New Roman"/>
                      <w:color w:val="auto"/>
                      <w:kern w:val="2"/>
                      <w:sz w:val="21"/>
                      <w:szCs w:val="21"/>
                      <w:highlight w:val="none"/>
                      <w:lang w:val="en-US" w:eastAsia="zh-CN" w:bidi="ar-SA"/>
                    </w:rPr>
                    <w:t>/</w:t>
                  </w:r>
                </w:p>
              </w:tc>
            </w:tr>
            <w:tr w14:paraId="33133CF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636" w:type="dxa"/>
                  <w:vMerge w:val="continue"/>
                  <w:tcBorders>
                    <w:tl2br w:val="nil"/>
                    <w:tr2bl w:val="nil"/>
                  </w:tcBorders>
                  <w:noWrap w:val="0"/>
                  <w:vAlign w:val="center"/>
                </w:tcPr>
                <w:p w14:paraId="3AC0027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Cs/>
                      <w:color w:val="auto"/>
                      <w:sz w:val="21"/>
                      <w:szCs w:val="21"/>
                      <w:highlight w:val="none"/>
                    </w:rPr>
                  </w:pPr>
                </w:p>
              </w:tc>
              <w:tc>
                <w:tcPr>
                  <w:tcW w:w="427" w:type="dxa"/>
                  <w:vMerge w:val="continue"/>
                  <w:tcBorders>
                    <w:tl2br w:val="nil"/>
                    <w:tr2bl w:val="nil"/>
                  </w:tcBorders>
                  <w:noWrap w:val="0"/>
                  <w:vAlign w:val="center"/>
                </w:tcPr>
                <w:p w14:paraId="7A4BF8A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cs="Times New Roman"/>
                      <w:bCs/>
                      <w:color w:val="auto"/>
                      <w:sz w:val="21"/>
                      <w:szCs w:val="21"/>
                      <w:highlight w:val="none"/>
                      <w:lang w:val="en-US" w:eastAsia="zh-CN"/>
                    </w:rPr>
                  </w:pPr>
                </w:p>
              </w:tc>
              <w:tc>
                <w:tcPr>
                  <w:tcW w:w="625" w:type="dxa"/>
                  <w:tcBorders>
                    <w:tl2br w:val="nil"/>
                    <w:tr2bl w:val="nil"/>
                  </w:tcBorders>
                  <w:noWrap w:val="0"/>
                  <w:vAlign w:val="center"/>
                </w:tcPr>
                <w:p w14:paraId="363D64B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rPr>
                  </w:pPr>
                  <w:r>
                    <w:rPr>
                      <w:rFonts w:hint="eastAsia" w:cs="Times New Roman"/>
                      <w:color w:val="auto"/>
                      <w:kern w:val="0"/>
                      <w:sz w:val="21"/>
                      <w:szCs w:val="21"/>
                      <w:highlight w:val="none"/>
                      <w:lang w:val="en-US" w:eastAsia="zh-CN"/>
                    </w:rPr>
                    <w:t>MDI</w:t>
                  </w:r>
                </w:p>
              </w:tc>
              <w:tc>
                <w:tcPr>
                  <w:tcW w:w="798" w:type="dxa"/>
                  <w:tcBorders>
                    <w:tl2br w:val="nil"/>
                    <w:tr2bl w:val="nil"/>
                  </w:tcBorders>
                  <w:noWrap w:val="0"/>
                  <w:vAlign w:val="center"/>
                </w:tcPr>
                <w:p w14:paraId="3C15E5A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794" w:type="dxa"/>
                  <w:tcBorders>
                    <w:tl2br w:val="nil"/>
                    <w:tr2bl w:val="nil"/>
                  </w:tcBorders>
                  <w:noWrap w:val="0"/>
                  <w:vAlign w:val="center"/>
                </w:tcPr>
                <w:p w14:paraId="646EEAD2">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FF0000"/>
                      <w:kern w:val="0"/>
                      <w:sz w:val="21"/>
                      <w:szCs w:val="21"/>
                      <w:highlight w:val="none"/>
                      <w:u w:val="none"/>
                      <w:lang w:val="en-US" w:eastAsia="zh-CN" w:bidi="ar"/>
                    </w:rPr>
                  </w:pPr>
                  <w:r>
                    <w:rPr>
                      <w:rFonts w:hint="eastAsia" w:cs="Times New Roman"/>
                      <w:i w:val="0"/>
                      <w:iCs w:val="0"/>
                      <w:color w:val="FF0000"/>
                      <w:kern w:val="0"/>
                      <w:sz w:val="21"/>
                      <w:szCs w:val="21"/>
                      <w:highlight w:val="none"/>
                      <w:u w:val="none"/>
                      <w:lang w:val="en-US" w:eastAsia="zh-CN" w:bidi="ar"/>
                    </w:rPr>
                    <w:t>0.0017</w:t>
                  </w:r>
                </w:p>
              </w:tc>
              <w:tc>
                <w:tcPr>
                  <w:tcW w:w="794" w:type="dxa"/>
                  <w:tcBorders>
                    <w:tl2br w:val="nil"/>
                    <w:tr2bl w:val="nil"/>
                  </w:tcBorders>
                  <w:noWrap w:val="0"/>
                  <w:vAlign w:val="center"/>
                </w:tcPr>
                <w:p w14:paraId="666C037F">
                  <w:pPr>
                    <w:keepNext w:val="0"/>
                    <w:keepLines w:val="0"/>
                    <w:widowControl/>
                    <w:suppressLineNumbers w:val="0"/>
                    <w:spacing w:before="0" w:beforeAutospacing="0" w:after="0" w:afterAutospacing="0"/>
                    <w:ind w:left="0" w:right="0"/>
                    <w:jc w:val="center"/>
                    <w:textAlignment w:val="center"/>
                    <w:rPr>
                      <w:rFonts w:hint="default" w:cs="Times New Roman"/>
                      <w:i w:val="0"/>
                      <w:iCs w:val="0"/>
                      <w:color w:val="FF0000"/>
                      <w:kern w:val="0"/>
                      <w:sz w:val="21"/>
                      <w:szCs w:val="21"/>
                      <w:highlight w:val="none"/>
                      <w:u w:val="none"/>
                      <w:lang w:val="en-US" w:eastAsia="zh-CN" w:bidi="ar"/>
                    </w:rPr>
                  </w:pPr>
                  <w:r>
                    <w:rPr>
                      <w:rFonts w:hint="eastAsia" w:cs="Times New Roman"/>
                      <w:i w:val="0"/>
                      <w:iCs w:val="0"/>
                      <w:color w:val="FF0000"/>
                      <w:kern w:val="0"/>
                      <w:sz w:val="21"/>
                      <w:szCs w:val="21"/>
                      <w:highlight w:val="none"/>
                      <w:u w:val="none"/>
                      <w:lang w:val="en-US" w:eastAsia="zh-CN" w:bidi="ar"/>
                    </w:rPr>
                    <w:t>0.081</w:t>
                  </w:r>
                </w:p>
              </w:tc>
              <w:tc>
                <w:tcPr>
                  <w:tcW w:w="741" w:type="dxa"/>
                  <w:tcBorders>
                    <w:tl2br w:val="nil"/>
                    <w:tr2bl w:val="nil"/>
                  </w:tcBorders>
                  <w:noWrap w:val="0"/>
                  <w:vAlign w:val="center"/>
                </w:tcPr>
                <w:p w14:paraId="1DDA791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kern w:val="2"/>
                      <w:sz w:val="21"/>
                      <w:szCs w:val="21"/>
                      <w:highlight w:val="none"/>
                      <w:lang w:val="en-US" w:eastAsia="zh-CN" w:bidi="ar-SA"/>
                    </w:rPr>
                    <w:t>/</w:t>
                  </w:r>
                </w:p>
              </w:tc>
              <w:tc>
                <w:tcPr>
                  <w:tcW w:w="427" w:type="dxa"/>
                  <w:tcBorders>
                    <w:tl2br w:val="nil"/>
                    <w:tr2bl w:val="nil"/>
                  </w:tcBorders>
                  <w:noWrap w:val="0"/>
                  <w:vAlign w:val="center"/>
                </w:tcPr>
                <w:p w14:paraId="13BC27A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689" w:type="dxa"/>
                  <w:tcBorders>
                    <w:tl2br w:val="nil"/>
                    <w:tr2bl w:val="nil"/>
                  </w:tcBorders>
                  <w:noWrap w:val="0"/>
                  <w:vAlign w:val="center"/>
                </w:tcPr>
                <w:p w14:paraId="3DC31A5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0" w:type="auto"/>
                  <w:tcBorders>
                    <w:tl2br w:val="nil"/>
                    <w:tr2bl w:val="nil"/>
                  </w:tcBorders>
                  <w:noWrap w:val="0"/>
                  <w:vAlign w:val="center"/>
                </w:tcPr>
                <w:p w14:paraId="023826E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eastAsia" w:cs="Times New Roman"/>
                      <w:color w:val="auto"/>
                      <w:kern w:val="2"/>
                      <w:sz w:val="21"/>
                      <w:szCs w:val="21"/>
                      <w:highlight w:val="none"/>
                      <w:lang w:val="en-US" w:eastAsia="zh-CN" w:bidi="ar-SA"/>
                    </w:rPr>
                    <w:t>/</w:t>
                  </w:r>
                </w:p>
              </w:tc>
              <w:tc>
                <w:tcPr>
                  <w:tcW w:w="0" w:type="auto"/>
                  <w:tcBorders>
                    <w:tl2br w:val="nil"/>
                    <w:tr2bl w:val="nil"/>
                  </w:tcBorders>
                  <w:noWrap w:val="0"/>
                  <w:vAlign w:val="center"/>
                </w:tcPr>
                <w:p w14:paraId="5C1778B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0" w:type="auto"/>
                  <w:tcBorders>
                    <w:tl2br w:val="nil"/>
                    <w:tr2bl w:val="nil"/>
                  </w:tcBorders>
                  <w:noWrap w:val="0"/>
                  <w:vAlign w:val="center"/>
                </w:tcPr>
                <w:p w14:paraId="7E89C47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794" w:type="dxa"/>
                  <w:tcBorders>
                    <w:tl2br w:val="nil"/>
                    <w:tr2bl w:val="nil"/>
                  </w:tcBorders>
                  <w:noWrap w:val="0"/>
                  <w:vAlign w:val="center"/>
                </w:tcPr>
                <w:p w14:paraId="431C33F1">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cs="Times New Roman"/>
                      <w:i w:val="0"/>
                      <w:iCs w:val="0"/>
                      <w:color w:val="FF0000"/>
                      <w:kern w:val="0"/>
                      <w:sz w:val="21"/>
                      <w:szCs w:val="21"/>
                      <w:highlight w:val="none"/>
                      <w:u w:val="none"/>
                      <w:lang w:val="en-US" w:eastAsia="zh-CN" w:bidi="ar"/>
                    </w:rPr>
                    <w:t>0.0017</w:t>
                  </w:r>
                </w:p>
              </w:tc>
              <w:tc>
                <w:tcPr>
                  <w:tcW w:w="794" w:type="dxa"/>
                  <w:tcBorders>
                    <w:tl2br w:val="nil"/>
                    <w:tr2bl w:val="nil"/>
                  </w:tcBorders>
                  <w:noWrap w:val="0"/>
                  <w:vAlign w:val="center"/>
                </w:tcPr>
                <w:p w14:paraId="0A4F1016">
                  <w:pPr>
                    <w:keepNext w:val="0"/>
                    <w:keepLines w:val="0"/>
                    <w:widowControl/>
                    <w:suppressLineNumbers w:val="0"/>
                    <w:spacing w:before="0" w:beforeAutospacing="0" w:after="0" w:afterAutospacing="0"/>
                    <w:ind w:left="0" w:leftChars="0" w:right="0" w:rightChars="0"/>
                    <w:jc w:val="center"/>
                    <w:textAlignment w:val="center"/>
                    <w:rPr>
                      <w:rFonts w:hint="eastAsia" w:cs="Times New Roman"/>
                      <w:i w:val="0"/>
                      <w:iCs w:val="0"/>
                      <w:color w:val="auto"/>
                      <w:kern w:val="0"/>
                      <w:sz w:val="21"/>
                      <w:szCs w:val="21"/>
                      <w:highlight w:val="none"/>
                      <w:u w:val="none"/>
                      <w:lang w:val="en-US" w:eastAsia="zh-CN" w:bidi="ar"/>
                    </w:rPr>
                  </w:pPr>
                  <w:r>
                    <w:rPr>
                      <w:rFonts w:hint="eastAsia" w:cs="Times New Roman"/>
                      <w:i w:val="0"/>
                      <w:iCs w:val="0"/>
                      <w:color w:val="FF0000"/>
                      <w:kern w:val="0"/>
                      <w:sz w:val="21"/>
                      <w:szCs w:val="21"/>
                      <w:highlight w:val="none"/>
                      <w:u w:val="none"/>
                      <w:lang w:val="en-US" w:eastAsia="zh-CN" w:bidi="ar"/>
                    </w:rPr>
                    <w:t>0.081</w:t>
                  </w:r>
                </w:p>
              </w:tc>
              <w:tc>
                <w:tcPr>
                  <w:tcW w:w="0" w:type="auto"/>
                  <w:tcBorders>
                    <w:tl2br w:val="nil"/>
                    <w:tr2bl w:val="nil"/>
                  </w:tcBorders>
                  <w:noWrap w:val="0"/>
                  <w:vAlign w:val="center"/>
                </w:tcPr>
                <w:p w14:paraId="582A11E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eastAsia" w:cs="Times New Roman"/>
                      <w:color w:val="auto"/>
                      <w:kern w:val="2"/>
                      <w:sz w:val="21"/>
                      <w:szCs w:val="21"/>
                      <w:highlight w:val="none"/>
                      <w:lang w:val="en-US" w:eastAsia="zh-CN" w:bidi="ar-SA"/>
                    </w:rPr>
                    <w:t>/</w:t>
                  </w:r>
                </w:p>
              </w:tc>
              <w:tc>
                <w:tcPr>
                  <w:tcW w:w="0" w:type="auto"/>
                  <w:tcBorders>
                    <w:tl2br w:val="nil"/>
                    <w:tr2bl w:val="nil"/>
                  </w:tcBorders>
                  <w:noWrap w:val="0"/>
                  <w:vAlign w:val="center"/>
                </w:tcPr>
                <w:p w14:paraId="041F20A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ascii="Times New Roman" w:hAnsi="Times New Roman" w:eastAsia="宋体" w:cs="Times New Roman"/>
                      <w:color w:val="auto"/>
                      <w:kern w:val="0"/>
                      <w:sz w:val="21"/>
                      <w:szCs w:val="21"/>
                      <w:highlight w:val="none"/>
                      <w:lang w:bidi="ar"/>
                    </w:rPr>
                  </w:pPr>
                  <w:r>
                    <w:rPr>
                      <w:rFonts w:hint="eastAsia" w:cs="Times New Roman"/>
                      <w:color w:val="auto"/>
                      <w:kern w:val="2"/>
                      <w:sz w:val="21"/>
                      <w:szCs w:val="21"/>
                      <w:highlight w:val="none"/>
                      <w:lang w:val="en-US" w:eastAsia="zh-CN" w:bidi="ar-SA"/>
                    </w:rPr>
                    <w:t>/</w:t>
                  </w:r>
                </w:p>
              </w:tc>
              <w:tc>
                <w:tcPr>
                  <w:tcW w:w="0" w:type="auto"/>
                  <w:tcBorders>
                    <w:tl2br w:val="nil"/>
                    <w:tr2bl w:val="nil"/>
                  </w:tcBorders>
                  <w:noWrap w:val="0"/>
                  <w:vAlign w:val="center"/>
                </w:tcPr>
                <w:p w14:paraId="7F3E43F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eastAsia" w:cs="Times New Roman"/>
                      <w:color w:val="auto"/>
                      <w:kern w:val="2"/>
                      <w:sz w:val="21"/>
                      <w:szCs w:val="21"/>
                      <w:highlight w:val="none"/>
                      <w:lang w:val="en-US" w:eastAsia="zh-CN" w:bidi="ar-SA"/>
                    </w:rPr>
                    <w:t>/</w:t>
                  </w:r>
                </w:p>
              </w:tc>
              <w:tc>
                <w:tcPr>
                  <w:tcW w:w="0" w:type="auto"/>
                  <w:tcBorders>
                    <w:tl2br w:val="nil"/>
                    <w:tr2bl w:val="nil"/>
                  </w:tcBorders>
                  <w:noWrap w:val="0"/>
                  <w:vAlign w:val="center"/>
                </w:tcPr>
                <w:p w14:paraId="385F492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ascii="Times New Roman" w:hAnsi="Times New Roman" w:eastAsia="宋体" w:cs="Times New Roman"/>
                      <w:color w:val="auto"/>
                      <w:kern w:val="0"/>
                      <w:sz w:val="21"/>
                      <w:szCs w:val="21"/>
                      <w:highlight w:val="none"/>
                      <w:lang w:bidi="ar"/>
                    </w:rPr>
                  </w:pPr>
                  <w:r>
                    <w:rPr>
                      <w:rFonts w:hint="eastAsia" w:cs="Times New Roman"/>
                      <w:color w:val="auto"/>
                      <w:kern w:val="2"/>
                      <w:sz w:val="21"/>
                      <w:szCs w:val="21"/>
                      <w:highlight w:val="none"/>
                      <w:lang w:val="en-US" w:eastAsia="zh-CN" w:bidi="ar-SA"/>
                    </w:rPr>
                    <w:t>/</w:t>
                  </w:r>
                </w:p>
              </w:tc>
              <w:tc>
                <w:tcPr>
                  <w:tcW w:w="0" w:type="auto"/>
                  <w:tcBorders>
                    <w:tl2br w:val="nil"/>
                    <w:tr2bl w:val="nil"/>
                  </w:tcBorders>
                  <w:noWrap w:val="0"/>
                  <w:vAlign w:val="center"/>
                </w:tcPr>
                <w:p w14:paraId="258F268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ascii="Times New Roman" w:hAnsi="Times New Roman" w:eastAsia="宋体" w:cs="Times New Roman"/>
                      <w:color w:val="auto"/>
                      <w:kern w:val="0"/>
                      <w:sz w:val="21"/>
                      <w:szCs w:val="21"/>
                      <w:highlight w:val="none"/>
                      <w:lang w:bidi="ar"/>
                    </w:rPr>
                  </w:pPr>
                  <w:r>
                    <w:rPr>
                      <w:rFonts w:hint="eastAsia" w:cs="Times New Roman"/>
                      <w:color w:val="auto"/>
                      <w:kern w:val="2"/>
                      <w:sz w:val="21"/>
                      <w:szCs w:val="21"/>
                      <w:highlight w:val="none"/>
                      <w:lang w:val="en-US" w:eastAsia="zh-CN" w:bidi="ar-SA"/>
                    </w:rPr>
                    <w:t>/</w:t>
                  </w:r>
                </w:p>
              </w:tc>
              <w:tc>
                <w:tcPr>
                  <w:tcW w:w="1552" w:type="dxa"/>
                  <w:tcBorders>
                    <w:tl2br w:val="nil"/>
                    <w:tr2bl w:val="nil"/>
                  </w:tcBorders>
                  <w:noWrap w:val="0"/>
                  <w:vAlign w:val="center"/>
                </w:tcPr>
                <w:p w14:paraId="7DD65E0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ascii="Times New Roman" w:hAnsi="Times New Roman" w:eastAsia="宋体" w:cs="Times New Roman"/>
                      <w:bCs/>
                      <w:color w:val="auto"/>
                      <w:sz w:val="21"/>
                      <w:szCs w:val="21"/>
                      <w:highlight w:val="none"/>
                    </w:rPr>
                  </w:pPr>
                  <w:r>
                    <w:rPr>
                      <w:rFonts w:hint="eastAsia" w:cs="Times New Roman"/>
                      <w:color w:val="auto"/>
                      <w:kern w:val="2"/>
                      <w:sz w:val="21"/>
                      <w:szCs w:val="21"/>
                      <w:highlight w:val="none"/>
                      <w:lang w:val="en-US" w:eastAsia="zh-CN" w:bidi="ar-SA"/>
                    </w:rPr>
                    <w:t>/</w:t>
                  </w:r>
                </w:p>
              </w:tc>
              <w:tc>
                <w:tcPr>
                  <w:tcW w:w="689" w:type="dxa"/>
                  <w:tcBorders>
                    <w:tl2br w:val="nil"/>
                    <w:tr2bl w:val="nil"/>
                  </w:tcBorders>
                  <w:noWrap w:val="0"/>
                  <w:vAlign w:val="center"/>
                </w:tcPr>
                <w:p w14:paraId="4A5FC2E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0" w:type="auto"/>
                  <w:tcBorders>
                    <w:tl2br w:val="nil"/>
                    <w:tr2bl w:val="nil"/>
                  </w:tcBorders>
                  <w:noWrap w:val="0"/>
                  <w:vAlign w:val="center"/>
                </w:tcPr>
                <w:p w14:paraId="6C71350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cs="Times New Roman"/>
                      <w:bCs/>
                      <w:color w:val="auto"/>
                      <w:sz w:val="21"/>
                      <w:szCs w:val="21"/>
                      <w:highlight w:val="none"/>
                      <w:lang w:val="en-US" w:eastAsia="zh-CN"/>
                    </w:rPr>
                  </w:pPr>
                  <w:r>
                    <w:rPr>
                      <w:rFonts w:hint="eastAsia" w:cs="Times New Roman"/>
                      <w:bCs/>
                      <w:color w:val="auto"/>
                      <w:sz w:val="21"/>
                      <w:szCs w:val="21"/>
                      <w:highlight w:val="none"/>
                      <w:lang w:val="en-US" w:eastAsia="zh-CN"/>
                    </w:rPr>
                    <w:t>4.0</w:t>
                  </w:r>
                </w:p>
              </w:tc>
              <w:tc>
                <w:tcPr>
                  <w:tcW w:w="0" w:type="auto"/>
                  <w:tcBorders>
                    <w:tl2br w:val="nil"/>
                    <w:tr2bl w:val="nil"/>
                  </w:tcBorders>
                  <w:noWrap w:val="0"/>
                  <w:vAlign w:val="center"/>
                </w:tcPr>
                <w:p w14:paraId="79B8EA6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eastAsia" w:cs="Times New Roman"/>
                      <w:bCs/>
                      <w:color w:val="auto"/>
                      <w:sz w:val="21"/>
                      <w:szCs w:val="21"/>
                      <w:highlight w:val="none"/>
                      <w:lang w:val="en-US" w:eastAsia="zh-CN"/>
                    </w:rPr>
                  </w:pPr>
                  <w:r>
                    <w:rPr>
                      <w:rFonts w:hint="eastAsia" w:cs="Times New Roman"/>
                      <w:color w:val="auto"/>
                      <w:kern w:val="2"/>
                      <w:sz w:val="21"/>
                      <w:szCs w:val="21"/>
                      <w:highlight w:val="none"/>
                      <w:lang w:val="en-US" w:eastAsia="zh-CN" w:bidi="ar-SA"/>
                    </w:rPr>
                    <w:t>/</w:t>
                  </w:r>
                </w:p>
              </w:tc>
            </w:tr>
            <w:tr w14:paraId="70D89F4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636" w:type="dxa"/>
                  <w:vMerge w:val="restart"/>
                  <w:tcBorders>
                    <w:tl2br w:val="nil"/>
                    <w:tr2bl w:val="nil"/>
                  </w:tcBorders>
                  <w:noWrap w:val="0"/>
                  <w:vAlign w:val="center"/>
                </w:tcPr>
                <w:p w14:paraId="72DE449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Cs/>
                      <w:color w:val="auto"/>
                      <w:sz w:val="21"/>
                      <w:szCs w:val="21"/>
                      <w:highlight w:val="none"/>
                    </w:rPr>
                  </w:pPr>
                  <w:r>
                    <w:rPr>
                      <w:rFonts w:hint="eastAsia" w:ascii="宋体" w:hAnsi="宋体" w:eastAsia="宋体" w:cs="宋体"/>
                      <w:color w:val="auto"/>
                      <w:kern w:val="21"/>
                      <w:sz w:val="21"/>
                      <w:szCs w:val="21"/>
                      <w:highlight w:val="none"/>
                      <w:u w:val="none"/>
                      <w:lang w:val="en-US" w:eastAsia="zh-CN" w:bidi="ar-SA"/>
                    </w:rPr>
                    <w:t>发泡脱</w:t>
                  </w:r>
                  <w:r>
                    <w:rPr>
                      <w:rFonts w:hint="eastAsia" w:ascii="Times New Roman" w:hAnsi="Times New Roman" w:eastAsia="宋体" w:cs="Times New Roman"/>
                      <w:color w:val="auto"/>
                      <w:kern w:val="21"/>
                      <w:sz w:val="21"/>
                      <w:szCs w:val="21"/>
                      <w:highlight w:val="none"/>
                      <w:u w:val="none"/>
                      <w:lang w:val="en-US" w:eastAsia="zh-CN" w:bidi="ar-SA"/>
                    </w:rPr>
                    <w:t>模有机废气</w:t>
                  </w:r>
                </w:p>
              </w:tc>
              <w:tc>
                <w:tcPr>
                  <w:tcW w:w="0" w:type="auto"/>
                  <w:tcBorders>
                    <w:tl2br w:val="nil"/>
                    <w:tr2bl w:val="nil"/>
                  </w:tcBorders>
                  <w:noWrap w:val="0"/>
                  <w:vAlign w:val="center"/>
                </w:tcPr>
                <w:p w14:paraId="3559963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cs="Times New Roman"/>
                      <w:bCs/>
                      <w:color w:val="auto"/>
                      <w:sz w:val="21"/>
                      <w:szCs w:val="21"/>
                      <w:highlight w:val="none"/>
                      <w:lang w:val="en-US" w:eastAsia="zh-CN"/>
                    </w:rPr>
                  </w:pPr>
                  <w:r>
                    <w:rPr>
                      <w:rFonts w:hint="default" w:ascii="Times New Roman" w:hAnsi="Times New Roman" w:eastAsia="宋体" w:cs="Times New Roman"/>
                      <w:color w:val="auto"/>
                      <w:sz w:val="21"/>
                      <w:szCs w:val="21"/>
                      <w:highlight w:val="none"/>
                    </w:rPr>
                    <w:t>有组织</w:t>
                  </w:r>
                </w:p>
              </w:tc>
              <w:tc>
                <w:tcPr>
                  <w:tcW w:w="625" w:type="dxa"/>
                  <w:vMerge w:val="restart"/>
                  <w:tcBorders>
                    <w:tl2br w:val="nil"/>
                    <w:tr2bl w:val="nil"/>
                  </w:tcBorders>
                  <w:noWrap w:val="0"/>
                  <w:vAlign w:val="center"/>
                </w:tcPr>
                <w:p w14:paraId="324AA34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rPr>
                  </w:pPr>
                  <w:r>
                    <w:rPr>
                      <w:rFonts w:hint="eastAsia"/>
                      <w:color w:val="auto"/>
                      <w:sz w:val="21"/>
                      <w:szCs w:val="21"/>
                      <w:lang w:val="en-US" w:eastAsia="zh-CN"/>
                    </w:rPr>
                    <w:t>非甲烷总烃</w:t>
                  </w:r>
                </w:p>
              </w:tc>
              <w:tc>
                <w:tcPr>
                  <w:tcW w:w="798" w:type="dxa"/>
                  <w:tcBorders>
                    <w:tl2br w:val="nil"/>
                    <w:tr2bl w:val="nil"/>
                  </w:tcBorders>
                  <w:noWrap w:val="0"/>
                  <w:vAlign w:val="center"/>
                </w:tcPr>
                <w:p w14:paraId="1896F3B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cs="Times New Roman"/>
                      <w:color w:val="FF0000"/>
                      <w:kern w:val="2"/>
                      <w:sz w:val="21"/>
                      <w:szCs w:val="21"/>
                      <w:highlight w:val="none"/>
                      <w:lang w:val="en-US" w:eastAsia="zh-CN" w:bidi="ar-SA"/>
                    </w:rPr>
                  </w:pPr>
                  <w:r>
                    <w:rPr>
                      <w:rFonts w:hint="eastAsia" w:cs="Times New Roman"/>
                      <w:color w:val="FF0000"/>
                      <w:kern w:val="2"/>
                      <w:sz w:val="21"/>
                      <w:szCs w:val="21"/>
                      <w:highlight w:val="none"/>
                      <w:lang w:val="en-US" w:eastAsia="zh-CN" w:bidi="ar-SA"/>
                    </w:rPr>
                    <w:t>1.833</w:t>
                  </w:r>
                </w:p>
              </w:tc>
              <w:tc>
                <w:tcPr>
                  <w:tcW w:w="794" w:type="dxa"/>
                  <w:tcBorders>
                    <w:tl2br w:val="nil"/>
                    <w:tr2bl w:val="nil"/>
                  </w:tcBorders>
                  <w:noWrap w:val="0"/>
                  <w:vAlign w:val="center"/>
                </w:tcPr>
                <w:p w14:paraId="5309AE4E">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FF0000"/>
                      <w:kern w:val="0"/>
                      <w:sz w:val="21"/>
                      <w:szCs w:val="21"/>
                      <w:highlight w:val="none"/>
                      <w:u w:val="none"/>
                      <w:lang w:val="en-US" w:eastAsia="zh-CN" w:bidi="ar"/>
                    </w:rPr>
                  </w:pPr>
                  <w:r>
                    <w:rPr>
                      <w:rFonts w:hint="eastAsia" w:cs="Times New Roman"/>
                      <w:i w:val="0"/>
                      <w:iCs w:val="0"/>
                      <w:color w:val="FF0000"/>
                      <w:kern w:val="0"/>
                      <w:sz w:val="21"/>
                      <w:szCs w:val="21"/>
                      <w:highlight w:val="none"/>
                      <w:u w:val="none"/>
                      <w:lang w:val="en-US" w:eastAsia="zh-CN" w:bidi="ar"/>
                    </w:rPr>
                    <w:t>0.011</w:t>
                  </w:r>
                </w:p>
              </w:tc>
              <w:tc>
                <w:tcPr>
                  <w:tcW w:w="794" w:type="dxa"/>
                  <w:tcBorders>
                    <w:tl2br w:val="nil"/>
                    <w:tr2bl w:val="nil"/>
                  </w:tcBorders>
                  <w:noWrap w:val="0"/>
                  <w:vAlign w:val="center"/>
                </w:tcPr>
                <w:p w14:paraId="4079E660">
                  <w:pPr>
                    <w:keepNext w:val="0"/>
                    <w:keepLines w:val="0"/>
                    <w:widowControl/>
                    <w:suppressLineNumbers w:val="0"/>
                    <w:spacing w:before="0" w:beforeAutospacing="0" w:after="0" w:afterAutospacing="0"/>
                    <w:ind w:left="0" w:right="0"/>
                    <w:jc w:val="center"/>
                    <w:textAlignment w:val="center"/>
                    <w:rPr>
                      <w:rFonts w:hint="default" w:cs="Times New Roman"/>
                      <w:i w:val="0"/>
                      <w:iCs w:val="0"/>
                      <w:color w:val="FF0000"/>
                      <w:kern w:val="0"/>
                      <w:sz w:val="21"/>
                      <w:szCs w:val="21"/>
                      <w:highlight w:val="none"/>
                      <w:u w:val="none"/>
                      <w:lang w:val="en-US" w:eastAsia="zh-CN" w:bidi="ar"/>
                    </w:rPr>
                  </w:pPr>
                  <w:r>
                    <w:rPr>
                      <w:rFonts w:hint="eastAsia" w:cs="Times New Roman"/>
                      <w:i w:val="0"/>
                      <w:iCs w:val="0"/>
                      <w:color w:val="FF0000"/>
                      <w:kern w:val="0"/>
                      <w:sz w:val="21"/>
                      <w:szCs w:val="21"/>
                      <w:highlight w:val="none"/>
                      <w:u w:val="none"/>
                      <w:lang w:val="en-US" w:eastAsia="zh-CN" w:bidi="ar"/>
                    </w:rPr>
                    <w:t>0.055</w:t>
                  </w:r>
                </w:p>
              </w:tc>
              <w:tc>
                <w:tcPr>
                  <w:tcW w:w="741" w:type="dxa"/>
                  <w:tcBorders>
                    <w:tl2br w:val="nil"/>
                    <w:tr2bl w:val="nil"/>
                  </w:tcBorders>
                  <w:noWrap w:val="0"/>
                  <w:vAlign w:val="center"/>
                </w:tcPr>
                <w:p w14:paraId="2BF26AE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6000</w:t>
                  </w:r>
                </w:p>
              </w:tc>
              <w:tc>
                <w:tcPr>
                  <w:tcW w:w="427" w:type="dxa"/>
                  <w:tcBorders>
                    <w:tl2br w:val="nil"/>
                    <w:tr2bl w:val="nil"/>
                  </w:tcBorders>
                  <w:noWrap w:val="0"/>
                  <w:vAlign w:val="center"/>
                </w:tcPr>
                <w:p w14:paraId="5801877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65</w:t>
                  </w:r>
                </w:p>
              </w:tc>
              <w:tc>
                <w:tcPr>
                  <w:tcW w:w="689" w:type="dxa"/>
                  <w:tcBorders>
                    <w:tl2br w:val="nil"/>
                    <w:tr2bl w:val="nil"/>
                  </w:tcBorders>
                  <w:noWrap w:val="0"/>
                  <w:vAlign w:val="center"/>
                </w:tcPr>
                <w:p w14:paraId="4B40499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83.19</w:t>
                  </w:r>
                </w:p>
              </w:tc>
              <w:tc>
                <w:tcPr>
                  <w:tcW w:w="427" w:type="dxa"/>
                  <w:tcBorders>
                    <w:tl2br w:val="nil"/>
                    <w:tr2bl w:val="nil"/>
                  </w:tcBorders>
                  <w:noWrap w:val="0"/>
                  <w:vAlign w:val="center"/>
                </w:tcPr>
                <w:p w14:paraId="23B58BB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eastAsia" w:cs="Times New Roman"/>
                      <w:color w:val="auto"/>
                      <w:sz w:val="21"/>
                      <w:szCs w:val="21"/>
                      <w:highlight w:val="none"/>
                      <w:lang w:val="en-US" w:eastAsia="zh-CN"/>
                    </w:rPr>
                    <w:t>是</w:t>
                  </w:r>
                </w:p>
              </w:tc>
              <w:tc>
                <w:tcPr>
                  <w:tcW w:w="427" w:type="dxa"/>
                  <w:tcBorders>
                    <w:tl2br w:val="nil"/>
                    <w:tr2bl w:val="nil"/>
                  </w:tcBorders>
                  <w:noWrap w:val="0"/>
                  <w:vAlign w:val="center"/>
                </w:tcPr>
                <w:p w14:paraId="4FCD245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半密闭集气罩+</w:t>
                  </w:r>
                  <w:r>
                    <w:rPr>
                      <w:rFonts w:hint="eastAsia" w:cs="Times New Roman"/>
                      <w:color w:val="auto"/>
                      <w:sz w:val="21"/>
                      <w:szCs w:val="21"/>
                      <w:highlight w:val="none"/>
                      <w:lang w:val="en-US" w:eastAsia="zh-CN"/>
                    </w:rPr>
                    <w:t>五级活性炭</w:t>
                  </w:r>
                </w:p>
              </w:tc>
              <w:tc>
                <w:tcPr>
                  <w:tcW w:w="0" w:type="auto"/>
                  <w:tcBorders>
                    <w:tl2br w:val="nil"/>
                    <w:tr2bl w:val="nil"/>
                  </w:tcBorders>
                  <w:noWrap w:val="0"/>
                  <w:vAlign w:val="center"/>
                </w:tcPr>
                <w:p w14:paraId="4110D5F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cs="Times New Roman"/>
                      <w:color w:val="FF0000"/>
                      <w:kern w:val="2"/>
                      <w:sz w:val="21"/>
                      <w:szCs w:val="21"/>
                      <w:highlight w:val="none"/>
                      <w:lang w:val="en-US" w:eastAsia="zh-CN" w:bidi="ar-SA"/>
                    </w:rPr>
                  </w:pPr>
                  <w:r>
                    <w:rPr>
                      <w:rFonts w:hint="eastAsia" w:cs="Times New Roman"/>
                      <w:color w:val="FF0000"/>
                      <w:kern w:val="2"/>
                      <w:sz w:val="21"/>
                      <w:szCs w:val="21"/>
                      <w:highlight w:val="none"/>
                      <w:lang w:val="en-US" w:eastAsia="zh-CN" w:bidi="ar-SA"/>
                    </w:rPr>
                    <w:t>0.317</w:t>
                  </w:r>
                </w:p>
              </w:tc>
              <w:tc>
                <w:tcPr>
                  <w:tcW w:w="794" w:type="dxa"/>
                  <w:tcBorders>
                    <w:tl2br w:val="nil"/>
                    <w:tr2bl w:val="nil"/>
                  </w:tcBorders>
                  <w:noWrap w:val="0"/>
                  <w:vAlign w:val="center"/>
                </w:tcPr>
                <w:p w14:paraId="6DD52B7F">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FF0000"/>
                      <w:kern w:val="0"/>
                      <w:sz w:val="21"/>
                      <w:szCs w:val="21"/>
                      <w:highlight w:val="none"/>
                      <w:u w:val="none"/>
                      <w:lang w:val="en-US" w:eastAsia="zh-CN" w:bidi="ar"/>
                    </w:rPr>
                  </w:pPr>
                  <w:r>
                    <w:rPr>
                      <w:rFonts w:hint="eastAsia" w:cs="Times New Roman"/>
                      <w:i w:val="0"/>
                      <w:iCs w:val="0"/>
                      <w:color w:val="FF0000"/>
                      <w:kern w:val="0"/>
                      <w:sz w:val="21"/>
                      <w:szCs w:val="21"/>
                      <w:highlight w:val="none"/>
                      <w:u w:val="none"/>
                      <w:lang w:val="en-US" w:eastAsia="zh-CN" w:bidi="ar"/>
                    </w:rPr>
                    <w:t>0.0019</w:t>
                  </w:r>
                </w:p>
              </w:tc>
              <w:tc>
                <w:tcPr>
                  <w:tcW w:w="794" w:type="dxa"/>
                  <w:tcBorders>
                    <w:tl2br w:val="nil"/>
                    <w:tr2bl w:val="nil"/>
                  </w:tcBorders>
                  <w:noWrap w:val="0"/>
                  <w:vAlign w:val="center"/>
                </w:tcPr>
                <w:p w14:paraId="1AB01590">
                  <w:pPr>
                    <w:keepNext w:val="0"/>
                    <w:keepLines w:val="0"/>
                    <w:widowControl/>
                    <w:suppressLineNumbers w:val="0"/>
                    <w:spacing w:before="0" w:beforeAutospacing="0" w:after="0" w:afterAutospacing="0"/>
                    <w:ind w:left="0" w:right="0"/>
                    <w:jc w:val="center"/>
                    <w:textAlignment w:val="center"/>
                    <w:rPr>
                      <w:rFonts w:hint="default" w:cs="Times New Roman"/>
                      <w:i w:val="0"/>
                      <w:iCs w:val="0"/>
                      <w:color w:val="FF0000"/>
                      <w:kern w:val="0"/>
                      <w:sz w:val="21"/>
                      <w:szCs w:val="21"/>
                      <w:highlight w:val="none"/>
                      <w:u w:val="none"/>
                      <w:lang w:val="en-US" w:eastAsia="zh-CN" w:bidi="ar"/>
                    </w:rPr>
                  </w:pPr>
                  <w:r>
                    <w:rPr>
                      <w:rFonts w:hint="eastAsia" w:cs="Times New Roman"/>
                      <w:i w:val="0"/>
                      <w:iCs w:val="0"/>
                      <w:color w:val="FF0000"/>
                      <w:kern w:val="0"/>
                      <w:sz w:val="21"/>
                      <w:szCs w:val="21"/>
                      <w:highlight w:val="none"/>
                      <w:u w:val="none"/>
                      <w:lang w:val="en-US" w:eastAsia="zh-CN" w:bidi="ar"/>
                    </w:rPr>
                    <w:t>0.009</w:t>
                  </w:r>
                </w:p>
              </w:tc>
              <w:tc>
                <w:tcPr>
                  <w:tcW w:w="835" w:type="dxa"/>
                  <w:tcBorders>
                    <w:tl2br w:val="nil"/>
                    <w:tr2bl w:val="nil"/>
                  </w:tcBorders>
                  <w:noWrap w:val="0"/>
                  <w:vAlign w:val="center"/>
                </w:tcPr>
                <w:p w14:paraId="522BEC0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DA0</w:t>
                  </w:r>
                  <w:r>
                    <w:rPr>
                      <w:rFonts w:hint="default" w:ascii="Times New Roman" w:hAnsi="Times New Roman" w:cs="Times New Roman"/>
                      <w:color w:val="auto"/>
                      <w:sz w:val="21"/>
                      <w:szCs w:val="21"/>
                      <w:highlight w:val="none"/>
                      <w:lang w:val="en-US" w:eastAsia="zh-CN"/>
                    </w:rPr>
                    <w:t>0</w:t>
                  </w:r>
                  <w:r>
                    <w:rPr>
                      <w:rFonts w:hint="eastAsia" w:cs="Times New Roman"/>
                      <w:color w:val="auto"/>
                      <w:sz w:val="21"/>
                      <w:szCs w:val="21"/>
                      <w:highlight w:val="none"/>
                      <w:lang w:val="en-US" w:eastAsia="zh-CN"/>
                    </w:rPr>
                    <w:t>2</w:t>
                  </w:r>
                </w:p>
              </w:tc>
              <w:tc>
                <w:tcPr>
                  <w:tcW w:w="427" w:type="dxa"/>
                  <w:tcBorders>
                    <w:tl2br w:val="nil"/>
                    <w:tr2bl w:val="nil"/>
                  </w:tcBorders>
                  <w:noWrap w:val="0"/>
                  <w:vAlign w:val="center"/>
                </w:tcPr>
                <w:p w14:paraId="34BFCE4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lang w:bidi="ar"/>
                    </w:rPr>
                  </w:pPr>
                  <w:r>
                    <w:rPr>
                      <w:rFonts w:hint="eastAsia" w:cs="Times New Roman"/>
                      <w:color w:val="auto"/>
                      <w:sz w:val="21"/>
                      <w:szCs w:val="21"/>
                      <w:highlight w:val="none"/>
                      <w:lang w:val="en-US" w:eastAsia="zh-CN"/>
                    </w:rPr>
                    <w:t>15</w:t>
                  </w:r>
                </w:p>
              </w:tc>
              <w:tc>
                <w:tcPr>
                  <w:tcW w:w="479" w:type="dxa"/>
                  <w:tcBorders>
                    <w:tl2br w:val="nil"/>
                    <w:tr2bl w:val="nil"/>
                  </w:tcBorders>
                  <w:noWrap w:val="0"/>
                  <w:vAlign w:val="center"/>
                </w:tcPr>
                <w:p w14:paraId="33F5135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rPr>
                  </w:pPr>
                  <w:r>
                    <w:rPr>
                      <w:rFonts w:hint="eastAsia" w:cs="Times New Roman"/>
                      <w:color w:val="auto"/>
                      <w:sz w:val="21"/>
                      <w:szCs w:val="21"/>
                      <w:highlight w:val="none"/>
                      <w:lang w:val="en-US" w:eastAsia="zh-CN"/>
                    </w:rPr>
                    <w:t>0.5</w:t>
                  </w:r>
                </w:p>
              </w:tc>
              <w:tc>
                <w:tcPr>
                  <w:tcW w:w="444" w:type="dxa"/>
                  <w:tcBorders>
                    <w:tl2br w:val="nil"/>
                    <w:tr2bl w:val="nil"/>
                  </w:tcBorders>
                  <w:noWrap w:val="0"/>
                  <w:vAlign w:val="center"/>
                </w:tcPr>
                <w:p w14:paraId="43DB259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lang w:bidi="ar"/>
                    </w:rPr>
                  </w:pPr>
                  <w:r>
                    <w:rPr>
                      <w:rFonts w:hint="eastAsia" w:cs="Times New Roman"/>
                      <w:color w:val="auto"/>
                      <w:sz w:val="21"/>
                      <w:szCs w:val="21"/>
                      <w:highlight w:val="none"/>
                      <w:lang w:val="en-US" w:eastAsia="zh-CN"/>
                    </w:rPr>
                    <w:t>25</w:t>
                  </w:r>
                </w:p>
              </w:tc>
              <w:tc>
                <w:tcPr>
                  <w:tcW w:w="427" w:type="dxa"/>
                  <w:tcBorders>
                    <w:tl2br w:val="nil"/>
                    <w:tr2bl w:val="nil"/>
                  </w:tcBorders>
                  <w:noWrap w:val="0"/>
                  <w:vAlign w:val="center"/>
                </w:tcPr>
                <w:p w14:paraId="6D4B283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lang w:bidi="ar"/>
                    </w:rPr>
                  </w:pPr>
                  <w:r>
                    <w:rPr>
                      <w:rFonts w:hint="default" w:ascii="Times New Roman" w:hAnsi="Times New Roman" w:eastAsia="宋体" w:cs="Times New Roman"/>
                      <w:color w:val="auto"/>
                      <w:sz w:val="21"/>
                      <w:szCs w:val="21"/>
                      <w:highlight w:val="none"/>
                    </w:rPr>
                    <w:t>一般排放口</w:t>
                  </w:r>
                </w:p>
              </w:tc>
              <w:tc>
                <w:tcPr>
                  <w:tcW w:w="1552" w:type="dxa"/>
                  <w:tcBorders>
                    <w:tl2br w:val="nil"/>
                    <w:tr2bl w:val="nil"/>
                  </w:tcBorders>
                  <w:noWrap w:val="0"/>
                  <w:vAlign w:val="center"/>
                </w:tcPr>
                <w:p w14:paraId="4E3FDE9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eastAsia" w:cs="Times New Roman"/>
                      <w:color w:val="auto"/>
                      <w:sz w:val="21"/>
                      <w:szCs w:val="21"/>
                      <w:highlight w:val="none"/>
                      <w:lang w:val="en-US" w:eastAsia="zh-CN"/>
                    </w:rPr>
                    <w:t>E</w:t>
                  </w:r>
                  <w:r>
                    <w:rPr>
                      <w:rFonts w:hint="default" w:ascii="Times New Roman" w:hAnsi="Times New Roman" w:eastAsia="宋体" w:cs="Times New Roman"/>
                      <w:color w:val="auto"/>
                      <w:sz w:val="21"/>
                      <w:szCs w:val="21"/>
                      <w:highlight w:val="none"/>
                    </w:rPr>
                    <w:t>117°</w:t>
                  </w:r>
                  <w:r>
                    <w:rPr>
                      <w:rFonts w:hint="eastAsia" w:cs="Times New Roman"/>
                      <w:color w:val="auto"/>
                      <w:sz w:val="21"/>
                      <w:szCs w:val="21"/>
                      <w:highlight w:val="none"/>
                      <w:lang w:val="en-US" w:eastAsia="zh-CN"/>
                    </w:rPr>
                    <w:t>9</w:t>
                  </w:r>
                  <w:r>
                    <w:rPr>
                      <w:rFonts w:hint="default" w:ascii="Times New Roman" w:hAnsi="Times New Roman" w:eastAsia="宋体" w:cs="Times New Roman"/>
                      <w:color w:val="auto"/>
                      <w:sz w:val="21"/>
                      <w:szCs w:val="21"/>
                      <w:highlight w:val="none"/>
                    </w:rPr>
                    <w:t>′</w:t>
                  </w:r>
                  <w:r>
                    <w:rPr>
                      <w:rFonts w:hint="eastAsia" w:cs="Times New Roman"/>
                      <w:color w:val="auto"/>
                      <w:sz w:val="21"/>
                      <w:szCs w:val="21"/>
                      <w:highlight w:val="none"/>
                      <w:lang w:val="en-US" w:eastAsia="zh-CN"/>
                    </w:rPr>
                    <w:t>31.367</w:t>
                  </w:r>
                  <w:r>
                    <w:rPr>
                      <w:rFonts w:hint="default" w:ascii="Times New Roman" w:hAnsi="Times New Roman" w:eastAsia="宋体" w:cs="Times New Roman"/>
                      <w:color w:val="auto"/>
                      <w:sz w:val="21"/>
                      <w:szCs w:val="21"/>
                      <w:highlight w:val="none"/>
                    </w:rPr>
                    <w:t>″</w:t>
                  </w:r>
                </w:p>
                <w:p w14:paraId="1362A7D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Cs/>
                      <w:color w:val="auto"/>
                      <w:sz w:val="21"/>
                      <w:szCs w:val="21"/>
                      <w:highlight w:val="none"/>
                    </w:rPr>
                  </w:pPr>
                  <w:r>
                    <w:rPr>
                      <w:rFonts w:hint="eastAsia" w:cs="Times New Roman"/>
                      <w:color w:val="auto"/>
                      <w:sz w:val="21"/>
                      <w:szCs w:val="21"/>
                      <w:highlight w:val="none"/>
                      <w:lang w:val="en-US" w:eastAsia="zh-CN"/>
                    </w:rPr>
                    <w:t>N</w:t>
                  </w:r>
                  <w:r>
                    <w:rPr>
                      <w:rFonts w:hint="default" w:ascii="Times New Roman" w:hAnsi="Times New Roman" w:eastAsia="宋体" w:cs="Times New Roman"/>
                      <w:color w:val="auto"/>
                      <w:sz w:val="21"/>
                      <w:szCs w:val="21"/>
                      <w:highlight w:val="none"/>
                    </w:rPr>
                    <w:t>29°0′</w:t>
                  </w:r>
                  <w:r>
                    <w:rPr>
                      <w:rFonts w:hint="eastAsia" w:cs="Times New Roman"/>
                      <w:color w:val="auto"/>
                      <w:sz w:val="21"/>
                      <w:szCs w:val="21"/>
                      <w:highlight w:val="none"/>
                      <w:lang w:val="en-US" w:eastAsia="zh-CN"/>
                    </w:rPr>
                    <w:t>30</w:t>
                  </w:r>
                  <w:r>
                    <w:rPr>
                      <w:rFonts w:hint="default" w:ascii="Times New Roman" w:hAnsi="Times New Roman" w:eastAsia="宋体" w:cs="Times New Roman"/>
                      <w:color w:val="auto"/>
                      <w:sz w:val="21"/>
                      <w:szCs w:val="21"/>
                      <w:highlight w:val="none"/>
                    </w:rPr>
                    <w:t>.</w:t>
                  </w:r>
                  <w:r>
                    <w:rPr>
                      <w:rFonts w:hint="eastAsia" w:cs="Times New Roman"/>
                      <w:color w:val="auto"/>
                      <w:sz w:val="21"/>
                      <w:szCs w:val="21"/>
                      <w:highlight w:val="none"/>
                      <w:lang w:val="en-US" w:eastAsia="zh-CN"/>
                    </w:rPr>
                    <w:t>242</w:t>
                  </w:r>
                  <w:r>
                    <w:rPr>
                      <w:rFonts w:hint="default" w:ascii="Times New Roman" w:hAnsi="Times New Roman" w:eastAsia="宋体" w:cs="Times New Roman"/>
                      <w:color w:val="auto"/>
                      <w:sz w:val="21"/>
                      <w:szCs w:val="21"/>
                      <w:highlight w:val="none"/>
                    </w:rPr>
                    <w:t>″</w:t>
                  </w:r>
                </w:p>
              </w:tc>
              <w:tc>
                <w:tcPr>
                  <w:tcW w:w="689" w:type="dxa"/>
                  <w:tcBorders>
                    <w:tl2br w:val="nil"/>
                    <w:tr2bl w:val="nil"/>
                  </w:tcBorders>
                  <w:noWrap w:val="0"/>
                  <w:vAlign w:val="center"/>
                </w:tcPr>
                <w:p w14:paraId="33EC568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14.1</w:t>
                  </w:r>
                </w:p>
              </w:tc>
              <w:tc>
                <w:tcPr>
                  <w:tcW w:w="951" w:type="dxa"/>
                  <w:tcBorders>
                    <w:tl2br w:val="nil"/>
                    <w:tr2bl w:val="nil"/>
                  </w:tcBorders>
                  <w:noWrap w:val="0"/>
                  <w:vAlign w:val="center"/>
                </w:tcPr>
                <w:p w14:paraId="7EB2F28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cs="Times New Roman"/>
                      <w:bCs/>
                      <w:color w:val="auto"/>
                      <w:sz w:val="21"/>
                      <w:szCs w:val="21"/>
                      <w:highlight w:val="none"/>
                      <w:lang w:val="en-US" w:eastAsia="zh-CN"/>
                    </w:rPr>
                  </w:pPr>
                  <w:r>
                    <w:rPr>
                      <w:rFonts w:hint="eastAsia" w:cs="Times New Roman"/>
                      <w:bCs/>
                      <w:color w:val="auto"/>
                      <w:sz w:val="21"/>
                      <w:szCs w:val="21"/>
                      <w:highlight w:val="none"/>
                      <w:lang w:val="en-US" w:eastAsia="zh-CN"/>
                    </w:rPr>
                    <w:t>100</w:t>
                  </w:r>
                </w:p>
              </w:tc>
              <w:tc>
                <w:tcPr>
                  <w:tcW w:w="613" w:type="dxa"/>
                  <w:tcBorders>
                    <w:tl2br w:val="nil"/>
                    <w:tr2bl w:val="nil"/>
                  </w:tcBorders>
                  <w:noWrap w:val="0"/>
                  <w:vAlign w:val="center"/>
                </w:tcPr>
                <w:p w14:paraId="00DA7ED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eastAsia" w:cs="Times New Roman"/>
                      <w:bCs/>
                      <w:color w:val="auto"/>
                      <w:sz w:val="21"/>
                      <w:szCs w:val="21"/>
                      <w:highlight w:val="none"/>
                      <w:lang w:val="en-US" w:eastAsia="zh-CN"/>
                    </w:rPr>
                  </w:pPr>
                  <w:r>
                    <w:rPr>
                      <w:rFonts w:hint="eastAsia" w:cs="Times New Roman"/>
                      <w:bCs/>
                      <w:color w:val="auto"/>
                      <w:sz w:val="21"/>
                      <w:szCs w:val="21"/>
                      <w:highlight w:val="none"/>
                      <w:lang w:val="en-US" w:eastAsia="zh-CN"/>
                    </w:rPr>
                    <w:t>/</w:t>
                  </w:r>
                </w:p>
              </w:tc>
            </w:tr>
            <w:tr w14:paraId="36AD003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636" w:type="dxa"/>
                  <w:vMerge w:val="continue"/>
                  <w:tcBorders>
                    <w:tl2br w:val="nil"/>
                    <w:tr2bl w:val="nil"/>
                  </w:tcBorders>
                  <w:noWrap w:val="0"/>
                  <w:vAlign w:val="center"/>
                </w:tcPr>
                <w:p w14:paraId="7DD5DDE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Cs/>
                      <w:color w:val="auto"/>
                      <w:sz w:val="21"/>
                      <w:szCs w:val="21"/>
                      <w:highlight w:val="none"/>
                    </w:rPr>
                  </w:pPr>
                </w:p>
              </w:tc>
              <w:tc>
                <w:tcPr>
                  <w:tcW w:w="0" w:type="auto"/>
                  <w:tcBorders>
                    <w:tl2br w:val="nil"/>
                    <w:tr2bl w:val="nil"/>
                  </w:tcBorders>
                  <w:noWrap w:val="0"/>
                  <w:vAlign w:val="center"/>
                </w:tcPr>
                <w:p w14:paraId="324D6DD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cs="Times New Roman"/>
                      <w:bCs/>
                      <w:color w:val="auto"/>
                      <w:sz w:val="21"/>
                      <w:szCs w:val="21"/>
                      <w:highlight w:val="none"/>
                      <w:lang w:val="en-US" w:eastAsia="zh-CN"/>
                    </w:rPr>
                  </w:pPr>
                  <w:r>
                    <w:rPr>
                      <w:rFonts w:hint="eastAsia" w:cs="Times New Roman"/>
                      <w:bCs/>
                      <w:color w:val="auto"/>
                      <w:sz w:val="21"/>
                      <w:szCs w:val="21"/>
                      <w:highlight w:val="none"/>
                      <w:lang w:val="en-US" w:eastAsia="zh-CN"/>
                    </w:rPr>
                    <w:t>无组织</w:t>
                  </w:r>
                </w:p>
              </w:tc>
              <w:tc>
                <w:tcPr>
                  <w:tcW w:w="625" w:type="dxa"/>
                  <w:vMerge w:val="continue"/>
                  <w:tcBorders>
                    <w:tl2br w:val="nil"/>
                    <w:tr2bl w:val="nil"/>
                  </w:tcBorders>
                  <w:noWrap w:val="0"/>
                  <w:vAlign w:val="center"/>
                </w:tcPr>
                <w:p w14:paraId="4BE85B1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rPr>
                  </w:pPr>
                </w:p>
              </w:tc>
              <w:tc>
                <w:tcPr>
                  <w:tcW w:w="798" w:type="dxa"/>
                  <w:tcBorders>
                    <w:tl2br w:val="nil"/>
                    <w:tr2bl w:val="nil"/>
                  </w:tcBorders>
                  <w:noWrap w:val="0"/>
                  <w:vAlign w:val="center"/>
                </w:tcPr>
                <w:p w14:paraId="3B14091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794" w:type="dxa"/>
                  <w:tcBorders>
                    <w:tl2br w:val="nil"/>
                    <w:tr2bl w:val="nil"/>
                  </w:tcBorders>
                  <w:noWrap w:val="0"/>
                  <w:vAlign w:val="center"/>
                </w:tcPr>
                <w:p w14:paraId="7C91806C">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FF0000"/>
                      <w:kern w:val="0"/>
                      <w:sz w:val="21"/>
                      <w:szCs w:val="21"/>
                      <w:highlight w:val="none"/>
                      <w:u w:val="none"/>
                      <w:lang w:val="en-US" w:eastAsia="zh-CN" w:bidi="ar"/>
                    </w:rPr>
                  </w:pPr>
                  <w:r>
                    <w:rPr>
                      <w:rFonts w:hint="eastAsia" w:cs="Times New Roman"/>
                      <w:i w:val="0"/>
                      <w:iCs w:val="0"/>
                      <w:color w:val="FF0000"/>
                      <w:kern w:val="0"/>
                      <w:sz w:val="21"/>
                      <w:szCs w:val="21"/>
                      <w:highlight w:val="none"/>
                      <w:u w:val="none"/>
                      <w:lang w:val="en-US" w:eastAsia="zh-CN" w:bidi="ar"/>
                    </w:rPr>
                    <w:t>0.006</w:t>
                  </w:r>
                </w:p>
              </w:tc>
              <w:tc>
                <w:tcPr>
                  <w:tcW w:w="794" w:type="dxa"/>
                  <w:tcBorders>
                    <w:tl2br w:val="nil"/>
                    <w:tr2bl w:val="nil"/>
                  </w:tcBorders>
                  <w:noWrap w:val="0"/>
                  <w:vAlign w:val="center"/>
                </w:tcPr>
                <w:p w14:paraId="460E708E">
                  <w:pPr>
                    <w:keepNext w:val="0"/>
                    <w:keepLines w:val="0"/>
                    <w:widowControl/>
                    <w:suppressLineNumbers w:val="0"/>
                    <w:spacing w:before="0" w:beforeAutospacing="0" w:after="0" w:afterAutospacing="0"/>
                    <w:ind w:left="0" w:right="0"/>
                    <w:jc w:val="center"/>
                    <w:textAlignment w:val="center"/>
                    <w:rPr>
                      <w:rFonts w:hint="default" w:cs="Times New Roman"/>
                      <w:i w:val="0"/>
                      <w:iCs w:val="0"/>
                      <w:color w:val="FF0000"/>
                      <w:kern w:val="0"/>
                      <w:sz w:val="21"/>
                      <w:szCs w:val="21"/>
                      <w:highlight w:val="none"/>
                      <w:u w:val="none"/>
                      <w:lang w:val="en-US" w:eastAsia="zh-CN" w:bidi="ar"/>
                    </w:rPr>
                  </w:pPr>
                  <w:r>
                    <w:rPr>
                      <w:rFonts w:hint="eastAsia" w:cs="Times New Roman"/>
                      <w:i w:val="0"/>
                      <w:iCs w:val="0"/>
                      <w:color w:val="FF0000"/>
                      <w:kern w:val="0"/>
                      <w:sz w:val="21"/>
                      <w:szCs w:val="21"/>
                      <w:highlight w:val="none"/>
                      <w:u w:val="none"/>
                      <w:lang w:val="en-US" w:eastAsia="zh-CN" w:bidi="ar"/>
                    </w:rPr>
                    <w:t>0.029</w:t>
                  </w:r>
                </w:p>
              </w:tc>
              <w:tc>
                <w:tcPr>
                  <w:tcW w:w="741" w:type="dxa"/>
                  <w:tcBorders>
                    <w:tl2br w:val="nil"/>
                    <w:tr2bl w:val="nil"/>
                  </w:tcBorders>
                  <w:noWrap w:val="0"/>
                  <w:vAlign w:val="center"/>
                </w:tcPr>
                <w:p w14:paraId="4D56553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kern w:val="2"/>
                      <w:sz w:val="21"/>
                      <w:szCs w:val="21"/>
                      <w:highlight w:val="none"/>
                      <w:lang w:val="en-US" w:eastAsia="zh-CN" w:bidi="ar-SA"/>
                    </w:rPr>
                    <w:t>/</w:t>
                  </w:r>
                </w:p>
              </w:tc>
              <w:tc>
                <w:tcPr>
                  <w:tcW w:w="427" w:type="dxa"/>
                  <w:tcBorders>
                    <w:tl2br w:val="nil"/>
                    <w:tr2bl w:val="nil"/>
                  </w:tcBorders>
                  <w:noWrap w:val="0"/>
                  <w:vAlign w:val="center"/>
                </w:tcPr>
                <w:p w14:paraId="3F5C8BA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689" w:type="dxa"/>
                  <w:tcBorders>
                    <w:tl2br w:val="nil"/>
                    <w:tr2bl w:val="nil"/>
                  </w:tcBorders>
                  <w:noWrap w:val="0"/>
                  <w:vAlign w:val="center"/>
                </w:tcPr>
                <w:p w14:paraId="27D2F00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427" w:type="dxa"/>
                  <w:tcBorders>
                    <w:tl2br w:val="nil"/>
                    <w:tr2bl w:val="nil"/>
                  </w:tcBorders>
                  <w:noWrap w:val="0"/>
                  <w:vAlign w:val="center"/>
                </w:tcPr>
                <w:p w14:paraId="7DC6E52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ascii="Times New Roman" w:hAnsi="Times New Roman" w:eastAsia="宋体" w:cs="Times New Roman"/>
                      <w:color w:val="auto"/>
                      <w:sz w:val="21"/>
                      <w:szCs w:val="21"/>
                      <w:highlight w:val="none"/>
                    </w:rPr>
                  </w:pPr>
                  <w:r>
                    <w:rPr>
                      <w:rFonts w:hint="eastAsia" w:cs="Times New Roman"/>
                      <w:color w:val="auto"/>
                      <w:kern w:val="2"/>
                      <w:sz w:val="21"/>
                      <w:szCs w:val="21"/>
                      <w:highlight w:val="none"/>
                      <w:lang w:val="en-US" w:eastAsia="zh-CN" w:bidi="ar-SA"/>
                    </w:rPr>
                    <w:t>/</w:t>
                  </w:r>
                </w:p>
              </w:tc>
              <w:tc>
                <w:tcPr>
                  <w:tcW w:w="427" w:type="dxa"/>
                  <w:tcBorders>
                    <w:tl2br w:val="nil"/>
                    <w:tr2bl w:val="nil"/>
                  </w:tcBorders>
                  <w:noWrap w:val="0"/>
                  <w:vAlign w:val="center"/>
                </w:tcPr>
                <w:p w14:paraId="2CF4EDB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798" w:type="dxa"/>
                  <w:tcBorders>
                    <w:tl2br w:val="nil"/>
                    <w:tr2bl w:val="nil"/>
                  </w:tcBorders>
                  <w:noWrap w:val="0"/>
                  <w:vAlign w:val="center"/>
                </w:tcPr>
                <w:p w14:paraId="7D78090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794" w:type="dxa"/>
                  <w:tcBorders>
                    <w:tl2br w:val="nil"/>
                    <w:tr2bl w:val="nil"/>
                  </w:tcBorders>
                  <w:noWrap w:val="0"/>
                  <w:vAlign w:val="center"/>
                </w:tcPr>
                <w:p w14:paraId="4AD97D25">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cs="Times New Roman"/>
                      <w:i w:val="0"/>
                      <w:iCs w:val="0"/>
                      <w:color w:val="FF0000"/>
                      <w:kern w:val="0"/>
                      <w:sz w:val="21"/>
                      <w:szCs w:val="21"/>
                      <w:highlight w:val="none"/>
                      <w:u w:val="none"/>
                      <w:lang w:val="en-US" w:eastAsia="zh-CN" w:bidi="ar"/>
                    </w:rPr>
                    <w:t>0.0017</w:t>
                  </w:r>
                </w:p>
              </w:tc>
              <w:tc>
                <w:tcPr>
                  <w:tcW w:w="794" w:type="dxa"/>
                  <w:tcBorders>
                    <w:tl2br w:val="nil"/>
                    <w:tr2bl w:val="nil"/>
                  </w:tcBorders>
                  <w:noWrap w:val="0"/>
                  <w:vAlign w:val="center"/>
                </w:tcPr>
                <w:p w14:paraId="6B94244B">
                  <w:pPr>
                    <w:keepNext w:val="0"/>
                    <w:keepLines w:val="0"/>
                    <w:widowControl/>
                    <w:suppressLineNumbers w:val="0"/>
                    <w:spacing w:before="0" w:beforeAutospacing="0" w:after="0" w:afterAutospacing="0"/>
                    <w:ind w:left="0" w:leftChars="0" w:right="0" w:rightChars="0"/>
                    <w:jc w:val="center"/>
                    <w:textAlignment w:val="center"/>
                    <w:rPr>
                      <w:rFonts w:hint="eastAsia" w:cs="Times New Roman"/>
                      <w:i w:val="0"/>
                      <w:iCs w:val="0"/>
                      <w:color w:val="auto"/>
                      <w:kern w:val="0"/>
                      <w:sz w:val="21"/>
                      <w:szCs w:val="21"/>
                      <w:highlight w:val="none"/>
                      <w:u w:val="none"/>
                      <w:lang w:val="en-US" w:eastAsia="zh-CN" w:bidi="ar"/>
                    </w:rPr>
                  </w:pPr>
                  <w:r>
                    <w:rPr>
                      <w:rFonts w:hint="eastAsia" w:cs="Times New Roman"/>
                      <w:i w:val="0"/>
                      <w:iCs w:val="0"/>
                      <w:color w:val="FF0000"/>
                      <w:kern w:val="0"/>
                      <w:sz w:val="21"/>
                      <w:szCs w:val="21"/>
                      <w:highlight w:val="none"/>
                      <w:u w:val="none"/>
                      <w:lang w:val="en-US" w:eastAsia="zh-CN" w:bidi="ar"/>
                    </w:rPr>
                    <w:t>0.081</w:t>
                  </w:r>
                </w:p>
              </w:tc>
              <w:tc>
                <w:tcPr>
                  <w:tcW w:w="835" w:type="dxa"/>
                  <w:tcBorders>
                    <w:tl2br w:val="nil"/>
                    <w:tr2bl w:val="nil"/>
                  </w:tcBorders>
                  <w:noWrap w:val="0"/>
                  <w:vAlign w:val="center"/>
                </w:tcPr>
                <w:p w14:paraId="7915A89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eastAsia" w:cs="Times New Roman"/>
                      <w:color w:val="auto"/>
                      <w:kern w:val="2"/>
                      <w:sz w:val="21"/>
                      <w:szCs w:val="21"/>
                      <w:highlight w:val="none"/>
                      <w:lang w:val="en-US" w:eastAsia="zh-CN" w:bidi="ar-SA"/>
                    </w:rPr>
                    <w:t>/</w:t>
                  </w:r>
                </w:p>
              </w:tc>
              <w:tc>
                <w:tcPr>
                  <w:tcW w:w="427" w:type="dxa"/>
                  <w:tcBorders>
                    <w:tl2br w:val="nil"/>
                    <w:tr2bl w:val="nil"/>
                  </w:tcBorders>
                  <w:noWrap w:val="0"/>
                  <w:vAlign w:val="center"/>
                </w:tcPr>
                <w:p w14:paraId="2D66F4D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ascii="Times New Roman" w:hAnsi="Times New Roman" w:eastAsia="宋体" w:cs="Times New Roman"/>
                      <w:color w:val="auto"/>
                      <w:kern w:val="0"/>
                      <w:sz w:val="21"/>
                      <w:szCs w:val="21"/>
                      <w:highlight w:val="none"/>
                      <w:lang w:bidi="ar"/>
                    </w:rPr>
                  </w:pPr>
                  <w:r>
                    <w:rPr>
                      <w:rFonts w:hint="eastAsia" w:cs="Times New Roman"/>
                      <w:color w:val="auto"/>
                      <w:kern w:val="2"/>
                      <w:sz w:val="21"/>
                      <w:szCs w:val="21"/>
                      <w:highlight w:val="none"/>
                      <w:lang w:val="en-US" w:eastAsia="zh-CN" w:bidi="ar-SA"/>
                    </w:rPr>
                    <w:t>/</w:t>
                  </w:r>
                </w:p>
              </w:tc>
              <w:tc>
                <w:tcPr>
                  <w:tcW w:w="479" w:type="dxa"/>
                  <w:tcBorders>
                    <w:tl2br w:val="nil"/>
                    <w:tr2bl w:val="nil"/>
                  </w:tcBorders>
                  <w:noWrap w:val="0"/>
                  <w:vAlign w:val="center"/>
                </w:tcPr>
                <w:p w14:paraId="102BB91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eastAsia" w:cs="Times New Roman"/>
                      <w:color w:val="auto"/>
                      <w:kern w:val="2"/>
                      <w:sz w:val="21"/>
                      <w:szCs w:val="21"/>
                      <w:highlight w:val="none"/>
                      <w:lang w:val="en-US" w:eastAsia="zh-CN" w:bidi="ar-SA"/>
                    </w:rPr>
                    <w:t>/</w:t>
                  </w:r>
                </w:p>
              </w:tc>
              <w:tc>
                <w:tcPr>
                  <w:tcW w:w="444" w:type="dxa"/>
                  <w:tcBorders>
                    <w:tl2br w:val="nil"/>
                    <w:tr2bl w:val="nil"/>
                  </w:tcBorders>
                  <w:noWrap w:val="0"/>
                  <w:vAlign w:val="center"/>
                </w:tcPr>
                <w:p w14:paraId="1C76D43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ascii="Times New Roman" w:hAnsi="Times New Roman" w:eastAsia="宋体" w:cs="Times New Roman"/>
                      <w:color w:val="auto"/>
                      <w:kern w:val="0"/>
                      <w:sz w:val="21"/>
                      <w:szCs w:val="21"/>
                      <w:highlight w:val="none"/>
                      <w:lang w:bidi="ar"/>
                    </w:rPr>
                  </w:pPr>
                  <w:r>
                    <w:rPr>
                      <w:rFonts w:hint="eastAsia" w:cs="Times New Roman"/>
                      <w:color w:val="auto"/>
                      <w:kern w:val="2"/>
                      <w:sz w:val="21"/>
                      <w:szCs w:val="21"/>
                      <w:highlight w:val="none"/>
                      <w:lang w:val="en-US" w:eastAsia="zh-CN" w:bidi="ar-SA"/>
                    </w:rPr>
                    <w:t>/</w:t>
                  </w:r>
                </w:p>
              </w:tc>
              <w:tc>
                <w:tcPr>
                  <w:tcW w:w="427" w:type="dxa"/>
                  <w:tcBorders>
                    <w:tl2br w:val="nil"/>
                    <w:tr2bl w:val="nil"/>
                  </w:tcBorders>
                  <w:noWrap w:val="0"/>
                  <w:vAlign w:val="center"/>
                </w:tcPr>
                <w:p w14:paraId="2CF6E88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ascii="Times New Roman" w:hAnsi="Times New Roman" w:eastAsia="宋体" w:cs="Times New Roman"/>
                      <w:color w:val="auto"/>
                      <w:kern w:val="0"/>
                      <w:sz w:val="21"/>
                      <w:szCs w:val="21"/>
                      <w:highlight w:val="none"/>
                      <w:lang w:bidi="ar"/>
                    </w:rPr>
                  </w:pPr>
                  <w:r>
                    <w:rPr>
                      <w:rFonts w:hint="eastAsia" w:cs="Times New Roman"/>
                      <w:color w:val="auto"/>
                      <w:kern w:val="2"/>
                      <w:sz w:val="21"/>
                      <w:szCs w:val="21"/>
                      <w:highlight w:val="none"/>
                      <w:lang w:val="en-US" w:eastAsia="zh-CN" w:bidi="ar-SA"/>
                    </w:rPr>
                    <w:t>/</w:t>
                  </w:r>
                </w:p>
              </w:tc>
              <w:tc>
                <w:tcPr>
                  <w:tcW w:w="1552" w:type="dxa"/>
                  <w:tcBorders>
                    <w:tl2br w:val="nil"/>
                    <w:tr2bl w:val="nil"/>
                  </w:tcBorders>
                  <w:noWrap w:val="0"/>
                  <w:vAlign w:val="center"/>
                </w:tcPr>
                <w:p w14:paraId="7B34676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Cs/>
                      <w:color w:val="auto"/>
                      <w:sz w:val="21"/>
                      <w:szCs w:val="21"/>
                      <w:highlight w:val="none"/>
                    </w:rPr>
                  </w:pPr>
                  <w:r>
                    <w:rPr>
                      <w:rFonts w:hint="eastAsia" w:cs="Times New Roman"/>
                      <w:color w:val="auto"/>
                      <w:kern w:val="2"/>
                      <w:sz w:val="21"/>
                      <w:szCs w:val="21"/>
                      <w:highlight w:val="none"/>
                      <w:lang w:val="en-US" w:eastAsia="zh-CN" w:bidi="ar-SA"/>
                    </w:rPr>
                    <w:t>/</w:t>
                  </w:r>
                </w:p>
              </w:tc>
              <w:tc>
                <w:tcPr>
                  <w:tcW w:w="689" w:type="dxa"/>
                  <w:tcBorders>
                    <w:tl2br w:val="nil"/>
                    <w:tr2bl w:val="nil"/>
                  </w:tcBorders>
                  <w:noWrap w:val="0"/>
                  <w:vAlign w:val="center"/>
                </w:tcPr>
                <w:p w14:paraId="097424B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0" w:type="auto"/>
                  <w:tcBorders>
                    <w:tl2br w:val="nil"/>
                    <w:tr2bl w:val="nil"/>
                  </w:tcBorders>
                  <w:noWrap w:val="0"/>
                  <w:vAlign w:val="center"/>
                </w:tcPr>
                <w:p w14:paraId="79B0D86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cs="Times New Roman"/>
                      <w:bCs/>
                      <w:color w:val="auto"/>
                      <w:sz w:val="21"/>
                      <w:szCs w:val="21"/>
                      <w:highlight w:val="none"/>
                      <w:lang w:val="en-US" w:eastAsia="zh-CN"/>
                    </w:rPr>
                  </w:pPr>
                  <w:r>
                    <w:rPr>
                      <w:rFonts w:hint="eastAsia" w:cs="Times New Roman"/>
                      <w:bCs/>
                      <w:color w:val="auto"/>
                      <w:sz w:val="21"/>
                      <w:szCs w:val="21"/>
                      <w:highlight w:val="none"/>
                      <w:lang w:val="en-US" w:eastAsia="zh-CN"/>
                    </w:rPr>
                    <w:t>4.0</w:t>
                  </w:r>
                </w:p>
              </w:tc>
              <w:tc>
                <w:tcPr>
                  <w:tcW w:w="613" w:type="dxa"/>
                  <w:tcBorders>
                    <w:tl2br w:val="nil"/>
                    <w:tr2bl w:val="nil"/>
                  </w:tcBorders>
                  <w:noWrap w:val="0"/>
                  <w:vAlign w:val="center"/>
                </w:tcPr>
                <w:p w14:paraId="7E26E85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eastAsia" w:cs="Times New Roman"/>
                      <w:bCs/>
                      <w:color w:val="auto"/>
                      <w:sz w:val="21"/>
                      <w:szCs w:val="21"/>
                      <w:highlight w:val="none"/>
                      <w:lang w:val="en-US" w:eastAsia="zh-CN"/>
                    </w:rPr>
                  </w:pPr>
                  <w:r>
                    <w:rPr>
                      <w:rFonts w:hint="eastAsia" w:cs="Times New Roman"/>
                      <w:color w:val="auto"/>
                      <w:kern w:val="2"/>
                      <w:sz w:val="21"/>
                      <w:szCs w:val="21"/>
                      <w:highlight w:val="none"/>
                      <w:lang w:val="en-US" w:eastAsia="zh-CN" w:bidi="ar-SA"/>
                    </w:rPr>
                    <w:t>/</w:t>
                  </w:r>
                </w:p>
              </w:tc>
            </w:tr>
            <w:tr w14:paraId="1FA9E58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636" w:type="dxa"/>
                  <w:vMerge w:val="restart"/>
                  <w:tcBorders>
                    <w:tl2br w:val="nil"/>
                    <w:tr2bl w:val="nil"/>
                  </w:tcBorders>
                  <w:noWrap w:val="0"/>
                  <w:vAlign w:val="center"/>
                </w:tcPr>
                <w:p w14:paraId="0A4EDBD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Cs/>
                      <w:color w:val="auto"/>
                      <w:sz w:val="21"/>
                      <w:szCs w:val="21"/>
                      <w:highlight w:val="none"/>
                      <w:lang w:val="en-US" w:eastAsia="zh-CN"/>
                    </w:rPr>
                  </w:pPr>
                  <w:r>
                    <w:rPr>
                      <w:rFonts w:hint="eastAsia" w:cs="Times New Roman"/>
                      <w:color w:val="auto"/>
                      <w:highlight w:val="none"/>
                      <w:lang w:val="en-US" w:eastAsia="zh-CN"/>
                    </w:rPr>
                    <w:t>PVC</w:t>
                  </w:r>
                  <w:r>
                    <w:rPr>
                      <w:rFonts w:hint="eastAsia" w:ascii="Times New Roman" w:hAnsi="Times New Roman" w:cs="Times New Roman"/>
                      <w:color w:val="auto"/>
                      <w:highlight w:val="none"/>
                      <w:lang w:val="en-US" w:eastAsia="zh-CN"/>
                    </w:rPr>
                    <w:t>注塑有机废气</w:t>
                  </w:r>
                </w:p>
              </w:tc>
              <w:tc>
                <w:tcPr>
                  <w:tcW w:w="427" w:type="dxa"/>
                  <w:vMerge w:val="restart"/>
                  <w:tcBorders>
                    <w:tl2br w:val="nil"/>
                    <w:tr2bl w:val="nil"/>
                  </w:tcBorders>
                  <w:noWrap w:val="0"/>
                  <w:vAlign w:val="center"/>
                </w:tcPr>
                <w:p w14:paraId="4F2BB60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有组织</w:t>
                  </w:r>
                </w:p>
              </w:tc>
              <w:tc>
                <w:tcPr>
                  <w:tcW w:w="625" w:type="dxa"/>
                  <w:tcBorders>
                    <w:tl2br w:val="nil"/>
                    <w:tr2bl w:val="nil"/>
                  </w:tcBorders>
                  <w:noWrap w:val="0"/>
                  <w:vAlign w:val="center"/>
                </w:tcPr>
                <w:p w14:paraId="7C763E0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olor w:val="auto"/>
                      <w:sz w:val="21"/>
                      <w:szCs w:val="21"/>
                      <w:lang w:val="en-US" w:eastAsia="zh-CN"/>
                    </w:rPr>
                  </w:pPr>
                  <w:r>
                    <w:rPr>
                      <w:rFonts w:hint="eastAsia"/>
                      <w:color w:val="auto"/>
                      <w:sz w:val="21"/>
                      <w:szCs w:val="21"/>
                      <w:lang w:val="en-US" w:eastAsia="zh-CN"/>
                    </w:rPr>
                    <w:t>非甲烷总烃</w:t>
                  </w:r>
                </w:p>
              </w:tc>
              <w:tc>
                <w:tcPr>
                  <w:tcW w:w="798" w:type="dxa"/>
                  <w:tcBorders>
                    <w:tl2br w:val="nil"/>
                    <w:tr2bl w:val="nil"/>
                  </w:tcBorders>
                  <w:noWrap w:val="0"/>
                  <w:vAlign w:val="center"/>
                </w:tcPr>
                <w:p w14:paraId="7EA84B9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cs="Times New Roman"/>
                      <w:color w:val="auto"/>
                      <w:kern w:val="2"/>
                      <w:sz w:val="21"/>
                      <w:szCs w:val="21"/>
                      <w:highlight w:val="none"/>
                      <w:lang w:val="en-US" w:eastAsia="zh-CN" w:bidi="ar-SA"/>
                    </w:rPr>
                  </w:pPr>
                  <w:r>
                    <w:rPr>
                      <w:rFonts w:hint="eastAsia" w:cs="Times New Roman"/>
                      <w:color w:val="FF0000"/>
                      <w:kern w:val="2"/>
                      <w:sz w:val="21"/>
                      <w:szCs w:val="21"/>
                      <w:highlight w:val="none"/>
                      <w:lang w:val="en-US" w:eastAsia="zh-CN" w:bidi="ar-SA"/>
                    </w:rPr>
                    <w:t>26.53</w:t>
                  </w:r>
                </w:p>
              </w:tc>
              <w:tc>
                <w:tcPr>
                  <w:tcW w:w="794" w:type="dxa"/>
                  <w:tcBorders>
                    <w:tl2br w:val="nil"/>
                    <w:tr2bl w:val="nil"/>
                  </w:tcBorders>
                  <w:noWrap w:val="0"/>
                  <w:vAlign w:val="center"/>
                </w:tcPr>
                <w:p w14:paraId="76A1327F">
                  <w:pPr>
                    <w:keepNext w:val="0"/>
                    <w:keepLines w:val="0"/>
                    <w:widowControl/>
                    <w:suppressLineNumbers w:val="0"/>
                    <w:spacing w:before="0" w:beforeAutospacing="0" w:after="0" w:afterAutospacing="0"/>
                    <w:ind w:left="0" w:right="0"/>
                    <w:jc w:val="center"/>
                    <w:textAlignment w:val="center"/>
                    <w:rPr>
                      <w:rFonts w:hint="default"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0.159</w:t>
                  </w:r>
                </w:p>
              </w:tc>
              <w:tc>
                <w:tcPr>
                  <w:tcW w:w="794" w:type="dxa"/>
                  <w:tcBorders>
                    <w:tl2br w:val="nil"/>
                    <w:tr2bl w:val="nil"/>
                  </w:tcBorders>
                  <w:noWrap w:val="0"/>
                  <w:vAlign w:val="center"/>
                </w:tcPr>
                <w:p w14:paraId="5DD3CE16">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0.764</w:t>
                  </w:r>
                </w:p>
              </w:tc>
              <w:tc>
                <w:tcPr>
                  <w:tcW w:w="741" w:type="dxa"/>
                  <w:vMerge w:val="restart"/>
                  <w:tcBorders>
                    <w:tl2br w:val="nil"/>
                    <w:tr2bl w:val="nil"/>
                  </w:tcBorders>
                  <w:shd w:val="clear" w:color="auto" w:fill="auto"/>
                  <w:noWrap w:val="0"/>
                  <w:vAlign w:val="center"/>
                </w:tcPr>
                <w:p w14:paraId="4016322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6000</w:t>
                  </w:r>
                </w:p>
                <w:p w14:paraId="1335E79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eastAsia" w:cs="Times New Roman"/>
                      <w:color w:val="auto"/>
                      <w:sz w:val="21"/>
                      <w:szCs w:val="21"/>
                      <w:highlight w:val="none"/>
                      <w:lang w:val="en-US" w:eastAsia="zh-CN"/>
                    </w:rPr>
                  </w:pPr>
                </w:p>
              </w:tc>
              <w:tc>
                <w:tcPr>
                  <w:tcW w:w="427" w:type="dxa"/>
                  <w:vMerge w:val="restart"/>
                  <w:tcBorders>
                    <w:tl2br w:val="nil"/>
                    <w:tr2bl w:val="nil"/>
                  </w:tcBorders>
                  <w:shd w:val="clear" w:color="auto" w:fill="auto"/>
                  <w:noWrap w:val="0"/>
                  <w:vAlign w:val="center"/>
                </w:tcPr>
                <w:p w14:paraId="1441320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65</w:t>
                  </w:r>
                </w:p>
              </w:tc>
              <w:tc>
                <w:tcPr>
                  <w:tcW w:w="689" w:type="dxa"/>
                  <w:tcBorders>
                    <w:tl2br w:val="nil"/>
                    <w:tr2bl w:val="nil"/>
                  </w:tcBorders>
                  <w:shd w:val="clear" w:color="auto" w:fill="auto"/>
                  <w:noWrap w:val="0"/>
                  <w:vAlign w:val="center"/>
                </w:tcPr>
                <w:p w14:paraId="741EA20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83.19</w:t>
                  </w:r>
                </w:p>
              </w:tc>
              <w:tc>
                <w:tcPr>
                  <w:tcW w:w="427" w:type="dxa"/>
                  <w:vMerge w:val="restart"/>
                  <w:tcBorders>
                    <w:tl2br w:val="nil"/>
                    <w:tr2bl w:val="nil"/>
                  </w:tcBorders>
                  <w:shd w:val="clear" w:color="auto" w:fill="auto"/>
                  <w:noWrap w:val="0"/>
                  <w:vAlign w:val="center"/>
                </w:tcPr>
                <w:p w14:paraId="1DAA20A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是</w:t>
                  </w:r>
                </w:p>
                <w:p w14:paraId="09379BE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both"/>
                    <w:textAlignment w:val="center"/>
                    <w:rPr>
                      <w:rFonts w:hint="eastAsia" w:cs="Times New Roman"/>
                      <w:color w:val="auto"/>
                      <w:sz w:val="21"/>
                      <w:szCs w:val="21"/>
                      <w:highlight w:val="none"/>
                      <w:lang w:val="en-US" w:eastAsia="zh-CN"/>
                    </w:rPr>
                  </w:pPr>
                </w:p>
              </w:tc>
              <w:tc>
                <w:tcPr>
                  <w:tcW w:w="427" w:type="dxa"/>
                  <w:vMerge w:val="restart"/>
                  <w:tcBorders>
                    <w:tl2br w:val="nil"/>
                    <w:tr2bl w:val="nil"/>
                  </w:tcBorders>
                  <w:shd w:val="clear" w:color="auto" w:fill="auto"/>
                  <w:noWrap w:val="0"/>
                  <w:vAlign w:val="center"/>
                </w:tcPr>
                <w:p w14:paraId="44CF347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半密闭集气罩+</w:t>
                  </w:r>
                  <w:r>
                    <w:rPr>
                      <w:rFonts w:hint="eastAsia" w:cs="Times New Roman"/>
                      <w:color w:val="auto"/>
                      <w:sz w:val="21"/>
                      <w:szCs w:val="21"/>
                      <w:highlight w:val="none"/>
                      <w:lang w:val="en-US" w:eastAsia="zh-CN"/>
                    </w:rPr>
                    <w:t>五级活性炭</w:t>
                  </w:r>
                </w:p>
              </w:tc>
              <w:tc>
                <w:tcPr>
                  <w:tcW w:w="0" w:type="auto"/>
                  <w:tcBorders>
                    <w:tl2br w:val="nil"/>
                    <w:tr2bl w:val="nil"/>
                  </w:tcBorders>
                  <w:noWrap w:val="0"/>
                  <w:vAlign w:val="center"/>
                </w:tcPr>
                <w:p w14:paraId="7A7B30F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cs="Times New Roman"/>
                      <w:color w:val="FF0000"/>
                      <w:kern w:val="2"/>
                      <w:sz w:val="21"/>
                      <w:szCs w:val="21"/>
                      <w:highlight w:val="none"/>
                      <w:lang w:val="en-US" w:eastAsia="zh-CN" w:bidi="ar-SA"/>
                    </w:rPr>
                  </w:pPr>
                  <w:r>
                    <w:rPr>
                      <w:rFonts w:hint="eastAsia" w:cs="Times New Roman"/>
                      <w:color w:val="FF0000"/>
                      <w:kern w:val="2"/>
                      <w:sz w:val="21"/>
                      <w:szCs w:val="21"/>
                      <w:highlight w:val="none"/>
                      <w:lang w:val="en-US" w:eastAsia="zh-CN" w:bidi="ar-SA"/>
                    </w:rPr>
                    <w:t>4.5</w:t>
                  </w:r>
                </w:p>
              </w:tc>
              <w:tc>
                <w:tcPr>
                  <w:tcW w:w="794" w:type="dxa"/>
                  <w:tcBorders>
                    <w:tl2br w:val="nil"/>
                    <w:tr2bl w:val="nil"/>
                  </w:tcBorders>
                  <w:noWrap w:val="0"/>
                  <w:vAlign w:val="center"/>
                </w:tcPr>
                <w:p w14:paraId="0E130963">
                  <w:pPr>
                    <w:keepNext w:val="0"/>
                    <w:keepLines w:val="0"/>
                    <w:widowControl/>
                    <w:suppressLineNumbers w:val="0"/>
                    <w:spacing w:before="0" w:beforeAutospacing="0" w:after="0" w:afterAutospacing="0"/>
                    <w:ind w:left="0" w:right="0"/>
                    <w:jc w:val="center"/>
                    <w:textAlignment w:val="center"/>
                    <w:rPr>
                      <w:rFonts w:hint="default" w:cs="Times New Roman"/>
                      <w:i w:val="0"/>
                      <w:iCs w:val="0"/>
                      <w:color w:val="FF0000"/>
                      <w:kern w:val="0"/>
                      <w:sz w:val="21"/>
                      <w:szCs w:val="21"/>
                      <w:highlight w:val="none"/>
                      <w:u w:val="none"/>
                      <w:lang w:val="en-US" w:eastAsia="zh-CN" w:bidi="ar"/>
                    </w:rPr>
                  </w:pPr>
                  <w:r>
                    <w:rPr>
                      <w:rFonts w:hint="eastAsia" w:cs="Times New Roman"/>
                      <w:i w:val="0"/>
                      <w:iCs w:val="0"/>
                      <w:color w:val="FF0000"/>
                      <w:kern w:val="0"/>
                      <w:sz w:val="21"/>
                      <w:szCs w:val="21"/>
                      <w:highlight w:val="none"/>
                      <w:u w:val="none"/>
                      <w:lang w:val="en-US" w:eastAsia="zh-CN" w:bidi="ar"/>
                    </w:rPr>
                    <w:t>0.027</w:t>
                  </w:r>
                </w:p>
              </w:tc>
              <w:tc>
                <w:tcPr>
                  <w:tcW w:w="794" w:type="dxa"/>
                  <w:tcBorders>
                    <w:tl2br w:val="nil"/>
                    <w:tr2bl w:val="nil"/>
                  </w:tcBorders>
                  <w:noWrap w:val="0"/>
                  <w:vAlign w:val="center"/>
                </w:tcPr>
                <w:p w14:paraId="353252A7">
                  <w:pPr>
                    <w:keepNext w:val="0"/>
                    <w:keepLines w:val="0"/>
                    <w:widowControl/>
                    <w:suppressLineNumbers w:val="0"/>
                    <w:spacing w:before="0" w:beforeAutospacing="0" w:after="0" w:afterAutospacing="0"/>
                    <w:ind w:left="0" w:right="0"/>
                    <w:jc w:val="center"/>
                    <w:textAlignment w:val="center"/>
                    <w:rPr>
                      <w:rFonts w:hint="default"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0.128</w:t>
                  </w:r>
                </w:p>
              </w:tc>
              <w:tc>
                <w:tcPr>
                  <w:tcW w:w="835" w:type="dxa"/>
                  <w:vMerge w:val="restart"/>
                  <w:tcBorders>
                    <w:tl2br w:val="nil"/>
                    <w:tr2bl w:val="nil"/>
                  </w:tcBorders>
                  <w:noWrap w:val="0"/>
                  <w:vAlign w:val="center"/>
                </w:tcPr>
                <w:p w14:paraId="0F90939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DA0</w:t>
                  </w:r>
                  <w:r>
                    <w:rPr>
                      <w:rFonts w:hint="default" w:ascii="Times New Roman" w:hAnsi="Times New Roman" w:cs="Times New Roman"/>
                      <w:color w:val="auto"/>
                      <w:sz w:val="21"/>
                      <w:szCs w:val="21"/>
                      <w:highlight w:val="none"/>
                      <w:lang w:val="en-US" w:eastAsia="zh-CN"/>
                    </w:rPr>
                    <w:t>0</w:t>
                  </w:r>
                  <w:r>
                    <w:rPr>
                      <w:rFonts w:hint="eastAsia" w:cs="Times New Roman"/>
                      <w:color w:val="auto"/>
                      <w:sz w:val="21"/>
                      <w:szCs w:val="21"/>
                      <w:highlight w:val="none"/>
                      <w:lang w:val="en-US" w:eastAsia="zh-CN"/>
                    </w:rPr>
                    <w:t>3</w:t>
                  </w:r>
                </w:p>
              </w:tc>
              <w:tc>
                <w:tcPr>
                  <w:tcW w:w="427" w:type="dxa"/>
                  <w:vMerge w:val="restart"/>
                  <w:tcBorders>
                    <w:tl2br w:val="nil"/>
                    <w:tr2bl w:val="nil"/>
                  </w:tcBorders>
                  <w:noWrap w:val="0"/>
                  <w:vAlign w:val="center"/>
                </w:tcPr>
                <w:p w14:paraId="5A6A358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15</w:t>
                  </w:r>
                </w:p>
              </w:tc>
              <w:tc>
                <w:tcPr>
                  <w:tcW w:w="479" w:type="dxa"/>
                  <w:vMerge w:val="restart"/>
                  <w:tcBorders>
                    <w:tl2br w:val="nil"/>
                    <w:tr2bl w:val="nil"/>
                  </w:tcBorders>
                  <w:noWrap w:val="0"/>
                  <w:vAlign w:val="center"/>
                </w:tcPr>
                <w:p w14:paraId="615CEEA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0.5</w:t>
                  </w:r>
                </w:p>
              </w:tc>
              <w:tc>
                <w:tcPr>
                  <w:tcW w:w="444" w:type="dxa"/>
                  <w:vMerge w:val="restart"/>
                  <w:tcBorders>
                    <w:tl2br w:val="nil"/>
                    <w:tr2bl w:val="nil"/>
                  </w:tcBorders>
                  <w:noWrap w:val="0"/>
                  <w:vAlign w:val="center"/>
                </w:tcPr>
                <w:p w14:paraId="4E90B46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25</w:t>
                  </w:r>
                </w:p>
              </w:tc>
              <w:tc>
                <w:tcPr>
                  <w:tcW w:w="427" w:type="dxa"/>
                  <w:vMerge w:val="restart"/>
                  <w:tcBorders>
                    <w:tl2br w:val="nil"/>
                    <w:tr2bl w:val="nil"/>
                  </w:tcBorders>
                  <w:noWrap w:val="0"/>
                  <w:vAlign w:val="center"/>
                </w:tcPr>
                <w:p w14:paraId="6E4A57B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一般排放口</w:t>
                  </w:r>
                </w:p>
              </w:tc>
              <w:tc>
                <w:tcPr>
                  <w:tcW w:w="1552" w:type="dxa"/>
                  <w:vMerge w:val="restart"/>
                  <w:tcBorders>
                    <w:tl2br w:val="nil"/>
                    <w:tr2bl w:val="nil"/>
                  </w:tcBorders>
                  <w:noWrap w:val="0"/>
                  <w:vAlign w:val="center"/>
                </w:tcPr>
                <w:p w14:paraId="3A6895D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eastAsia" w:cs="Times New Roman"/>
                      <w:color w:val="auto"/>
                      <w:sz w:val="21"/>
                      <w:szCs w:val="21"/>
                      <w:highlight w:val="none"/>
                      <w:lang w:val="en-US" w:eastAsia="zh-CN"/>
                    </w:rPr>
                    <w:t>E</w:t>
                  </w:r>
                  <w:r>
                    <w:rPr>
                      <w:rFonts w:hint="default" w:ascii="Times New Roman" w:hAnsi="Times New Roman" w:eastAsia="宋体" w:cs="Times New Roman"/>
                      <w:color w:val="auto"/>
                      <w:sz w:val="21"/>
                      <w:szCs w:val="21"/>
                      <w:highlight w:val="none"/>
                    </w:rPr>
                    <w:t>117°</w:t>
                  </w:r>
                  <w:r>
                    <w:rPr>
                      <w:rFonts w:hint="eastAsia" w:cs="Times New Roman"/>
                      <w:color w:val="auto"/>
                      <w:sz w:val="21"/>
                      <w:szCs w:val="21"/>
                      <w:highlight w:val="none"/>
                      <w:lang w:val="en-US" w:eastAsia="zh-CN"/>
                    </w:rPr>
                    <w:t>9</w:t>
                  </w:r>
                  <w:r>
                    <w:rPr>
                      <w:rFonts w:hint="default" w:ascii="Times New Roman" w:hAnsi="Times New Roman" w:eastAsia="宋体" w:cs="Times New Roman"/>
                      <w:color w:val="auto"/>
                      <w:sz w:val="21"/>
                      <w:szCs w:val="21"/>
                      <w:highlight w:val="none"/>
                    </w:rPr>
                    <w:t>′</w:t>
                  </w:r>
                  <w:r>
                    <w:rPr>
                      <w:rFonts w:hint="eastAsia" w:cs="Times New Roman"/>
                      <w:color w:val="auto"/>
                      <w:sz w:val="21"/>
                      <w:szCs w:val="21"/>
                      <w:highlight w:val="none"/>
                      <w:lang w:val="en-US" w:eastAsia="zh-CN"/>
                    </w:rPr>
                    <w:t>31.270</w:t>
                  </w:r>
                  <w:r>
                    <w:rPr>
                      <w:rFonts w:hint="default" w:ascii="Times New Roman" w:hAnsi="Times New Roman" w:eastAsia="宋体" w:cs="Times New Roman"/>
                      <w:color w:val="auto"/>
                      <w:sz w:val="21"/>
                      <w:szCs w:val="21"/>
                      <w:highlight w:val="none"/>
                    </w:rPr>
                    <w:t>″</w:t>
                  </w:r>
                </w:p>
                <w:p w14:paraId="5EF7D30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N</w:t>
                  </w:r>
                  <w:r>
                    <w:rPr>
                      <w:rFonts w:hint="default" w:ascii="Times New Roman" w:hAnsi="Times New Roman" w:eastAsia="宋体" w:cs="Times New Roman"/>
                      <w:color w:val="auto"/>
                      <w:sz w:val="21"/>
                      <w:szCs w:val="21"/>
                      <w:highlight w:val="none"/>
                    </w:rPr>
                    <w:t>29°0′</w:t>
                  </w:r>
                  <w:r>
                    <w:rPr>
                      <w:rFonts w:hint="eastAsia" w:cs="Times New Roman"/>
                      <w:color w:val="auto"/>
                      <w:sz w:val="21"/>
                      <w:szCs w:val="21"/>
                      <w:highlight w:val="none"/>
                      <w:lang w:val="en-US" w:eastAsia="zh-CN"/>
                    </w:rPr>
                    <w:t>27.159</w:t>
                  </w:r>
                  <w:r>
                    <w:rPr>
                      <w:rFonts w:hint="default" w:ascii="Times New Roman" w:hAnsi="Times New Roman" w:eastAsia="宋体" w:cs="Times New Roman"/>
                      <w:color w:val="auto"/>
                      <w:sz w:val="21"/>
                      <w:szCs w:val="21"/>
                      <w:highlight w:val="none"/>
                    </w:rPr>
                    <w:t>″</w:t>
                  </w:r>
                </w:p>
              </w:tc>
              <w:tc>
                <w:tcPr>
                  <w:tcW w:w="689" w:type="dxa"/>
                  <w:vMerge w:val="restart"/>
                  <w:tcBorders>
                    <w:tl2br w:val="nil"/>
                    <w:tr2bl w:val="nil"/>
                  </w:tcBorders>
                  <w:noWrap w:val="0"/>
                  <w:vAlign w:val="center"/>
                </w:tcPr>
                <w:p w14:paraId="601055A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14.1</w:t>
                  </w:r>
                </w:p>
              </w:tc>
              <w:tc>
                <w:tcPr>
                  <w:tcW w:w="951" w:type="dxa"/>
                  <w:tcBorders>
                    <w:tl2br w:val="nil"/>
                    <w:tr2bl w:val="nil"/>
                  </w:tcBorders>
                  <w:noWrap w:val="0"/>
                  <w:vAlign w:val="center"/>
                </w:tcPr>
                <w:p w14:paraId="3D5B677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cs="Times New Roman"/>
                      <w:bCs/>
                      <w:color w:val="auto"/>
                      <w:sz w:val="21"/>
                      <w:szCs w:val="21"/>
                      <w:highlight w:val="none"/>
                      <w:lang w:val="en-US" w:eastAsia="zh-CN"/>
                    </w:rPr>
                  </w:pPr>
                  <w:r>
                    <w:rPr>
                      <w:rFonts w:hint="eastAsia" w:cs="Times New Roman"/>
                      <w:bCs/>
                      <w:color w:val="auto"/>
                      <w:sz w:val="21"/>
                      <w:szCs w:val="21"/>
                      <w:highlight w:val="none"/>
                      <w:lang w:val="en-US" w:eastAsia="zh-CN"/>
                    </w:rPr>
                    <w:t>120（80*）</w:t>
                  </w:r>
                </w:p>
              </w:tc>
              <w:tc>
                <w:tcPr>
                  <w:tcW w:w="613" w:type="dxa"/>
                  <w:tcBorders>
                    <w:tl2br w:val="nil"/>
                    <w:tr2bl w:val="nil"/>
                  </w:tcBorders>
                  <w:noWrap w:val="0"/>
                  <w:vAlign w:val="center"/>
                </w:tcPr>
                <w:p w14:paraId="2A63650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5</w:t>
                  </w:r>
                </w:p>
              </w:tc>
            </w:tr>
            <w:tr w14:paraId="05B0C65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636" w:type="dxa"/>
                  <w:vMerge w:val="continue"/>
                  <w:tcBorders>
                    <w:tl2br w:val="nil"/>
                    <w:tr2bl w:val="nil"/>
                  </w:tcBorders>
                  <w:noWrap w:val="0"/>
                  <w:vAlign w:val="center"/>
                </w:tcPr>
                <w:p w14:paraId="41A8BCA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ascii="Times New Roman" w:hAnsi="Times New Roman" w:cs="Times New Roman"/>
                      <w:color w:val="auto"/>
                      <w:highlight w:val="none"/>
                      <w:lang w:val="en-US" w:eastAsia="zh-CN"/>
                    </w:rPr>
                  </w:pPr>
                </w:p>
              </w:tc>
              <w:tc>
                <w:tcPr>
                  <w:tcW w:w="427" w:type="dxa"/>
                  <w:vMerge w:val="continue"/>
                  <w:tcBorders>
                    <w:tl2br w:val="nil"/>
                    <w:tr2bl w:val="nil"/>
                  </w:tcBorders>
                  <w:noWrap w:val="0"/>
                  <w:vAlign w:val="center"/>
                </w:tcPr>
                <w:p w14:paraId="0E2A64E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p>
              </w:tc>
              <w:tc>
                <w:tcPr>
                  <w:tcW w:w="625" w:type="dxa"/>
                  <w:tcBorders>
                    <w:tl2br w:val="nil"/>
                    <w:tr2bl w:val="nil"/>
                  </w:tcBorders>
                  <w:noWrap w:val="0"/>
                  <w:vAlign w:val="center"/>
                </w:tcPr>
                <w:p w14:paraId="3282A5C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color w:val="auto"/>
                      <w:sz w:val="21"/>
                      <w:szCs w:val="21"/>
                      <w:lang w:val="en-US" w:eastAsia="zh-CN"/>
                    </w:rPr>
                  </w:pPr>
                  <w:r>
                    <w:rPr>
                      <w:rFonts w:hint="eastAsia"/>
                      <w:color w:val="auto"/>
                      <w:sz w:val="21"/>
                      <w:szCs w:val="21"/>
                      <w:lang w:val="en-US" w:eastAsia="zh-CN"/>
                    </w:rPr>
                    <w:t>HCl</w:t>
                  </w:r>
                </w:p>
              </w:tc>
              <w:tc>
                <w:tcPr>
                  <w:tcW w:w="798" w:type="dxa"/>
                  <w:tcBorders>
                    <w:tl2br w:val="nil"/>
                    <w:tr2bl w:val="nil"/>
                  </w:tcBorders>
                  <w:noWrap w:val="0"/>
                  <w:vAlign w:val="center"/>
                </w:tcPr>
                <w:p w14:paraId="57D9D06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0.083</w:t>
                  </w:r>
                </w:p>
              </w:tc>
              <w:tc>
                <w:tcPr>
                  <w:tcW w:w="794" w:type="dxa"/>
                  <w:tcBorders>
                    <w:tl2br w:val="nil"/>
                    <w:tr2bl w:val="nil"/>
                  </w:tcBorders>
                  <w:noWrap w:val="0"/>
                  <w:vAlign w:val="center"/>
                </w:tcPr>
                <w:p w14:paraId="7C888682">
                  <w:pPr>
                    <w:keepNext w:val="0"/>
                    <w:keepLines w:val="0"/>
                    <w:widowControl/>
                    <w:suppressLineNumbers w:val="0"/>
                    <w:spacing w:before="0" w:beforeAutospacing="0" w:after="0" w:afterAutospacing="0"/>
                    <w:ind w:left="0" w:right="0"/>
                    <w:jc w:val="center"/>
                    <w:textAlignment w:val="center"/>
                    <w:rPr>
                      <w:rFonts w:hint="default"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0.0005</w:t>
                  </w:r>
                </w:p>
              </w:tc>
              <w:tc>
                <w:tcPr>
                  <w:tcW w:w="794" w:type="dxa"/>
                  <w:tcBorders>
                    <w:tl2br w:val="nil"/>
                    <w:tr2bl w:val="nil"/>
                  </w:tcBorders>
                  <w:noWrap w:val="0"/>
                  <w:vAlign w:val="center"/>
                </w:tcPr>
                <w:p w14:paraId="2B71AFF1">
                  <w:pPr>
                    <w:keepNext w:val="0"/>
                    <w:keepLines w:val="0"/>
                    <w:widowControl/>
                    <w:suppressLineNumbers w:val="0"/>
                    <w:spacing w:before="0" w:beforeAutospacing="0" w:after="0" w:afterAutospacing="0"/>
                    <w:ind w:left="0" w:right="0"/>
                    <w:jc w:val="center"/>
                    <w:textAlignment w:val="center"/>
                    <w:rPr>
                      <w:rFonts w:hint="default" w:cs="Times New Roman"/>
                      <w:color w:val="auto"/>
                      <w:sz w:val="21"/>
                      <w:szCs w:val="21"/>
                      <w:lang w:val="en-US" w:eastAsia="zh-CN"/>
                    </w:rPr>
                  </w:pPr>
                  <w:r>
                    <w:rPr>
                      <w:rFonts w:hint="eastAsia" w:cs="Times New Roman"/>
                      <w:color w:val="auto"/>
                      <w:sz w:val="21"/>
                      <w:szCs w:val="21"/>
                      <w:lang w:val="en-US" w:eastAsia="zh-CN"/>
                    </w:rPr>
                    <w:t>0.0024</w:t>
                  </w:r>
                </w:p>
              </w:tc>
              <w:tc>
                <w:tcPr>
                  <w:tcW w:w="741" w:type="dxa"/>
                  <w:vMerge w:val="continue"/>
                  <w:tcBorders>
                    <w:tl2br w:val="nil"/>
                    <w:tr2bl w:val="nil"/>
                  </w:tcBorders>
                  <w:shd w:val="clear" w:color="auto" w:fill="auto"/>
                  <w:noWrap w:val="0"/>
                  <w:vAlign w:val="center"/>
                </w:tcPr>
                <w:p w14:paraId="3D082F7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427" w:type="dxa"/>
                  <w:vMerge w:val="continue"/>
                  <w:tcBorders>
                    <w:tl2br w:val="nil"/>
                    <w:tr2bl w:val="nil"/>
                  </w:tcBorders>
                  <w:shd w:val="clear" w:color="auto" w:fill="auto"/>
                  <w:noWrap w:val="0"/>
                  <w:vAlign w:val="center"/>
                </w:tcPr>
                <w:p w14:paraId="2A53373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kern w:val="2"/>
                      <w:sz w:val="21"/>
                      <w:szCs w:val="21"/>
                      <w:highlight w:val="none"/>
                      <w:lang w:val="en-US" w:eastAsia="zh-CN" w:bidi="ar-SA"/>
                    </w:rPr>
                  </w:pPr>
                </w:p>
              </w:tc>
              <w:tc>
                <w:tcPr>
                  <w:tcW w:w="689" w:type="dxa"/>
                  <w:tcBorders>
                    <w:tl2br w:val="nil"/>
                    <w:tr2bl w:val="nil"/>
                  </w:tcBorders>
                  <w:shd w:val="clear" w:color="auto" w:fill="auto"/>
                  <w:noWrap w:val="0"/>
                  <w:vAlign w:val="center"/>
                </w:tcPr>
                <w:p w14:paraId="59AA0F5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w:t>
                  </w:r>
                </w:p>
              </w:tc>
              <w:tc>
                <w:tcPr>
                  <w:tcW w:w="427" w:type="dxa"/>
                  <w:vMerge w:val="continue"/>
                  <w:tcBorders>
                    <w:tl2br w:val="nil"/>
                    <w:tr2bl w:val="nil"/>
                  </w:tcBorders>
                  <w:shd w:val="clear" w:color="auto" w:fill="auto"/>
                  <w:noWrap w:val="0"/>
                  <w:vAlign w:val="center"/>
                </w:tcPr>
                <w:p w14:paraId="1DE7A7F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427" w:type="dxa"/>
                  <w:vMerge w:val="continue"/>
                  <w:tcBorders>
                    <w:tl2br w:val="nil"/>
                    <w:tr2bl w:val="nil"/>
                  </w:tcBorders>
                  <w:shd w:val="clear" w:color="auto" w:fill="auto"/>
                  <w:noWrap w:val="0"/>
                  <w:vAlign w:val="center"/>
                </w:tcPr>
                <w:p w14:paraId="00B3814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p>
              </w:tc>
              <w:tc>
                <w:tcPr>
                  <w:tcW w:w="798" w:type="dxa"/>
                  <w:tcBorders>
                    <w:tl2br w:val="nil"/>
                    <w:tr2bl w:val="nil"/>
                  </w:tcBorders>
                  <w:noWrap w:val="0"/>
                  <w:vAlign w:val="center"/>
                </w:tcPr>
                <w:p w14:paraId="0D664AB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0.083</w:t>
                  </w:r>
                </w:p>
              </w:tc>
              <w:tc>
                <w:tcPr>
                  <w:tcW w:w="794" w:type="dxa"/>
                  <w:tcBorders>
                    <w:tl2br w:val="nil"/>
                    <w:tr2bl w:val="nil"/>
                  </w:tcBorders>
                  <w:noWrap w:val="0"/>
                  <w:vAlign w:val="center"/>
                </w:tcPr>
                <w:p w14:paraId="15C1195C">
                  <w:pPr>
                    <w:keepNext w:val="0"/>
                    <w:keepLines w:val="0"/>
                    <w:widowControl/>
                    <w:suppressLineNumbers w:val="0"/>
                    <w:spacing w:before="0" w:beforeAutospacing="0" w:after="0" w:afterAutospacing="0"/>
                    <w:ind w:left="0" w:leftChars="0" w:right="0" w:rightChars="0"/>
                    <w:jc w:val="center"/>
                    <w:textAlignment w:val="center"/>
                    <w:rPr>
                      <w:rFonts w:hint="default"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0.0005</w:t>
                  </w:r>
                </w:p>
              </w:tc>
              <w:tc>
                <w:tcPr>
                  <w:tcW w:w="794" w:type="dxa"/>
                  <w:tcBorders>
                    <w:tl2br w:val="nil"/>
                    <w:tr2bl w:val="nil"/>
                  </w:tcBorders>
                  <w:noWrap w:val="0"/>
                  <w:vAlign w:val="center"/>
                </w:tcPr>
                <w:p w14:paraId="7461D6E1">
                  <w:pPr>
                    <w:keepNext w:val="0"/>
                    <w:keepLines w:val="0"/>
                    <w:widowControl/>
                    <w:suppressLineNumbers w:val="0"/>
                    <w:spacing w:before="0" w:beforeAutospacing="0" w:after="0" w:afterAutospacing="0"/>
                    <w:ind w:left="0" w:right="0"/>
                    <w:jc w:val="center"/>
                    <w:textAlignment w:val="center"/>
                    <w:rPr>
                      <w:rFonts w:hint="default" w:cs="Times New Roman"/>
                      <w:i w:val="0"/>
                      <w:iCs w:val="0"/>
                      <w:color w:val="auto"/>
                      <w:kern w:val="0"/>
                      <w:sz w:val="21"/>
                      <w:szCs w:val="21"/>
                      <w:highlight w:val="none"/>
                      <w:u w:val="none"/>
                      <w:lang w:val="en-US" w:eastAsia="zh-CN" w:bidi="ar"/>
                    </w:rPr>
                  </w:pPr>
                  <w:r>
                    <w:rPr>
                      <w:rFonts w:hint="eastAsia" w:cs="Times New Roman"/>
                      <w:color w:val="auto"/>
                      <w:sz w:val="21"/>
                      <w:szCs w:val="21"/>
                      <w:lang w:val="en-US" w:eastAsia="zh-CN"/>
                    </w:rPr>
                    <w:t>0.0024</w:t>
                  </w:r>
                </w:p>
              </w:tc>
              <w:tc>
                <w:tcPr>
                  <w:tcW w:w="835" w:type="dxa"/>
                  <w:vMerge w:val="continue"/>
                  <w:tcBorders>
                    <w:tl2br w:val="nil"/>
                    <w:tr2bl w:val="nil"/>
                  </w:tcBorders>
                  <w:noWrap w:val="0"/>
                  <w:vAlign w:val="center"/>
                </w:tcPr>
                <w:p w14:paraId="66B6B75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p>
              </w:tc>
              <w:tc>
                <w:tcPr>
                  <w:tcW w:w="427" w:type="dxa"/>
                  <w:vMerge w:val="continue"/>
                  <w:tcBorders>
                    <w:tl2br w:val="nil"/>
                    <w:tr2bl w:val="nil"/>
                  </w:tcBorders>
                  <w:noWrap w:val="0"/>
                  <w:vAlign w:val="center"/>
                </w:tcPr>
                <w:p w14:paraId="7C01391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479" w:type="dxa"/>
                  <w:vMerge w:val="continue"/>
                  <w:tcBorders>
                    <w:tl2br w:val="nil"/>
                    <w:tr2bl w:val="nil"/>
                  </w:tcBorders>
                  <w:noWrap w:val="0"/>
                  <w:vAlign w:val="center"/>
                </w:tcPr>
                <w:p w14:paraId="22430FA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444" w:type="dxa"/>
                  <w:vMerge w:val="continue"/>
                  <w:tcBorders>
                    <w:tl2br w:val="nil"/>
                    <w:tr2bl w:val="nil"/>
                  </w:tcBorders>
                  <w:noWrap w:val="0"/>
                  <w:vAlign w:val="center"/>
                </w:tcPr>
                <w:p w14:paraId="067067A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427" w:type="dxa"/>
                  <w:vMerge w:val="continue"/>
                  <w:tcBorders>
                    <w:tl2br w:val="nil"/>
                    <w:tr2bl w:val="nil"/>
                  </w:tcBorders>
                  <w:noWrap w:val="0"/>
                  <w:vAlign w:val="center"/>
                </w:tcPr>
                <w:p w14:paraId="2015BCE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p>
              </w:tc>
              <w:tc>
                <w:tcPr>
                  <w:tcW w:w="1552" w:type="dxa"/>
                  <w:vMerge w:val="continue"/>
                  <w:tcBorders>
                    <w:tl2br w:val="nil"/>
                    <w:tr2bl w:val="nil"/>
                  </w:tcBorders>
                  <w:noWrap w:val="0"/>
                  <w:vAlign w:val="center"/>
                </w:tcPr>
                <w:p w14:paraId="31ACDFC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689" w:type="dxa"/>
                  <w:vMerge w:val="continue"/>
                  <w:tcBorders>
                    <w:tl2br w:val="nil"/>
                    <w:tr2bl w:val="nil"/>
                  </w:tcBorders>
                  <w:noWrap w:val="0"/>
                  <w:vAlign w:val="center"/>
                </w:tcPr>
                <w:p w14:paraId="52FAA01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951" w:type="dxa"/>
                  <w:tcBorders>
                    <w:tl2br w:val="nil"/>
                    <w:tr2bl w:val="nil"/>
                  </w:tcBorders>
                  <w:noWrap w:val="0"/>
                  <w:vAlign w:val="center"/>
                </w:tcPr>
                <w:p w14:paraId="6A51BC1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cs="Times New Roman"/>
                      <w:bCs/>
                      <w:color w:val="auto"/>
                      <w:sz w:val="21"/>
                      <w:szCs w:val="21"/>
                      <w:highlight w:val="none"/>
                      <w:lang w:val="en-US" w:eastAsia="zh-CN"/>
                    </w:rPr>
                  </w:pPr>
                  <w:r>
                    <w:rPr>
                      <w:rFonts w:hint="eastAsia" w:cs="Times New Roman"/>
                      <w:bCs/>
                      <w:color w:val="auto"/>
                      <w:sz w:val="21"/>
                      <w:szCs w:val="21"/>
                      <w:highlight w:val="none"/>
                      <w:lang w:val="en-US" w:eastAsia="zh-CN"/>
                    </w:rPr>
                    <w:t>100</w:t>
                  </w:r>
                </w:p>
              </w:tc>
              <w:tc>
                <w:tcPr>
                  <w:tcW w:w="613" w:type="dxa"/>
                  <w:tcBorders>
                    <w:tl2br w:val="nil"/>
                    <w:tr2bl w:val="nil"/>
                  </w:tcBorders>
                  <w:noWrap w:val="0"/>
                  <w:vAlign w:val="center"/>
                </w:tcPr>
                <w:p w14:paraId="23811F2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0.13</w:t>
                  </w:r>
                </w:p>
              </w:tc>
            </w:tr>
            <w:tr w14:paraId="6A4BE89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636" w:type="dxa"/>
                  <w:vMerge w:val="continue"/>
                  <w:tcBorders>
                    <w:tl2br w:val="nil"/>
                    <w:tr2bl w:val="nil"/>
                  </w:tcBorders>
                  <w:noWrap w:val="0"/>
                  <w:vAlign w:val="center"/>
                </w:tcPr>
                <w:p w14:paraId="2064A79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ascii="Times New Roman" w:hAnsi="Times New Roman" w:cs="Times New Roman"/>
                      <w:color w:val="auto"/>
                      <w:highlight w:val="none"/>
                      <w:lang w:val="en-US" w:eastAsia="zh-CN"/>
                    </w:rPr>
                  </w:pPr>
                </w:p>
              </w:tc>
              <w:tc>
                <w:tcPr>
                  <w:tcW w:w="427" w:type="dxa"/>
                  <w:vMerge w:val="continue"/>
                  <w:tcBorders>
                    <w:tl2br w:val="nil"/>
                    <w:tr2bl w:val="nil"/>
                  </w:tcBorders>
                  <w:noWrap w:val="0"/>
                  <w:vAlign w:val="center"/>
                </w:tcPr>
                <w:p w14:paraId="631810B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p>
              </w:tc>
              <w:tc>
                <w:tcPr>
                  <w:tcW w:w="625" w:type="dxa"/>
                  <w:tcBorders>
                    <w:tl2br w:val="nil"/>
                    <w:tr2bl w:val="nil"/>
                  </w:tcBorders>
                  <w:noWrap w:val="0"/>
                  <w:vAlign w:val="center"/>
                </w:tcPr>
                <w:p w14:paraId="4154215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olor w:val="auto"/>
                      <w:sz w:val="21"/>
                      <w:szCs w:val="21"/>
                      <w:lang w:val="en-US" w:eastAsia="zh-CN"/>
                    </w:rPr>
                  </w:pPr>
                  <w:r>
                    <w:rPr>
                      <w:rFonts w:hint="eastAsia"/>
                      <w:color w:val="auto"/>
                      <w:sz w:val="21"/>
                      <w:szCs w:val="21"/>
                      <w:lang w:val="en-US" w:eastAsia="zh-CN"/>
                    </w:rPr>
                    <w:t>臭气浓度</w:t>
                  </w:r>
                </w:p>
              </w:tc>
              <w:tc>
                <w:tcPr>
                  <w:tcW w:w="798" w:type="dxa"/>
                  <w:tcBorders>
                    <w:tl2br w:val="nil"/>
                    <w:tr2bl w:val="nil"/>
                  </w:tcBorders>
                  <w:noWrap w:val="0"/>
                  <w:vAlign w:val="center"/>
                </w:tcPr>
                <w:p w14:paraId="60D0638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64（无量纲）</w:t>
                  </w:r>
                </w:p>
              </w:tc>
              <w:tc>
                <w:tcPr>
                  <w:tcW w:w="794" w:type="dxa"/>
                  <w:tcBorders>
                    <w:tl2br w:val="nil"/>
                    <w:tr2bl w:val="nil"/>
                  </w:tcBorders>
                  <w:noWrap w:val="0"/>
                  <w:vAlign w:val="center"/>
                </w:tcPr>
                <w:p w14:paraId="2EAF582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eastAsia" w:cs="Times New Roman"/>
                      <w:i w:val="0"/>
                      <w:iCs w:val="0"/>
                      <w:color w:val="auto"/>
                      <w:kern w:val="0"/>
                      <w:sz w:val="21"/>
                      <w:szCs w:val="21"/>
                      <w:highlight w:val="none"/>
                      <w:u w:val="none"/>
                      <w:lang w:val="en-US" w:eastAsia="zh-CN" w:bidi="ar"/>
                    </w:rPr>
                  </w:pPr>
                  <w:r>
                    <w:rPr>
                      <w:rFonts w:hint="eastAsia" w:cs="Times New Roman"/>
                      <w:color w:val="auto"/>
                      <w:kern w:val="2"/>
                      <w:sz w:val="21"/>
                      <w:szCs w:val="21"/>
                      <w:highlight w:val="none"/>
                      <w:lang w:val="en-US" w:eastAsia="zh-CN" w:bidi="ar-SA"/>
                    </w:rPr>
                    <w:t>/</w:t>
                  </w:r>
                </w:p>
              </w:tc>
              <w:tc>
                <w:tcPr>
                  <w:tcW w:w="794" w:type="dxa"/>
                  <w:tcBorders>
                    <w:tl2br w:val="nil"/>
                    <w:tr2bl w:val="nil"/>
                  </w:tcBorders>
                  <w:noWrap w:val="0"/>
                  <w:vAlign w:val="center"/>
                </w:tcPr>
                <w:p w14:paraId="1F93F01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eastAsia" w:cs="Times New Roman"/>
                      <w:color w:val="auto"/>
                      <w:sz w:val="21"/>
                      <w:szCs w:val="21"/>
                      <w:lang w:val="en-US" w:eastAsia="zh-CN"/>
                    </w:rPr>
                  </w:pPr>
                  <w:r>
                    <w:rPr>
                      <w:rFonts w:hint="eastAsia" w:cs="Times New Roman"/>
                      <w:color w:val="auto"/>
                      <w:kern w:val="2"/>
                      <w:sz w:val="21"/>
                      <w:szCs w:val="21"/>
                      <w:highlight w:val="none"/>
                      <w:lang w:val="en-US" w:eastAsia="zh-CN" w:bidi="ar-SA"/>
                    </w:rPr>
                    <w:t>/</w:t>
                  </w:r>
                </w:p>
              </w:tc>
              <w:tc>
                <w:tcPr>
                  <w:tcW w:w="741" w:type="dxa"/>
                  <w:vMerge w:val="continue"/>
                  <w:tcBorders>
                    <w:tl2br w:val="nil"/>
                    <w:tr2bl w:val="nil"/>
                  </w:tcBorders>
                  <w:shd w:val="clear" w:color="auto" w:fill="auto"/>
                  <w:noWrap w:val="0"/>
                  <w:vAlign w:val="center"/>
                </w:tcPr>
                <w:p w14:paraId="0A10DF8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eastAsia" w:cs="Times New Roman"/>
                      <w:color w:val="auto"/>
                      <w:sz w:val="21"/>
                      <w:szCs w:val="21"/>
                      <w:highlight w:val="none"/>
                      <w:lang w:val="en-US" w:eastAsia="zh-CN"/>
                    </w:rPr>
                  </w:pPr>
                </w:p>
              </w:tc>
              <w:tc>
                <w:tcPr>
                  <w:tcW w:w="427" w:type="dxa"/>
                  <w:vMerge w:val="continue"/>
                  <w:tcBorders>
                    <w:tl2br w:val="nil"/>
                    <w:tr2bl w:val="nil"/>
                  </w:tcBorders>
                  <w:shd w:val="clear" w:color="auto" w:fill="auto"/>
                  <w:noWrap w:val="0"/>
                  <w:vAlign w:val="center"/>
                </w:tcPr>
                <w:p w14:paraId="352290C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eastAsia" w:cs="Times New Roman"/>
                      <w:color w:val="auto"/>
                      <w:kern w:val="2"/>
                      <w:sz w:val="21"/>
                      <w:szCs w:val="21"/>
                      <w:highlight w:val="none"/>
                      <w:lang w:val="en-US" w:eastAsia="zh-CN" w:bidi="ar-SA"/>
                    </w:rPr>
                  </w:pPr>
                </w:p>
              </w:tc>
              <w:tc>
                <w:tcPr>
                  <w:tcW w:w="689" w:type="dxa"/>
                  <w:tcBorders>
                    <w:tl2br w:val="nil"/>
                    <w:tr2bl w:val="nil"/>
                  </w:tcBorders>
                  <w:shd w:val="clear" w:color="auto" w:fill="auto"/>
                  <w:noWrap w:val="0"/>
                  <w:vAlign w:val="center"/>
                </w:tcPr>
                <w:p w14:paraId="4D4E442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50</w:t>
                  </w:r>
                </w:p>
              </w:tc>
              <w:tc>
                <w:tcPr>
                  <w:tcW w:w="427" w:type="dxa"/>
                  <w:vMerge w:val="continue"/>
                  <w:tcBorders>
                    <w:tl2br w:val="nil"/>
                    <w:tr2bl w:val="nil"/>
                  </w:tcBorders>
                  <w:shd w:val="clear" w:color="auto" w:fill="auto"/>
                  <w:noWrap w:val="0"/>
                  <w:vAlign w:val="center"/>
                </w:tcPr>
                <w:p w14:paraId="7A48468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eastAsia" w:cs="Times New Roman"/>
                      <w:color w:val="auto"/>
                      <w:sz w:val="21"/>
                      <w:szCs w:val="21"/>
                      <w:highlight w:val="none"/>
                      <w:lang w:val="en-US" w:eastAsia="zh-CN"/>
                    </w:rPr>
                  </w:pPr>
                </w:p>
              </w:tc>
              <w:tc>
                <w:tcPr>
                  <w:tcW w:w="427" w:type="dxa"/>
                  <w:vMerge w:val="continue"/>
                  <w:tcBorders>
                    <w:tl2br w:val="nil"/>
                    <w:tr2bl w:val="nil"/>
                  </w:tcBorders>
                  <w:shd w:val="clear" w:color="auto" w:fill="auto"/>
                  <w:noWrap w:val="0"/>
                  <w:vAlign w:val="center"/>
                </w:tcPr>
                <w:p w14:paraId="3EF382E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ascii="Times New Roman" w:hAnsi="Times New Roman" w:eastAsia="宋体" w:cs="Times New Roman"/>
                      <w:color w:val="auto"/>
                      <w:sz w:val="21"/>
                      <w:szCs w:val="21"/>
                      <w:highlight w:val="none"/>
                      <w:lang w:val="en-US" w:eastAsia="zh-CN"/>
                    </w:rPr>
                  </w:pPr>
                </w:p>
              </w:tc>
              <w:tc>
                <w:tcPr>
                  <w:tcW w:w="798" w:type="dxa"/>
                  <w:tcBorders>
                    <w:tl2br w:val="nil"/>
                    <w:tr2bl w:val="nil"/>
                  </w:tcBorders>
                  <w:noWrap w:val="0"/>
                  <w:vAlign w:val="center"/>
                </w:tcPr>
                <w:p w14:paraId="776387D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32（无量纲）</w:t>
                  </w:r>
                </w:p>
              </w:tc>
              <w:tc>
                <w:tcPr>
                  <w:tcW w:w="794" w:type="dxa"/>
                  <w:tcBorders>
                    <w:tl2br w:val="nil"/>
                    <w:tr2bl w:val="nil"/>
                  </w:tcBorders>
                  <w:noWrap w:val="0"/>
                  <w:vAlign w:val="center"/>
                </w:tcPr>
                <w:p w14:paraId="38E6930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eastAsia" w:cs="Times New Roman"/>
                      <w:i w:val="0"/>
                      <w:iCs w:val="0"/>
                      <w:color w:val="auto"/>
                      <w:kern w:val="0"/>
                      <w:sz w:val="21"/>
                      <w:szCs w:val="21"/>
                      <w:highlight w:val="none"/>
                      <w:u w:val="none"/>
                      <w:lang w:val="en-US" w:eastAsia="zh-CN" w:bidi="ar"/>
                    </w:rPr>
                  </w:pPr>
                  <w:r>
                    <w:rPr>
                      <w:rFonts w:hint="eastAsia" w:cs="Times New Roman"/>
                      <w:color w:val="auto"/>
                      <w:kern w:val="2"/>
                      <w:sz w:val="21"/>
                      <w:szCs w:val="21"/>
                      <w:highlight w:val="none"/>
                      <w:lang w:val="en-US" w:eastAsia="zh-CN" w:bidi="ar-SA"/>
                    </w:rPr>
                    <w:t>/</w:t>
                  </w:r>
                </w:p>
              </w:tc>
              <w:tc>
                <w:tcPr>
                  <w:tcW w:w="794" w:type="dxa"/>
                  <w:tcBorders>
                    <w:tl2br w:val="nil"/>
                    <w:tr2bl w:val="nil"/>
                  </w:tcBorders>
                  <w:noWrap w:val="0"/>
                  <w:vAlign w:val="center"/>
                </w:tcPr>
                <w:p w14:paraId="5E90A9B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eastAsia" w:cs="Times New Roman"/>
                      <w:i w:val="0"/>
                      <w:iCs w:val="0"/>
                      <w:color w:val="auto"/>
                      <w:kern w:val="0"/>
                      <w:sz w:val="21"/>
                      <w:szCs w:val="21"/>
                      <w:highlight w:val="none"/>
                      <w:u w:val="none"/>
                      <w:lang w:val="en-US" w:eastAsia="zh-CN" w:bidi="ar"/>
                    </w:rPr>
                  </w:pPr>
                  <w:r>
                    <w:rPr>
                      <w:rFonts w:hint="eastAsia" w:cs="Times New Roman"/>
                      <w:color w:val="auto"/>
                      <w:kern w:val="2"/>
                      <w:sz w:val="21"/>
                      <w:szCs w:val="21"/>
                      <w:highlight w:val="none"/>
                      <w:lang w:val="en-US" w:eastAsia="zh-CN" w:bidi="ar-SA"/>
                    </w:rPr>
                    <w:t>/</w:t>
                  </w:r>
                </w:p>
              </w:tc>
              <w:tc>
                <w:tcPr>
                  <w:tcW w:w="835" w:type="dxa"/>
                  <w:vMerge w:val="continue"/>
                  <w:tcBorders>
                    <w:tl2br w:val="nil"/>
                    <w:tr2bl w:val="nil"/>
                  </w:tcBorders>
                  <w:noWrap w:val="0"/>
                  <w:vAlign w:val="center"/>
                </w:tcPr>
                <w:p w14:paraId="7C83444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ascii="Times New Roman" w:hAnsi="Times New Roman" w:eastAsia="宋体" w:cs="Times New Roman"/>
                      <w:color w:val="auto"/>
                      <w:sz w:val="21"/>
                      <w:szCs w:val="21"/>
                      <w:highlight w:val="none"/>
                    </w:rPr>
                  </w:pPr>
                </w:p>
              </w:tc>
              <w:tc>
                <w:tcPr>
                  <w:tcW w:w="427" w:type="dxa"/>
                  <w:vMerge w:val="continue"/>
                  <w:tcBorders>
                    <w:tl2br w:val="nil"/>
                    <w:tr2bl w:val="nil"/>
                  </w:tcBorders>
                  <w:noWrap w:val="0"/>
                  <w:vAlign w:val="center"/>
                </w:tcPr>
                <w:p w14:paraId="591C002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eastAsia" w:cs="Times New Roman"/>
                      <w:color w:val="auto"/>
                      <w:sz w:val="21"/>
                      <w:szCs w:val="21"/>
                      <w:highlight w:val="none"/>
                      <w:lang w:val="en-US" w:eastAsia="zh-CN"/>
                    </w:rPr>
                  </w:pPr>
                </w:p>
              </w:tc>
              <w:tc>
                <w:tcPr>
                  <w:tcW w:w="479" w:type="dxa"/>
                  <w:vMerge w:val="continue"/>
                  <w:tcBorders>
                    <w:tl2br w:val="nil"/>
                    <w:tr2bl w:val="nil"/>
                  </w:tcBorders>
                  <w:noWrap w:val="0"/>
                  <w:vAlign w:val="center"/>
                </w:tcPr>
                <w:p w14:paraId="7FCCF8D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eastAsia" w:cs="Times New Roman"/>
                      <w:color w:val="auto"/>
                      <w:sz w:val="21"/>
                      <w:szCs w:val="21"/>
                      <w:highlight w:val="none"/>
                      <w:lang w:val="en-US" w:eastAsia="zh-CN"/>
                    </w:rPr>
                  </w:pPr>
                </w:p>
              </w:tc>
              <w:tc>
                <w:tcPr>
                  <w:tcW w:w="444" w:type="dxa"/>
                  <w:vMerge w:val="continue"/>
                  <w:tcBorders>
                    <w:tl2br w:val="nil"/>
                    <w:tr2bl w:val="nil"/>
                  </w:tcBorders>
                  <w:noWrap w:val="0"/>
                  <w:vAlign w:val="center"/>
                </w:tcPr>
                <w:p w14:paraId="05B482F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eastAsia" w:cs="Times New Roman"/>
                      <w:color w:val="auto"/>
                      <w:sz w:val="21"/>
                      <w:szCs w:val="21"/>
                      <w:highlight w:val="none"/>
                      <w:lang w:val="en-US" w:eastAsia="zh-CN"/>
                    </w:rPr>
                  </w:pPr>
                </w:p>
              </w:tc>
              <w:tc>
                <w:tcPr>
                  <w:tcW w:w="427" w:type="dxa"/>
                  <w:vMerge w:val="continue"/>
                  <w:tcBorders>
                    <w:tl2br w:val="nil"/>
                    <w:tr2bl w:val="nil"/>
                  </w:tcBorders>
                  <w:noWrap w:val="0"/>
                  <w:vAlign w:val="center"/>
                </w:tcPr>
                <w:p w14:paraId="2970A7C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ascii="Times New Roman" w:hAnsi="Times New Roman" w:eastAsia="宋体" w:cs="Times New Roman"/>
                      <w:color w:val="auto"/>
                      <w:sz w:val="21"/>
                      <w:szCs w:val="21"/>
                      <w:highlight w:val="none"/>
                    </w:rPr>
                  </w:pPr>
                </w:p>
              </w:tc>
              <w:tc>
                <w:tcPr>
                  <w:tcW w:w="1552" w:type="dxa"/>
                  <w:vMerge w:val="continue"/>
                  <w:tcBorders>
                    <w:tl2br w:val="nil"/>
                    <w:tr2bl w:val="nil"/>
                  </w:tcBorders>
                  <w:noWrap w:val="0"/>
                  <w:vAlign w:val="center"/>
                </w:tcPr>
                <w:p w14:paraId="0A3A60B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eastAsia" w:cs="Times New Roman"/>
                      <w:color w:val="auto"/>
                      <w:sz w:val="21"/>
                      <w:szCs w:val="21"/>
                      <w:highlight w:val="none"/>
                      <w:lang w:val="en-US" w:eastAsia="zh-CN"/>
                    </w:rPr>
                  </w:pPr>
                </w:p>
              </w:tc>
              <w:tc>
                <w:tcPr>
                  <w:tcW w:w="689" w:type="dxa"/>
                  <w:vMerge w:val="continue"/>
                  <w:tcBorders>
                    <w:tl2br w:val="nil"/>
                    <w:tr2bl w:val="nil"/>
                  </w:tcBorders>
                  <w:noWrap w:val="0"/>
                  <w:vAlign w:val="center"/>
                </w:tcPr>
                <w:p w14:paraId="7F58F91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eastAsia" w:cs="Times New Roman"/>
                      <w:color w:val="auto"/>
                      <w:sz w:val="21"/>
                      <w:szCs w:val="21"/>
                      <w:highlight w:val="none"/>
                      <w:lang w:val="en-US" w:eastAsia="zh-CN"/>
                    </w:rPr>
                  </w:pPr>
                </w:p>
              </w:tc>
              <w:tc>
                <w:tcPr>
                  <w:tcW w:w="951" w:type="dxa"/>
                  <w:tcBorders>
                    <w:tl2br w:val="nil"/>
                    <w:tr2bl w:val="nil"/>
                  </w:tcBorders>
                  <w:noWrap w:val="0"/>
                  <w:vAlign w:val="center"/>
                </w:tcPr>
                <w:p w14:paraId="5CF1B86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eastAsia" w:cs="Times New Roman"/>
                      <w:bCs/>
                      <w:color w:val="auto"/>
                      <w:sz w:val="21"/>
                      <w:szCs w:val="21"/>
                      <w:highlight w:val="none"/>
                      <w:lang w:val="en-US" w:eastAsia="zh-CN"/>
                    </w:rPr>
                  </w:pPr>
                  <w:r>
                    <w:rPr>
                      <w:rFonts w:hint="eastAsia" w:ascii="Times New Roman" w:hAnsi="Times New Roman" w:eastAsia="宋体" w:cs="宋体"/>
                      <w:color w:val="auto"/>
                      <w:sz w:val="21"/>
                      <w:szCs w:val="20"/>
                      <w:lang w:val="en-US" w:eastAsia="zh-CN"/>
                    </w:rPr>
                    <w:t>2000</w:t>
                  </w:r>
                  <w:r>
                    <w:rPr>
                      <w:rFonts w:hint="eastAsia"/>
                      <w:b w:val="0"/>
                      <w:bCs w:val="0"/>
                      <w:color w:val="auto"/>
                      <w:sz w:val="21"/>
                      <w:szCs w:val="21"/>
                      <w:u w:val="none"/>
                      <w:lang w:val="en-US" w:eastAsia="zh-CN"/>
                    </w:rPr>
                    <w:t>（无量纲）</w:t>
                  </w:r>
                </w:p>
              </w:tc>
              <w:tc>
                <w:tcPr>
                  <w:tcW w:w="613" w:type="dxa"/>
                  <w:tcBorders>
                    <w:tl2br w:val="nil"/>
                    <w:tr2bl w:val="nil"/>
                  </w:tcBorders>
                  <w:noWrap w:val="0"/>
                  <w:vAlign w:val="center"/>
                </w:tcPr>
                <w:p w14:paraId="09B9A3BA">
                  <w:pPr>
                    <w:keepNext w:val="0"/>
                    <w:keepLines w:val="0"/>
                    <w:pageBreakBefore w:val="0"/>
                    <w:widowControl/>
                    <w:suppressLineNumbers w:val="0"/>
                    <w:kinsoku/>
                    <w:wordWrap/>
                    <w:overflowPunct w:val="0"/>
                    <w:topLinePunct w:val="0"/>
                    <w:autoSpaceDE w:val="0"/>
                    <w:autoSpaceDN w:val="0"/>
                    <w:bidi w:val="0"/>
                    <w:adjustRightInd w:val="0"/>
                    <w:snapToGrid w:val="0"/>
                    <w:spacing w:before="0" w:beforeAutospacing="0" w:after="0" w:afterAutospacing="0" w:line="300" w:lineRule="exact"/>
                    <w:ind w:left="21" w:leftChars="10" w:right="0"/>
                    <w:jc w:val="center"/>
                    <w:textAlignment w:val="baseline"/>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r>
            <w:tr w14:paraId="293EC6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636" w:type="dxa"/>
                  <w:vMerge w:val="continue"/>
                  <w:tcBorders>
                    <w:tl2br w:val="nil"/>
                    <w:tr2bl w:val="nil"/>
                  </w:tcBorders>
                  <w:noWrap w:val="0"/>
                  <w:vAlign w:val="center"/>
                </w:tcPr>
                <w:p w14:paraId="19CD523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Cs/>
                      <w:color w:val="auto"/>
                      <w:sz w:val="21"/>
                      <w:szCs w:val="21"/>
                      <w:highlight w:val="none"/>
                      <w:lang w:val="en-US" w:eastAsia="zh-CN"/>
                    </w:rPr>
                  </w:pPr>
                </w:p>
              </w:tc>
              <w:tc>
                <w:tcPr>
                  <w:tcW w:w="427" w:type="dxa"/>
                  <w:vMerge w:val="restart"/>
                  <w:tcBorders>
                    <w:tl2br w:val="nil"/>
                    <w:tr2bl w:val="nil"/>
                  </w:tcBorders>
                  <w:noWrap w:val="0"/>
                  <w:vAlign w:val="center"/>
                </w:tcPr>
                <w:p w14:paraId="3D8048C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eastAsia" w:cs="Times New Roman"/>
                      <w:bCs/>
                      <w:color w:val="auto"/>
                      <w:sz w:val="21"/>
                      <w:szCs w:val="21"/>
                      <w:highlight w:val="none"/>
                      <w:lang w:val="en-US" w:eastAsia="zh-CN"/>
                    </w:rPr>
                    <w:t>无组织</w:t>
                  </w:r>
                </w:p>
              </w:tc>
              <w:tc>
                <w:tcPr>
                  <w:tcW w:w="625" w:type="dxa"/>
                  <w:tcBorders>
                    <w:tl2br w:val="nil"/>
                    <w:tr2bl w:val="nil"/>
                  </w:tcBorders>
                  <w:noWrap w:val="0"/>
                  <w:vAlign w:val="center"/>
                </w:tcPr>
                <w:p w14:paraId="08DCBC2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olor w:val="auto"/>
                      <w:sz w:val="21"/>
                      <w:szCs w:val="21"/>
                      <w:lang w:val="en-US" w:eastAsia="zh-CN"/>
                    </w:rPr>
                  </w:pPr>
                  <w:r>
                    <w:rPr>
                      <w:rFonts w:hint="default" w:ascii="Times New Roman" w:hAnsi="Times New Roman" w:eastAsia="宋体" w:cs="Times New Roman"/>
                      <w:color w:val="auto"/>
                      <w:kern w:val="0"/>
                      <w:sz w:val="21"/>
                      <w:szCs w:val="21"/>
                      <w:highlight w:val="none"/>
                      <w:lang w:val="en-US" w:eastAsia="zh-CN"/>
                    </w:rPr>
                    <w:t>非甲烷总烃</w:t>
                  </w:r>
                </w:p>
              </w:tc>
              <w:tc>
                <w:tcPr>
                  <w:tcW w:w="798" w:type="dxa"/>
                  <w:tcBorders>
                    <w:tl2br w:val="nil"/>
                    <w:tr2bl w:val="nil"/>
                  </w:tcBorders>
                  <w:noWrap w:val="0"/>
                  <w:vAlign w:val="center"/>
                </w:tcPr>
                <w:p w14:paraId="7648725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794" w:type="dxa"/>
                  <w:tcBorders>
                    <w:tl2br w:val="nil"/>
                    <w:tr2bl w:val="nil"/>
                  </w:tcBorders>
                  <w:noWrap w:val="0"/>
                  <w:vAlign w:val="center"/>
                </w:tcPr>
                <w:p w14:paraId="7CE41575">
                  <w:pPr>
                    <w:keepNext w:val="0"/>
                    <w:keepLines w:val="0"/>
                    <w:widowControl/>
                    <w:suppressLineNumbers w:val="0"/>
                    <w:spacing w:before="0" w:beforeAutospacing="0" w:after="0" w:afterAutospacing="0"/>
                    <w:ind w:left="0" w:right="0"/>
                    <w:jc w:val="center"/>
                    <w:textAlignment w:val="center"/>
                    <w:rPr>
                      <w:rFonts w:hint="default"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0.086</w:t>
                  </w:r>
                </w:p>
              </w:tc>
              <w:tc>
                <w:tcPr>
                  <w:tcW w:w="794" w:type="dxa"/>
                  <w:tcBorders>
                    <w:tl2br w:val="nil"/>
                    <w:tr2bl w:val="nil"/>
                  </w:tcBorders>
                  <w:noWrap w:val="0"/>
                  <w:vAlign w:val="center"/>
                </w:tcPr>
                <w:p w14:paraId="6B248E32">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0.411</w:t>
                  </w:r>
                </w:p>
              </w:tc>
              <w:tc>
                <w:tcPr>
                  <w:tcW w:w="741" w:type="dxa"/>
                  <w:tcBorders>
                    <w:tl2br w:val="nil"/>
                    <w:tr2bl w:val="nil"/>
                  </w:tcBorders>
                  <w:noWrap w:val="0"/>
                  <w:vAlign w:val="center"/>
                </w:tcPr>
                <w:p w14:paraId="1A7D028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sz w:val="21"/>
                      <w:szCs w:val="21"/>
                      <w:highlight w:val="none"/>
                      <w:lang w:val="en-US" w:eastAsia="zh-CN"/>
                    </w:rPr>
                  </w:pPr>
                  <w:r>
                    <w:rPr>
                      <w:rFonts w:hint="eastAsia" w:cs="Times New Roman"/>
                      <w:color w:val="auto"/>
                      <w:kern w:val="2"/>
                      <w:sz w:val="21"/>
                      <w:szCs w:val="21"/>
                      <w:highlight w:val="none"/>
                      <w:lang w:val="en-US" w:eastAsia="zh-CN" w:bidi="ar-SA"/>
                    </w:rPr>
                    <w:t>/</w:t>
                  </w:r>
                </w:p>
              </w:tc>
              <w:tc>
                <w:tcPr>
                  <w:tcW w:w="427" w:type="dxa"/>
                  <w:tcBorders>
                    <w:tl2br w:val="nil"/>
                    <w:tr2bl w:val="nil"/>
                  </w:tcBorders>
                  <w:noWrap w:val="0"/>
                  <w:vAlign w:val="center"/>
                </w:tcPr>
                <w:p w14:paraId="13ADC22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689" w:type="dxa"/>
                  <w:tcBorders>
                    <w:tl2br w:val="nil"/>
                    <w:tr2bl w:val="nil"/>
                  </w:tcBorders>
                  <w:noWrap w:val="0"/>
                  <w:vAlign w:val="center"/>
                </w:tcPr>
                <w:p w14:paraId="7B46C92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427" w:type="dxa"/>
                  <w:tcBorders>
                    <w:tl2br w:val="nil"/>
                    <w:tr2bl w:val="nil"/>
                  </w:tcBorders>
                  <w:noWrap w:val="0"/>
                  <w:vAlign w:val="center"/>
                </w:tcPr>
                <w:p w14:paraId="33255EA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sz w:val="21"/>
                      <w:szCs w:val="21"/>
                      <w:highlight w:val="none"/>
                      <w:lang w:val="en-US" w:eastAsia="zh-CN"/>
                    </w:rPr>
                  </w:pPr>
                  <w:r>
                    <w:rPr>
                      <w:rFonts w:hint="eastAsia" w:cs="Times New Roman"/>
                      <w:color w:val="auto"/>
                      <w:kern w:val="2"/>
                      <w:sz w:val="21"/>
                      <w:szCs w:val="21"/>
                      <w:highlight w:val="none"/>
                      <w:lang w:val="en-US" w:eastAsia="zh-CN" w:bidi="ar-SA"/>
                    </w:rPr>
                    <w:t>/</w:t>
                  </w:r>
                </w:p>
              </w:tc>
              <w:tc>
                <w:tcPr>
                  <w:tcW w:w="427" w:type="dxa"/>
                  <w:tcBorders>
                    <w:tl2br w:val="nil"/>
                    <w:tr2bl w:val="nil"/>
                  </w:tcBorders>
                  <w:noWrap w:val="0"/>
                  <w:vAlign w:val="center"/>
                </w:tcPr>
                <w:p w14:paraId="1E4CBD6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kern w:val="2"/>
                      <w:sz w:val="21"/>
                      <w:szCs w:val="21"/>
                      <w:highlight w:val="none"/>
                      <w:lang w:val="en-US" w:eastAsia="zh-CN" w:bidi="ar-SA"/>
                    </w:rPr>
                    <w:t>/</w:t>
                  </w:r>
                </w:p>
              </w:tc>
              <w:tc>
                <w:tcPr>
                  <w:tcW w:w="0" w:type="auto"/>
                  <w:tcBorders>
                    <w:tl2br w:val="nil"/>
                    <w:tr2bl w:val="nil"/>
                  </w:tcBorders>
                  <w:noWrap w:val="0"/>
                  <w:vAlign w:val="center"/>
                </w:tcPr>
                <w:p w14:paraId="2131BCC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794" w:type="dxa"/>
                  <w:tcBorders>
                    <w:tl2br w:val="nil"/>
                    <w:tr2bl w:val="nil"/>
                  </w:tcBorders>
                  <w:shd w:val="clear" w:color="auto" w:fill="auto"/>
                  <w:noWrap w:val="0"/>
                  <w:vAlign w:val="center"/>
                </w:tcPr>
                <w:p w14:paraId="01A3E02D">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宋体"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0.086</w:t>
                  </w:r>
                </w:p>
              </w:tc>
              <w:tc>
                <w:tcPr>
                  <w:tcW w:w="794" w:type="dxa"/>
                  <w:tcBorders>
                    <w:tl2br w:val="nil"/>
                    <w:tr2bl w:val="nil"/>
                  </w:tcBorders>
                  <w:shd w:val="clear" w:color="auto" w:fill="auto"/>
                  <w:noWrap w:val="0"/>
                  <w:vAlign w:val="center"/>
                </w:tcPr>
                <w:p w14:paraId="09273CD8">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0.411</w:t>
                  </w:r>
                </w:p>
              </w:tc>
              <w:tc>
                <w:tcPr>
                  <w:tcW w:w="835" w:type="dxa"/>
                  <w:tcBorders>
                    <w:tl2br w:val="nil"/>
                    <w:tr2bl w:val="nil"/>
                  </w:tcBorders>
                  <w:noWrap w:val="0"/>
                  <w:vAlign w:val="center"/>
                </w:tcPr>
                <w:p w14:paraId="34D83CF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eastAsia" w:cs="Times New Roman"/>
                      <w:color w:val="auto"/>
                      <w:kern w:val="2"/>
                      <w:sz w:val="21"/>
                      <w:szCs w:val="21"/>
                      <w:highlight w:val="none"/>
                      <w:lang w:val="en-US" w:eastAsia="zh-CN" w:bidi="ar-SA"/>
                    </w:rPr>
                    <w:t>/</w:t>
                  </w:r>
                </w:p>
              </w:tc>
              <w:tc>
                <w:tcPr>
                  <w:tcW w:w="427" w:type="dxa"/>
                  <w:tcBorders>
                    <w:tl2br w:val="nil"/>
                    <w:tr2bl w:val="nil"/>
                  </w:tcBorders>
                  <w:noWrap w:val="0"/>
                  <w:vAlign w:val="center"/>
                </w:tcPr>
                <w:p w14:paraId="2A2502E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sz w:val="21"/>
                      <w:szCs w:val="21"/>
                      <w:highlight w:val="none"/>
                      <w:lang w:val="en-US" w:eastAsia="zh-CN"/>
                    </w:rPr>
                  </w:pPr>
                  <w:r>
                    <w:rPr>
                      <w:rFonts w:hint="eastAsia" w:cs="Times New Roman"/>
                      <w:color w:val="auto"/>
                      <w:kern w:val="2"/>
                      <w:sz w:val="21"/>
                      <w:szCs w:val="21"/>
                      <w:highlight w:val="none"/>
                      <w:lang w:val="en-US" w:eastAsia="zh-CN" w:bidi="ar-SA"/>
                    </w:rPr>
                    <w:t>/</w:t>
                  </w:r>
                </w:p>
              </w:tc>
              <w:tc>
                <w:tcPr>
                  <w:tcW w:w="479" w:type="dxa"/>
                  <w:tcBorders>
                    <w:tl2br w:val="nil"/>
                    <w:tr2bl w:val="nil"/>
                  </w:tcBorders>
                  <w:noWrap w:val="0"/>
                  <w:vAlign w:val="center"/>
                </w:tcPr>
                <w:p w14:paraId="5405304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sz w:val="21"/>
                      <w:szCs w:val="21"/>
                      <w:highlight w:val="none"/>
                      <w:lang w:val="en-US" w:eastAsia="zh-CN"/>
                    </w:rPr>
                  </w:pPr>
                  <w:r>
                    <w:rPr>
                      <w:rFonts w:hint="eastAsia" w:cs="Times New Roman"/>
                      <w:color w:val="auto"/>
                      <w:kern w:val="2"/>
                      <w:sz w:val="21"/>
                      <w:szCs w:val="21"/>
                      <w:highlight w:val="none"/>
                      <w:lang w:val="en-US" w:eastAsia="zh-CN" w:bidi="ar-SA"/>
                    </w:rPr>
                    <w:t>/</w:t>
                  </w:r>
                </w:p>
              </w:tc>
              <w:tc>
                <w:tcPr>
                  <w:tcW w:w="444" w:type="dxa"/>
                  <w:tcBorders>
                    <w:tl2br w:val="nil"/>
                    <w:tr2bl w:val="nil"/>
                  </w:tcBorders>
                  <w:noWrap w:val="0"/>
                  <w:vAlign w:val="center"/>
                </w:tcPr>
                <w:p w14:paraId="7FF9A1C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sz w:val="21"/>
                      <w:szCs w:val="21"/>
                      <w:highlight w:val="none"/>
                      <w:lang w:val="en-US" w:eastAsia="zh-CN"/>
                    </w:rPr>
                  </w:pPr>
                  <w:r>
                    <w:rPr>
                      <w:rFonts w:hint="eastAsia" w:cs="Times New Roman"/>
                      <w:color w:val="auto"/>
                      <w:kern w:val="2"/>
                      <w:sz w:val="21"/>
                      <w:szCs w:val="21"/>
                      <w:highlight w:val="none"/>
                      <w:lang w:val="en-US" w:eastAsia="zh-CN" w:bidi="ar-SA"/>
                    </w:rPr>
                    <w:t>/</w:t>
                  </w:r>
                </w:p>
              </w:tc>
              <w:tc>
                <w:tcPr>
                  <w:tcW w:w="427" w:type="dxa"/>
                  <w:tcBorders>
                    <w:tl2br w:val="nil"/>
                    <w:tr2bl w:val="nil"/>
                  </w:tcBorders>
                  <w:noWrap w:val="0"/>
                  <w:vAlign w:val="center"/>
                </w:tcPr>
                <w:p w14:paraId="20D0C04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eastAsia" w:cs="Times New Roman"/>
                      <w:color w:val="auto"/>
                      <w:kern w:val="2"/>
                      <w:sz w:val="21"/>
                      <w:szCs w:val="21"/>
                      <w:highlight w:val="none"/>
                      <w:lang w:val="en-US" w:eastAsia="zh-CN" w:bidi="ar-SA"/>
                    </w:rPr>
                    <w:t>/</w:t>
                  </w:r>
                </w:p>
              </w:tc>
              <w:tc>
                <w:tcPr>
                  <w:tcW w:w="1552" w:type="dxa"/>
                  <w:tcBorders>
                    <w:tl2br w:val="nil"/>
                    <w:tr2bl w:val="nil"/>
                  </w:tcBorders>
                  <w:noWrap w:val="0"/>
                  <w:vAlign w:val="center"/>
                </w:tcPr>
                <w:p w14:paraId="624B7D3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w:t>
                  </w:r>
                </w:p>
              </w:tc>
              <w:tc>
                <w:tcPr>
                  <w:tcW w:w="689" w:type="dxa"/>
                  <w:tcBorders>
                    <w:tl2br w:val="nil"/>
                    <w:tr2bl w:val="nil"/>
                  </w:tcBorders>
                  <w:noWrap w:val="0"/>
                  <w:vAlign w:val="center"/>
                </w:tcPr>
                <w:p w14:paraId="304FDEC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w:t>
                  </w:r>
                </w:p>
              </w:tc>
              <w:tc>
                <w:tcPr>
                  <w:tcW w:w="951" w:type="dxa"/>
                  <w:tcBorders>
                    <w:tl2br w:val="nil"/>
                    <w:tr2bl w:val="nil"/>
                  </w:tcBorders>
                  <w:noWrap w:val="0"/>
                  <w:vAlign w:val="center"/>
                </w:tcPr>
                <w:p w14:paraId="772347D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cs="Times New Roman"/>
                      <w:bCs/>
                      <w:color w:val="auto"/>
                      <w:sz w:val="21"/>
                      <w:szCs w:val="21"/>
                      <w:highlight w:val="none"/>
                      <w:lang w:val="en-US" w:eastAsia="zh-CN"/>
                    </w:rPr>
                  </w:pPr>
                  <w:r>
                    <w:rPr>
                      <w:rFonts w:hint="eastAsia" w:cs="Times New Roman"/>
                      <w:bCs/>
                      <w:color w:val="auto"/>
                      <w:sz w:val="21"/>
                      <w:szCs w:val="21"/>
                      <w:highlight w:val="none"/>
                      <w:lang w:val="en-US" w:eastAsia="zh-CN"/>
                    </w:rPr>
                    <w:t>4.0</w:t>
                  </w:r>
                </w:p>
              </w:tc>
              <w:tc>
                <w:tcPr>
                  <w:tcW w:w="613" w:type="dxa"/>
                  <w:tcBorders>
                    <w:tl2br w:val="nil"/>
                    <w:tr2bl w:val="nil"/>
                  </w:tcBorders>
                  <w:noWrap w:val="0"/>
                  <w:vAlign w:val="center"/>
                </w:tcPr>
                <w:p w14:paraId="45787B5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r>
            <w:tr w14:paraId="3F94ADA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636" w:type="dxa"/>
                  <w:vMerge w:val="continue"/>
                  <w:tcBorders>
                    <w:tl2br w:val="nil"/>
                    <w:tr2bl w:val="nil"/>
                  </w:tcBorders>
                  <w:noWrap w:val="0"/>
                  <w:vAlign w:val="center"/>
                </w:tcPr>
                <w:p w14:paraId="7CDA75F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Cs/>
                      <w:color w:val="auto"/>
                      <w:sz w:val="21"/>
                      <w:szCs w:val="21"/>
                      <w:highlight w:val="none"/>
                      <w:lang w:val="en-US" w:eastAsia="zh-CN"/>
                    </w:rPr>
                  </w:pPr>
                </w:p>
              </w:tc>
              <w:tc>
                <w:tcPr>
                  <w:tcW w:w="427" w:type="dxa"/>
                  <w:vMerge w:val="continue"/>
                  <w:tcBorders>
                    <w:tl2br w:val="nil"/>
                    <w:tr2bl w:val="nil"/>
                  </w:tcBorders>
                  <w:noWrap w:val="0"/>
                  <w:vAlign w:val="center"/>
                </w:tcPr>
                <w:p w14:paraId="5F81A38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bCs/>
                      <w:color w:val="auto"/>
                      <w:sz w:val="21"/>
                      <w:szCs w:val="21"/>
                      <w:highlight w:val="none"/>
                      <w:lang w:val="en-US" w:eastAsia="zh-CN"/>
                    </w:rPr>
                  </w:pPr>
                </w:p>
              </w:tc>
              <w:tc>
                <w:tcPr>
                  <w:tcW w:w="625" w:type="dxa"/>
                  <w:tcBorders>
                    <w:tl2br w:val="nil"/>
                    <w:tr2bl w:val="nil"/>
                  </w:tcBorders>
                  <w:noWrap w:val="0"/>
                  <w:vAlign w:val="center"/>
                </w:tcPr>
                <w:p w14:paraId="5F6E19D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olor w:val="auto"/>
                      <w:sz w:val="21"/>
                      <w:szCs w:val="21"/>
                      <w:lang w:val="en-US" w:eastAsia="zh-CN"/>
                    </w:rPr>
                  </w:pPr>
                  <w:r>
                    <w:rPr>
                      <w:rFonts w:hint="eastAsia"/>
                      <w:color w:val="auto"/>
                      <w:sz w:val="21"/>
                      <w:szCs w:val="21"/>
                      <w:lang w:val="en-US" w:eastAsia="zh-CN"/>
                    </w:rPr>
                    <w:t>HCl</w:t>
                  </w:r>
                </w:p>
              </w:tc>
              <w:tc>
                <w:tcPr>
                  <w:tcW w:w="798" w:type="dxa"/>
                  <w:tcBorders>
                    <w:tl2br w:val="nil"/>
                    <w:tr2bl w:val="nil"/>
                  </w:tcBorders>
                  <w:noWrap w:val="0"/>
                  <w:vAlign w:val="center"/>
                </w:tcPr>
                <w:p w14:paraId="49340C1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794" w:type="dxa"/>
                  <w:tcBorders>
                    <w:tl2br w:val="nil"/>
                    <w:tr2bl w:val="nil"/>
                  </w:tcBorders>
                  <w:noWrap w:val="0"/>
                  <w:vAlign w:val="center"/>
                </w:tcPr>
                <w:p w14:paraId="44B0446A">
                  <w:pPr>
                    <w:keepNext w:val="0"/>
                    <w:keepLines w:val="0"/>
                    <w:widowControl/>
                    <w:suppressLineNumbers w:val="0"/>
                    <w:spacing w:before="0" w:beforeAutospacing="0" w:after="0" w:afterAutospacing="0"/>
                    <w:ind w:left="0" w:right="0"/>
                    <w:jc w:val="center"/>
                    <w:textAlignment w:val="center"/>
                    <w:rPr>
                      <w:rFonts w:hint="default"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0.0001</w:t>
                  </w:r>
                </w:p>
              </w:tc>
              <w:tc>
                <w:tcPr>
                  <w:tcW w:w="794" w:type="dxa"/>
                  <w:tcBorders>
                    <w:tl2br w:val="nil"/>
                    <w:tr2bl w:val="nil"/>
                  </w:tcBorders>
                  <w:noWrap w:val="0"/>
                  <w:vAlign w:val="center"/>
                </w:tcPr>
                <w:p w14:paraId="09F4237C">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0.0006</w:t>
                  </w:r>
                </w:p>
              </w:tc>
              <w:tc>
                <w:tcPr>
                  <w:tcW w:w="741" w:type="dxa"/>
                  <w:tcBorders>
                    <w:tl2br w:val="nil"/>
                    <w:tr2bl w:val="nil"/>
                  </w:tcBorders>
                  <w:noWrap w:val="0"/>
                  <w:vAlign w:val="center"/>
                </w:tcPr>
                <w:p w14:paraId="347E6A8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427" w:type="dxa"/>
                  <w:tcBorders>
                    <w:tl2br w:val="nil"/>
                    <w:tr2bl w:val="nil"/>
                  </w:tcBorders>
                  <w:noWrap w:val="0"/>
                  <w:vAlign w:val="center"/>
                </w:tcPr>
                <w:p w14:paraId="55278ED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689" w:type="dxa"/>
                  <w:tcBorders>
                    <w:tl2br w:val="nil"/>
                    <w:tr2bl w:val="nil"/>
                  </w:tcBorders>
                  <w:noWrap w:val="0"/>
                  <w:vAlign w:val="center"/>
                </w:tcPr>
                <w:p w14:paraId="043F588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427" w:type="dxa"/>
                  <w:tcBorders>
                    <w:tl2br w:val="nil"/>
                    <w:tr2bl w:val="nil"/>
                  </w:tcBorders>
                  <w:noWrap w:val="0"/>
                  <w:vAlign w:val="center"/>
                </w:tcPr>
                <w:p w14:paraId="61B749A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427" w:type="dxa"/>
                  <w:tcBorders>
                    <w:tl2br w:val="nil"/>
                    <w:tr2bl w:val="nil"/>
                  </w:tcBorders>
                  <w:noWrap w:val="0"/>
                  <w:vAlign w:val="center"/>
                </w:tcPr>
                <w:p w14:paraId="4E212FF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798" w:type="dxa"/>
                  <w:tcBorders>
                    <w:tl2br w:val="nil"/>
                    <w:tr2bl w:val="nil"/>
                  </w:tcBorders>
                  <w:noWrap w:val="0"/>
                  <w:vAlign w:val="center"/>
                </w:tcPr>
                <w:p w14:paraId="785BF89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794" w:type="dxa"/>
                  <w:tcBorders>
                    <w:tl2br w:val="nil"/>
                    <w:tr2bl w:val="nil"/>
                  </w:tcBorders>
                  <w:shd w:val="clear" w:color="auto" w:fill="auto"/>
                  <w:noWrap w:val="0"/>
                  <w:vAlign w:val="center"/>
                </w:tcPr>
                <w:p w14:paraId="33115005">
                  <w:pPr>
                    <w:keepNext w:val="0"/>
                    <w:keepLines w:val="0"/>
                    <w:widowControl/>
                    <w:suppressLineNumbers w:val="0"/>
                    <w:spacing w:before="0" w:beforeAutospacing="0" w:after="0" w:afterAutospacing="0"/>
                    <w:ind w:left="0" w:right="0"/>
                    <w:jc w:val="center"/>
                    <w:textAlignment w:val="center"/>
                    <w:rPr>
                      <w:rFonts w:hint="eastAsia"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0.0001</w:t>
                  </w:r>
                </w:p>
              </w:tc>
              <w:tc>
                <w:tcPr>
                  <w:tcW w:w="794" w:type="dxa"/>
                  <w:tcBorders>
                    <w:tl2br w:val="nil"/>
                    <w:tr2bl w:val="nil"/>
                  </w:tcBorders>
                  <w:shd w:val="clear" w:color="auto" w:fill="auto"/>
                  <w:noWrap w:val="0"/>
                  <w:vAlign w:val="center"/>
                </w:tcPr>
                <w:p w14:paraId="05B88FE5">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0.0006</w:t>
                  </w:r>
                </w:p>
              </w:tc>
              <w:tc>
                <w:tcPr>
                  <w:tcW w:w="835" w:type="dxa"/>
                  <w:tcBorders>
                    <w:tl2br w:val="nil"/>
                    <w:tr2bl w:val="nil"/>
                  </w:tcBorders>
                  <w:noWrap w:val="0"/>
                  <w:vAlign w:val="center"/>
                </w:tcPr>
                <w:p w14:paraId="6C5F89C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427" w:type="dxa"/>
                  <w:tcBorders>
                    <w:tl2br w:val="nil"/>
                    <w:tr2bl w:val="nil"/>
                  </w:tcBorders>
                  <w:noWrap w:val="0"/>
                  <w:vAlign w:val="center"/>
                </w:tcPr>
                <w:p w14:paraId="76EC9F0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479" w:type="dxa"/>
                  <w:tcBorders>
                    <w:tl2br w:val="nil"/>
                    <w:tr2bl w:val="nil"/>
                  </w:tcBorders>
                  <w:noWrap w:val="0"/>
                  <w:vAlign w:val="center"/>
                </w:tcPr>
                <w:p w14:paraId="5B6E1B0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444" w:type="dxa"/>
                  <w:tcBorders>
                    <w:tl2br w:val="nil"/>
                    <w:tr2bl w:val="nil"/>
                  </w:tcBorders>
                  <w:noWrap w:val="0"/>
                  <w:vAlign w:val="center"/>
                </w:tcPr>
                <w:p w14:paraId="6A9A5DA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427" w:type="dxa"/>
                  <w:tcBorders>
                    <w:tl2br w:val="nil"/>
                    <w:tr2bl w:val="nil"/>
                  </w:tcBorders>
                  <w:noWrap w:val="0"/>
                  <w:vAlign w:val="center"/>
                </w:tcPr>
                <w:p w14:paraId="55583AB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1552" w:type="dxa"/>
                  <w:tcBorders>
                    <w:tl2br w:val="nil"/>
                    <w:tr2bl w:val="nil"/>
                  </w:tcBorders>
                  <w:noWrap w:val="0"/>
                  <w:vAlign w:val="center"/>
                </w:tcPr>
                <w:p w14:paraId="75F5A1D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w:t>
                  </w:r>
                </w:p>
              </w:tc>
              <w:tc>
                <w:tcPr>
                  <w:tcW w:w="689" w:type="dxa"/>
                  <w:tcBorders>
                    <w:tl2br w:val="nil"/>
                    <w:tr2bl w:val="nil"/>
                  </w:tcBorders>
                  <w:noWrap w:val="0"/>
                  <w:vAlign w:val="center"/>
                </w:tcPr>
                <w:p w14:paraId="4F9846B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w:t>
                  </w:r>
                </w:p>
              </w:tc>
              <w:tc>
                <w:tcPr>
                  <w:tcW w:w="951" w:type="dxa"/>
                  <w:tcBorders>
                    <w:tl2br w:val="nil"/>
                    <w:tr2bl w:val="nil"/>
                  </w:tcBorders>
                  <w:noWrap w:val="0"/>
                  <w:vAlign w:val="center"/>
                </w:tcPr>
                <w:p w14:paraId="07E493D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cs="Times New Roman"/>
                      <w:bCs/>
                      <w:color w:val="auto"/>
                      <w:sz w:val="21"/>
                      <w:szCs w:val="21"/>
                      <w:highlight w:val="none"/>
                      <w:lang w:val="en-US" w:eastAsia="zh-CN"/>
                    </w:rPr>
                  </w:pPr>
                  <w:r>
                    <w:rPr>
                      <w:rFonts w:hint="eastAsia" w:cs="Times New Roman"/>
                      <w:bCs/>
                      <w:color w:val="auto"/>
                      <w:sz w:val="21"/>
                      <w:szCs w:val="21"/>
                      <w:highlight w:val="none"/>
                      <w:lang w:val="en-US" w:eastAsia="zh-CN"/>
                    </w:rPr>
                    <w:t>0.2</w:t>
                  </w:r>
                </w:p>
              </w:tc>
              <w:tc>
                <w:tcPr>
                  <w:tcW w:w="613" w:type="dxa"/>
                  <w:tcBorders>
                    <w:tl2br w:val="nil"/>
                    <w:tr2bl w:val="nil"/>
                  </w:tcBorders>
                  <w:noWrap w:val="0"/>
                  <w:vAlign w:val="center"/>
                </w:tcPr>
                <w:p w14:paraId="11D595D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r>
            <w:tr w14:paraId="293A353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636" w:type="dxa"/>
                  <w:vMerge w:val="continue"/>
                  <w:tcBorders>
                    <w:tl2br w:val="nil"/>
                    <w:tr2bl w:val="nil"/>
                  </w:tcBorders>
                  <w:noWrap w:val="0"/>
                  <w:vAlign w:val="center"/>
                </w:tcPr>
                <w:p w14:paraId="1F70221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Cs/>
                      <w:color w:val="auto"/>
                      <w:sz w:val="21"/>
                      <w:szCs w:val="21"/>
                      <w:highlight w:val="none"/>
                      <w:lang w:val="en-US" w:eastAsia="zh-CN"/>
                    </w:rPr>
                  </w:pPr>
                </w:p>
              </w:tc>
              <w:tc>
                <w:tcPr>
                  <w:tcW w:w="427" w:type="dxa"/>
                  <w:vMerge w:val="continue"/>
                  <w:tcBorders>
                    <w:tl2br w:val="nil"/>
                    <w:tr2bl w:val="nil"/>
                  </w:tcBorders>
                  <w:noWrap w:val="0"/>
                  <w:vAlign w:val="center"/>
                </w:tcPr>
                <w:p w14:paraId="55FF842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bCs/>
                      <w:color w:val="auto"/>
                      <w:sz w:val="21"/>
                      <w:szCs w:val="21"/>
                      <w:highlight w:val="none"/>
                      <w:lang w:val="en-US" w:eastAsia="zh-CN"/>
                    </w:rPr>
                  </w:pPr>
                </w:p>
              </w:tc>
              <w:tc>
                <w:tcPr>
                  <w:tcW w:w="625" w:type="dxa"/>
                  <w:tcBorders>
                    <w:tl2br w:val="nil"/>
                    <w:tr2bl w:val="nil"/>
                  </w:tcBorders>
                  <w:noWrap w:val="0"/>
                  <w:vAlign w:val="center"/>
                </w:tcPr>
                <w:p w14:paraId="3657236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olor w:val="auto"/>
                      <w:sz w:val="21"/>
                      <w:szCs w:val="21"/>
                      <w:lang w:val="en-US" w:eastAsia="zh-CN"/>
                    </w:rPr>
                  </w:pPr>
                  <w:r>
                    <w:rPr>
                      <w:rFonts w:hint="eastAsia"/>
                      <w:color w:val="auto"/>
                      <w:sz w:val="21"/>
                      <w:szCs w:val="21"/>
                      <w:lang w:val="en-US" w:eastAsia="zh-CN"/>
                    </w:rPr>
                    <w:t>臭气浓度</w:t>
                  </w:r>
                </w:p>
              </w:tc>
              <w:tc>
                <w:tcPr>
                  <w:tcW w:w="798" w:type="dxa"/>
                  <w:tcBorders>
                    <w:tl2br w:val="nil"/>
                    <w:tr2bl w:val="nil"/>
                  </w:tcBorders>
                  <w:noWrap w:val="0"/>
                  <w:vAlign w:val="center"/>
                </w:tcPr>
                <w:p w14:paraId="1613343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16（无量纲）</w:t>
                  </w:r>
                </w:p>
              </w:tc>
              <w:tc>
                <w:tcPr>
                  <w:tcW w:w="794" w:type="dxa"/>
                  <w:tcBorders>
                    <w:tl2br w:val="nil"/>
                    <w:tr2bl w:val="nil"/>
                  </w:tcBorders>
                  <w:noWrap w:val="0"/>
                  <w:vAlign w:val="center"/>
                </w:tcPr>
                <w:p w14:paraId="606CEFF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eastAsia" w:cs="Times New Roman"/>
                      <w:i w:val="0"/>
                      <w:iCs w:val="0"/>
                      <w:color w:val="auto"/>
                      <w:kern w:val="0"/>
                      <w:sz w:val="21"/>
                      <w:szCs w:val="21"/>
                      <w:highlight w:val="none"/>
                      <w:u w:val="none"/>
                      <w:lang w:val="en-US" w:eastAsia="zh-CN" w:bidi="ar"/>
                    </w:rPr>
                  </w:pPr>
                  <w:r>
                    <w:rPr>
                      <w:rFonts w:hint="eastAsia" w:cs="Times New Roman"/>
                      <w:color w:val="auto"/>
                      <w:kern w:val="2"/>
                      <w:sz w:val="21"/>
                      <w:szCs w:val="21"/>
                      <w:highlight w:val="none"/>
                      <w:lang w:val="en-US" w:eastAsia="zh-CN" w:bidi="ar-SA"/>
                    </w:rPr>
                    <w:t>/</w:t>
                  </w:r>
                </w:p>
              </w:tc>
              <w:tc>
                <w:tcPr>
                  <w:tcW w:w="794" w:type="dxa"/>
                  <w:tcBorders>
                    <w:tl2br w:val="nil"/>
                    <w:tr2bl w:val="nil"/>
                  </w:tcBorders>
                  <w:noWrap w:val="0"/>
                  <w:vAlign w:val="center"/>
                </w:tcPr>
                <w:p w14:paraId="2688A26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eastAsia" w:cs="Times New Roman"/>
                      <w:color w:val="auto"/>
                      <w:sz w:val="21"/>
                      <w:szCs w:val="21"/>
                      <w:lang w:val="en-US" w:eastAsia="zh-CN"/>
                    </w:rPr>
                  </w:pPr>
                  <w:r>
                    <w:rPr>
                      <w:rFonts w:hint="eastAsia" w:cs="Times New Roman"/>
                      <w:color w:val="auto"/>
                      <w:kern w:val="2"/>
                      <w:sz w:val="21"/>
                      <w:szCs w:val="21"/>
                      <w:highlight w:val="none"/>
                      <w:lang w:val="en-US" w:eastAsia="zh-CN" w:bidi="ar-SA"/>
                    </w:rPr>
                    <w:t>/</w:t>
                  </w:r>
                </w:p>
              </w:tc>
              <w:tc>
                <w:tcPr>
                  <w:tcW w:w="741" w:type="dxa"/>
                  <w:tcBorders>
                    <w:tl2br w:val="nil"/>
                    <w:tr2bl w:val="nil"/>
                  </w:tcBorders>
                  <w:noWrap w:val="0"/>
                  <w:vAlign w:val="center"/>
                </w:tcPr>
                <w:p w14:paraId="484A2B5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427" w:type="dxa"/>
                  <w:tcBorders>
                    <w:tl2br w:val="nil"/>
                    <w:tr2bl w:val="nil"/>
                  </w:tcBorders>
                  <w:noWrap w:val="0"/>
                  <w:vAlign w:val="center"/>
                </w:tcPr>
                <w:p w14:paraId="6D261C1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689" w:type="dxa"/>
                  <w:tcBorders>
                    <w:tl2br w:val="nil"/>
                    <w:tr2bl w:val="nil"/>
                  </w:tcBorders>
                  <w:noWrap w:val="0"/>
                  <w:vAlign w:val="center"/>
                </w:tcPr>
                <w:p w14:paraId="05556DC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427" w:type="dxa"/>
                  <w:tcBorders>
                    <w:tl2br w:val="nil"/>
                    <w:tr2bl w:val="nil"/>
                  </w:tcBorders>
                  <w:noWrap w:val="0"/>
                  <w:vAlign w:val="center"/>
                </w:tcPr>
                <w:p w14:paraId="43A0558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427" w:type="dxa"/>
                  <w:tcBorders>
                    <w:tl2br w:val="nil"/>
                    <w:tr2bl w:val="nil"/>
                  </w:tcBorders>
                  <w:noWrap w:val="0"/>
                  <w:vAlign w:val="center"/>
                </w:tcPr>
                <w:p w14:paraId="6744F04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798" w:type="dxa"/>
                  <w:tcBorders>
                    <w:tl2br w:val="nil"/>
                    <w:tr2bl w:val="nil"/>
                  </w:tcBorders>
                  <w:noWrap w:val="0"/>
                  <w:vAlign w:val="center"/>
                </w:tcPr>
                <w:p w14:paraId="564DC2E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16（无量纲）</w:t>
                  </w:r>
                </w:p>
              </w:tc>
              <w:tc>
                <w:tcPr>
                  <w:tcW w:w="794" w:type="dxa"/>
                  <w:tcBorders>
                    <w:tl2br w:val="nil"/>
                    <w:tr2bl w:val="nil"/>
                  </w:tcBorders>
                  <w:shd w:val="clear" w:color="auto" w:fill="auto"/>
                  <w:noWrap w:val="0"/>
                  <w:vAlign w:val="center"/>
                </w:tcPr>
                <w:p w14:paraId="2AD3BCE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eastAsia" w:cs="Times New Roman"/>
                      <w:i w:val="0"/>
                      <w:iCs w:val="0"/>
                      <w:color w:val="auto"/>
                      <w:kern w:val="0"/>
                      <w:sz w:val="21"/>
                      <w:szCs w:val="21"/>
                      <w:highlight w:val="none"/>
                      <w:u w:val="none"/>
                      <w:lang w:val="en-US" w:eastAsia="zh-CN" w:bidi="ar"/>
                    </w:rPr>
                  </w:pPr>
                  <w:r>
                    <w:rPr>
                      <w:rFonts w:hint="eastAsia" w:cs="Times New Roman"/>
                      <w:color w:val="auto"/>
                      <w:kern w:val="2"/>
                      <w:sz w:val="21"/>
                      <w:szCs w:val="21"/>
                      <w:highlight w:val="none"/>
                      <w:lang w:val="en-US" w:eastAsia="zh-CN" w:bidi="ar-SA"/>
                    </w:rPr>
                    <w:t>/</w:t>
                  </w:r>
                </w:p>
              </w:tc>
              <w:tc>
                <w:tcPr>
                  <w:tcW w:w="794" w:type="dxa"/>
                  <w:tcBorders>
                    <w:tl2br w:val="nil"/>
                    <w:tr2bl w:val="nil"/>
                  </w:tcBorders>
                  <w:shd w:val="clear" w:color="auto" w:fill="auto"/>
                  <w:noWrap w:val="0"/>
                  <w:vAlign w:val="center"/>
                </w:tcPr>
                <w:p w14:paraId="5726EA6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eastAsia" w:cs="Times New Roman"/>
                      <w:color w:val="auto"/>
                      <w:sz w:val="21"/>
                      <w:szCs w:val="21"/>
                      <w:lang w:val="en-US" w:eastAsia="zh-CN"/>
                    </w:rPr>
                  </w:pPr>
                  <w:r>
                    <w:rPr>
                      <w:rFonts w:hint="eastAsia" w:cs="Times New Roman"/>
                      <w:color w:val="auto"/>
                      <w:kern w:val="2"/>
                      <w:sz w:val="21"/>
                      <w:szCs w:val="21"/>
                      <w:highlight w:val="none"/>
                      <w:lang w:val="en-US" w:eastAsia="zh-CN" w:bidi="ar-SA"/>
                    </w:rPr>
                    <w:t>/</w:t>
                  </w:r>
                </w:p>
              </w:tc>
              <w:tc>
                <w:tcPr>
                  <w:tcW w:w="835" w:type="dxa"/>
                  <w:tcBorders>
                    <w:tl2br w:val="nil"/>
                    <w:tr2bl w:val="nil"/>
                  </w:tcBorders>
                  <w:noWrap w:val="0"/>
                  <w:vAlign w:val="center"/>
                </w:tcPr>
                <w:p w14:paraId="2A441F5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427" w:type="dxa"/>
                  <w:tcBorders>
                    <w:tl2br w:val="nil"/>
                    <w:tr2bl w:val="nil"/>
                  </w:tcBorders>
                  <w:noWrap w:val="0"/>
                  <w:vAlign w:val="center"/>
                </w:tcPr>
                <w:p w14:paraId="369833D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479" w:type="dxa"/>
                  <w:tcBorders>
                    <w:tl2br w:val="nil"/>
                    <w:tr2bl w:val="nil"/>
                  </w:tcBorders>
                  <w:noWrap w:val="0"/>
                  <w:vAlign w:val="center"/>
                </w:tcPr>
                <w:p w14:paraId="2010435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444" w:type="dxa"/>
                  <w:tcBorders>
                    <w:tl2br w:val="nil"/>
                    <w:tr2bl w:val="nil"/>
                  </w:tcBorders>
                  <w:noWrap w:val="0"/>
                  <w:vAlign w:val="center"/>
                </w:tcPr>
                <w:p w14:paraId="7198376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427" w:type="dxa"/>
                  <w:tcBorders>
                    <w:tl2br w:val="nil"/>
                    <w:tr2bl w:val="nil"/>
                  </w:tcBorders>
                  <w:noWrap w:val="0"/>
                  <w:vAlign w:val="center"/>
                </w:tcPr>
                <w:p w14:paraId="791080D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1552" w:type="dxa"/>
                  <w:tcBorders>
                    <w:tl2br w:val="nil"/>
                    <w:tr2bl w:val="nil"/>
                  </w:tcBorders>
                  <w:noWrap w:val="0"/>
                  <w:vAlign w:val="center"/>
                </w:tcPr>
                <w:p w14:paraId="7371041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eastAsia" w:cs="Times New Roman"/>
                      <w:color w:val="auto"/>
                      <w:sz w:val="21"/>
                      <w:szCs w:val="21"/>
                      <w:highlight w:val="none"/>
                      <w:lang w:val="en-US" w:eastAsia="zh-CN"/>
                    </w:rPr>
                  </w:pPr>
                  <w:r>
                    <w:rPr>
                      <w:rFonts w:hint="eastAsia" w:cs="Times New Roman"/>
                      <w:color w:val="auto"/>
                      <w:kern w:val="2"/>
                      <w:sz w:val="21"/>
                      <w:szCs w:val="21"/>
                      <w:highlight w:val="none"/>
                      <w:lang w:val="en-US" w:eastAsia="zh-CN" w:bidi="ar-SA"/>
                    </w:rPr>
                    <w:t>/</w:t>
                  </w:r>
                </w:p>
              </w:tc>
              <w:tc>
                <w:tcPr>
                  <w:tcW w:w="689" w:type="dxa"/>
                  <w:tcBorders>
                    <w:tl2br w:val="nil"/>
                    <w:tr2bl w:val="nil"/>
                  </w:tcBorders>
                  <w:noWrap w:val="0"/>
                  <w:vAlign w:val="center"/>
                </w:tcPr>
                <w:p w14:paraId="439367E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951" w:type="dxa"/>
                  <w:tcBorders>
                    <w:tl2br w:val="nil"/>
                    <w:tr2bl w:val="nil"/>
                  </w:tcBorders>
                  <w:noWrap w:val="0"/>
                  <w:vAlign w:val="center"/>
                </w:tcPr>
                <w:p w14:paraId="6FE9F78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cs="Times New Roman"/>
                      <w:bCs/>
                      <w:color w:val="auto"/>
                      <w:sz w:val="21"/>
                      <w:szCs w:val="21"/>
                      <w:highlight w:val="none"/>
                      <w:lang w:val="en-US" w:eastAsia="zh-CN"/>
                    </w:rPr>
                  </w:pPr>
                  <w:r>
                    <w:rPr>
                      <w:rFonts w:hint="eastAsia" w:cs="Times New Roman"/>
                      <w:bCs/>
                      <w:color w:val="auto"/>
                      <w:sz w:val="21"/>
                      <w:szCs w:val="21"/>
                      <w:highlight w:val="none"/>
                      <w:lang w:val="en-US" w:eastAsia="zh-CN"/>
                    </w:rPr>
                    <w:t>20</w:t>
                  </w:r>
                  <w:r>
                    <w:rPr>
                      <w:rFonts w:hint="eastAsia"/>
                      <w:b w:val="0"/>
                      <w:bCs w:val="0"/>
                      <w:color w:val="auto"/>
                      <w:sz w:val="21"/>
                      <w:szCs w:val="21"/>
                      <w:u w:val="none"/>
                      <w:lang w:val="en-US" w:eastAsia="zh-CN"/>
                    </w:rPr>
                    <w:t>（无量纲）</w:t>
                  </w:r>
                </w:p>
              </w:tc>
              <w:tc>
                <w:tcPr>
                  <w:tcW w:w="613" w:type="dxa"/>
                  <w:tcBorders>
                    <w:tl2br w:val="nil"/>
                    <w:tr2bl w:val="nil"/>
                  </w:tcBorders>
                  <w:noWrap w:val="0"/>
                  <w:vAlign w:val="center"/>
                </w:tcPr>
                <w:p w14:paraId="6FE8EF6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r>
            <w:tr w14:paraId="1A282F5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636" w:type="dxa"/>
                  <w:vMerge w:val="restart"/>
                  <w:tcBorders>
                    <w:tl2br w:val="nil"/>
                    <w:tr2bl w:val="nil"/>
                  </w:tcBorders>
                  <w:noWrap w:val="0"/>
                  <w:vAlign w:val="center"/>
                </w:tcPr>
                <w:p w14:paraId="37D741E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Cs/>
                      <w:color w:val="auto"/>
                      <w:sz w:val="21"/>
                      <w:szCs w:val="21"/>
                      <w:highlight w:val="none"/>
                    </w:rPr>
                  </w:pPr>
                  <w:r>
                    <w:rPr>
                      <w:rFonts w:hint="default" w:ascii="Times New Roman" w:hAnsi="Times New Roman" w:eastAsia="宋体" w:cs="Times New Roman"/>
                      <w:bCs/>
                      <w:color w:val="auto"/>
                      <w:sz w:val="21"/>
                      <w:szCs w:val="21"/>
                      <w:highlight w:val="none"/>
                      <w:lang w:val="en-US" w:eastAsia="zh-CN"/>
                    </w:rPr>
                    <w:t>表面处理、刷胶及烘干有机废气</w:t>
                  </w:r>
                </w:p>
              </w:tc>
              <w:tc>
                <w:tcPr>
                  <w:tcW w:w="427" w:type="dxa"/>
                  <w:tcBorders>
                    <w:tl2br w:val="nil"/>
                    <w:tr2bl w:val="nil"/>
                  </w:tcBorders>
                  <w:noWrap w:val="0"/>
                  <w:vAlign w:val="center"/>
                </w:tcPr>
                <w:p w14:paraId="6376CE2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cs="Times New Roman"/>
                      <w:bCs/>
                      <w:color w:val="auto"/>
                      <w:sz w:val="21"/>
                      <w:szCs w:val="21"/>
                      <w:highlight w:val="none"/>
                      <w:lang w:val="en-US" w:eastAsia="zh-CN"/>
                    </w:rPr>
                  </w:pPr>
                  <w:r>
                    <w:rPr>
                      <w:rFonts w:hint="default" w:ascii="Times New Roman" w:hAnsi="Times New Roman" w:eastAsia="宋体" w:cs="Times New Roman"/>
                      <w:color w:val="auto"/>
                      <w:sz w:val="21"/>
                      <w:szCs w:val="21"/>
                      <w:highlight w:val="none"/>
                    </w:rPr>
                    <w:t>有组织</w:t>
                  </w:r>
                </w:p>
              </w:tc>
              <w:tc>
                <w:tcPr>
                  <w:tcW w:w="625" w:type="dxa"/>
                  <w:vMerge w:val="restart"/>
                  <w:tcBorders>
                    <w:tl2br w:val="nil"/>
                    <w:tr2bl w:val="nil"/>
                  </w:tcBorders>
                  <w:noWrap w:val="0"/>
                  <w:vAlign w:val="center"/>
                </w:tcPr>
                <w:p w14:paraId="19B937F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lang w:val="en-US"/>
                    </w:rPr>
                  </w:pPr>
                  <w:r>
                    <w:rPr>
                      <w:rFonts w:hint="eastAsia"/>
                      <w:color w:val="auto"/>
                      <w:sz w:val="21"/>
                      <w:szCs w:val="21"/>
                      <w:lang w:val="en-US" w:eastAsia="zh-CN"/>
                    </w:rPr>
                    <w:t>非甲烷总烃</w:t>
                  </w:r>
                </w:p>
              </w:tc>
              <w:tc>
                <w:tcPr>
                  <w:tcW w:w="798" w:type="dxa"/>
                  <w:tcBorders>
                    <w:tl2br w:val="nil"/>
                    <w:tr2bl w:val="nil"/>
                  </w:tcBorders>
                  <w:noWrap w:val="0"/>
                  <w:vAlign w:val="center"/>
                </w:tcPr>
                <w:p w14:paraId="43DC4BC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cs="Times New Roman"/>
                      <w:color w:val="FF0000"/>
                      <w:kern w:val="2"/>
                      <w:sz w:val="21"/>
                      <w:szCs w:val="21"/>
                      <w:highlight w:val="none"/>
                      <w:lang w:val="en-US" w:eastAsia="zh-CN" w:bidi="ar-SA"/>
                    </w:rPr>
                  </w:pPr>
                  <w:r>
                    <w:rPr>
                      <w:rFonts w:hint="eastAsia" w:cs="Times New Roman"/>
                      <w:color w:val="FF0000"/>
                      <w:kern w:val="2"/>
                      <w:sz w:val="21"/>
                      <w:szCs w:val="21"/>
                      <w:highlight w:val="none"/>
                      <w:lang w:val="en-US" w:eastAsia="zh-CN" w:bidi="ar-SA"/>
                    </w:rPr>
                    <w:t>153.5</w:t>
                  </w:r>
                </w:p>
              </w:tc>
              <w:tc>
                <w:tcPr>
                  <w:tcW w:w="794" w:type="dxa"/>
                  <w:tcBorders>
                    <w:tl2br w:val="nil"/>
                    <w:tr2bl w:val="nil"/>
                  </w:tcBorders>
                  <w:noWrap w:val="0"/>
                  <w:vAlign w:val="center"/>
                </w:tcPr>
                <w:p w14:paraId="30DC2430">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FF0000"/>
                      <w:kern w:val="0"/>
                      <w:sz w:val="21"/>
                      <w:szCs w:val="21"/>
                      <w:highlight w:val="none"/>
                      <w:u w:val="none"/>
                      <w:lang w:val="en-US" w:eastAsia="zh-CN" w:bidi="ar"/>
                    </w:rPr>
                  </w:pPr>
                  <w:r>
                    <w:rPr>
                      <w:rFonts w:hint="eastAsia" w:cs="Times New Roman"/>
                      <w:i w:val="0"/>
                      <w:iCs w:val="0"/>
                      <w:color w:val="FF0000"/>
                      <w:kern w:val="0"/>
                      <w:sz w:val="21"/>
                      <w:szCs w:val="21"/>
                      <w:highlight w:val="none"/>
                      <w:u w:val="none"/>
                      <w:lang w:val="en-US" w:eastAsia="zh-CN" w:bidi="ar"/>
                    </w:rPr>
                    <w:t>1.535</w:t>
                  </w:r>
                </w:p>
              </w:tc>
              <w:tc>
                <w:tcPr>
                  <w:tcW w:w="794" w:type="dxa"/>
                  <w:tcBorders>
                    <w:tl2br w:val="nil"/>
                    <w:tr2bl w:val="nil"/>
                  </w:tcBorders>
                  <w:noWrap w:val="0"/>
                  <w:vAlign w:val="center"/>
                </w:tcPr>
                <w:p w14:paraId="148141D0">
                  <w:pPr>
                    <w:keepNext w:val="0"/>
                    <w:keepLines w:val="0"/>
                    <w:widowControl/>
                    <w:suppressLineNumbers w:val="0"/>
                    <w:spacing w:before="0" w:beforeAutospacing="0" w:after="0" w:afterAutospacing="0"/>
                    <w:ind w:left="0" w:right="0"/>
                    <w:jc w:val="center"/>
                    <w:textAlignment w:val="center"/>
                    <w:rPr>
                      <w:rFonts w:hint="default" w:cs="Times New Roman"/>
                      <w:i w:val="0"/>
                      <w:iCs w:val="0"/>
                      <w:color w:val="FF0000"/>
                      <w:kern w:val="0"/>
                      <w:sz w:val="21"/>
                      <w:szCs w:val="21"/>
                      <w:highlight w:val="none"/>
                      <w:u w:val="none"/>
                      <w:lang w:val="en-US" w:eastAsia="zh-CN" w:bidi="ar"/>
                    </w:rPr>
                  </w:pPr>
                  <w:r>
                    <w:rPr>
                      <w:rFonts w:hint="eastAsia" w:cs="Times New Roman"/>
                      <w:color w:val="FF0000"/>
                      <w:sz w:val="21"/>
                      <w:szCs w:val="21"/>
                      <w:lang w:val="en-US" w:eastAsia="zh-CN"/>
                    </w:rPr>
                    <w:t>7.37</w:t>
                  </w:r>
                </w:p>
              </w:tc>
              <w:tc>
                <w:tcPr>
                  <w:tcW w:w="741" w:type="dxa"/>
                  <w:tcBorders>
                    <w:tl2br w:val="nil"/>
                    <w:tr2bl w:val="nil"/>
                  </w:tcBorders>
                  <w:noWrap w:val="0"/>
                  <w:vAlign w:val="center"/>
                </w:tcPr>
                <w:p w14:paraId="677B760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10000</w:t>
                  </w:r>
                </w:p>
              </w:tc>
              <w:tc>
                <w:tcPr>
                  <w:tcW w:w="427" w:type="dxa"/>
                  <w:tcBorders>
                    <w:tl2br w:val="nil"/>
                    <w:tr2bl w:val="nil"/>
                  </w:tcBorders>
                  <w:noWrap w:val="0"/>
                  <w:vAlign w:val="center"/>
                </w:tcPr>
                <w:p w14:paraId="62B6C88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65</w:t>
                  </w:r>
                </w:p>
              </w:tc>
              <w:tc>
                <w:tcPr>
                  <w:tcW w:w="689" w:type="dxa"/>
                  <w:tcBorders>
                    <w:tl2br w:val="nil"/>
                    <w:tr2bl w:val="nil"/>
                  </w:tcBorders>
                  <w:noWrap w:val="0"/>
                  <w:vAlign w:val="center"/>
                </w:tcPr>
                <w:p w14:paraId="7C3B3F3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83.19</w:t>
                  </w:r>
                </w:p>
              </w:tc>
              <w:tc>
                <w:tcPr>
                  <w:tcW w:w="427" w:type="dxa"/>
                  <w:tcBorders>
                    <w:tl2br w:val="nil"/>
                    <w:tr2bl w:val="nil"/>
                  </w:tcBorders>
                  <w:noWrap w:val="0"/>
                  <w:vAlign w:val="center"/>
                </w:tcPr>
                <w:p w14:paraId="5A6FF5E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eastAsia" w:cs="Times New Roman"/>
                      <w:color w:val="auto"/>
                      <w:sz w:val="21"/>
                      <w:szCs w:val="21"/>
                      <w:highlight w:val="none"/>
                      <w:lang w:val="en-US" w:eastAsia="zh-CN"/>
                    </w:rPr>
                    <w:t>是</w:t>
                  </w:r>
                </w:p>
              </w:tc>
              <w:tc>
                <w:tcPr>
                  <w:tcW w:w="427" w:type="dxa"/>
                  <w:tcBorders>
                    <w:tl2br w:val="nil"/>
                    <w:tr2bl w:val="nil"/>
                  </w:tcBorders>
                  <w:noWrap w:val="0"/>
                  <w:vAlign w:val="center"/>
                </w:tcPr>
                <w:p w14:paraId="1BD6C0C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半密闭集气罩+</w:t>
                  </w:r>
                  <w:r>
                    <w:rPr>
                      <w:rFonts w:hint="eastAsia" w:cs="Times New Roman"/>
                      <w:color w:val="auto"/>
                      <w:sz w:val="21"/>
                      <w:szCs w:val="21"/>
                      <w:highlight w:val="none"/>
                      <w:lang w:val="en-US" w:eastAsia="zh-CN"/>
                    </w:rPr>
                    <w:t>五级活性炭</w:t>
                  </w:r>
                </w:p>
              </w:tc>
              <w:tc>
                <w:tcPr>
                  <w:tcW w:w="0" w:type="auto"/>
                  <w:tcBorders>
                    <w:tl2br w:val="nil"/>
                    <w:tr2bl w:val="nil"/>
                  </w:tcBorders>
                  <w:noWrap w:val="0"/>
                  <w:vAlign w:val="center"/>
                </w:tcPr>
                <w:p w14:paraId="24ABC69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25.8</w:t>
                  </w:r>
                </w:p>
              </w:tc>
              <w:tc>
                <w:tcPr>
                  <w:tcW w:w="794" w:type="dxa"/>
                  <w:tcBorders>
                    <w:tl2br w:val="nil"/>
                    <w:tr2bl w:val="nil"/>
                  </w:tcBorders>
                  <w:noWrap w:val="0"/>
                  <w:vAlign w:val="center"/>
                </w:tcPr>
                <w:p w14:paraId="5053960F">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FF0000"/>
                      <w:kern w:val="0"/>
                      <w:sz w:val="21"/>
                      <w:szCs w:val="21"/>
                      <w:highlight w:val="none"/>
                      <w:u w:val="none"/>
                      <w:lang w:val="en-US" w:eastAsia="zh-CN" w:bidi="ar"/>
                    </w:rPr>
                  </w:pPr>
                  <w:r>
                    <w:rPr>
                      <w:rFonts w:hint="eastAsia" w:cs="Times New Roman"/>
                      <w:i w:val="0"/>
                      <w:iCs w:val="0"/>
                      <w:color w:val="FF0000"/>
                      <w:kern w:val="0"/>
                      <w:sz w:val="21"/>
                      <w:szCs w:val="21"/>
                      <w:highlight w:val="none"/>
                      <w:u w:val="none"/>
                      <w:lang w:val="en-US" w:eastAsia="zh-CN" w:bidi="ar"/>
                    </w:rPr>
                    <w:t>0.258</w:t>
                  </w:r>
                </w:p>
              </w:tc>
              <w:tc>
                <w:tcPr>
                  <w:tcW w:w="794" w:type="dxa"/>
                  <w:tcBorders>
                    <w:tl2br w:val="nil"/>
                    <w:tr2bl w:val="nil"/>
                  </w:tcBorders>
                  <w:noWrap w:val="0"/>
                  <w:vAlign w:val="center"/>
                </w:tcPr>
                <w:p w14:paraId="3B762184">
                  <w:pPr>
                    <w:keepNext w:val="0"/>
                    <w:keepLines w:val="0"/>
                    <w:widowControl/>
                    <w:suppressLineNumbers w:val="0"/>
                    <w:spacing w:before="0" w:beforeAutospacing="0" w:after="0" w:afterAutospacing="0"/>
                    <w:ind w:left="0" w:right="0"/>
                    <w:jc w:val="center"/>
                    <w:textAlignment w:val="center"/>
                    <w:rPr>
                      <w:rFonts w:hint="default" w:cs="Times New Roman"/>
                      <w:i w:val="0"/>
                      <w:iCs w:val="0"/>
                      <w:color w:val="FF0000"/>
                      <w:kern w:val="0"/>
                      <w:sz w:val="21"/>
                      <w:szCs w:val="21"/>
                      <w:highlight w:val="none"/>
                      <w:u w:val="none"/>
                      <w:lang w:val="en-US" w:eastAsia="zh-CN" w:bidi="ar"/>
                    </w:rPr>
                  </w:pPr>
                  <w:r>
                    <w:rPr>
                      <w:rFonts w:hint="eastAsia" w:cs="Times New Roman"/>
                      <w:i w:val="0"/>
                      <w:iCs w:val="0"/>
                      <w:color w:val="FF0000"/>
                      <w:kern w:val="0"/>
                      <w:sz w:val="21"/>
                      <w:szCs w:val="21"/>
                      <w:highlight w:val="none"/>
                      <w:u w:val="none"/>
                      <w:lang w:val="en-US" w:eastAsia="zh-CN" w:bidi="ar"/>
                    </w:rPr>
                    <w:t>1.239</w:t>
                  </w:r>
                </w:p>
              </w:tc>
              <w:tc>
                <w:tcPr>
                  <w:tcW w:w="835" w:type="dxa"/>
                  <w:tcBorders>
                    <w:tl2br w:val="nil"/>
                    <w:tr2bl w:val="nil"/>
                  </w:tcBorders>
                  <w:noWrap w:val="0"/>
                  <w:vAlign w:val="center"/>
                </w:tcPr>
                <w:p w14:paraId="64AD093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rPr>
                  </w:pPr>
                  <w:r>
                    <w:rPr>
                      <w:rFonts w:hint="default" w:ascii="Times New Roman" w:hAnsi="Times New Roman" w:eastAsia="宋体" w:cs="Times New Roman"/>
                      <w:color w:val="auto"/>
                      <w:sz w:val="21"/>
                      <w:szCs w:val="21"/>
                      <w:highlight w:val="none"/>
                    </w:rPr>
                    <w:t>DA0</w:t>
                  </w:r>
                  <w:r>
                    <w:rPr>
                      <w:rFonts w:hint="default" w:ascii="Times New Roman" w:hAnsi="Times New Roman" w:cs="Times New Roman"/>
                      <w:color w:val="auto"/>
                      <w:sz w:val="21"/>
                      <w:szCs w:val="21"/>
                      <w:highlight w:val="none"/>
                      <w:lang w:val="en-US" w:eastAsia="zh-CN"/>
                    </w:rPr>
                    <w:t>0</w:t>
                  </w:r>
                  <w:r>
                    <w:rPr>
                      <w:rFonts w:hint="eastAsia" w:cs="Times New Roman"/>
                      <w:color w:val="auto"/>
                      <w:sz w:val="21"/>
                      <w:szCs w:val="21"/>
                      <w:highlight w:val="none"/>
                      <w:lang w:val="en-US" w:eastAsia="zh-CN"/>
                    </w:rPr>
                    <w:t>4</w:t>
                  </w:r>
                </w:p>
              </w:tc>
              <w:tc>
                <w:tcPr>
                  <w:tcW w:w="427" w:type="dxa"/>
                  <w:tcBorders>
                    <w:tl2br w:val="nil"/>
                    <w:tr2bl w:val="nil"/>
                  </w:tcBorders>
                  <w:noWrap w:val="0"/>
                  <w:vAlign w:val="center"/>
                </w:tcPr>
                <w:p w14:paraId="6816CFF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lang w:bidi="ar"/>
                    </w:rPr>
                  </w:pPr>
                  <w:r>
                    <w:rPr>
                      <w:rFonts w:hint="eastAsia" w:cs="Times New Roman"/>
                      <w:color w:val="auto"/>
                      <w:sz w:val="21"/>
                      <w:szCs w:val="21"/>
                      <w:highlight w:val="none"/>
                      <w:lang w:val="en-US" w:eastAsia="zh-CN"/>
                    </w:rPr>
                    <w:t>15</w:t>
                  </w:r>
                </w:p>
              </w:tc>
              <w:tc>
                <w:tcPr>
                  <w:tcW w:w="479" w:type="dxa"/>
                  <w:tcBorders>
                    <w:tl2br w:val="nil"/>
                    <w:tr2bl w:val="nil"/>
                  </w:tcBorders>
                  <w:noWrap w:val="0"/>
                  <w:vAlign w:val="center"/>
                </w:tcPr>
                <w:p w14:paraId="46EE3CC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highlight w:val="none"/>
                      <w:lang w:val="en-US"/>
                    </w:rPr>
                  </w:pPr>
                  <w:r>
                    <w:rPr>
                      <w:rFonts w:hint="eastAsia" w:cs="Times New Roman"/>
                      <w:color w:val="auto"/>
                      <w:sz w:val="21"/>
                      <w:szCs w:val="21"/>
                      <w:highlight w:val="none"/>
                      <w:lang w:val="en-US" w:eastAsia="zh-CN"/>
                    </w:rPr>
                    <w:t>0.5</w:t>
                  </w:r>
                </w:p>
              </w:tc>
              <w:tc>
                <w:tcPr>
                  <w:tcW w:w="444" w:type="dxa"/>
                  <w:tcBorders>
                    <w:tl2br w:val="nil"/>
                    <w:tr2bl w:val="nil"/>
                  </w:tcBorders>
                  <w:noWrap w:val="0"/>
                  <w:vAlign w:val="center"/>
                </w:tcPr>
                <w:p w14:paraId="41375D6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color w:val="auto"/>
                      <w:kern w:val="0"/>
                      <w:sz w:val="21"/>
                      <w:szCs w:val="21"/>
                      <w:highlight w:val="none"/>
                      <w:lang w:bidi="ar"/>
                    </w:rPr>
                  </w:pPr>
                  <w:r>
                    <w:rPr>
                      <w:rFonts w:hint="eastAsia" w:cs="Times New Roman"/>
                      <w:color w:val="auto"/>
                      <w:sz w:val="21"/>
                      <w:szCs w:val="21"/>
                      <w:highlight w:val="none"/>
                      <w:lang w:val="en-US" w:eastAsia="zh-CN"/>
                    </w:rPr>
                    <w:t>25</w:t>
                  </w:r>
                </w:p>
              </w:tc>
              <w:tc>
                <w:tcPr>
                  <w:tcW w:w="427" w:type="dxa"/>
                  <w:tcBorders>
                    <w:tl2br w:val="nil"/>
                    <w:tr2bl w:val="nil"/>
                  </w:tcBorders>
                  <w:noWrap w:val="0"/>
                  <w:vAlign w:val="center"/>
                </w:tcPr>
                <w:p w14:paraId="557F688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lang w:bidi="ar"/>
                    </w:rPr>
                  </w:pPr>
                  <w:r>
                    <w:rPr>
                      <w:rFonts w:hint="default" w:ascii="Times New Roman" w:hAnsi="Times New Roman" w:eastAsia="宋体" w:cs="Times New Roman"/>
                      <w:color w:val="auto"/>
                      <w:sz w:val="21"/>
                      <w:szCs w:val="21"/>
                      <w:highlight w:val="none"/>
                    </w:rPr>
                    <w:t>一般排放口</w:t>
                  </w:r>
                </w:p>
              </w:tc>
              <w:tc>
                <w:tcPr>
                  <w:tcW w:w="1552" w:type="dxa"/>
                  <w:tcBorders>
                    <w:tl2br w:val="nil"/>
                    <w:tr2bl w:val="nil"/>
                  </w:tcBorders>
                  <w:noWrap w:val="0"/>
                  <w:vAlign w:val="center"/>
                </w:tcPr>
                <w:p w14:paraId="748C934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eastAsia" w:cs="Times New Roman"/>
                      <w:color w:val="auto"/>
                      <w:sz w:val="21"/>
                      <w:szCs w:val="21"/>
                      <w:highlight w:val="none"/>
                      <w:lang w:val="en-US" w:eastAsia="zh-CN"/>
                    </w:rPr>
                    <w:t>E</w:t>
                  </w:r>
                  <w:r>
                    <w:rPr>
                      <w:rFonts w:hint="default" w:ascii="Times New Roman" w:hAnsi="Times New Roman" w:eastAsia="宋体" w:cs="Times New Roman"/>
                      <w:color w:val="auto"/>
                      <w:sz w:val="21"/>
                      <w:szCs w:val="21"/>
                      <w:highlight w:val="none"/>
                    </w:rPr>
                    <w:t>117°</w:t>
                  </w:r>
                  <w:r>
                    <w:rPr>
                      <w:rFonts w:hint="eastAsia" w:cs="Times New Roman"/>
                      <w:color w:val="auto"/>
                      <w:sz w:val="21"/>
                      <w:szCs w:val="21"/>
                      <w:highlight w:val="none"/>
                      <w:lang w:val="en-US" w:eastAsia="zh-CN"/>
                    </w:rPr>
                    <w:t>9</w:t>
                  </w:r>
                  <w:r>
                    <w:rPr>
                      <w:rFonts w:hint="default" w:ascii="Times New Roman" w:hAnsi="Times New Roman" w:eastAsia="宋体" w:cs="Times New Roman"/>
                      <w:color w:val="auto"/>
                      <w:sz w:val="21"/>
                      <w:szCs w:val="21"/>
                      <w:highlight w:val="none"/>
                    </w:rPr>
                    <w:t>′</w:t>
                  </w:r>
                  <w:r>
                    <w:rPr>
                      <w:rFonts w:hint="eastAsia" w:cs="Times New Roman"/>
                      <w:color w:val="auto"/>
                      <w:sz w:val="21"/>
                      <w:szCs w:val="21"/>
                      <w:highlight w:val="none"/>
                      <w:lang w:val="en-US" w:eastAsia="zh-CN"/>
                    </w:rPr>
                    <w:t>26.191</w:t>
                  </w:r>
                  <w:r>
                    <w:rPr>
                      <w:rFonts w:hint="default" w:ascii="Times New Roman" w:hAnsi="Times New Roman" w:eastAsia="宋体" w:cs="Times New Roman"/>
                      <w:color w:val="auto"/>
                      <w:sz w:val="21"/>
                      <w:szCs w:val="21"/>
                      <w:highlight w:val="none"/>
                    </w:rPr>
                    <w:t>″</w:t>
                  </w:r>
                </w:p>
                <w:p w14:paraId="7109D88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Cs/>
                      <w:color w:val="auto"/>
                      <w:sz w:val="21"/>
                      <w:szCs w:val="21"/>
                      <w:highlight w:val="none"/>
                    </w:rPr>
                  </w:pPr>
                  <w:r>
                    <w:rPr>
                      <w:rFonts w:hint="eastAsia" w:cs="Times New Roman"/>
                      <w:color w:val="auto"/>
                      <w:sz w:val="21"/>
                      <w:szCs w:val="21"/>
                      <w:highlight w:val="none"/>
                      <w:lang w:val="en-US" w:eastAsia="zh-CN"/>
                    </w:rPr>
                    <w:t>N</w:t>
                  </w:r>
                  <w:r>
                    <w:rPr>
                      <w:rFonts w:hint="default" w:ascii="Times New Roman" w:hAnsi="Times New Roman" w:eastAsia="宋体" w:cs="Times New Roman"/>
                      <w:color w:val="auto"/>
                      <w:sz w:val="21"/>
                      <w:szCs w:val="21"/>
                      <w:highlight w:val="none"/>
                    </w:rPr>
                    <w:t>29°0′</w:t>
                  </w:r>
                  <w:r>
                    <w:rPr>
                      <w:rFonts w:hint="eastAsia" w:cs="Times New Roman"/>
                      <w:color w:val="auto"/>
                      <w:sz w:val="21"/>
                      <w:szCs w:val="21"/>
                      <w:highlight w:val="none"/>
                      <w:lang w:val="en-US" w:eastAsia="zh-CN"/>
                    </w:rPr>
                    <w:t>30.382</w:t>
                  </w:r>
                  <w:r>
                    <w:rPr>
                      <w:rFonts w:hint="default" w:ascii="Times New Roman" w:hAnsi="Times New Roman" w:eastAsia="宋体" w:cs="Times New Roman"/>
                      <w:color w:val="auto"/>
                      <w:sz w:val="21"/>
                      <w:szCs w:val="21"/>
                      <w:highlight w:val="none"/>
                    </w:rPr>
                    <w:t>″</w:t>
                  </w:r>
                </w:p>
              </w:tc>
              <w:tc>
                <w:tcPr>
                  <w:tcW w:w="689" w:type="dxa"/>
                  <w:tcBorders>
                    <w:tl2br w:val="nil"/>
                    <w:tr2bl w:val="nil"/>
                  </w:tcBorders>
                  <w:noWrap w:val="0"/>
                  <w:vAlign w:val="center"/>
                </w:tcPr>
                <w:p w14:paraId="46486B0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14.1</w:t>
                  </w:r>
                </w:p>
              </w:tc>
              <w:tc>
                <w:tcPr>
                  <w:tcW w:w="951" w:type="dxa"/>
                  <w:tcBorders>
                    <w:tl2br w:val="nil"/>
                    <w:tr2bl w:val="nil"/>
                  </w:tcBorders>
                  <w:noWrap w:val="0"/>
                  <w:vAlign w:val="center"/>
                </w:tcPr>
                <w:p w14:paraId="1ED32EB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cs="Times New Roman"/>
                      <w:bCs/>
                      <w:color w:val="auto"/>
                      <w:sz w:val="21"/>
                      <w:szCs w:val="21"/>
                      <w:highlight w:val="none"/>
                      <w:lang w:val="en-US" w:eastAsia="zh-CN"/>
                    </w:rPr>
                  </w:pPr>
                  <w:r>
                    <w:rPr>
                      <w:rFonts w:hint="eastAsia" w:cs="Times New Roman"/>
                      <w:bCs/>
                      <w:color w:val="auto"/>
                      <w:sz w:val="21"/>
                      <w:szCs w:val="21"/>
                      <w:highlight w:val="none"/>
                      <w:lang w:val="en-US" w:eastAsia="zh-CN"/>
                    </w:rPr>
                    <w:t>120（80*）</w:t>
                  </w:r>
                </w:p>
              </w:tc>
              <w:tc>
                <w:tcPr>
                  <w:tcW w:w="613" w:type="dxa"/>
                  <w:tcBorders>
                    <w:tl2br w:val="nil"/>
                    <w:tr2bl w:val="nil"/>
                  </w:tcBorders>
                  <w:noWrap w:val="0"/>
                  <w:vAlign w:val="center"/>
                </w:tcPr>
                <w:p w14:paraId="54C4240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eastAsia" w:cs="Times New Roman"/>
                      <w:bCs/>
                      <w:color w:val="auto"/>
                      <w:sz w:val="21"/>
                      <w:szCs w:val="21"/>
                      <w:highlight w:val="none"/>
                      <w:lang w:val="en-US" w:eastAsia="zh-CN"/>
                    </w:rPr>
                  </w:pPr>
                  <w:r>
                    <w:rPr>
                      <w:rFonts w:hint="eastAsia" w:cs="Times New Roman"/>
                      <w:color w:val="auto"/>
                      <w:kern w:val="2"/>
                      <w:sz w:val="21"/>
                      <w:szCs w:val="21"/>
                      <w:highlight w:val="none"/>
                      <w:lang w:val="en-US" w:eastAsia="zh-CN" w:bidi="ar-SA"/>
                    </w:rPr>
                    <w:t>5</w:t>
                  </w:r>
                </w:p>
              </w:tc>
            </w:tr>
            <w:tr w14:paraId="381545B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636" w:type="dxa"/>
                  <w:vMerge w:val="continue"/>
                  <w:tcBorders>
                    <w:tl2br w:val="nil"/>
                    <w:tr2bl w:val="nil"/>
                  </w:tcBorders>
                  <w:noWrap w:val="0"/>
                  <w:vAlign w:val="center"/>
                </w:tcPr>
                <w:p w14:paraId="6667593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Cs/>
                      <w:color w:val="auto"/>
                      <w:sz w:val="21"/>
                      <w:szCs w:val="21"/>
                      <w:highlight w:val="none"/>
                    </w:rPr>
                  </w:pPr>
                </w:p>
              </w:tc>
              <w:tc>
                <w:tcPr>
                  <w:tcW w:w="427" w:type="dxa"/>
                  <w:tcBorders>
                    <w:tl2br w:val="nil"/>
                    <w:tr2bl w:val="nil"/>
                  </w:tcBorders>
                  <w:noWrap w:val="0"/>
                  <w:vAlign w:val="center"/>
                </w:tcPr>
                <w:p w14:paraId="434FFA9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cs="Times New Roman"/>
                      <w:bCs/>
                      <w:color w:val="auto"/>
                      <w:sz w:val="21"/>
                      <w:szCs w:val="21"/>
                      <w:highlight w:val="none"/>
                      <w:lang w:val="en-US" w:eastAsia="zh-CN"/>
                    </w:rPr>
                  </w:pPr>
                  <w:r>
                    <w:rPr>
                      <w:rFonts w:hint="eastAsia" w:cs="Times New Roman"/>
                      <w:bCs/>
                      <w:color w:val="auto"/>
                      <w:sz w:val="21"/>
                      <w:szCs w:val="21"/>
                      <w:highlight w:val="none"/>
                      <w:lang w:val="en-US" w:eastAsia="zh-CN"/>
                    </w:rPr>
                    <w:t>无组织</w:t>
                  </w:r>
                </w:p>
              </w:tc>
              <w:tc>
                <w:tcPr>
                  <w:tcW w:w="625" w:type="dxa"/>
                  <w:vMerge w:val="continue"/>
                  <w:tcBorders>
                    <w:tl2br w:val="nil"/>
                    <w:tr2bl w:val="nil"/>
                  </w:tcBorders>
                  <w:noWrap w:val="0"/>
                  <w:vAlign w:val="center"/>
                </w:tcPr>
                <w:p w14:paraId="439A522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rPr>
                  </w:pPr>
                </w:p>
              </w:tc>
              <w:tc>
                <w:tcPr>
                  <w:tcW w:w="798" w:type="dxa"/>
                  <w:tcBorders>
                    <w:tl2br w:val="nil"/>
                    <w:tr2bl w:val="nil"/>
                  </w:tcBorders>
                  <w:noWrap w:val="0"/>
                  <w:vAlign w:val="center"/>
                </w:tcPr>
                <w:p w14:paraId="2A3ED38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794" w:type="dxa"/>
                  <w:tcBorders>
                    <w:tl2br w:val="nil"/>
                    <w:tr2bl w:val="nil"/>
                  </w:tcBorders>
                  <w:noWrap w:val="0"/>
                  <w:vAlign w:val="center"/>
                </w:tcPr>
                <w:p w14:paraId="213CE2C1">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FF0000"/>
                      <w:kern w:val="0"/>
                      <w:sz w:val="21"/>
                      <w:szCs w:val="21"/>
                      <w:highlight w:val="none"/>
                      <w:u w:val="none"/>
                      <w:lang w:val="en-US" w:eastAsia="zh-CN" w:bidi="ar"/>
                    </w:rPr>
                  </w:pPr>
                  <w:r>
                    <w:rPr>
                      <w:rFonts w:hint="eastAsia" w:cs="Times New Roman"/>
                      <w:i w:val="0"/>
                      <w:iCs w:val="0"/>
                      <w:color w:val="FF0000"/>
                      <w:kern w:val="0"/>
                      <w:sz w:val="21"/>
                      <w:szCs w:val="21"/>
                      <w:highlight w:val="none"/>
                      <w:u w:val="none"/>
                      <w:lang w:val="en-US" w:eastAsia="zh-CN" w:bidi="ar"/>
                    </w:rPr>
                    <w:t>0.827</w:t>
                  </w:r>
                </w:p>
              </w:tc>
              <w:tc>
                <w:tcPr>
                  <w:tcW w:w="794" w:type="dxa"/>
                  <w:tcBorders>
                    <w:tl2br w:val="nil"/>
                    <w:tr2bl w:val="nil"/>
                  </w:tcBorders>
                  <w:noWrap w:val="0"/>
                  <w:vAlign w:val="center"/>
                </w:tcPr>
                <w:p w14:paraId="0139DE27">
                  <w:pPr>
                    <w:keepNext w:val="0"/>
                    <w:keepLines w:val="0"/>
                    <w:widowControl/>
                    <w:suppressLineNumbers w:val="0"/>
                    <w:spacing w:before="0" w:beforeAutospacing="0" w:after="0" w:afterAutospacing="0"/>
                    <w:ind w:left="0" w:right="0"/>
                    <w:jc w:val="center"/>
                    <w:textAlignment w:val="center"/>
                    <w:rPr>
                      <w:rFonts w:hint="default" w:cs="Times New Roman"/>
                      <w:i w:val="0"/>
                      <w:iCs w:val="0"/>
                      <w:color w:val="FF0000"/>
                      <w:kern w:val="0"/>
                      <w:sz w:val="21"/>
                      <w:szCs w:val="21"/>
                      <w:highlight w:val="none"/>
                      <w:u w:val="none"/>
                      <w:lang w:val="en-US" w:eastAsia="zh-CN" w:bidi="ar"/>
                    </w:rPr>
                  </w:pPr>
                  <w:r>
                    <w:rPr>
                      <w:rFonts w:hint="eastAsia" w:cs="Times New Roman"/>
                      <w:color w:val="FF0000"/>
                      <w:sz w:val="21"/>
                      <w:szCs w:val="21"/>
                      <w:lang w:val="en-US" w:eastAsia="zh-CN"/>
                    </w:rPr>
                    <w:t>3.969</w:t>
                  </w:r>
                </w:p>
              </w:tc>
              <w:tc>
                <w:tcPr>
                  <w:tcW w:w="741" w:type="dxa"/>
                  <w:tcBorders>
                    <w:tl2br w:val="nil"/>
                    <w:tr2bl w:val="nil"/>
                  </w:tcBorders>
                  <w:noWrap w:val="0"/>
                  <w:vAlign w:val="center"/>
                </w:tcPr>
                <w:p w14:paraId="736C172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kern w:val="2"/>
                      <w:sz w:val="21"/>
                      <w:szCs w:val="21"/>
                      <w:highlight w:val="none"/>
                      <w:lang w:val="en-US" w:eastAsia="zh-CN" w:bidi="ar-SA"/>
                    </w:rPr>
                    <w:t>/</w:t>
                  </w:r>
                </w:p>
              </w:tc>
              <w:tc>
                <w:tcPr>
                  <w:tcW w:w="427" w:type="dxa"/>
                  <w:tcBorders>
                    <w:tl2br w:val="nil"/>
                    <w:tr2bl w:val="nil"/>
                  </w:tcBorders>
                  <w:noWrap w:val="0"/>
                  <w:vAlign w:val="center"/>
                </w:tcPr>
                <w:p w14:paraId="31DCC12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689" w:type="dxa"/>
                  <w:tcBorders>
                    <w:tl2br w:val="nil"/>
                    <w:tr2bl w:val="nil"/>
                  </w:tcBorders>
                  <w:noWrap w:val="0"/>
                  <w:vAlign w:val="center"/>
                </w:tcPr>
                <w:p w14:paraId="7BA4C73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0" w:type="auto"/>
                  <w:tcBorders>
                    <w:tl2br w:val="nil"/>
                    <w:tr2bl w:val="nil"/>
                  </w:tcBorders>
                  <w:noWrap w:val="0"/>
                  <w:vAlign w:val="center"/>
                </w:tcPr>
                <w:p w14:paraId="055521A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eastAsia" w:cs="Times New Roman"/>
                      <w:color w:val="auto"/>
                      <w:kern w:val="2"/>
                      <w:sz w:val="21"/>
                      <w:szCs w:val="21"/>
                      <w:highlight w:val="none"/>
                      <w:lang w:val="en-US" w:eastAsia="zh-CN" w:bidi="ar-SA"/>
                    </w:rPr>
                    <w:t>/</w:t>
                  </w:r>
                </w:p>
              </w:tc>
              <w:tc>
                <w:tcPr>
                  <w:tcW w:w="0" w:type="auto"/>
                  <w:tcBorders>
                    <w:tl2br w:val="nil"/>
                    <w:tr2bl w:val="nil"/>
                  </w:tcBorders>
                  <w:noWrap w:val="0"/>
                  <w:vAlign w:val="center"/>
                </w:tcPr>
                <w:p w14:paraId="02F635C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0" w:type="auto"/>
                  <w:tcBorders>
                    <w:tl2br w:val="nil"/>
                    <w:tr2bl w:val="nil"/>
                  </w:tcBorders>
                  <w:noWrap w:val="0"/>
                  <w:vAlign w:val="center"/>
                </w:tcPr>
                <w:p w14:paraId="53DE060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794" w:type="dxa"/>
                  <w:tcBorders>
                    <w:tl2br w:val="nil"/>
                    <w:tr2bl w:val="nil"/>
                  </w:tcBorders>
                  <w:noWrap w:val="0"/>
                  <w:vAlign w:val="center"/>
                </w:tcPr>
                <w:p w14:paraId="35FAF775">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cs="Times New Roman"/>
                      <w:i w:val="0"/>
                      <w:iCs w:val="0"/>
                      <w:color w:val="FF0000"/>
                      <w:kern w:val="0"/>
                      <w:sz w:val="21"/>
                      <w:szCs w:val="21"/>
                      <w:highlight w:val="none"/>
                      <w:u w:val="none"/>
                      <w:lang w:val="en-US" w:eastAsia="zh-CN" w:bidi="ar"/>
                    </w:rPr>
                    <w:t>0.827</w:t>
                  </w:r>
                </w:p>
              </w:tc>
              <w:tc>
                <w:tcPr>
                  <w:tcW w:w="794" w:type="dxa"/>
                  <w:tcBorders>
                    <w:tl2br w:val="nil"/>
                    <w:tr2bl w:val="nil"/>
                  </w:tcBorders>
                  <w:noWrap w:val="0"/>
                  <w:vAlign w:val="center"/>
                </w:tcPr>
                <w:p w14:paraId="37E572EA">
                  <w:pPr>
                    <w:keepNext w:val="0"/>
                    <w:keepLines w:val="0"/>
                    <w:widowControl/>
                    <w:suppressLineNumbers w:val="0"/>
                    <w:spacing w:before="0" w:beforeAutospacing="0" w:after="0" w:afterAutospacing="0"/>
                    <w:ind w:left="0" w:leftChars="0" w:right="0" w:rightChars="0"/>
                    <w:jc w:val="center"/>
                    <w:textAlignment w:val="center"/>
                    <w:rPr>
                      <w:rFonts w:hint="eastAsia" w:cs="Times New Roman"/>
                      <w:i w:val="0"/>
                      <w:iCs w:val="0"/>
                      <w:color w:val="auto"/>
                      <w:kern w:val="0"/>
                      <w:sz w:val="21"/>
                      <w:szCs w:val="21"/>
                      <w:highlight w:val="none"/>
                      <w:u w:val="none"/>
                      <w:lang w:val="en-US" w:eastAsia="zh-CN" w:bidi="ar"/>
                    </w:rPr>
                  </w:pPr>
                  <w:r>
                    <w:rPr>
                      <w:rFonts w:hint="eastAsia" w:cs="Times New Roman"/>
                      <w:color w:val="FF0000"/>
                      <w:sz w:val="21"/>
                      <w:szCs w:val="21"/>
                      <w:lang w:val="en-US" w:eastAsia="zh-CN"/>
                    </w:rPr>
                    <w:t>3.969</w:t>
                  </w:r>
                </w:p>
              </w:tc>
              <w:tc>
                <w:tcPr>
                  <w:tcW w:w="835" w:type="dxa"/>
                  <w:tcBorders>
                    <w:tl2br w:val="nil"/>
                    <w:tr2bl w:val="nil"/>
                  </w:tcBorders>
                  <w:noWrap w:val="0"/>
                  <w:vAlign w:val="center"/>
                </w:tcPr>
                <w:p w14:paraId="277B9D8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eastAsia" w:cs="Times New Roman"/>
                      <w:color w:val="auto"/>
                      <w:kern w:val="2"/>
                      <w:sz w:val="21"/>
                      <w:szCs w:val="21"/>
                      <w:highlight w:val="none"/>
                      <w:lang w:val="en-US" w:eastAsia="zh-CN" w:bidi="ar-SA"/>
                    </w:rPr>
                    <w:t>/</w:t>
                  </w:r>
                </w:p>
              </w:tc>
              <w:tc>
                <w:tcPr>
                  <w:tcW w:w="427" w:type="dxa"/>
                  <w:tcBorders>
                    <w:tl2br w:val="nil"/>
                    <w:tr2bl w:val="nil"/>
                  </w:tcBorders>
                  <w:noWrap w:val="0"/>
                  <w:vAlign w:val="center"/>
                </w:tcPr>
                <w:p w14:paraId="094626F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ascii="Times New Roman" w:hAnsi="Times New Roman" w:eastAsia="宋体" w:cs="Times New Roman"/>
                      <w:color w:val="auto"/>
                      <w:kern w:val="0"/>
                      <w:sz w:val="21"/>
                      <w:szCs w:val="21"/>
                      <w:highlight w:val="none"/>
                      <w:lang w:bidi="ar"/>
                    </w:rPr>
                  </w:pPr>
                  <w:r>
                    <w:rPr>
                      <w:rFonts w:hint="eastAsia" w:cs="Times New Roman"/>
                      <w:color w:val="auto"/>
                      <w:kern w:val="2"/>
                      <w:sz w:val="21"/>
                      <w:szCs w:val="21"/>
                      <w:highlight w:val="none"/>
                      <w:lang w:val="en-US" w:eastAsia="zh-CN" w:bidi="ar-SA"/>
                    </w:rPr>
                    <w:t>/</w:t>
                  </w:r>
                </w:p>
              </w:tc>
              <w:tc>
                <w:tcPr>
                  <w:tcW w:w="479" w:type="dxa"/>
                  <w:tcBorders>
                    <w:tl2br w:val="nil"/>
                    <w:tr2bl w:val="nil"/>
                  </w:tcBorders>
                  <w:noWrap w:val="0"/>
                  <w:vAlign w:val="center"/>
                </w:tcPr>
                <w:p w14:paraId="0921E07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eastAsia" w:cs="Times New Roman"/>
                      <w:color w:val="auto"/>
                      <w:kern w:val="2"/>
                      <w:sz w:val="21"/>
                      <w:szCs w:val="21"/>
                      <w:highlight w:val="none"/>
                      <w:lang w:val="en-US" w:eastAsia="zh-CN" w:bidi="ar-SA"/>
                    </w:rPr>
                    <w:t>/</w:t>
                  </w:r>
                </w:p>
              </w:tc>
              <w:tc>
                <w:tcPr>
                  <w:tcW w:w="444" w:type="dxa"/>
                  <w:tcBorders>
                    <w:tl2br w:val="nil"/>
                    <w:tr2bl w:val="nil"/>
                  </w:tcBorders>
                  <w:noWrap w:val="0"/>
                  <w:vAlign w:val="center"/>
                </w:tcPr>
                <w:p w14:paraId="47F323D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ascii="Times New Roman" w:hAnsi="Times New Roman" w:eastAsia="宋体" w:cs="Times New Roman"/>
                      <w:color w:val="auto"/>
                      <w:kern w:val="0"/>
                      <w:sz w:val="21"/>
                      <w:szCs w:val="21"/>
                      <w:highlight w:val="none"/>
                      <w:lang w:bidi="ar"/>
                    </w:rPr>
                  </w:pPr>
                  <w:r>
                    <w:rPr>
                      <w:rFonts w:hint="eastAsia" w:cs="Times New Roman"/>
                      <w:color w:val="auto"/>
                      <w:kern w:val="2"/>
                      <w:sz w:val="21"/>
                      <w:szCs w:val="21"/>
                      <w:highlight w:val="none"/>
                      <w:lang w:val="en-US" w:eastAsia="zh-CN" w:bidi="ar-SA"/>
                    </w:rPr>
                    <w:t>/</w:t>
                  </w:r>
                </w:p>
              </w:tc>
              <w:tc>
                <w:tcPr>
                  <w:tcW w:w="427" w:type="dxa"/>
                  <w:tcBorders>
                    <w:tl2br w:val="nil"/>
                    <w:tr2bl w:val="nil"/>
                  </w:tcBorders>
                  <w:noWrap w:val="0"/>
                  <w:vAlign w:val="center"/>
                </w:tcPr>
                <w:p w14:paraId="1FB2CB4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ascii="Times New Roman" w:hAnsi="Times New Roman" w:eastAsia="宋体" w:cs="Times New Roman"/>
                      <w:color w:val="auto"/>
                      <w:kern w:val="0"/>
                      <w:sz w:val="21"/>
                      <w:szCs w:val="21"/>
                      <w:highlight w:val="none"/>
                      <w:lang w:bidi="ar"/>
                    </w:rPr>
                  </w:pPr>
                  <w:r>
                    <w:rPr>
                      <w:rFonts w:hint="eastAsia" w:cs="Times New Roman"/>
                      <w:color w:val="auto"/>
                      <w:kern w:val="2"/>
                      <w:sz w:val="21"/>
                      <w:szCs w:val="21"/>
                      <w:highlight w:val="none"/>
                      <w:lang w:val="en-US" w:eastAsia="zh-CN" w:bidi="ar-SA"/>
                    </w:rPr>
                    <w:t>/</w:t>
                  </w:r>
                </w:p>
              </w:tc>
              <w:tc>
                <w:tcPr>
                  <w:tcW w:w="1552" w:type="dxa"/>
                  <w:tcBorders>
                    <w:tl2br w:val="nil"/>
                    <w:tr2bl w:val="nil"/>
                  </w:tcBorders>
                  <w:noWrap w:val="0"/>
                  <w:vAlign w:val="center"/>
                </w:tcPr>
                <w:p w14:paraId="16ADCA1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Cs/>
                      <w:color w:val="auto"/>
                      <w:sz w:val="21"/>
                      <w:szCs w:val="21"/>
                      <w:highlight w:val="none"/>
                    </w:rPr>
                  </w:pPr>
                  <w:r>
                    <w:rPr>
                      <w:rFonts w:hint="eastAsia" w:cs="Times New Roman"/>
                      <w:color w:val="auto"/>
                      <w:kern w:val="2"/>
                      <w:sz w:val="21"/>
                      <w:szCs w:val="21"/>
                      <w:highlight w:val="none"/>
                      <w:lang w:val="en-US" w:eastAsia="zh-CN" w:bidi="ar-SA"/>
                    </w:rPr>
                    <w:t>/</w:t>
                  </w:r>
                </w:p>
              </w:tc>
              <w:tc>
                <w:tcPr>
                  <w:tcW w:w="689" w:type="dxa"/>
                  <w:tcBorders>
                    <w:tl2br w:val="nil"/>
                    <w:tr2bl w:val="nil"/>
                  </w:tcBorders>
                  <w:noWrap w:val="0"/>
                  <w:vAlign w:val="center"/>
                </w:tcPr>
                <w:p w14:paraId="1ED43A8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951" w:type="dxa"/>
                  <w:tcBorders>
                    <w:tl2br w:val="nil"/>
                    <w:tr2bl w:val="nil"/>
                  </w:tcBorders>
                  <w:noWrap w:val="0"/>
                  <w:vAlign w:val="center"/>
                </w:tcPr>
                <w:p w14:paraId="064C1C8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eastAsia" w:cs="Times New Roman"/>
                      <w:bCs/>
                      <w:color w:val="auto"/>
                      <w:sz w:val="21"/>
                      <w:szCs w:val="21"/>
                      <w:highlight w:val="none"/>
                      <w:lang w:val="en-US" w:eastAsia="zh-CN"/>
                    </w:rPr>
                  </w:pPr>
                  <w:r>
                    <w:rPr>
                      <w:rFonts w:hint="eastAsia" w:cs="Times New Roman"/>
                      <w:bCs/>
                      <w:color w:val="auto"/>
                      <w:sz w:val="21"/>
                      <w:szCs w:val="21"/>
                      <w:highlight w:val="none"/>
                      <w:lang w:val="en-US" w:eastAsia="zh-CN"/>
                    </w:rPr>
                    <w:t>4.0</w:t>
                  </w:r>
                </w:p>
              </w:tc>
              <w:tc>
                <w:tcPr>
                  <w:tcW w:w="613" w:type="dxa"/>
                  <w:tcBorders>
                    <w:tl2br w:val="nil"/>
                    <w:tr2bl w:val="nil"/>
                  </w:tcBorders>
                  <w:noWrap w:val="0"/>
                  <w:vAlign w:val="center"/>
                </w:tcPr>
                <w:p w14:paraId="574F9CD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eastAsia" w:cs="Times New Roman"/>
                      <w:bCs/>
                      <w:color w:val="auto"/>
                      <w:sz w:val="21"/>
                      <w:szCs w:val="21"/>
                      <w:highlight w:val="none"/>
                      <w:lang w:val="en-US" w:eastAsia="zh-CN"/>
                    </w:rPr>
                  </w:pPr>
                  <w:r>
                    <w:rPr>
                      <w:rFonts w:hint="eastAsia" w:cs="Times New Roman"/>
                      <w:color w:val="auto"/>
                      <w:kern w:val="2"/>
                      <w:sz w:val="21"/>
                      <w:szCs w:val="21"/>
                      <w:highlight w:val="none"/>
                      <w:lang w:val="en-US" w:eastAsia="zh-CN" w:bidi="ar-SA"/>
                    </w:rPr>
                    <w:t>/</w:t>
                  </w:r>
                </w:p>
              </w:tc>
            </w:tr>
            <w:tr w14:paraId="544C086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140" w:hRule="atLeast"/>
                <w:jc w:val="center"/>
              </w:trPr>
              <w:tc>
                <w:tcPr>
                  <w:tcW w:w="636" w:type="dxa"/>
                  <w:tcBorders>
                    <w:tl2br w:val="nil"/>
                    <w:tr2bl w:val="nil"/>
                  </w:tcBorders>
                  <w:noWrap w:val="0"/>
                  <w:vAlign w:val="center"/>
                </w:tcPr>
                <w:p w14:paraId="4B7E902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bCs/>
                      <w:color w:val="auto"/>
                      <w:sz w:val="21"/>
                      <w:szCs w:val="21"/>
                      <w:highlight w:val="none"/>
                    </w:rPr>
                  </w:pPr>
                  <w:r>
                    <w:rPr>
                      <w:rFonts w:hint="default" w:ascii="Times New Roman" w:hAnsi="Times New Roman" w:eastAsia="宋体" w:cs="Times New Roman"/>
                      <w:color w:val="auto"/>
                      <w:kern w:val="21"/>
                      <w:sz w:val="21"/>
                      <w:szCs w:val="21"/>
                      <w:highlight w:val="none"/>
                      <w:u w:val="none"/>
                      <w:lang w:val="en-US" w:eastAsia="zh-CN" w:bidi="ar-SA"/>
                    </w:rPr>
                    <w:t>丝网印花、台面胶及晾干有机废气</w:t>
                  </w:r>
                </w:p>
              </w:tc>
              <w:tc>
                <w:tcPr>
                  <w:tcW w:w="427" w:type="dxa"/>
                  <w:tcBorders>
                    <w:tl2br w:val="nil"/>
                    <w:tr2bl w:val="nil"/>
                  </w:tcBorders>
                  <w:noWrap w:val="0"/>
                  <w:vAlign w:val="center"/>
                </w:tcPr>
                <w:p w14:paraId="39EDC6C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cs="Times New Roman"/>
                      <w:bCs/>
                      <w:color w:val="auto"/>
                      <w:sz w:val="21"/>
                      <w:szCs w:val="21"/>
                      <w:highlight w:val="none"/>
                      <w:lang w:val="en-US" w:eastAsia="zh-CN"/>
                    </w:rPr>
                  </w:pPr>
                  <w:r>
                    <w:rPr>
                      <w:rFonts w:hint="eastAsia" w:cs="Times New Roman"/>
                      <w:bCs/>
                      <w:color w:val="auto"/>
                      <w:sz w:val="21"/>
                      <w:szCs w:val="21"/>
                      <w:highlight w:val="none"/>
                      <w:lang w:val="en-US" w:eastAsia="zh-CN"/>
                    </w:rPr>
                    <w:t>无组织</w:t>
                  </w:r>
                </w:p>
              </w:tc>
              <w:tc>
                <w:tcPr>
                  <w:tcW w:w="625" w:type="dxa"/>
                  <w:tcBorders>
                    <w:tl2br w:val="nil"/>
                    <w:tr2bl w:val="nil"/>
                  </w:tcBorders>
                  <w:noWrap w:val="0"/>
                  <w:vAlign w:val="center"/>
                </w:tcPr>
                <w:p w14:paraId="12CA5B6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rPr>
                  </w:pPr>
                  <w:r>
                    <w:rPr>
                      <w:rFonts w:hint="eastAsia"/>
                      <w:color w:val="auto"/>
                      <w:sz w:val="21"/>
                      <w:szCs w:val="21"/>
                      <w:lang w:val="en-US" w:eastAsia="zh-CN"/>
                    </w:rPr>
                    <w:t>非甲烷总烃</w:t>
                  </w:r>
                </w:p>
              </w:tc>
              <w:tc>
                <w:tcPr>
                  <w:tcW w:w="798" w:type="dxa"/>
                  <w:tcBorders>
                    <w:tl2br w:val="nil"/>
                    <w:tr2bl w:val="nil"/>
                  </w:tcBorders>
                  <w:noWrap w:val="0"/>
                  <w:vAlign w:val="center"/>
                </w:tcPr>
                <w:p w14:paraId="78FA3BC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794" w:type="dxa"/>
                  <w:tcBorders>
                    <w:tl2br w:val="nil"/>
                    <w:tr2bl w:val="nil"/>
                  </w:tcBorders>
                  <w:noWrap w:val="0"/>
                  <w:vAlign w:val="center"/>
                </w:tcPr>
                <w:p w14:paraId="1FFF4E0D">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0.002</w:t>
                  </w:r>
                </w:p>
              </w:tc>
              <w:tc>
                <w:tcPr>
                  <w:tcW w:w="794" w:type="dxa"/>
                  <w:tcBorders>
                    <w:tl2br w:val="nil"/>
                    <w:tr2bl w:val="nil"/>
                  </w:tcBorders>
                  <w:noWrap w:val="0"/>
                  <w:vAlign w:val="center"/>
                </w:tcPr>
                <w:p w14:paraId="0F82AF0F">
                  <w:pPr>
                    <w:keepNext w:val="0"/>
                    <w:keepLines w:val="0"/>
                    <w:widowControl/>
                    <w:suppressLineNumbers w:val="0"/>
                    <w:spacing w:before="0" w:beforeAutospacing="0" w:after="0" w:afterAutospacing="0"/>
                    <w:ind w:left="0" w:right="0"/>
                    <w:jc w:val="center"/>
                    <w:textAlignment w:val="center"/>
                    <w:rPr>
                      <w:rFonts w:hint="default"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0.0048</w:t>
                  </w:r>
                </w:p>
              </w:tc>
              <w:tc>
                <w:tcPr>
                  <w:tcW w:w="741" w:type="dxa"/>
                  <w:tcBorders>
                    <w:tl2br w:val="nil"/>
                    <w:tr2bl w:val="nil"/>
                  </w:tcBorders>
                  <w:noWrap w:val="0"/>
                  <w:vAlign w:val="center"/>
                </w:tcPr>
                <w:p w14:paraId="7D6C474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kern w:val="2"/>
                      <w:sz w:val="21"/>
                      <w:szCs w:val="21"/>
                      <w:highlight w:val="none"/>
                      <w:lang w:val="en-US" w:eastAsia="zh-CN" w:bidi="ar-SA"/>
                    </w:rPr>
                    <w:t>/</w:t>
                  </w:r>
                </w:p>
              </w:tc>
              <w:tc>
                <w:tcPr>
                  <w:tcW w:w="427" w:type="dxa"/>
                  <w:tcBorders>
                    <w:tl2br w:val="nil"/>
                    <w:tr2bl w:val="nil"/>
                  </w:tcBorders>
                  <w:noWrap w:val="0"/>
                  <w:vAlign w:val="center"/>
                </w:tcPr>
                <w:p w14:paraId="500BC75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689" w:type="dxa"/>
                  <w:tcBorders>
                    <w:tl2br w:val="nil"/>
                    <w:tr2bl w:val="nil"/>
                  </w:tcBorders>
                  <w:noWrap w:val="0"/>
                  <w:vAlign w:val="center"/>
                </w:tcPr>
                <w:p w14:paraId="763D182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427" w:type="dxa"/>
                  <w:tcBorders>
                    <w:tl2br w:val="nil"/>
                    <w:tr2bl w:val="nil"/>
                  </w:tcBorders>
                  <w:noWrap w:val="0"/>
                  <w:vAlign w:val="center"/>
                </w:tcPr>
                <w:p w14:paraId="75FEDB3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eastAsia" w:cs="Times New Roman"/>
                      <w:color w:val="auto"/>
                      <w:kern w:val="2"/>
                      <w:sz w:val="21"/>
                      <w:szCs w:val="21"/>
                      <w:highlight w:val="none"/>
                      <w:lang w:val="en-US" w:eastAsia="zh-CN" w:bidi="ar-SA"/>
                    </w:rPr>
                    <w:t>/</w:t>
                  </w:r>
                </w:p>
              </w:tc>
              <w:tc>
                <w:tcPr>
                  <w:tcW w:w="427" w:type="dxa"/>
                  <w:tcBorders>
                    <w:tl2br w:val="nil"/>
                    <w:tr2bl w:val="nil"/>
                  </w:tcBorders>
                  <w:noWrap w:val="0"/>
                  <w:vAlign w:val="center"/>
                </w:tcPr>
                <w:p w14:paraId="6D91C56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798" w:type="dxa"/>
                  <w:tcBorders>
                    <w:tl2br w:val="nil"/>
                    <w:tr2bl w:val="nil"/>
                  </w:tcBorders>
                  <w:noWrap w:val="0"/>
                  <w:vAlign w:val="center"/>
                </w:tcPr>
                <w:p w14:paraId="0A5D4A6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794" w:type="dxa"/>
                  <w:tcBorders>
                    <w:tl2br w:val="nil"/>
                    <w:tr2bl w:val="nil"/>
                  </w:tcBorders>
                  <w:noWrap w:val="0"/>
                  <w:vAlign w:val="center"/>
                </w:tcPr>
                <w:p w14:paraId="3B2C1E93">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0.002</w:t>
                  </w:r>
                </w:p>
              </w:tc>
              <w:tc>
                <w:tcPr>
                  <w:tcW w:w="794" w:type="dxa"/>
                  <w:tcBorders>
                    <w:tl2br w:val="nil"/>
                    <w:tr2bl w:val="nil"/>
                  </w:tcBorders>
                  <w:noWrap w:val="0"/>
                  <w:vAlign w:val="center"/>
                </w:tcPr>
                <w:p w14:paraId="65ECE5C8">
                  <w:pPr>
                    <w:keepNext w:val="0"/>
                    <w:keepLines w:val="0"/>
                    <w:widowControl/>
                    <w:suppressLineNumbers w:val="0"/>
                    <w:spacing w:before="0" w:beforeAutospacing="0" w:after="0" w:afterAutospacing="0"/>
                    <w:ind w:left="0" w:right="0"/>
                    <w:jc w:val="center"/>
                    <w:textAlignment w:val="center"/>
                    <w:rPr>
                      <w:rFonts w:hint="eastAsia"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0.0048</w:t>
                  </w:r>
                </w:p>
              </w:tc>
              <w:tc>
                <w:tcPr>
                  <w:tcW w:w="835" w:type="dxa"/>
                  <w:tcBorders>
                    <w:tl2br w:val="nil"/>
                    <w:tr2bl w:val="nil"/>
                  </w:tcBorders>
                  <w:noWrap w:val="0"/>
                  <w:vAlign w:val="center"/>
                </w:tcPr>
                <w:p w14:paraId="6B0364D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eastAsia" w:cs="Times New Roman"/>
                      <w:color w:val="auto"/>
                      <w:kern w:val="2"/>
                      <w:sz w:val="21"/>
                      <w:szCs w:val="21"/>
                      <w:highlight w:val="none"/>
                      <w:lang w:val="en-US" w:eastAsia="zh-CN" w:bidi="ar-SA"/>
                    </w:rPr>
                    <w:t>/</w:t>
                  </w:r>
                </w:p>
              </w:tc>
              <w:tc>
                <w:tcPr>
                  <w:tcW w:w="427" w:type="dxa"/>
                  <w:tcBorders>
                    <w:tl2br w:val="nil"/>
                    <w:tr2bl w:val="nil"/>
                  </w:tcBorders>
                  <w:noWrap w:val="0"/>
                  <w:vAlign w:val="center"/>
                </w:tcPr>
                <w:p w14:paraId="433FDD4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ascii="Times New Roman" w:hAnsi="Times New Roman" w:eastAsia="宋体" w:cs="Times New Roman"/>
                      <w:color w:val="auto"/>
                      <w:kern w:val="0"/>
                      <w:sz w:val="21"/>
                      <w:szCs w:val="21"/>
                      <w:highlight w:val="none"/>
                      <w:lang w:bidi="ar"/>
                    </w:rPr>
                  </w:pPr>
                  <w:r>
                    <w:rPr>
                      <w:rFonts w:hint="eastAsia" w:cs="Times New Roman"/>
                      <w:color w:val="auto"/>
                      <w:kern w:val="2"/>
                      <w:sz w:val="21"/>
                      <w:szCs w:val="21"/>
                      <w:highlight w:val="none"/>
                      <w:lang w:val="en-US" w:eastAsia="zh-CN" w:bidi="ar-SA"/>
                    </w:rPr>
                    <w:t>/</w:t>
                  </w:r>
                </w:p>
              </w:tc>
              <w:tc>
                <w:tcPr>
                  <w:tcW w:w="479" w:type="dxa"/>
                  <w:tcBorders>
                    <w:tl2br w:val="nil"/>
                    <w:tr2bl w:val="nil"/>
                  </w:tcBorders>
                  <w:noWrap w:val="0"/>
                  <w:vAlign w:val="center"/>
                </w:tcPr>
                <w:p w14:paraId="1ADA7E6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eastAsia" w:cs="Times New Roman"/>
                      <w:color w:val="auto"/>
                      <w:kern w:val="2"/>
                      <w:sz w:val="21"/>
                      <w:szCs w:val="21"/>
                      <w:highlight w:val="none"/>
                      <w:lang w:val="en-US" w:eastAsia="zh-CN" w:bidi="ar-SA"/>
                    </w:rPr>
                    <w:t>/</w:t>
                  </w:r>
                </w:p>
              </w:tc>
              <w:tc>
                <w:tcPr>
                  <w:tcW w:w="444" w:type="dxa"/>
                  <w:tcBorders>
                    <w:tl2br w:val="nil"/>
                    <w:tr2bl w:val="nil"/>
                  </w:tcBorders>
                  <w:noWrap w:val="0"/>
                  <w:vAlign w:val="center"/>
                </w:tcPr>
                <w:p w14:paraId="4D48D9D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ascii="Times New Roman" w:hAnsi="Times New Roman" w:eastAsia="宋体" w:cs="Times New Roman"/>
                      <w:color w:val="auto"/>
                      <w:kern w:val="0"/>
                      <w:sz w:val="21"/>
                      <w:szCs w:val="21"/>
                      <w:highlight w:val="none"/>
                      <w:lang w:bidi="ar"/>
                    </w:rPr>
                  </w:pPr>
                  <w:r>
                    <w:rPr>
                      <w:rFonts w:hint="eastAsia" w:cs="Times New Roman"/>
                      <w:color w:val="auto"/>
                      <w:kern w:val="2"/>
                      <w:sz w:val="21"/>
                      <w:szCs w:val="21"/>
                      <w:highlight w:val="none"/>
                      <w:lang w:val="en-US" w:eastAsia="zh-CN" w:bidi="ar-SA"/>
                    </w:rPr>
                    <w:t>/</w:t>
                  </w:r>
                </w:p>
              </w:tc>
              <w:tc>
                <w:tcPr>
                  <w:tcW w:w="427" w:type="dxa"/>
                  <w:tcBorders>
                    <w:tl2br w:val="nil"/>
                    <w:tr2bl w:val="nil"/>
                  </w:tcBorders>
                  <w:noWrap w:val="0"/>
                  <w:vAlign w:val="center"/>
                </w:tcPr>
                <w:p w14:paraId="530EE59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ascii="Times New Roman" w:hAnsi="Times New Roman" w:eastAsia="宋体" w:cs="Times New Roman"/>
                      <w:color w:val="auto"/>
                      <w:kern w:val="0"/>
                      <w:sz w:val="21"/>
                      <w:szCs w:val="21"/>
                      <w:highlight w:val="none"/>
                      <w:lang w:bidi="ar"/>
                    </w:rPr>
                  </w:pPr>
                  <w:r>
                    <w:rPr>
                      <w:rFonts w:hint="eastAsia" w:cs="Times New Roman"/>
                      <w:color w:val="auto"/>
                      <w:kern w:val="2"/>
                      <w:sz w:val="21"/>
                      <w:szCs w:val="21"/>
                      <w:highlight w:val="none"/>
                      <w:lang w:val="en-US" w:eastAsia="zh-CN" w:bidi="ar-SA"/>
                    </w:rPr>
                    <w:t>/</w:t>
                  </w:r>
                </w:p>
              </w:tc>
              <w:tc>
                <w:tcPr>
                  <w:tcW w:w="1552" w:type="dxa"/>
                  <w:tcBorders>
                    <w:tl2br w:val="nil"/>
                    <w:tr2bl w:val="nil"/>
                  </w:tcBorders>
                  <w:noWrap w:val="0"/>
                  <w:vAlign w:val="center"/>
                </w:tcPr>
                <w:p w14:paraId="2DE9767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ascii="Times New Roman" w:hAnsi="Times New Roman" w:eastAsia="宋体" w:cs="Times New Roman"/>
                      <w:bCs/>
                      <w:color w:val="auto"/>
                      <w:sz w:val="21"/>
                      <w:szCs w:val="21"/>
                      <w:highlight w:val="none"/>
                    </w:rPr>
                  </w:pPr>
                  <w:r>
                    <w:rPr>
                      <w:rFonts w:hint="eastAsia" w:cs="Times New Roman"/>
                      <w:color w:val="auto"/>
                      <w:kern w:val="2"/>
                      <w:sz w:val="21"/>
                      <w:szCs w:val="21"/>
                      <w:highlight w:val="none"/>
                      <w:lang w:val="en-US" w:eastAsia="zh-CN" w:bidi="ar-SA"/>
                    </w:rPr>
                    <w:t>/</w:t>
                  </w:r>
                </w:p>
              </w:tc>
              <w:tc>
                <w:tcPr>
                  <w:tcW w:w="689" w:type="dxa"/>
                  <w:tcBorders>
                    <w:tl2br w:val="nil"/>
                    <w:tr2bl w:val="nil"/>
                  </w:tcBorders>
                  <w:noWrap w:val="0"/>
                  <w:vAlign w:val="center"/>
                </w:tcPr>
                <w:p w14:paraId="22C2BAB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951" w:type="dxa"/>
                  <w:tcBorders>
                    <w:tl2br w:val="nil"/>
                    <w:tr2bl w:val="nil"/>
                  </w:tcBorders>
                  <w:noWrap w:val="0"/>
                  <w:vAlign w:val="center"/>
                </w:tcPr>
                <w:p w14:paraId="44A86CC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eastAsia" w:cs="Times New Roman"/>
                      <w:bCs/>
                      <w:color w:val="auto"/>
                      <w:sz w:val="21"/>
                      <w:szCs w:val="21"/>
                      <w:highlight w:val="none"/>
                      <w:lang w:val="en-US" w:eastAsia="zh-CN"/>
                    </w:rPr>
                  </w:pPr>
                  <w:r>
                    <w:rPr>
                      <w:rFonts w:hint="eastAsia" w:cs="Times New Roman"/>
                      <w:bCs/>
                      <w:color w:val="auto"/>
                      <w:sz w:val="21"/>
                      <w:szCs w:val="21"/>
                      <w:highlight w:val="none"/>
                      <w:lang w:val="en-US" w:eastAsia="zh-CN"/>
                    </w:rPr>
                    <w:t>4.0</w:t>
                  </w:r>
                </w:p>
              </w:tc>
              <w:tc>
                <w:tcPr>
                  <w:tcW w:w="613" w:type="dxa"/>
                  <w:tcBorders>
                    <w:tl2br w:val="nil"/>
                    <w:tr2bl w:val="nil"/>
                  </w:tcBorders>
                  <w:noWrap w:val="0"/>
                  <w:vAlign w:val="center"/>
                </w:tcPr>
                <w:p w14:paraId="182A97A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eastAsia" w:cs="Times New Roman"/>
                      <w:bCs/>
                      <w:color w:val="auto"/>
                      <w:sz w:val="21"/>
                      <w:szCs w:val="21"/>
                      <w:highlight w:val="none"/>
                      <w:lang w:val="en-US" w:eastAsia="zh-CN"/>
                    </w:rPr>
                  </w:pPr>
                  <w:r>
                    <w:rPr>
                      <w:rFonts w:hint="eastAsia" w:cs="Times New Roman"/>
                      <w:color w:val="auto"/>
                      <w:kern w:val="2"/>
                      <w:sz w:val="21"/>
                      <w:szCs w:val="21"/>
                      <w:highlight w:val="none"/>
                      <w:lang w:val="en-US" w:eastAsia="zh-CN" w:bidi="ar-SA"/>
                    </w:rPr>
                    <w:t>/</w:t>
                  </w:r>
                </w:p>
              </w:tc>
            </w:tr>
            <w:tr w14:paraId="488D2A5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854" w:hRule="atLeast"/>
                <w:jc w:val="center"/>
              </w:trPr>
              <w:tc>
                <w:tcPr>
                  <w:tcW w:w="15588" w:type="dxa"/>
                  <w:gridSpan w:val="23"/>
                  <w:tcBorders>
                    <w:tl2br w:val="nil"/>
                    <w:tr2bl w:val="nil"/>
                  </w:tcBorders>
                  <w:noWrap w:val="0"/>
                  <w:vAlign w:val="center"/>
                </w:tcPr>
                <w:p w14:paraId="740FF2E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center"/>
                    <w:rPr>
                      <w:rFonts w:hint="eastAsia" w:cs="Times New Roman"/>
                      <w:color w:val="auto"/>
                      <w:kern w:val="2"/>
                      <w:sz w:val="21"/>
                      <w:szCs w:val="21"/>
                      <w:highlight w:val="none"/>
                      <w:lang w:val="en-US" w:eastAsia="zh-CN" w:bidi="ar-SA"/>
                    </w:rPr>
                  </w:pPr>
                  <w:r>
                    <w:rPr>
                      <w:rFonts w:hint="eastAsia" w:cs="宋体"/>
                      <w:color w:val="auto"/>
                      <w:sz w:val="21"/>
                      <w:szCs w:val="20"/>
                      <w:lang w:val="en-US" w:eastAsia="zh-CN"/>
                    </w:rPr>
                    <w:t>*：</w:t>
                  </w:r>
                  <w:r>
                    <w:rPr>
                      <w:rFonts w:hint="eastAsia" w:ascii="Times New Roman" w:hAnsi="Times New Roman" w:eastAsia="宋体" w:cs="Times New Roman"/>
                      <w:color w:val="auto"/>
                      <w:kern w:val="0"/>
                      <w:sz w:val="21"/>
                      <w:highlight w:val="none"/>
                      <w:lang w:val="en-US" w:eastAsia="zh-CN"/>
                    </w:rPr>
                    <w:t>2026年7月1日</w:t>
                  </w:r>
                  <w:r>
                    <w:rPr>
                      <w:rFonts w:hint="eastAsia" w:cs="Times New Roman"/>
                      <w:color w:val="auto"/>
                      <w:kern w:val="0"/>
                      <w:sz w:val="21"/>
                      <w:highlight w:val="none"/>
                      <w:lang w:val="en-US" w:eastAsia="zh-CN"/>
                    </w:rPr>
                    <w:t>起</w:t>
                  </w:r>
                  <w:r>
                    <w:rPr>
                      <w:rFonts w:hint="eastAsia" w:ascii="Times New Roman" w:hAnsi="Times New Roman" w:eastAsia="宋体" w:cs="Times New Roman"/>
                      <w:color w:val="auto"/>
                      <w:kern w:val="0"/>
                      <w:sz w:val="21"/>
                      <w:highlight w:val="none"/>
                      <w:lang w:val="en-US" w:eastAsia="zh-CN"/>
                    </w:rPr>
                    <w:t>挥发性有机物（以非甲烷总烃为表征）执行《挥发性有机物综合排放控制标准（试行）》（DB36/2186—2025）表1挥发性有机物有组织排放限值</w:t>
                  </w:r>
                  <w:r>
                    <w:rPr>
                      <w:rFonts w:hint="eastAsia" w:cs="Times New Roman"/>
                      <w:color w:val="auto"/>
                      <w:kern w:val="0"/>
                      <w:sz w:val="21"/>
                      <w:highlight w:val="none"/>
                      <w:lang w:val="en-US" w:eastAsia="zh-CN"/>
                    </w:rPr>
                    <w:t>，无组织执行</w:t>
                  </w:r>
                  <w:r>
                    <w:rPr>
                      <w:rFonts w:hint="eastAsia" w:cs="Times New Roman"/>
                      <w:color w:val="auto"/>
                      <w:highlight w:val="none"/>
                      <w:lang w:val="en-US" w:eastAsia="zh-CN"/>
                    </w:rPr>
                    <w:t>表3企业边界挥发性有机物无组织排放限值</w:t>
                  </w:r>
                  <w:r>
                    <w:rPr>
                      <w:rFonts w:hint="eastAsia" w:cs="Times New Roman"/>
                      <w:color w:val="auto"/>
                      <w:kern w:val="0"/>
                      <w:sz w:val="21"/>
                      <w:highlight w:val="none"/>
                      <w:lang w:val="en-US" w:eastAsia="zh-CN"/>
                    </w:rPr>
                    <w:t>。</w:t>
                  </w:r>
                </w:p>
              </w:tc>
            </w:tr>
          </w:tbl>
          <w:p w14:paraId="7081A388">
            <w:pPr>
              <w:pStyle w:val="88"/>
              <w:keepNext w:val="0"/>
              <w:keepLines w:val="0"/>
              <w:numPr>
                <w:ilvl w:val="5"/>
                <w:numId w:val="0"/>
              </w:numPr>
              <w:suppressLineNumbers w:val="0"/>
              <w:spacing w:before="0" w:beforeAutospacing="0" w:after="0" w:afterAutospacing="0"/>
              <w:ind w:left="0" w:leftChars="0" w:right="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lang w:val="en-US" w:eastAsia="zh-CN"/>
              </w:rPr>
              <w:t>表4-</w:t>
            </w:r>
            <w:r>
              <w:rPr>
                <w:rFonts w:hint="eastAsia" w:cs="Times New Roman"/>
                <w:color w:val="auto"/>
                <w:sz w:val="21"/>
                <w:szCs w:val="21"/>
                <w:highlight w:val="none"/>
                <w:lang w:val="en-US" w:eastAsia="zh-CN"/>
              </w:rPr>
              <w:t>2</w:t>
            </w:r>
            <w:r>
              <w:rPr>
                <w:rFonts w:hint="default" w:ascii="Times New Roman" w:hAnsi="Times New Roman" w:cs="Times New Roman"/>
                <w:color w:val="auto"/>
                <w:sz w:val="21"/>
                <w:szCs w:val="21"/>
                <w:highlight w:val="none"/>
                <w:lang w:val="en-US" w:eastAsia="zh-CN"/>
              </w:rPr>
              <w:t xml:space="preserve"> </w:t>
            </w:r>
            <w:r>
              <w:rPr>
                <w:rFonts w:hint="default" w:ascii="Times New Roman" w:hAnsi="Times New Roman" w:cs="Times New Roman"/>
                <w:color w:val="auto"/>
                <w:sz w:val="21"/>
                <w:szCs w:val="21"/>
                <w:highlight w:val="none"/>
              </w:rPr>
              <w:t>废气污染源非正常排放汇总表</w:t>
            </w:r>
          </w:p>
          <w:tbl>
            <w:tblPr>
              <w:tblStyle w:val="26"/>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944"/>
              <w:gridCol w:w="659"/>
              <w:gridCol w:w="876"/>
              <w:gridCol w:w="501"/>
              <w:gridCol w:w="610"/>
              <w:gridCol w:w="581"/>
              <w:gridCol w:w="936"/>
              <w:gridCol w:w="794"/>
              <w:gridCol w:w="899"/>
              <w:gridCol w:w="835"/>
              <w:gridCol w:w="468"/>
              <w:gridCol w:w="510"/>
              <w:gridCol w:w="482"/>
              <w:gridCol w:w="587"/>
              <w:gridCol w:w="1552"/>
              <w:gridCol w:w="2069"/>
            </w:tblGrid>
            <w:tr w14:paraId="7FC5DB1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944" w:type="dxa"/>
                  <w:vMerge w:val="restart"/>
                  <w:tcBorders>
                    <w:tl2br w:val="nil"/>
                    <w:tr2bl w:val="nil"/>
                  </w:tcBorders>
                  <w:noWrap w:val="0"/>
                  <w:vAlign w:val="center"/>
                </w:tcPr>
                <w:p w14:paraId="50D5BE9D">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
                      <w:bCs/>
                      <w:color w:val="auto"/>
                      <w:szCs w:val="21"/>
                      <w:highlight w:val="none"/>
                    </w:rPr>
                  </w:pPr>
                  <w:r>
                    <w:rPr>
                      <w:rFonts w:hint="default" w:ascii="Times New Roman" w:hAnsi="Times New Roman" w:eastAsia="宋体" w:cs="Times New Roman"/>
                      <w:b/>
                      <w:bCs/>
                      <w:color w:val="auto"/>
                      <w:szCs w:val="21"/>
                      <w:highlight w:val="none"/>
                    </w:rPr>
                    <w:t>产排污环节</w:t>
                  </w:r>
                </w:p>
              </w:tc>
              <w:tc>
                <w:tcPr>
                  <w:tcW w:w="659" w:type="dxa"/>
                  <w:vMerge w:val="restart"/>
                  <w:tcBorders>
                    <w:tl2br w:val="nil"/>
                    <w:tr2bl w:val="nil"/>
                  </w:tcBorders>
                  <w:noWrap w:val="0"/>
                  <w:vAlign w:val="center"/>
                </w:tcPr>
                <w:p w14:paraId="68F7E8E6">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
                      <w:bCs/>
                      <w:color w:val="auto"/>
                      <w:szCs w:val="21"/>
                      <w:highlight w:val="none"/>
                    </w:rPr>
                  </w:pPr>
                  <w:r>
                    <w:rPr>
                      <w:rFonts w:hint="default" w:ascii="Times New Roman" w:hAnsi="Times New Roman" w:eastAsia="宋体" w:cs="Times New Roman"/>
                      <w:b/>
                      <w:bCs/>
                      <w:color w:val="auto"/>
                      <w:szCs w:val="21"/>
                      <w:highlight w:val="none"/>
                    </w:rPr>
                    <w:t>污染物排放形式</w:t>
                  </w:r>
                </w:p>
              </w:tc>
              <w:tc>
                <w:tcPr>
                  <w:tcW w:w="876" w:type="dxa"/>
                  <w:vMerge w:val="restart"/>
                  <w:tcBorders>
                    <w:tl2br w:val="nil"/>
                    <w:tr2bl w:val="nil"/>
                  </w:tcBorders>
                  <w:noWrap w:val="0"/>
                  <w:vAlign w:val="center"/>
                </w:tcPr>
                <w:p w14:paraId="7A66E587">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
                      <w:bCs/>
                      <w:color w:val="auto"/>
                      <w:szCs w:val="21"/>
                      <w:highlight w:val="none"/>
                    </w:rPr>
                  </w:pPr>
                  <w:r>
                    <w:rPr>
                      <w:rFonts w:hint="default" w:ascii="Times New Roman" w:hAnsi="Times New Roman" w:eastAsia="宋体" w:cs="Times New Roman"/>
                      <w:b/>
                      <w:bCs/>
                      <w:color w:val="auto"/>
                      <w:szCs w:val="21"/>
                      <w:highlight w:val="none"/>
                    </w:rPr>
                    <w:t>污染物种类</w:t>
                  </w:r>
                </w:p>
              </w:tc>
              <w:tc>
                <w:tcPr>
                  <w:tcW w:w="1692" w:type="dxa"/>
                  <w:gridSpan w:val="3"/>
                  <w:tcBorders>
                    <w:tl2br w:val="nil"/>
                    <w:tr2bl w:val="nil"/>
                  </w:tcBorders>
                  <w:noWrap w:val="0"/>
                  <w:vAlign w:val="center"/>
                </w:tcPr>
                <w:p w14:paraId="0847DCA8">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
                      <w:bCs/>
                      <w:color w:val="auto"/>
                      <w:szCs w:val="21"/>
                      <w:highlight w:val="none"/>
                    </w:rPr>
                  </w:pPr>
                  <w:r>
                    <w:rPr>
                      <w:rFonts w:hint="default" w:ascii="Times New Roman" w:hAnsi="Times New Roman" w:eastAsia="宋体" w:cs="Times New Roman"/>
                      <w:b/>
                      <w:bCs/>
                      <w:color w:val="auto"/>
                      <w:szCs w:val="21"/>
                      <w:highlight w:val="none"/>
                    </w:rPr>
                    <w:t>非正常排放频次</w:t>
                  </w:r>
                </w:p>
              </w:tc>
              <w:tc>
                <w:tcPr>
                  <w:tcW w:w="2629" w:type="dxa"/>
                  <w:gridSpan w:val="3"/>
                  <w:tcBorders>
                    <w:tl2br w:val="nil"/>
                    <w:tr2bl w:val="nil"/>
                  </w:tcBorders>
                  <w:noWrap w:val="0"/>
                  <w:vAlign w:val="center"/>
                </w:tcPr>
                <w:p w14:paraId="2B102F90">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
                      <w:bCs/>
                      <w:color w:val="auto"/>
                      <w:szCs w:val="21"/>
                      <w:highlight w:val="none"/>
                    </w:rPr>
                  </w:pPr>
                  <w:r>
                    <w:rPr>
                      <w:rFonts w:hint="default" w:ascii="Times New Roman" w:hAnsi="Times New Roman" w:eastAsia="宋体" w:cs="Times New Roman"/>
                      <w:b/>
                      <w:bCs/>
                      <w:color w:val="auto"/>
                      <w:szCs w:val="21"/>
                      <w:highlight w:val="none"/>
                    </w:rPr>
                    <w:t>污染物排放量和浓度</w:t>
                  </w:r>
                </w:p>
              </w:tc>
              <w:tc>
                <w:tcPr>
                  <w:tcW w:w="4434" w:type="dxa"/>
                  <w:gridSpan w:val="6"/>
                  <w:tcBorders>
                    <w:tl2br w:val="nil"/>
                    <w:tr2bl w:val="nil"/>
                  </w:tcBorders>
                  <w:noWrap w:val="0"/>
                  <w:vAlign w:val="center"/>
                </w:tcPr>
                <w:p w14:paraId="77E57C6D">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
                      <w:bCs/>
                      <w:color w:val="auto"/>
                      <w:szCs w:val="21"/>
                      <w:highlight w:val="none"/>
                    </w:rPr>
                  </w:pPr>
                  <w:r>
                    <w:rPr>
                      <w:rFonts w:hint="default" w:ascii="Times New Roman" w:hAnsi="Times New Roman" w:eastAsia="宋体" w:cs="Times New Roman"/>
                      <w:b/>
                      <w:bCs/>
                      <w:color w:val="auto"/>
                      <w:szCs w:val="21"/>
                      <w:highlight w:val="none"/>
                    </w:rPr>
                    <w:t>排放口基本情况</w:t>
                  </w:r>
                </w:p>
              </w:tc>
              <w:tc>
                <w:tcPr>
                  <w:tcW w:w="2069" w:type="dxa"/>
                  <w:vMerge w:val="restart"/>
                  <w:tcBorders>
                    <w:tl2br w:val="nil"/>
                    <w:tr2bl w:val="nil"/>
                  </w:tcBorders>
                  <w:noWrap w:val="0"/>
                  <w:vAlign w:val="center"/>
                </w:tcPr>
                <w:p w14:paraId="6D95E0B3">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
                      <w:bCs/>
                      <w:color w:val="auto"/>
                      <w:szCs w:val="21"/>
                      <w:highlight w:val="none"/>
                    </w:rPr>
                  </w:pPr>
                  <w:r>
                    <w:rPr>
                      <w:rFonts w:hint="default" w:ascii="Times New Roman" w:hAnsi="Times New Roman" w:eastAsia="宋体" w:cs="Times New Roman"/>
                      <w:b/>
                      <w:bCs/>
                      <w:color w:val="auto"/>
                      <w:szCs w:val="21"/>
                      <w:highlight w:val="none"/>
                    </w:rPr>
                    <w:t>控制措施</w:t>
                  </w:r>
                </w:p>
              </w:tc>
            </w:tr>
            <w:tr w14:paraId="7C5AA1D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944" w:type="dxa"/>
                  <w:vMerge w:val="continue"/>
                  <w:tcBorders>
                    <w:tl2br w:val="nil"/>
                    <w:tr2bl w:val="nil"/>
                  </w:tcBorders>
                  <w:noWrap w:val="0"/>
                  <w:vAlign w:val="center"/>
                </w:tcPr>
                <w:p w14:paraId="5526B08B">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
                      <w:bCs/>
                      <w:color w:val="auto"/>
                      <w:szCs w:val="21"/>
                      <w:highlight w:val="none"/>
                    </w:rPr>
                  </w:pPr>
                </w:p>
              </w:tc>
              <w:tc>
                <w:tcPr>
                  <w:tcW w:w="659" w:type="dxa"/>
                  <w:vMerge w:val="continue"/>
                  <w:tcBorders>
                    <w:tl2br w:val="nil"/>
                    <w:tr2bl w:val="nil"/>
                  </w:tcBorders>
                  <w:noWrap w:val="0"/>
                  <w:vAlign w:val="center"/>
                </w:tcPr>
                <w:p w14:paraId="6E4308DB">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
                      <w:bCs/>
                      <w:color w:val="auto"/>
                      <w:szCs w:val="21"/>
                      <w:highlight w:val="none"/>
                    </w:rPr>
                  </w:pPr>
                </w:p>
              </w:tc>
              <w:tc>
                <w:tcPr>
                  <w:tcW w:w="876" w:type="dxa"/>
                  <w:vMerge w:val="continue"/>
                  <w:tcBorders>
                    <w:tl2br w:val="nil"/>
                    <w:tr2bl w:val="nil"/>
                  </w:tcBorders>
                  <w:noWrap w:val="0"/>
                  <w:vAlign w:val="center"/>
                </w:tcPr>
                <w:p w14:paraId="17280008">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
                      <w:bCs/>
                      <w:color w:val="auto"/>
                      <w:szCs w:val="21"/>
                      <w:highlight w:val="none"/>
                    </w:rPr>
                  </w:pPr>
                </w:p>
              </w:tc>
              <w:tc>
                <w:tcPr>
                  <w:tcW w:w="501" w:type="dxa"/>
                  <w:tcBorders>
                    <w:tl2br w:val="nil"/>
                    <w:tr2bl w:val="nil"/>
                  </w:tcBorders>
                  <w:noWrap w:val="0"/>
                  <w:vAlign w:val="center"/>
                </w:tcPr>
                <w:p w14:paraId="191A843A">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
                      <w:bCs/>
                      <w:color w:val="auto"/>
                      <w:szCs w:val="21"/>
                      <w:highlight w:val="none"/>
                    </w:rPr>
                  </w:pPr>
                  <w:r>
                    <w:rPr>
                      <w:rFonts w:hint="default" w:ascii="Times New Roman" w:hAnsi="Times New Roman" w:eastAsia="宋体" w:cs="Times New Roman"/>
                      <w:b/>
                      <w:bCs/>
                      <w:color w:val="auto"/>
                      <w:szCs w:val="21"/>
                      <w:highlight w:val="none"/>
                    </w:rPr>
                    <w:t>次数</w:t>
                  </w:r>
                </w:p>
              </w:tc>
              <w:tc>
                <w:tcPr>
                  <w:tcW w:w="610" w:type="dxa"/>
                  <w:tcBorders>
                    <w:tl2br w:val="nil"/>
                    <w:tr2bl w:val="nil"/>
                  </w:tcBorders>
                  <w:noWrap w:val="0"/>
                  <w:vAlign w:val="center"/>
                </w:tcPr>
                <w:p w14:paraId="0D28D94F">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
                      <w:bCs/>
                      <w:color w:val="auto"/>
                      <w:szCs w:val="21"/>
                      <w:highlight w:val="none"/>
                    </w:rPr>
                  </w:pPr>
                  <w:r>
                    <w:rPr>
                      <w:rFonts w:hint="default" w:ascii="Times New Roman" w:hAnsi="Times New Roman" w:eastAsia="宋体" w:cs="Times New Roman"/>
                      <w:b/>
                      <w:bCs/>
                      <w:color w:val="auto"/>
                      <w:szCs w:val="21"/>
                      <w:highlight w:val="none"/>
                    </w:rPr>
                    <w:t>单次持续时间</w:t>
                  </w:r>
                </w:p>
              </w:tc>
              <w:tc>
                <w:tcPr>
                  <w:tcW w:w="581" w:type="dxa"/>
                  <w:tcBorders>
                    <w:tl2br w:val="nil"/>
                    <w:tr2bl w:val="nil"/>
                  </w:tcBorders>
                  <w:noWrap w:val="0"/>
                  <w:vAlign w:val="center"/>
                </w:tcPr>
                <w:p w14:paraId="268A2511">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
                      <w:bCs/>
                      <w:color w:val="auto"/>
                      <w:szCs w:val="21"/>
                      <w:highlight w:val="none"/>
                    </w:rPr>
                  </w:pPr>
                  <w:r>
                    <w:rPr>
                      <w:rFonts w:hint="default" w:ascii="Times New Roman" w:hAnsi="Times New Roman" w:eastAsia="宋体" w:cs="Times New Roman"/>
                      <w:b/>
                      <w:bCs/>
                      <w:color w:val="auto"/>
                      <w:szCs w:val="21"/>
                      <w:highlight w:val="none"/>
                    </w:rPr>
                    <w:t>总排放时间</w:t>
                  </w:r>
                </w:p>
              </w:tc>
              <w:tc>
                <w:tcPr>
                  <w:tcW w:w="936" w:type="dxa"/>
                  <w:vMerge w:val="restart"/>
                  <w:tcBorders>
                    <w:tl2br w:val="nil"/>
                    <w:tr2bl w:val="nil"/>
                  </w:tcBorders>
                  <w:noWrap w:val="0"/>
                  <w:vAlign w:val="center"/>
                </w:tcPr>
                <w:p w14:paraId="551C2D87">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
                      <w:bCs/>
                      <w:color w:val="auto"/>
                      <w:szCs w:val="21"/>
                      <w:highlight w:val="none"/>
                    </w:rPr>
                  </w:pPr>
                  <w:r>
                    <w:rPr>
                      <w:rFonts w:hint="default" w:ascii="Times New Roman" w:hAnsi="Times New Roman" w:eastAsia="宋体" w:cs="Times New Roman"/>
                      <w:b/>
                      <w:bCs/>
                      <w:color w:val="auto"/>
                      <w:szCs w:val="21"/>
                      <w:highlight w:val="none"/>
                    </w:rPr>
                    <w:t>排放浓度mg/m</w:t>
                  </w:r>
                  <w:r>
                    <w:rPr>
                      <w:rFonts w:hint="default" w:ascii="Times New Roman" w:hAnsi="Times New Roman" w:eastAsia="宋体" w:cs="Times New Roman"/>
                      <w:b/>
                      <w:bCs/>
                      <w:color w:val="auto"/>
                      <w:szCs w:val="21"/>
                      <w:highlight w:val="none"/>
                      <w:vertAlign w:val="superscript"/>
                    </w:rPr>
                    <w:t>3</w:t>
                  </w:r>
                </w:p>
              </w:tc>
              <w:tc>
                <w:tcPr>
                  <w:tcW w:w="1693" w:type="dxa"/>
                  <w:gridSpan w:val="2"/>
                  <w:tcBorders>
                    <w:tl2br w:val="nil"/>
                    <w:tr2bl w:val="nil"/>
                  </w:tcBorders>
                  <w:noWrap w:val="0"/>
                  <w:vAlign w:val="center"/>
                </w:tcPr>
                <w:p w14:paraId="1643831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Cs w:val="21"/>
                      <w:highlight w:val="none"/>
                    </w:rPr>
                  </w:pPr>
                  <w:r>
                    <w:rPr>
                      <w:rFonts w:hint="default" w:ascii="Times New Roman" w:hAnsi="Times New Roman" w:eastAsia="宋体" w:cs="Times New Roman"/>
                      <w:b/>
                      <w:bCs/>
                      <w:color w:val="auto"/>
                      <w:szCs w:val="21"/>
                      <w:highlight w:val="none"/>
                    </w:rPr>
                    <w:t>排放量</w:t>
                  </w:r>
                </w:p>
              </w:tc>
              <w:tc>
                <w:tcPr>
                  <w:tcW w:w="835" w:type="dxa"/>
                  <w:vMerge w:val="restart"/>
                  <w:tcBorders>
                    <w:tl2br w:val="nil"/>
                    <w:tr2bl w:val="nil"/>
                  </w:tcBorders>
                  <w:noWrap w:val="0"/>
                  <w:vAlign w:val="center"/>
                </w:tcPr>
                <w:p w14:paraId="178A6237">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
                      <w:bCs/>
                      <w:color w:val="auto"/>
                      <w:spacing w:val="-10"/>
                      <w:szCs w:val="21"/>
                      <w:highlight w:val="none"/>
                    </w:rPr>
                  </w:pPr>
                  <w:r>
                    <w:rPr>
                      <w:rFonts w:hint="default" w:ascii="Times New Roman" w:hAnsi="Times New Roman" w:eastAsia="宋体" w:cs="Times New Roman"/>
                      <w:b/>
                      <w:bCs/>
                      <w:color w:val="auto"/>
                      <w:spacing w:val="-10"/>
                      <w:szCs w:val="21"/>
                      <w:highlight w:val="none"/>
                    </w:rPr>
                    <w:t>编号及名称</w:t>
                  </w:r>
                </w:p>
              </w:tc>
              <w:tc>
                <w:tcPr>
                  <w:tcW w:w="468" w:type="dxa"/>
                  <w:tcBorders>
                    <w:tl2br w:val="nil"/>
                    <w:tr2bl w:val="nil"/>
                  </w:tcBorders>
                  <w:noWrap w:val="0"/>
                  <w:vAlign w:val="center"/>
                </w:tcPr>
                <w:p w14:paraId="17680384">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
                      <w:bCs/>
                      <w:color w:val="auto"/>
                      <w:szCs w:val="21"/>
                      <w:highlight w:val="none"/>
                    </w:rPr>
                  </w:pPr>
                  <w:r>
                    <w:rPr>
                      <w:rFonts w:hint="default" w:ascii="Times New Roman" w:hAnsi="Times New Roman" w:eastAsia="宋体" w:cs="Times New Roman"/>
                      <w:b/>
                      <w:bCs/>
                      <w:color w:val="auto"/>
                      <w:szCs w:val="21"/>
                      <w:highlight w:val="none"/>
                    </w:rPr>
                    <w:t>高度</w:t>
                  </w:r>
                </w:p>
              </w:tc>
              <w:tc>
                <w:tcPr>
                  <w:tcW w:w="510" w:type="dxa"/>
                  <w:tcBorders>
                    <w:tl2br w:val="nil"/>
                    <w:tr2bl w:val="nil"/>
                  </w:tcBorders>
                  <w:noWrap w:val="0"/>
                  <w:vAlign w:val="center"/>
                </w:tcPr>
                <w:p w14:paraId="0E8E133B">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
                      <w:bCs/>
                      <w:color w:val="auto"/>
                      <w:szCs w:val="21"/>
                      <w:highlight w:val="none"/>
                    </w:rPr>
                  </w:pPr>
                  <w:r>
                    <w:rPr>
                      <w:rFonts w:hint="default" w:ascii="Times New Roman" w:hAnsi="Times New Roman" w:eastAsia="宋体" w:cs="Times New Roman"/>
                      <w:b/>
                      <w:bCs/>
                      <w:color w:val="auto"/>
                      <w:szCs w:val="21"/>
                      <w:highlight w:val="none"/>
                    </w:rPr>
                    <w:t>内径</w:t>
                  </w:r>
                </w:p>
              </w:tc>
              <w:tc>
                <w:tcPr>
                  <w:tcW w:w="482" w:type="dxa"/>
                  <w:tcBorders>
                    <w:tl2br w:val="nil"/>
                    <w:tr2bl w:val="nil"/>
                  </w:tcBorders>
                  <w:noWrap w:val="0"/>
                  <w:vAlign w:val="center"/>
                </w:tcPr>
                <w:p w14:paraId="153EBC54">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
                      <w:bCs/>
                      <w:color w:val="auto"/>
                      <w:szCs w:val="21"/>
                      <w:highlight w:val="none"/>
                    </w:rPr>
                  </w:pPr>
                  <w:r>
                    <w:rPr>
                      <w:rFonts w:hint="default" w:ascii="Times New Roman" w:hAnsi="Times New Roman" w:eastAsia="宋体" w:cs="Times New Roman"/>
                      <w:b/>
                      <w:bCs/>
                      <w:color w:val="auto"/>
                      <w:szCs w:val="21"/>
                      <w:highlight w:val="none"/>
                    </w:rPr>
                    <w:t>温度</w:t>
                  </w:r>
                </w:p>
              </w:tc>
              <w:tc>
                <w:tcPr>
                  <w:tcW w:w="587" w:type="dxa"/>
                  <w:vMerge w:val="restart"/>
                  <w:tcBorders>
                    <w:tl2br w:val="nil"/>
                    <w:tr2bl w:val="nil"/>
                  </w:tcBorders>
                  <w:noWrap w:val="0"/>
                  <w:vAlign w:val="center"/>
                </w:tcPr>
                <w:p w14:paraId="6E351F9C">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
                      <w:bCs/>
                      <w:color w:val="auto"/>
                      <w:szCs w:val="21"/>
                      <w:highlight w:val="none"/>
                    </w:rPr>
                  </w:pPr>
                  <w:r>
                    <w:rPr>
                      <w:rFonts w:hint="default" w:ascii="Times New Roman" w:hAnsi="Times New Roman" w:eastAsia="宋体" w:cs="Times New Roman"/>
                      <w:b/>
                      <w:bCs/>
                      <w:color w:val="auto"/>
                      <w:szCs w:val="21"/>
                      <w:highlight w:val="none"/>
                    </w:rPr>
                    <w:t>类型</w:t>
                  </w:r>
                </w:p>
              </w:tc>
              <w:tc>
                <w:tcPr>
                  <w:tcW w:w="1552" w:type="dxa"/>
                  <w:vMerge w:val="restart"/>
                  <w:tcBorders>
                    <w:tl2br w:val="nil"/>
                    <w:tr2bl w:val="nil"/>
                  </w:tcBorders>
                  <w:noWrap w:val="0"/>
                  <w:vAlign w:val="center"/>
                </w:tcPr>
                <w:p w14:paraId="4A5A36BB">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
                      <w:bCs/>
                      <w:color w:val="auto"/>
                      <w:szCs w:val="21"/>
                      <w:highlight w:val="none"/>
                    </w:rPr>
                  </w:pPr>
                  <w:r>
                    <w:rPr>
                      <w:rFonts w:hint="default" w:ascii="Times New Roman" w:hAnsi="Times New Roman" w:eastAsia="宋体" w:cs="Times New Roman"/>
                      <w:b/>
                      <w:bCs/>
                      <w:color w:val="auto"/>
                      <w:szCs w:val="21"/>
                      <w:highlight w:val="none"/>
                    </w:rPr>
                    <w:t>地理坐标</w:t>
                  </w:r>
                </w:p>
              </w:tc>
              <w:tc>
                <w:tcPr>
                  <w:tcW w:w="2069" w:type="dxa"/>
                  <w:vMerge w:val="continue"/>
                  <w:tcBorders>
                    <w:tl2br w:val="nil"/>
                    <w:tr2bl w:val="nil"/>
                  </w:tcBorders>
                  <w:noWrap w:val="0"/>
                  <w:vAlign w:val="center"/>
                </w:tcPr>
                <w:p w14:paraId="0D246D5A">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
                      <w:bCs/>
                      <w:color w:val="auto"/>
                      <w:szCs w:val="21"/>
                      <w:highlight w:val="none"/>
                    </w:rPr>
                  </w:pPr>
                </w:p>
              </w:tc>
            </w:tr>
            <w:tr w14:paraId="1BB1D53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944" w:type="dxa"/>
                  <w:vMerge w:val="continue"/>
                  <w:tcBorders>
                    <w:tl2br w:val="nil"/>
                    <w:tr2bl w:val="nil"/>
                  </w:tcBorders>
                  <w:noWrap w:val="0"/>
                  <w:vAlign w:val="center"/>
                </w:tcPr>
                <w:p w14:paraId="639AB873">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Cs/>
                      <w:color w:val="auto"/>
                      <w:szCs w:val="21"/>
                      <w:highlight w:val="none"/>
                    </w:rPr>
                  </w:pPr>
                </w:p>
              </w:tc>
              <w:tc>
                <w:tcPr>
                  <w:tcW w:w="659" w:type="dxa"/>
                  <w:vMerge w:val="continue"/>
                  <w:tcBorders>
                    <w:tl2br w:val="nil"/>
                    <w:tr2bl w:val="nil"/>
                  </w:tcBorders>
                  <w:noWrap w:val="0"/>
                  <w:vAlign w:val="center"/>
                </w:tcPr>
                <w:p w14:paraId="40A74B9C">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Cs/>
                      <w:color w:val="auto"/>
                      <w:szCs w:val="21"/>
                      <w:highlight w:val="none"/>
                    </w:rPr>
                  </w:pPr>
                </w:p>
              </w:tc>
              <w:tc>
                <w:tcPr>
                  <w:tcW w:w="876" w:type="dxa"/>
                  <w:vMerge w:val="continue"/>
                  <w:tcBorders>
                    <w:tl2br w:val="nil"/>
                    <w:tr2bl w:val="nil"/>
                  </w:tcBorders>
                  <w:noWrap w:val="0"/>
                  <w:vAlign w:val="center"/>
                </w:tcPr>
                <w:p w14:paraId="76FBED26">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Cs/>
                      <w:color w:val="auto"/>
                      <w:szCs w:val="21"/>
                      <w:highlight w:val="none"/>
                    </w:rPr>
                  </w:pPr>
                </w:p>
              </w:tc>
              <w:tc>
                <w:tcPr>
                  <w:tcW w:w="501" w:type="dxa"/>
                  <w:tcBorders>
                    <w:tl2br w:val="nil"/>
                    <w:tr2bl w:val="nil"/>
                  </w:tcBorders>
                  <w:noWrap w:val="0"/>
                  <w:vAlign w:val="center"/>
                </w:tcPr>
                <w:p w14:paraId="0E91686C">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
                      <w:bCs/>
                      <w:color w:val="auto"/>
                      <w:szCs w:val="21"/>
                      <w:highlight w:val="none"/>
                    </w:rPr>
                  </w:pPr>
                  <w:r>
                    <w:rPr>
                      <w:rFonts w:hint="default" w:ascii="Times New Roman" w:hAnsi="Times New Roman" w:eastAsia="宋体" w:cs="Times New Roman"/>
                      <w:b/>
                      <w:bCs/>
                      <w:color w:val="auto"/>
                      <w:szCs w:val="21"/>
                      <w:highlight w:val="none"/>
                    </w:rPr>
                    <w:t>次/年</w:t>
                  </w:r>
                </w:p>
              </w:tc>
              <w:tc>
                <w:tcPr>
                  <w:tcW w:w="610" w:type="dxa"/>
                  <w:tcBorders>
                    <w:tl2br w:val="nil"/>
                    <w:tr2bl w:val="nil"/>
                  </w:tcBorders>
                  <w:noWrap w:val="0"/>
                  <w:vAlign w:val="center"/>
                </w:tcPr>
                <w:p w14:paraId="4540E641">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
                      <w:bCs/>
                      <w:color w:val="auto"/>
                      <w:szCs w:val="21"/>
                      <w:highlight w:val="none"/>
                    </w:rPr>
                  </w:pPr>
                  <w:r>
                    <w:rPr>
                      <w:rFonts w:hint="default" w:ascii="Times New Roman" w:hAnsi="Times New Roman" w:eastAsia="宋体" w:cs="Times New Roman"/>
                      <w:b/>
                      <w:bCs/>
                      <w:color w:val="auto"/>
                      <w:szCs w:val="21"/>
                      <w:highlight w:val="none"/>
                    </w:rPr>
                    <w:t>小时</w:t>
                  </w:r>
                </w:p>
              </w:tc>
              <w:tc>
                <w:tcPr>
                  <w:tcW w:w="581" w:type="dxa"/>
                  <w:tcBorders>
                    <w:tl2br w:val="nil"/>
                    <w:tr2bl w:val="nil"/>
                  </w:tcBorders>
                  <w:noWrap w:val="0"/>
                  <w:vAlign w:val="center"/>
                </w:tcPr>
                <w:p w14:paraId="096288C7">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
                      <w:bCs/>
                      <w:color w:val="auto"/>
                      <w:szCs w:val="21"/>
                      <w:highlight w:val="none"/>
                    </w:rPr>
                  </w:pPr>
                  <w:r>
                    <w:rPr>
                      <w:rFonts w:hint="default" w:ascii="Times New Roman" w:hAnsi="Times New Roman" w:eastAsia="宋体" w:cs="Times New Roman"/>
                      <w:b/>
                      <w:bCs/>
                      <w:color w:val="auto"/>
                      <w:szCs w:val="21"/>
                      <w:highlight w:val="none"/>
                    </w:rPr>
                    <w:t>小时</w:t>
                  </w:r>
                </w:p>
              </w:tc>
              <w:tc>
                <w:tcPr>
                  <w:tcW w:w="936" w:type="dxa"/>
                  <w:vMerge w:val="continue"/>
                  <w:tcBorders>
                    <w:tl2br w:val="nil"/>
                    <w:tr2bl w:val="nil"/>
                  </w:tcBorders>
                  <w:noWrap w:val="0"/>
                  <w:vAlign w:val="center"/>
                </w:tcPr>
                <w:p w14:paraId="6A8F76AC">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Cs/>
                      <w:color w:val="auto"/>
                      <w:szCs w:val="21"/>
                      <w:highlight w:val="none"/>
                    </w:rPr>
                  </w:pPr>
                </w:p>
              </w:tc>
              <w:tc>
                <w:tcPr>
                  <w:tcW w:w="794" w:type="dxa"/>
                  <w:tcBorders>
                    <w:tl2br w:val="nil"/>
                    <w:tr2bl w:val="nil"/>
                  </w:tcBorders>
                  <w:noWrap w:val="0"/>
                  <w:vAlign w:val="center"/>
                </w:tcPr>
                <w:p w14:paraId="47AC9683">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color w:val="auto"/>
                      <w:szCs w:val="21"/>
                      <w:highlight w:val="none"/>
                    </w:rPr>
                  </w:pPr>
                  <w:r>
                    <w:rPr>
                      <w:rFonts w:hint="default" w:ascii="Times New Roman" w:hAnsi="Times New Roman" w:eastAsia="宋体" w:cs="Times New Roman"/>
                      <w:color w:val="auto"/>
                      <w:szCs w:val="21"/>
                      <w:highlight w:val="none"/>
                    </w:rPr>
                    <w:t>kg/h</w:t>
                  </w:r>
                </w:p>
              </w:tc>
              <w:tc>
                <w:tcPr>
                  <w:tcW w:w="899" w:type="dxa"/>
                  <w:tcBorders>
                    <w:tl2br w:val="nil"/>
                    <w:tr2bl w:val="nil"/>
                  </w:tcBorders>
                  <w:noWrap w:val="0"/>
                  <w:vAlign w:val="center"/>
                </w:tcPr>
                <w:p w14:paraId="31DB0072">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color w:val="auto"/>
                      <w:szCs w:val="21"/>
                      <w:highlight w:val="none"/>
                    </w:rPr>
                  </w:pPr>
                  <w:r>
                    <w:rPr>
                      <w:rFonts w:hint="eastAsia" w:cs="Times New Roman"/>
                      <w:color w:val="auto"/>
                      <w:szCs w:val="21"/>
                      <w:highlight w:val="none"/>
                      <w:lang w:val="en-US" w:eastAsia="zh-CN"/>
                    </w:rPr>
                    <w:t>t</w:t>
                  </w:r>
                  <w:r>
                    <w:rPr>
                      <w:rFonts w:hint="default" w:ascii="Times New Roman" w:hAnsi="Times New Roman" w:eastAsia="宋体" w:cs="Times New Roman"/>
                      <w:color w:val="auto"/>
                      <w:szCs w:val="21"/>
                      <w:highlight w:val="none"/>
                    </w:rPr>
                    <w:t>/a</w:t>
                  </w:r>
                </w:p>
              </w:tc>
              <w:tc>
                <w:tcPr>
                  <w:tcW w:w="835" w:type="dxa"/>
                  <w:vMerge w:val="continue"/>
                  <w:tcBorders>
                    <w:tl2br w:val="nil"/>
                    <w:tr2bl w:val="nil"/>
                  </w:tcBorders>
                  <w:noWrap w:val="0"/>
                  <w:vAlign w:val="center"/>
                </w:tcPr>
                <w:p w14:paraId="2D12433D">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
                      <w:bCs/>
                      <w:color w:val="auto"/>
                      <w:szCs w:val="21"/>
                      <w:highlight w:val="none"/>
                    </w:rPr>
                  </w:pPr>
                </w:p>
              </w:tc>
              <w:tc>
                <w:tcPr>
                  <w:tcW w:w="468" w:type="dxa"/>
                  <w:tcBorders>
                    <w:tl2br w:val="nil"/>
                    <w:tr2bl w:val="nil"/>
                  </w:tcBorders>
                  <w:noWrap w:val="0"/>
                  <w:vAlign w:val="center"/>
                </w:tcPr>
                <w:p w14:paraId="7C601DF3">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
                      <w:bCs/>
                      <w:color w:val="auto"/>
                      <w:szCs w:val="21"/>
                      <w:highlight w:val="none"/>
                    </w:rPr>
                  </w:pPr>
                  <w:r>
                    <w:rPr>
                      <w:rFonts w:hint="default" w:ascii="Times New Roman" w:hAnsi="Times New Roman" w:eastAsia="宋体" w:cs="Times New Roman"/>
                      <w:b/>
                      <w:bCs/>
                      <w:color w:val="auto"/>
                      <w:szCs w:val="21"/>
                      <w:highlight w:val="none"/>
                    </w:rPr>
                    <w:t>m</w:t>
                  </w:r>
                </w:p>
              </w:tc>
              <w:tc>
                <w:tcPr>
                  <w:tcW w:w="510" w:type="dxa"/>
                  <w:tcBorders>
                    <w:tl2br w:val="nil"/>
                    <w:tr2bl w:val="nil"/>
                  </w:tcBorders>
                  <w:noWrap w:val="0"/>
                  <w:vAlign w:val="center"/>
                </w:tcPr>
                <w:p w14:paraId="27000347">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
                      <w:bCs/>
                      <w:color w:val="auto"/>
                      <w:szCs w:val="21"/>
                      <w:highlight w:val="none"/>
                    </w:rPr>
                  </w:pPr>
                  <w:r>
                    <w:rPr>
                      <w:rFonts w:hint="default" w:ascii="Times New Roman" w:hAnsi="Times New Roman" w:eastAsia="宋体" w:cs="Times New Roman"/>
                      <w:b/>
                      <w:bCs/>
                      <w:color w:val="auto"/>
                      <w:szCs w:val="21"/>
                      <w:highlight w:val="none"/>
                    </w:rPr>
                    <w:t>m</w:t>
                  </w:r>
                </w:p>
              </w:tc>
              <w:tc>
                <w:tcPr>
                  <w:tcW w:w="482" w:type="dxa"/>
                  <w:tcBorders>
                    <w:tl2br w:val="nil"/>
                    <w:tr2bl w:val="nil"/>
                  </w:tcBorders>
                  <w:noWrap w:val="0"/>
                  <w:vAlign w:val="center"/>
                </w:tcPr>
                <w:p w14:paraId="57FE2CDE">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
                      <w:bCs/>
                      <w:color w:val="auto"/>
                      <w:szCs w:val="21"/>
                      <w:highlight w:val="none"/>
                    </w:rPr>
                  </w:pPr>
                  <w:r>
                    <w:rPr>
                      <w:rFonts w:hint="default" w:ascii="Times New Roman" w:hAnsi="Times New Roman" w:eastAsia="宋体" w:cs="Times New Roman"/>
                      <w:b/>
                      <w:bCs/>
                      <w:color w:val="auto"/>
                      <w:szCs w:val="21"/>
                      <w:highlight w:val="none"/>
                    </w:rPr>
                    <w:t>℃</w:t>
                  </w:r>
                </w:p>
              </w:tc>
              <w:tc>
                <w:tcPr>
                  <w:tcW w:w="587" w:type="dxa"/>
                  <w:vMerge w:val="continue"/>
                  <w:tcBorders>
                    <w:tl2br w:val="nil"/>
                    <w:tr2bl w:val="nil"/>
                  </w:tcBorders>
                  <w:noWrap w:val="0"/>
                  <w:vAlign w:val="center"/>
                </w:tcPr>
                <w:p w14:paraId="2DB29BF4">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
                      <w:bCs/>
                      <w:color w:val="auto"/>
                      <w:szCs w:val="21"/>
                      <w:highlight w:val="none"/>
                    </w:rPr>
                  </w:pPr>
                </w:p>
              </w:tc>
              <w:tc>
                <w:tcPr>
                  <w:tcW w:w="1552" w:type="dxa"/>
                  <w:vMerge w:val="continue"/>
                  <w:tcBorders>
                    <w:tl2br w:val="nil"/>
                    <w:tr2bl w:val="nil"/>
                  </w:tcBorders>
                  <w:noWrap w:val="0"/>
                  <w:vAlign w:val="center"/>
                </w:tcPr>
                <w:p w14:paraId="402475D2">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
                      <w:bCs/>
                      <w:color w:val="auto"/>
                      <w:szCs w:val="21"/>
                      <w:highlight w:val="none"/>
                    </w:rPr>
                  </w:pPr>
                </w:p>
              </w:tc>
              <w:tc>
                <w:tcPr>
                  <w:tcW w:w="2069" w:type="dxa"/>
                  <w:vMerge w:val="continue"/>
                  <w:tcBorders>
                    <w:tl2br w:val="nil"/>
                    <w:tr2bl w:val="nil"/>
                  </w:tcBorders>
                  <w:noWrap w:val="0"/>
                  <w:vAlign w:val="center"/>
                </w:tcPr>
                <w:p w14:paraId="7E3FB9D5">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Cs/>
                      <w:color w:val="auto"/>
                      <w:szCs w:val="21"/>
                      <w:highlight w:val="none"/>
                    </w:rPr>
                  </w:pPr>
                </w:p>
              </w:tc>
            </w:tr>
            <w:tr w14:paraId="792A613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944" w:type="dxa"/>
                  <w:tcBorders>
                    <w:tl2br w:val="nil"/>
                    <w:tr2bl w:val="nil"/>
                  </w:tcBorders>
                  <w:noWrap w:val="0"/>
                  <w:vAlign w:val="center"/>
                </w:tcPr>
                <w:p w14:paraId="349ECBCB">
                  <w:pPr>
                    <w:keepNext w:val="0"/>
                    <w:keepLines w:val="0"/>
                    <w:suppressLineNumbers w:val="0"/>
                    <w:snapToGrid w:val="0"/>
                    <w:spacing w:before="0" w:beforeAutospacing="0" w:after="0" w:afterAutospacing="0" w:line="240" w:lineRule="atLeast"/>
                    <w:ind w:left="0" w:right="0"/>
                    <w:jc w:val="center"/>
                    <w:rPr>
                      <w:rFonts w:hint="default" w:ascii="Times New Roman" w:hAnsi="Times New Roman" w:eastAsia="宋体" w:cs="Times New Roman"/>
                      <w:bCs/>
                      <w:color w:val="auto"/>
                      <w:szCs w:val="21"/>
                      <w:highlight w:val="none"/>
                    </w:rPr>
                  </w:pPr>
                  <w:r>
                    <w:rPr>
                      <w:rFonts w:hint="eastAsia" w:cs="宋体"/>
                      <w:color w:val="auto"/>
                      <w:sz w:val="21"/>
                      <w:szCs w:val="21"/>
                      <w:highlight w:val="none"/>
                      <w:lang w:val="en-US" w:eastAsia="zh-CN"/>
                    </w:rPr>
                    <w:t>鞋头打磨粉尘、PVC注塑投料粉尘</w:t>
                  </w:r>
                </w:p>
              </w:tc>
              <w:tc>
                <w:tcPr>
                  <w:tcW w:w="659" w:type="dxa"/>
                  <w:vMerge w:val="restart"/>
                  <w:tcBorders>
                    <w:tl2br w:val="nil"/>
                    <w:tr2bl w:val="nil"/>
                  </w:tcBorders>
                  <w:noWrap w:val="0"/>
                  <w:vAlign w:val="center"/>
                </w:tcPr>
                <w:p w14:paraId="320C614B">
                  <w:pPr>
                    <w:keepNext w:val="0"/>
                    <w:keepLines w:val="0"/>
                    <w:suppressLineNumbers w:val="0"/>
                    <w:snapToGrid w:val="0"/>
                    <w:spacing w:before="0" w:beforeAutospacing="0" w:after="0" w:afterAutospacing="0" w:line="240" w:lineRule="atLeast"/>
                    <w:ind w:left="0" w:right="0"/>
                    <w:jc w:val="center"/>
                    <w:rPr>
                      <w:rFonts w:hint="default" w:ascii="Times New Roman" w:hAnsi="Times New Roman" w:eastAsia="宋体" w:cs="Times New Roman"/>
                      <w:bCs/>
                      <w:color w:val="auto"/>
                      <w:szCs w:val="21"/>
                      <w:highlight w:val="none"/>
                    </w:rPr>
                  </w:pPr>
                  <w:r>
                    <w:rPr>
                      <w:rFonts w:hint="default" w:ascii="Times New Roman" w:hAnsi="Times New Roman" w:eastAsia="宋体" w:cs="Times New Roman"/>
                      <w:color w:val="auto"/>
                      <w:szCs w:val="21"/>
                      <w:highlight w:val="none"/>
                    </w:rPr>
                    <w:t>有组织</w:t>
                  </w:r>
                </w:p>
              </w:tc>
              <w:tc>
                <w:tcPr>
                  <w:tcW w:w="876" w:type="dxa"/>
                  <w:tcBorders>
                    <w:tl2br w:val="nil"/>
                    <w:tr2bl w:val="nil"/>
                  </w:tcBorders>
                  <w:noWrap w:val="0"/>
                  <w:vAlign w:val="center"/>
                </w:tcPr>
                <w:p w14:paraId="56D3E63B">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szCs w:val="21"/>
                      <w:highlight w:val="none"/>
                      <w:lang w:val="en-US" w:eastAsia="zh-CN"/>
                    </w:rPr>
                  </w:pPr>
                  <w:r>
                    <w:rPr>
                      <w:rFonts w:hint="eastAsia" w:cs="Times New Roman"/>
                      <w:bCs/>
                      <w:color w:val="auto"/>
                      <w:szCs w:val="21"/>
                      <w:highlight w:val="none"/>
                      <w:lang w:val="en-US" w:eastAsia="zh-CN"/>
                    </w:rPr>
                    <w:t>颗粒物</w:t>
                  </w:r>
                </w:p>
              </w:tc>
              <w:tc>
                <w:tcPr>
                  <w:tcW w:w="501" w:type="dxa"/>
                  <w:vMerge w:val="restart"/>
                  <w:tcBorders>
                    <w:tl2br w:val="nil"/>
                    <w:tr2bl w:val="nil"/>
                  </w:tcBorders>
                  <w:noWrap w:val="0"/>
                  <w:vAlign w:val="center"/>
                </w:tcPr>
                <w:p w14:paraId="7255A853">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Cs/>
                      <w:color w:val="auto"/>
                      <w:szCs w:val="21"/>
                      <w:highlight w:val="none"/>
                    </w:rPr>
                  </w:pPr>
                  <w:r>
                    <w:rPr>
                      <w:rFonts w:hint="default" w:ascii="Times New Roman" w:hAnsi="Times New Roman" w:eastAsia="宋体" w:cs="Times New Roman"/>
                      <w:bCs/>
                      <w:color w:val="auto"/>
                      <w:szCs w:val="21"/>
                      <w:highlight w:val="none"/>
                    </w:rPr>
                    <w:t>2</w:t>
                  </w:r>
                </w:p>
              </w:tc>
              <w:tc>
                <w:tcPr>
                  <w:tcW w:w="610" w:type="dxa"/>
                  <w:vMerge w:val="restart"/>
                  <w:tcBorders>
                    <w:tl2br w:val="nil"/>
                    <w:tr2bl w:val="nil"/>
                  </w:tcBorders>
                  <w:noWrap w:val="0"/>
                  <w:vAlign w:val="center"/>
                </w:tcPr>
                <w:p w14:paraId="3FEB1FAE">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Cs/>
                      <w:color w:val="auto"/>
                      <w:szCs w:val="21"/>
                      <w:highlight w:val="none"/>
                    </w:rPr>
                  </w:pPr>
                  <w:r>
                    <w:rPr>
                      <w:rFonts w:hint="default" w:ascii="Times New Roman" w:hAnsi="Times New Roman" w:eastAsia="宋体" w:cs="Times New Roman"/>
                      <w:bCs/>
                      <w:color w:val="auto"/>
                      <w:szCs w:val="21"/>
                      <w:highlight w:val="none"/>
                    </w:rPr>
                    <w:t>1</w:t>
                  </w:r>
                </w:p>
              </w:tc>
              <w:tc>
                <w:tcPr>
                  <w:tcW w:w="581" w:type="dxa"/>
                  <w:vMerge w:val="restart"/>
                  <w:tcBorders>
                    <w:tl2br w:val="nil"/>
                    <w:tr2bl w:val="nil"/>
                  </w:tcBorders>
                  <w:noWrap w:val="0"/>
                  <w:vAlign w:val="center"/>
                </w:tcPr>
                <w:p w14:paraId="65696D98">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Cs/>
                      <w:color w:val="auto"/>
                      <w:szCs w:val="21"/>
                      <w:highlight w:val="none"/>
                    </w:rPr>
                  </w:pPr>
                  <w:r>
                    <w:rPr>
                      <w:rFonts w:hint="default" w:ascii="Times New Roman" w:hAnsi="Times New Roman" w:eastAsia="宋体" w:cs="Times New Roman"/>
                      <w:bCs/>
                      <w:color w:val="auto"/>
                      <w:szCs w:val="21"/>
                      <w:highlight w:val="none"/>
                    </w:rPr>
                    <w:t>2</w:t>
                  </w:r>
                </w:p>
              </w:tc>
              <w:tc>
                <w:tcPr>
                  <w:tcW w:w="936" w:type="dxa"/>
                  <w:tcBorders>
                    <w:tl2br w:val="nil"/>
                    <w:tr2bl w:val="nil"/>
                  </w:tcBorders>
                  <w:noWrap w:val="0"/>
                  <w:vAlign w:val="center"/>
                </w:tcPr>
                <w:p w14:paraId="3D0631CB">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eastAsia" w:cs="Times New Roman"/>
                      <w:i w:val="0"/>
                      <w:iCs w:val="0"/>
                      <w:color w:val="auto"/>
                      <w:kern w:val="2"/>
                      <w:sz w:val="21"/>
                      <w:szCs w:val="21"/>
                      <w:highlight w:val="none"/>
                      <w:u w:val="none"/>
                      <w:lang w:val="en-US" w:eastAsia="zh-CN" w:bidi="ar-SA"/>
                    </w:rPr>
                    <w:t>130.5</w:t>
                  </w:r>
                </w:p>
              </w:tc>
              <w:tc>
                <w:tcPr>
                  <w:tcW w:w="794" w:type="dxa"/>
                  <w:tcBorders>
                    <w:tl2br w:val="nil"/>
                    <w:tr2bl w:val="nil"/>
                  </w:tcBorders>
                  <w:noWrap w:val="0"/>
                  <w:vAlign w:val="center"/>
                </w:tcPr>
                <w:p w14:paraId="5D851178">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eastAsia" w:cs="Times New Roman"/>
                      <w:i w:val="0"/>
                      <w:iCs w:val="0"/>
                      <w:color w:val="auto"/>
                      <w:kern w:val="2"/>
                      <w:sz w:val="21"/>
                      <w:szCs w:val="21"/>
                      <w:highlight w:val="none"/>
                      <w:u w:val="none"/>
                      <w:lang w:val="en-US" w:eastAsia="zh-CN" w:bidi="ar-SA"/>
                    </w:rPr>
                    <w:t>1.305</w:t>
                  </w:r>
                </w:p>
              </w:tc>
              <w:tc>
                <w:tcPr>
                  <w:tcW w:w="899" w:type="dxa"/>
                  <w:tcBorders>
                    <w:tl2br w:val="nil"/>
                    <w:tr2bl w:val="nil"/>
                  </w:tcBorders>
                  <w:noWrap w:val="0"/>
                  <w:vAlign w:val="center"/>
                </w:tcPr>
                <w:p w14:paraId="44AF6C14">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eastAsia" w:cs="Times New Roman"/>
                      <w:i w:val="0"/>
                      <w:iCs w:val="0"/>
                      <w:color w:val="auto"/>
                      <w:kern w:val="2"/>
                      <w:sz w:val="21"/>
                      <w:szCs w:val="21"/>
                      <w:highlight w:val="none"/>
                      <w:u w:val="none"/>
                      <w:lang w:val="en-US" w:eastAsia="zh-CN" w:bidi="ar-SA"/>
                    </w:rPr>
                    <w:t>0.0026</w:t>
                  </w:r>
                </w:p>
              </w:tc>
              <w:tc>
                <w:tcPr>
                  <w:tcW w:w="835" w:type="dxa"/>
                  <w:tcBorders>
                    <w:tl2br w:val="nil"/>
                    <w:tr2bl w:val="nil"/>
                  </w:tcBorders>
                  <w:noWrap w:val="0"/>
                  <w:vAlign w:val="center"/>
                </w:tcPr>
                <w:p w14:paraId="4C0EC3E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DA0</w:t>
                  </w:r>
                  <w:r>
                    <w:rPr>
                      <w:rFonts w:hint="default" w:ascii="Times New Roman" w:hAnsi="Times New Roman" w:cs="Times New Roman"/>
                      <w:color w:val="auto"/>
                      <w:sz w:val="21"/>
                      <w:szCs w:val="21"/>
                      <w:highlight w:val="none"/>
                      <w:lang w:val="en-US" w:eastAsia="zh-CN"/>
                    </w:rPr>
                    <w:t>0</w:t>
                  </w:r>
                  <w:r>
                    <w:rPr>
                      <w:rFonts w:hint="eastAsia" w:cs="Times New Roman"/>
                      <w:color w:val="auto"/>
                      <w:sz w:val="21"/>
                      <w:szCs w:val="21"/>
                      <w:highlight w:val="none"/>
                      <w:lang w:val="en-US" w:eastAsia="zh-CN"/>
                    </w:rPr>
                    <w:t>1</w:t>
                  </w:r>
                </w:p>
              </w:tc>
              <w:tc>
                <w:tcPr>
                  <w:tcW w:w="468" w:type="dxa"/>
                  <w:vMerge w:val="restart"/>
                  <w:tcBorders>
                    <w:tl2br w:val="nil"/>
                    <w:tr2bl w:val="nil"/>
                  </w:tcBorders>
                  <w:noWrap w:val="0"/>
                  <w:vAlign w:val="center"/>
                </w:tcPr>
                <w:p w14:paraId="0B48286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15</w:t>
                  </w:r>
                </w:p>
              </w:tc>
              <w:tc>
                <w:tcPr>
                  <w:tcW w:w="510" w:type="dxa"/>
                  <w:vMerge w:val="restart"/>
                  <w:tcBorders>
                    <w:tl2br w:val="nil"/>
                    <w:tr2bl w:val="nil"/>
                  </w:tcBorders>
                  <w:noWrap w:val="0"/>
                  <w:vAlign w:val="center"/>
                </w:tcPr>
                <w:p w14:paraId="124610C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0.5</w:t>
                  </w:r>
                </w:p>
              </w:tc>
              <w:tc>
                <w:tcPr>
                  <w:tcW w:w="482" w:type="dxa"/>
                  <w:vMerge w:val="restart"/>
                  <w:tcBorders>
                    <w:tl2br w:val="nil"/>
                    <w:tr2bl w:val="nil"/>
                  </w:tcBorders>
                  <w:noWrap w:val="0"/>
                  <w:vAlign w:val="center"/>
                </w:tcPr>
                <w:p w14:paraId="5F50E06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25</w:t>
                  </w:r>
                </w:p>
              </w:tc>
              <w:tc>
                <w:tcPr>
                  <w:tcW w:w="587" w:type="dxa"/>
                  <w:vMerge w:val="restart"/>
                  <w:tcBorders>
                    <w:tl2br w:val="nil"/>
                    <w:tr2bl w:val="nil"/>
                  </w:tcBorders>
                  <w:noWrap w:val="0"/>
                  <w:vAlign w:val="center"/>
                </w:tcPr>
                <w:p w14:paraId="39C22D9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一般排放口</w:t>
                  </w:r>
                </w:p>
              </w:tc>
              <w:tc>
                <w:tcPr>
                  <w:tcW w:w="1552" w:type="dxa"/>
                  <w:tcBorders>
                    <w:tl2br w:val="nil"/>
                    <w:tr2bl w:val="nil"/>
                  </w:tcBorders>
                  <w:noWrap w:val="0"/>
                  <w:vAlign w:val="center"/>
                </w:tcPr>
                <w:p w14:paraId="255669C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eastAsia" w:cs="Times New Roman"/>
                      <w:color w:val="auto"/>
                      <w:sz w:val="21"/>
                      <w:szCs w:val="21"/>
                      <w:highlight w:val="none"/>
                      <w:lang w:val="en-US" w:eastAsia="zh-CN"/>
                    </w:rPr>
                    <w:t>E</w:t>
                  </w:r>
                  <w:r>
                    <w:rPr>
                      <w:rFonts w:hint="default" w:ascii="Times New Roman" w:hAnsi="Times New Roman" w:eastAsia="宋体" w:cs="Times New Roman"/>
                      <w:color w:val="auto"/>
                      <w:sz w:val="21"/>
                      <w:szCs w:val="21"/>
                      <w:highlight w:val="none"/>
                    </w:rPr>
                    <w:t>117°</w:t>
                  </w:r>
                  <w:r>
                    <w:rPr>
                      <w:rFonts w:hint="eastAsia" w:cs="Times New Roman"/>
                      <w:color w:val="auto"/>
                      <w:sz w:val="21"/>
                      <w:szCs w:val="21"/>
                      <w:highlight w:val="none"/>
                      <w:lang w:val="en-US" w:eastAsia="zh-CN"/>
                    </w:rPr>
                    <w:t>9</w:t>
                  </w:r>
                  <w:r>
                    <w:rPr>
                      <w:rFonts w:hint="default" w:ascii="Times New Roman" w:hAnsi="Times New Roman" w:eastAsia="宋体" w:cs="Times New Roman"/>
                      <w:color w:val="auto"/>
                      <w:sz w:val="21"/>
                      <w:szCs w:val="21"/>
                      <w:highlight w:val="none"/>
                    </w:rPr>
                    <w:t>′</w:t>
                  </w:r>
                  <w:r>
                    <w:rPr>
                      <w:rFonts w:hint="eastAsia" w:cs="Times New Roman"/>
                      <w:color w:val="auto"/>
                      <w:sz w:val="21"/>
                      <w:szCs w:val="21"/>
                      <w:highlight w:val="none"/>
                      <w:lang w:val="en-US" w:eastAsia="zh-CN"/>
                    </w:rPr>
                    <w:t>31.373</w:t>
                  </w:r>
                  <w:r>
                    <w:rPr>
                      <w:rFonts w:hint="default" w:ascii="Times New Roman" w:hAnsi="Times New Roman" w:eastAsia="宋体" w:cs="Times New Roman"/>
                      <w:color w:val="auto"/>
                      <w:sz w:val="21"/>
                      <w:szCs w:val="21"/>
                      <w:highlight w:val="none"/>
                    </w:rPr>
                    <w:t>″</w:t>
                  </w:r>
                </w:p>
                <w:p w14:paraId="0CA862A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N</w:t>
                  </w:r>
                  <w:r>
                    <w:rPr>
                      <w:rFonts w:hint="default" w:ascii="Times New Roman" w:hAnsi="Times New Roman" w:eastAsia="宋体" w:cs="Times New Roman"/>
                      <w:color w:val="auto"/>
                      <w:sz w:val="21"/>
                      <w:szCs w:val="21"/>
                      <w:highlight w:val="none"/>
                    </w:rPr>
                    <w:t>29°0′</w:t>
                  </w:r>
                  <w:r>
                    <w:rPr>
                      <w:rFonts w:hint="eastAsia" w:cs="Times New Roman"/>
                      <w:color w:val="auto"/>
                      <w:sz w:val="21"/>
                      <w:szCs w:val="21"/>
                      <w:highlight w:val="none"/>
                      <w:lang w:val="en-US" w:eastAsia="zh-CN"/>
                    </w:rPr>
                    <w:t>30</w:t>
                  </w:r>
                  <w:r>
                    <w:rPr>
                      <w:rFonts w:hint="default" w:ascii="Times New Roman" w:hAnsi="Times New Roman" w:eastAsia="宋体" w:cs="Times New Roman"/>
                      <w:color w:val="auto"/>
                      <w:sz w:val="21"/>
                      <w:szCs w:val="21"/>
                      <w:highlight w:val="none"/>
                    </w:rPr>
                    <w:t>.</w:t>
                  </w:r>
                  <w:r>
                    <w:rPr>
                      <w:rFonts w:hint="eastAsia" w:cs="Times New Roman"/>
                      <w:color w:val="auto"/>
                      <w:sz w:val="21"/>
                      <w:szCs w:val="21"/>
                      <w:highlight w:val="none"/>
                      <w:lang w:val="en-US" w:eastAsia="zh-CN"/>
                    </w:rPr>
                    <w:t>209</w:t>
                  </w:r>
                  <w:r>
                    <w:rPr>
                      <w:rFonts w:hint="default" w:ascii="Times New Roman" w:hAnsi="Times New Roman" w:eastAsia="宋体" w:cs="Times New Roman"/>
                      <w:color w:val="auto"/>
                      <w:sz w:val="21"/>
                      <w:szCs w:val="21"/>
                      <w:highlight w:val="none"/>
                    </w:rPr>
                    <w:t>″</w:t>
                  </w:r>
                </w:p>
              </w:tc>
              <w:tc>
                <w:tcPr>
                  <w:tcW w:w="2069" w:type="dxa"/>
                  <w:vMerge w:val="restart"/>
                  <w:tcBorders>
                    <w:tl2br w:val="nil"/>
                    <w:tr2bl w:val="nil"/>
                  </w:tcBorders>
                  <w:noWrap w:val="0"/>
                  <w:vAlign w:val="center"/>
                </w:tcPr>
                <w:p w14:paraId="7ACA1EEB">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Cs/>
                      <w:color w:val="auto"/>
                      <w:szCs w:val="21"/>
                      <w:highlight w:val="none"/>
                    </w:rPr>
                  </w:pPr>
                  <w:r>
                    <w:rPr>
                      <w:rFonts w:hint="default" w:ascii="Times New Roman" w:hAnsi="Times New Roman" w:eastAsia="宋体" w:cs="Times New Roman"/>
                      <w:bCs/>
                      <w:color w:val="auto"/>
                      <w:szCs w:val="21"/>
                      <w:highlight w:val="none"/>
                    </w:rPr>
                    <w:t>企业应加强管理，一旦废气治理系统故障，立即停产检修，防止事故废气排放</w:t>
                  </w:r>
                </w:p>
              </w:tc>
            </w:tr>
            <w:tr w14:paraId="6FCBE3E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944" w:type="dxa"/>
                  <w:tcBorders>
                    <w:tl2br w:val="nil"/>
                    <w:tr2bl w:val="nil"/>
                  </w:tcBorders>
                  <w:noWrap w:val="0"/>
                  <w:vAlign w:val="center"/>
                </w:tcPr>
                <w:p w14:paraId="31EECBAA">
                  <w:pPr>
                    <w:keepNext w:val="0"/>
                    <w:keepLines w:val="0"/>
                    <w:suppressLineNumbers w:val="0"/>
                    <w:snapToGrid w:val="0"/>
                    <w:spacing w:before="0" w:beforeAutospacing="0" w:after="0" w:afterAutospacing="0" w:line="240" w:lineRule="atLeast"/>
                    <w:ind w:left="0" w:right="0"/>
                    <w:jc w:val="center"/>
                    <w:rPr>
                      <w:rFonts w:hint="eastAsia" w:cs="Times New Roman"/>
                      <w:bCs/>
                      <w:color w:val="auto"/>
                      <w:szCs w:val="21"/>
                      <w:highlight w:val="none"/>
                      <w:lang w:val="en-US" w:eastAsia="zh-CN"/>
                    </w:rPr>
                  </w:pPr>
                  <w:r>
                    <w:rPr>
                      <w:rFonts w:hint="eastAsia" w:cs="宋体"/>
                      <w:color w:val="auto"/>
                      <w:sz w:val="21"/>
                      <w:szCs w:val="21"/>
                      <w:highlight w:val="none"/>
                      <w:lang w:val="en-US" w:eastAsia="zh-CN"/>
                    </w:rPr>
                    <w:t>发泡及脱模有机废气</w:t>
                  </w:r>
                </w:p>
              </w:tc>
              <w:tc>
                <w:tcPr>
                  <w:tcW w:w="659" w:type="dxa"/>
                  <w:vMerge w:val="continue"/>
                  <w:tcBorders>
                    <w:tl2br w:val="nil"/>
                    <w:tr2bl w:val="nil"/>
                  </w:tcBorders>
                  <w:noWrap w:val="0"/>
                  <w:vAlign w:val="center"/>
                </w:tcPr>
                <w:p w14:paraId="374E2DC2">
                  <w:pPr>
                    <w:keepNext w:val="0"/>
                    <w:keepLines w:val="0"/>
                    <w:suppressLineNumbers w:val="0"/>
                    <w:snapToGrid w:val="0"/>
                    <w:spacing w:before="0" w:beforeAutospacing="0" w:after="0" w:afterAutospacing="0" w:line="240" w:lineRule="atLeast"/>
                    <w:ind w:left="0" w:right="0"/>
                    <w:jc w:val="center"/>
                    <w:rPr>
                      <w:rFonts w:hint="default" w:ascii="Times New Roman" w:hAnsi="Times New Roman" w:eastAsia="宋体" w:cs="Times New Roman"/>
                      <w:color w:val="auto"/>
                      <w:szCs w:val="21"/>
                      <w:highlight w:val="none"/>
                    </w:rPr>
                  </w:pPr>
                </w:p>
              </w:tc>
              <w:tc>
                <w:tcPr>
                  <w:tcW w:w="876" w:type="dxa"/>
                  <w:tcBorders>
                    <w:tl2br w:val="nil"/>
                    <w:tr2bl w:val="nil"/>
                  </w:tcBorders>
                  <w:noWrap w:val="0"/>
                  <w:vAlign w:val="center"/>
                </w:tcPr>
                <w:p w14:paraId="365AF087">
                  <w:pPr>
                    <w:keepNext w:val="0"/>
                    <w:keepLines w:val="0"/>
                    <w:suppressLineNumbers w:val="0"/>
                    <w:adjustRightInd w:val="0"/>
                    <w:snapToGrid w:val="0"/>
                    <w:spacing w:before="0" w:beforeAutospacing="0" w:after="0" w:afterAutospacing="0"/>
                    <w:ind w:left="0" w:right="0"/>
                    <w:jc w:val="center"/>
                    <w:rPr>
                      <w:rFonts w:hint="eastAsia" w:cs="Times New Roman"/>
                      <w:bCs/>
                      <w:color w:val="auto"/>
                      <w:szCs w:val="21"/>
                      <w:highlight w:val="none"/>
                      <w:lang w:val="en-US" w:eastAsia="zh-CN"/>
                    </w:rPr>
                  </w:pPr>
                  <w:r>
                    <w:rPr>
                      <w:rFonts w:hint="eastAsia" w:cs="Times New Roman"/>
                      <w:bCs/>
                      <w:color w:val="auto"/>
                      <w:szCs w:val="21"/>
                      <w:highlight w:val="none"/>
                      <w:lang w:val="en-US" w:eastAsia="zh-CN"/>
                    </w:rPr>
                    <w:t>非甲烷总烃</w:t>
                  </w:r>
                </w:p>
              </w:tc>
              <w:tc>
                <w:tcPr>
                  <w:tcW w:w="501" w:type="dxa"/>
                  <w:vMerge w:val="continue"/>
                  <w:tcBorders>
                    <w:tl2br w:val="nil"/>
                    <w:tr2bl w:val="nil"/>
                  </w:tcBorders>
                  <w:noWrap w:val="0"/>
                  <w:vAlign w:val="center"/>
                </w:tcPr>
                <w:p w14:paraId="6FD8E07A">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Cs/>
                      <w:color w:val="auto"/>
                      <w:szCs w:val="21"/>
                      <w:highlight w:val="none"/>
                    </w:rPr>
                  </w:pPr>
                </w:p>
              </w:tc>
              <w:tc>
                <w:tcPr>
                  <w:tcW w:w="610" w:type="dxa"/>
                  <w:vMerge w:val="continue"/>
                  <w:tcBorders>
                    <w:tl2br w:val="nil"/>
                    <w:tr2bl w:val="nil"/>
                  </w:tcBorders>
                  <w:noWrap w:val="0"/>
                  <w:vAlign w:val="center"/>
                </w:tcPr>
                <w:p w14:paraId="2EBD9249">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Cs/>
                      <w:color w:val="auto"/>
                      <w:szCs w:val="21"/>
                      <w:highlight w:val="none"/>
                    </w:rPr>
                  </w:pPr>
                </w:p>
              </w:tc>
              <w:tc>
                <w:tcPr>
                  <w:tcW w:w="581" w:type="dxa"/>
                  <w:vMerge w:val="continue"/>
                  <w:tcBorders>
                    <w:tl2br w:val="nil"/>
                    <w:tr2bl w:val="nil"/>
                  </w:tcBorders>
                  <w:noWrap w:val="0"/>
                  <w:vAlign w:val="center"/>
                </w:tcPr>
                <w:p w14:paraId="1C2593AA">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Cs/>
                      <w:color w:val="auto"/>
                      <w:szCs w:val="21"/>
                      <w:highlight w:val="none"/>
                    </w:rPr>
                  </w:pPr>
                </w:p>
              </w:tc>
              <w:tc>
                <w:tcPr>
                  <w:tcW w:w="936" w:type="dxa"/>
                  <w:tcBorders>
                    <w:tl2br w:val="nil"/>
                    <w:tr2bl w:val="nil"/>
                  </w:tcBorders>
                  <w:noWrap w:val="0"/>
                  <w:vAlign w:val="center"/>
                </w:tcPr>
                <w:p w14:paraId="12CBA70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16.17</w:t>
                  </w:r>
                </w:p>
              </w:tc>
              <w:tc>
                <w:tcPr>
                  <w:tcW w:w="794" w:type="dxa"/>
                  <w:tcBorders>
                    <w:tl2br w:val="nil"/>
                    <w:tr2bl w:val="nil"/>
                  </w:tcBorders>
                  <w:noWrap w:val="0"/>
                  <w:vAlign w:val="center"/>
                </w:tcPr>
                <w:p w14:paraId="6CAE0E17">
                  <w:pPr>
                    <w:keepNext w:val="0"/>
                    <w:keepLines w:val="0"/>
                    <w:widowControl/>
                    <w:suppressLineNumbers w:val="0"/>
                    <w:spacing w:before="0" w:beforeAutospacing="0" w:after="0" w:afterAutospacing="0"/>
                    <w:ind w:left="0" w:right="0"/>
                    <w:jc w:val="both"/>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0.097</w:t>
                  </w:r>
                </w:p>
              </w:tc>
              <w:tc>
                <w:tcPr>
                  <w:tcW w:w="899" w:type="dxa"/>
                  <w:tcBorders>
                    <w:tl2br w:val="nil"/>
                    <w:tr2bl w:val="nil"/>
                  </w:tcBorders>
                  <w:noWrap w:val="0"/>
                  <w:vAlign w:val="center"/>
                </w:tcPr>
                <w:p w14:paraId="5D281E52">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0.0002</w:t>
                  </w:r>
                </w:p>
              </w:tc>
              <w:tc>
                <w:tcPr>
                  <w:tcW w:w="835" w:type="dxa"/>
                  <w:tcBorders>
                    <w:tl2br w:val="nil"/>
                    <w:tr2bl w:val="nil"/>
                  </w:tcBorders>
                  <w:noWrap w:val="0"/>
                  <w:vAlign w:val="center"/>
                </w:tcPr>
                <w:p w14:paraId="1003346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rPr>
                  </w:pPr>
                  <w:r>
                    <w:rPr>
                      <w:rFonts w:hint="default" w:ascii="Times New Roman" w:hAnsi="Times New Roman" w:eastAsia="宋体" w:cs="Times New Roman"/>
                      <w:color w:val="auto"/>
                      <w:sz w:val="21"/>
                      <w:szCs w:val="21"/>
                      <w:highlight w:val="none"/>
                    </w:rPr>
                    <w:t>DA0</w:t>
                  </w:r>
                  <w:r>
                    <w:rPr>
                      <w:rFonts w:hint="default" w:ascii="Times New Roman" w:hAnsi="Times New Roman" w:cs="Times New Roman"/>
                      <w:color w:val="auto"/>
                      <w:sz w:val="21"/>
                      <w:szCs w:val="21"/>
                      <w:highlight w:val="none"/>
                      <w:lang w:val="en-US" w:eastAsia="zh-CN"/>
                    </w:rPr>
                    <w:t>0</w:t>
                  </w:r>
                  <w:r>
                    <w:rPr>
                      <w:rFonts w:hint="eastAsia" w:cs="Times New Roman"/>
                      <w:color w:val="auto"/>
                      <w:sz w:val="21"/>
                      <w:szCs w:val="21"/>
                      <w:highlight w:val="none"/>
                      <w:lang w:val="en-US" w:eastAsia="zh-CN"/>
                    </w:rPr>
                    <w:t>2</w:t>
                  </w:r>
                </w:p>
              </w:tc>
              <w:tc>
                <w:tcPr>
                  <w:tcW w:w="468" w:type="dxa"/>
                  <w:vMerge w:val="continue"/>
                  <w:tcBorders>
                    <w:tl2br w:val="nil"/>
                    <w:tr2bl w:val="nil"/>
                  </w:tcBorders>
                  <w:noWrap w:val="0"/>
                  <w:vAlign w:val="center"/>
                </w:tcPr>
                <w:p w14:paraId="4C4E5BB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510" w:type="dxa"/>
                  <w:vMerge w:val="continue"/>
                  <w:tcBorders>
                    <w:tl2br w:val="nil"/>
                    <w:tr2bl w:val="nil"/>
                  </w:tcBorders>
                  <w:noWrap w:val="0"/>
                  <w:vAlign w:val="center"/>
                </w:tcPr>
                <w:p w14:paraId="47219AA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482" w:type="dxa"/>
                  <w:vMerge w:val="continue"/>
                  <w:tcBorders>
                    <w:tl2br w:val="nil"/>
                    <w:tr2bl w:val="nil"/>
                  </w:tcBorders>
                  <w:noWrap w:val="0"/>
                  <w:vAlign w:val="center"/>
                </w:tcPr>
                <w:p w14:paraId="7DFA5CC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587" w:type="dxa"/>
                  <w:vMerge w:val="continue"/>
                  <w:tcBorders>
                    <w:tl2br w:val="nil"/>
                    <w:tr2bl w:val="nil"/>
                  </w:tcBorders>
                  <w:noWrap w:val="0"/>
                  <w:vAlign w:val="center"/>
                </w:tcPr>
                <w:p w14:paraId="5106C33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p>
              </w:tc>
              <w:tc>
                <w:tcPr>
                  <w:tcW w:w="1552" w:type="dxa"/>
                  <w:tcBorders>
                    <w:tl2br w:val="nil"/>
                    <w:tr2bl w:val="nil"/>
                  </w:tcBorders>
                  <w:noWrap w:val="0"/>
                  <w:vAlign w:val="center"/>
                </w:tcPr>
                <w:p w14:paraId="7199660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eastAsia" w:cs="Times New Roman"/>
                      <w:color w:val="auto"/>
                      <w:sz w:val="21"/>
                      <w:szCs w:val="21"/>
                      <w:highlight w:val="none"/>
                      <w:lang w:val="en-US" w:eastAsia="zh-CN"/>
                    </w:rPr>
                    <w:t>E</w:t>
                  </w:r>
                  <w:r>
                    <w:rPr>
                      <w:rFonts w:hint="default" w:ascii="Times New Roman" w:hAnsi="Times New Roman" w:eastAsia="宋体" w:cs="Times New Roman"/>
                      <w:color w:val="auto"/>
                      <w:sz w:val="21"/>
                      <w:szCs w:val="21"/>
                      <w:highlight w:val="none"/>
                    </w:rPr>
                    <w:t>117°</w:t>
                  </w:r>
                  <w:r>
                    <w:rPr>
                      <w:rFonts w:hint="eastAsia" w:cs="Times New Roman"/>
                      <w:color w:val="auto"/>
                      <w:sz w:val="21"/>
                      <w:szCs w:val="21"/>
                      <w:highlight w:val="none"/>
                      <w:lang w:val="en-US" w:eastAsia="zh-CN"/>
                    </w:rPr>
                    <w:t>9</w:t>
                  </w:r>
                  <w:r>
                    <w:rPr>
                      <w:rFonts w:hint="default" w:ascii="Times New Roman" w:hAnsi="Times New Roman" w:eastAsia="宋体" w:cs="Times New Roman"/>
                      <w:color w:val="auto"/>
                      <w:sz w:val="21"/>
                      <w:szCs w:val="21"/>
                      <w:highlight w:val="none"/>
                    </w:rPr>
                    <w:t>′</w:t>
                  </w:r>
                  <w:r>
                    <w:rPr>
                      <w:rFonts w:hint="eastAsia" w:cs="Times New Roman"/>
                      <w:color w:val="auto"/>
                      <w:sz w:val="21"/>
                      <w:szCs w:val="21"/>
                      <w:highlight w:val="none"/>
                      <w:lang w:val="en-US" w:eastAsia="zh-CN"/>
                    </w:rPr>
                    <w:t>31.367</w:t>
                  </w:r>
                  <w:r>
                    <w:rPr>
                      <w:rFonts w:hint="default" w:ascii="Times New Roman" w:hAnsi="Times New Roman" w:eastAsia="宋体" w:cs="Times New Roman"/>
                      <w:color w:val="auto"/>
                      <w:sz w:val="21"/>
                      <w:szCs w:val="21"/>
                      <w:highlight w:val="none"/>
                    </w:rPr>
                    <w:t>″</w:t>
                  </w:r>
                </w:p>
                <w:p w14:paraId="16FFFBA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N</w:t>
                  </w:r>
                  <w:r>
                    <w:rPr>
                      <w:rFonts w:hint="default" w:ascii="Times New Roman" w:hAnsi="Times New Roman" w:eastAsia="宋体" w:cs="Times New Roman"/>
                      <w:color w:val="auto"/>
                      <w:sz w:val="21"/>
                      <w:szCs w:val="21"/>
                      <w:highlight w:val="none"/>
                    </w:rPr>
                    <w:t>29°0′</w:t>
                  </w:r>
                  <w:r>
                    <w:rPr>
                      <w:rFonts w:hint="eastAsia" w:cs="Times New Roman"/>
                      <w:color w:val="auto"/>
                      <w:sz w:val="21"/>
                      <w:szCs w:val="21"/>
                      <w:highlight w:val="none"/>
                      <w:lang w:val="en-US" w:eastAsia="zh-CN"/>
                    </w:rPr>
                    <w:t>30</w:t>
                  </w:r>
                  <w:r>
                    <w:rPr>
                      <w:rFonts w:hint="default" w:ascii="Times New Roman" w:hAnsi="Times New Roman" w:eastAsia="宋体" w:cs="Times New Roman"/>
                      <w:color w:val="auto"/>
                      <w:sz w:val="21"/>
                      <w:szCs w:val="21"/>
                      <w:highlight w:val="none"/>
                    </w:rPr>
                    <w:t>.</w:t>
                  </w:r>
                  <w:r>
                    <w:rPr>
                      <w:rFonts w:hint="eastAsia" w:cs="Times New Roman"/>
                      <w:color w:val="auto"/>
                      <w:sz w:val="21"/>
                      <w:szCs w:val="21"/>
                      <w:highlight w:val="none"/>
                      <w:lang w:val="en-US" w:eastAsia="zh-CN"/>
                    </w:rPr>
                    <w:t>242</w:t>
                  </w:r>
                  <w:r>
                    <w:rPr>
                      <w:rFonts w:hint="default" w:ascii="Times New Roman" w:hAnsi="Times New Roman" w:eastAsia="宋体" w:cs="Times New Roman"/>
                      <w:color w:val="auto"/>
                      <w:sz w:val="21"/>
                      <w:szCs w:val="21"/>
                      <w:highlight w:val="none"/>
                    </w:rPr>
                    <w:t>″</w:t>
                  </w:r>
                </w:p>
              </w:tc>
              <w:tc>
                <w:tcPr>
                  <w:tcW w:w="2069" w:type="dxa"/>
                  <w:vMerge w:val="continue"/>
                  <w:tcBorders>
                    <w:tl2br w:val="nil"/>
                    <w:tr2bl w:val="nil"/>
                  </w:tcBorders>
                  <w:noWrap w:val="0"/>
                  <w:vAlign w:val="center"/>
                </w:tcPr>
                <w:p w14:paraId="67CA1E85">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Cs/>
                      <w:color w:val="auto"/>
                      <w:szCs w:val="21"/>
                      <w:highlight w:val="none"/>
                    </w:rPr>
                  </w:pPr>
                </w:p>
              </w:tc>
            </w:tr>
            <w:tr w14:paraId="06F38F3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944" w:type="dxa"/>
                  <w:vMerge w:val="restart"/>
                  <w:tcBorders>
                    <w:tl2br w:val="nil"/>
                    <w:tr2bl w:val="nil"/>
                  </w:tcBorders>
                  <w:noWrap w:val="0"/>
                  <w:vAlign w:val="center"/>
                </w:tcPr>
                <w:p w14:paraId="05E8BA8A">
                  <w:pPr>
                    <w:keepNext w:val="0"/>
                    <w:keepLines w:val="0"/>
                    <w:suppressLineNumbers w:val="0"/>
                    <w:snapToGrid w:val="0"/>
                    <w:spacing w:before="0" w:beforeAutospacing="0" w:after="0" w:afterAutospacing="0" w:line="240" w:lineRule="atLeast"/>
                    <w:ind w:left="0" w:right="0"/>
                    <w:jc w:val="center"/>
                    <w:rPr>
                      <w:rFonts w:hint="eastAsia" w:cs="Times New Roman"/>
                      <w:bCs/>
                      <w:color w:val="auto"/>
                      <w:szCs w:val="21"/>
                      <w:highlight w:val="none"/>
                      <w:lang w:val="en-US" w:eastAsia="zh-CN"/>
                    </w:rPr>
                  </w:pPr>
                  <w:r>
                    <w:rPr>
                      <w:rFonts w:hint="eastAsia" w:cs="宋体"/>
                      <w:color w:val="auto"/>
                      <w:sz w:val="21"/>
                      <w:szCs w:val="21"/>
                      <w:highlight w:val="none"/>
                      <w:lang w:val="en-US" w:eastAsia="zh-CN"/>
                    </w:rPr>
                    <w:t>PVC注塑有机废气</w:t>
                  </w:r>
                </w:p>
              </w:tc>
              <w:tc>
                <w:tcPr>
                  <w:tcW w:w="659" w:type="dxa"/>
                  <w:vMerge w:val="continue"/>
                  <w:tcBorders>
                    <w:tl2br w:val="nil"/>
                    <w:tr2bl w:val="nil"/>
                  </w:tcBorders>
                  <w:noWrap w:val="0"/>
                  <w:vAlign w:val="center"/>
                </w:tcPr>
                <w:p w14:paraId="48B5F303">
                  <w:pPr>
                    <w:keepNext w:val="0"/>
                    <w:keepLines w:val="0"/>
                    <w:suppressLineNumbers w:val="0"/>
                    <w:snapToGrid w:val="0"/>
                    <w:spacing w:before="0" w:beforeAutospacing="0" w:after="0" w:afterAutospacing="0" w:line="240" w:lineRule="atLeast"/>
                    <w:ind w:left="0" w:right="0"/>
                    <w:jc w:val="center"/>
                    <w:rPr>
                      <w:rFonts w:hint="default" w:ascii="Times New Roman" w:hAnsi="Times New Roman" w:eastAsia="宋体" w:cs="Times New Roman"/>
                      <w:color w:val="auto"/>
                      <w:szCs w:val="21"/>
                      <w:highlight w:val="none"/>
                    </w:rPr>
                  </w:pPr>
                </w:p>
              </w:tc>
              <w:tc>
                <w:tcPr>
                  <w:tcW w:w="876" w:type="dxa"/>
                  <w:tcBorders>
                    <w:tl2br w:val="nil"/>
                    <w:tr2bl w:val="nil"/>
                  </w:tcBorders>
                  <w:noWrap w:val="0"/>
                  <w:vAlign w:val="center"/>
                </w:tcPr>
                <w:p w14:paraId="4C917C0B">
                  <w:pPr>
                    <w:keepNext w:val="0"/>
                    <w:keepLines w:val="0"/>
                    <w:suppressLineNumbers w:val="0"/>
                    <w:adjustRightInd w:val="0"/>
                    <w:snapToGrid w:val="0"/>
                    <w:spacing w:before="0" w:beforeAutospacing="0" w:after="0" w:afterAutospacing="0"/>
                    <w:ind w:left="0" w:right="0"/>
                    <w:jc w:val="center"/>
                    <w:rPr>
                      <w:rFonts w:hint="eastAsia" w:cs="Times New Roman"/>
                      <w:bCs/>
                      <w:color w:val="auto"/>
                      <w:szCs w:val="21"/>
                      <w:highlight w:val="none"/>
                      <w:lang w:val="en-US" w:eastAsia="zh-CN"/>
                    </w:rPr>
                  </w:pPr>
                  <w:r>
                    <w:rPr>
                      <w:rFonts w:hint="eastAsia" w:cs="Times New Roman"/>
                      <w:bCs/>
                      <w:color w:val="auto"/>
                      <w:szCs w:val="21"/>
                      <w:highlight w:val="none"/>
                      <w:lang w:val="en-US" w:eastAsia="zh-CN"/>
                    </w:rPr>
                    <w:t>非甲烷总烃</w:t>
                  </w:r>
                </w:p>
              </w:tc>
              <w:tc>
                <w:tcPr>
                  <w:tcW w:w="501" w:type="dxa"/>
                  <w:vMerge w:val="continue"/>
                  <w:tcBorders>
                    <w:tl2br w:val="nil"/>
                    <w:tr2bl w:val="nil"/>
                  </w:tcBorders>
                  <w:noWrap w:val="0"/>
                  <w:vAlign w:val="center"/>
                </w:tcPr>
                <w:p w14:paraId="343A05CD">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Cs/>
                      <w:color w:val="auto"/>
                      <w:szCs w:val="21"/>
                      <w:highlight w:val="none"/>
                    </w:rPr>
                  </w:pPr>
                </w:p>
              </w:tc>
              <w:tc>
                <w:tcPr>
                  <w:tcW w:w="610" w:type="dxa"/>
                  <w:vMerge w:val="continue"/>
                  <w:tcBorders>
                    <w:tl2br w:val="nil"/>
                    <w:tr2bl w:val="nil"/>
                  </w:tcBorders>
                  <w:noWrap w:val="0"/>
                  <w:vAlign w:val="center"/>
                </w:tcPr>
                <w:p w14:paraId="0C62685B">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Cs/>
                      <w:color w:val="auto"/>
                      <w:szCs w:val="21"/>
                      <w:highlight w:val="none"/>
                    </w:rPr>
                  </w:pPr>
                </w:p>
              </w:tc>
              <w:tc>
                <w:tcPr>
                  <w:tcW w:w="581" w:type="dxa"/>
                  <w:vMerge w:val="continue"/>
                  <w:tcBorders>
                    <w:tl2br w:val="nil"/>
                    <w:tr2bl w:val="nil"/>
                  </w:tcBorders>
                  <w:noWrap w:val="0"/>
                  <w:vAlign w:val="center"/>
                </w:tcPr>
                <w:p w14:paraId="203A3D26">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Cs/>
                      <w:color w:val="auto"/>
                      <w:szCs w:val="21"/>
                      <w:highlight w:val="none"/>
                    </w:rPr>
                  </w:pPr>
                </w:p>
              </w:tc>
              <w:tc>
                <w:tcPr>
                  <w:tcW w:w="936" w:type="dxa"/>
                  <w:tcBorders>
                    <w:tl2br w:val="nil"/>
                    <w:tr2bl w:val="nil"/>
                  </w:tcBorders>
                  <w:noWrap w:val="0"/>
                  <w:vAlign w:val="center"/>
                </w:tcPr>
                <w:p w14:paraId="354B476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rPr>
                      <w:rFonts w:hint="eastAsia" w:cs="Times New Roman"/>
                      <w:i w:val="0"/>
                      <w:iCs w:val="0"/>
                      <w:color w:val="auto"/>
                      <w:kern w:val="0"/>
                      <w:sz w:val="21"/>
                      <w:szCs w:val="21"/>
                      <w:highlight w:val="none"/>
                      <w:u w:val="none"/>
                      <w:lang w:val="en-US" w:eastAsia="zh-CN" w:bidi="ar"/>
                    </w:rPr>
                  </w:pPr>
                  <w:r>
                    <w:rPr>
                      <w:rFonts w:hint="eastAsia" w:cs="Times New Roman"/>
                      <w:color w:val="auto"/>
                      <w:kern w:val="2"/>
                      <w:sz w:val="21"/>
                      <w:szCs w:val="21"/>
                      <w:highlight w:val="none"/>
                      <w:lang w:val="en-US" w:eastAsia="zh-CN" w:bidi="ar-SA"/>
                    </w:rPr>
                    <w:t>26.53</w:t>
                  </w:r>
                </w:p>
              </w:tc>
              <w:tc>
                <w:tcPr>
                  <w:tcW w:w="794" w:type="dxa"/>
                  <w:tcBorders>
                    <w:tl2br w:val="nil"/>
                    <w:tr2bl w:val="nil"/>
                  </w:tcBorders>
                  <w:noWrap w:val="0"/>
                  <w:vAlign w:val="center"/>
                </w:tcPr>
                <w:p w14:paraId="43332D54">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0.159</w:t>
                  </w:r>
                </w:p>
              </w:tc>
              <w:tc>
                <w:tcPr>
                  <w:tcW w:w="899" w:type="dxa"/>
                  <w:tcBorders>
                    <w:tl2br w:val="nil"/>
                    <w:tr2bl w:val="nil"/>
                  </w:tcBorders>
                  <w:noWrap w:val="0"/>
                  <w:vAlign w:val="center"/>
                </w:tcPr>
                <w:p w14:paraId="2CA38C47">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0.0032</w:t>
                  </w:r>
                </w:p>
              </w:tc>
              <w:tc>
                <w:tcPr>
                  <w:tcW w:w="835" w:type="dxa"/>
                  <w:vMerge w:val="restart"/>
                  <w:tcBorders>
                    <w:tl2br w:val="nil"/>
                    <w:tr2bl w:val="nil"/>
                  </w:tcBorders>
                  <w:noWrap w:val="0"/>
                  <w:vAlign w:val="center"/>
                </w:tcPr>
                <w:p w14:paraId="08A3275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rPr>
                  </w:pPr>
                  <w:r>
                    <w:rPr>
                      <w:rFonts w:hint="default" w:ascii="Times New Roman" w:hAnsi="Times New Roman" w:eastAsia="宋体" w:cs="Times New Roman"/>
                      <w:color w:val="auto"/>
                      <w:sz w:val="21"/>
                      <w:szCs w:val="21"/>
                      <w:highlight w:val="none"/>
                    </w:rPr>
                    <w:t>DA0</w:t>
                  </w:r>
                  <w:r>
                    <w:rPr>
                      <w:rFonts w:hint="default" w:ascii="Times New Roman" w:hAnsi="Times New Roman" w:cs="Times New Roman"/>
                      <w:color w:val="auto"/>
                      <w:sz w:val="21"/>
                      <w:szCs w:val="21"/>
                      <w:highlight w:val="none"/>
                      <w:lang w:val="en-US" w:eastAsia="zh-CN"/>
                    </w:rPr>
                    <w:t>0</w:t>
                  </w:r>
                  <w:r>
                    <w:rPr>
                      <w:rFonts w:hint="eastAsia" w:cs="Times New Roman"/>
                      <w:color w:val="auto"/>
                      <w:sz w:val="21"/>
                      <w:szCs w:val="21"/>
                      <w:highlight w:val="none"/>
                      <w:lang w:val="en-US" w:eastAsia="zh-CN"/>
                    </w:rPr>
                    <w:t>3</w:t>
                  </w:r>
                </w:p>
              </w:tc>
              <w:tc>
                <w:tcPr>
                  <w:tcW w:w="468" w:type="dxa"/>
                  <w:vMerge w:val="continue"/>
                  <w:tcBorders>
                    <w:tl2br w:val="nil"/>
                    <w:tr2bl w:val="nil"/>
                  </w:tcBorders>
                  <w:noWrap w:val="0"/>
                  <w:vAlign w:val="center"/>
                </w:tcPr>
                <w:p w14:paraId="31C9965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510" w:type="dxa"/>
                  <w:vMerge w:val="continue"/>
                  <w:tcBorders>
                    <w:tl2br w:val="nil"/>
                    <w:tr2bl w:val="nil"/>
                  </w:tcBorders>
                  <w:noWrap w:val="0"/>
                  <w:vAlign w:val="center"/>
                </w:tcPr>
                <w:p w14:paraId="6C79DA0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482" w:type="dxa"/>
                  <w:vMerge w:val="continue"/>
                  <w:tcBorders>
                    <w:tl2br w:val="nil"/>
                    <w:tr2bl w:val="nil"/>
                  </w:tcBorders>
                  <w:noWrap w:val="0"/>
                  <w:vAlign w:val="center"/>
                </w:tcPr>
                <w:p w14:paraId="71A12ED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587" w:type="dxa"/>
                  <w:vMerge w:val="continue"/>
                  <w:tcBorders>
                    <w:tl2br w:val="nil"/>
                    <w:tr2bl w:val="nil"/>
                  </w:tcBorders>
                  <w:noWrap w:val="0"/>
                  <w:vAlign w:val="center"/>
                </w:tcPr>
                <w:p w14:paraId="2CF40BB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p>
              </w:tc>
              <w:tc>
                <w:tcPr>
                  <w:tcW w:w="1552" w:type="dxa"/>
                  <w:vMerge w:val="restart"/>
                  <w:tcBorders>
                    <w:tl2br w:val="nil"/>
                    <w:tr2bl w:val="nil"/>
                  </w:tcBorders>
                  <w:noWrap w:val="0"/>
                  <w:vAlign w:val="center"/>
                </w:tcPr>
                <w:p w14:paraId="247212F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eastAsia" w:cs="Times New Roman"/>
                      <w:color w:val="auto"/>
                      <w:sz w:val="21"/>
                      <w:szCs w:val="21"/>
                      <w:highlight w:val="none"/>
                      <w:lang w:val="en-US" w:eastAsia="zh-CN"/>
                    </w:rPr>
                    <w:t>E</w:t>
                  </w:r>
                  <w:r>
                    <w:rPr>
                      <w:rFonts w:hint="default" w:ascii="Times New Roman" w:hAnsi="Times New Roman" w:eastAsia="宋体" w:cs="Times New Roman"/>
                      <w:color w:val="auto"/>
                      <w:sz w:val="21"/>
                      <w:szCs w:val="21"/>
                      <w:highlight w:val="none"/>
                    </w:rPr>
                    <w:t>117°</w:t>
                  </w:r>
                  <w:r>
                    <w:rPr>
                      <w:rFonts w:hint="eastAsia" w:cs="Times New Roman"/>
                      <w:color w:val="auto"/>
                      <w:sz w:val="21"/>
                      <w:szCs w:val="21"/>
                      <w:highlight w:val="none"/>
                      <w:lang w:val="en-US" w:eastAsia="zh-CN"/>
                    </w:rPr>
                    <w:t>9</w:t>
                  </w:r>
                  <w:r>
                    <w:rPr>
                      <w:rFonts w:hint="default" w:ascii="Times New Roman" w:hAnsi="Times New Roman" w:eastAsia="宋体" w:cs="Times New Roman"/>
                      <w:color w:val="auto"/>
                      <w:sz w:val="21"/>
                      <w:szCs w:val="21"/>
                      <w:highlight w:val="none"/>
                    </w:rPr>
                    <w:t>′</w:t>
                  </w:r>
                  <w:r>
                    <w:rPr>
                      <w:rFonts w:hint="eastAsia" w:cs="Times New Roman"/>
                      <w:color w:val="auto"/>
                      <w:sz w:val="21"/>
                      <w:szCs w:val="21"/>
                      <w:highlight w:val="none"/>
                      <w:lang w:val="en-US" w:eastAsia="zh-CN"/>
                    </w:rPr>
                    <w:t>31.270</w:t>
                  </w:r>
                  <w:r>
                    <w:rPr>
                      <w:rFonts w:hint="default" w:ascii="Times New Roman" w:hAnsi="Times New Roman" w:eastAsia="宋体" w:cs="Times New Roman"/>
                      <w:color w:val="auto"/>
                      <w:sz w:val="21"/>
                      <w:szCs w:val="21"/>
                      <w:highlight w:val="none"/>
                    </w:rPr>
                    <w:t>″</w:t>
                  </w:r>
                </w:p>
                <w:p w14:paraId="2A30CA9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N</w:t>
                  </w:r>
                  <w:r>
                    <w:rPr>
                      <w:rFonts w:hint="default" w:ascii="Times New Roman" w:hAnsi="Times New Roman" w:eastAsia="宋体" w:cs="Times New Roman"/>
                      <w:color w:val="auto"/>
                      <w:sz w:val="21"/>
                      <w:szCs w:val="21"/>
                      <w:highlight w:val="none"/>
                    </w:rPr>
                    <w:t>29°0′</w:t>
                  </w:r>
                  <w:r>
                    <w:rPr>
                      <w:rFonts w:hint="eastAsia" w:cs="Times New Roman"/>
                      <w:color w:val="auto"/>
                      <w:sz w:val="21"/>
                      <w:szCs w:val="21"/>
                      <w:highlight w:val="none"/>
                      <w:lang w:val="en-US" w:eastAsia="zh-CN"/>
                    </w:rPr>
                    <w:t>27.159</w:t>
                  </w:r>
                  <w:r>
                    <w:rPr>
                      <w:rFonts w:hint="default" w:ascii="Times New Roman" w:hAnsi="Times New Roman" w:eastAsia="宋体" w:cs="Times New Roman"/>
                      <w:color w:val="auto"/>
                      <w:sz w:val="21"/>
                      <w:szCs w:val="21"/>
                      <w:highlight w:val="none"/>
                    </w:rPr>
                    <w:t>″</w:t>
                  </w:r>
                </w:p>
              </w:tc>
              <w:tc>
                <w:tcPr>
                  <w:tcW w:w="2069" w:type="dxa"/>
                  <w:vMerge w:val="continue"/>
                  <w:tcBorders>
                    <w:tl2br w:val="nil"/>
                    <w:tr2bl w:val="nil"/>
                  </w:tcBorders>
                  <w:noWrap w:val="0"/>
                  <w:vAlign w:val="center"/>
                </w:tcPr>
                <w:p w14:paraId="38832B61">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Cs/>
                      <w:color w:val="auto"/>
                      <w:szCs w:val="21"/>
                      <w:highlight w:val="none"/>
                    </w:rPr>
                  </w:pPr>
                </w:p>
              </w:tc>
            </w:tr>
            <w:tr w14:paraId="423F8E8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944" w:type="dxa"/>
                  <w:vMerge w:val="continue"/>
                  <w:tcBorders>
                    <w:tl2br w:val="nil"/>
                    <w:tr2bl w:val="nil"/>
                  </w:tcBorders>
                  <w:noWrap w:val="0"/>
                  <w:vAlign w:val="center"/>
                </w:tcPr>
                <w:p w14:paraId="47739362">
                  <w:pPr>
                    <w:keepNext w:val="0"/>
                    <w:keepLines w:val="0"/>
                    <w:suppressLineNumbers w:val="0"/>
                    <w:snapToGrid w:val="0"/>
                    <w:spacing w:before="0" w:beforeAutospacing="0" w:after="0" w:afterAutospacing="0" w:line="240" w:lineRule="atLeast"/>
                    <w:ind w:left="0" w:right="0"/>
                    <w:jc w:val="center"/>
                    <w:rPr>
                      <w:rFonts w:hint="eastAsia" w:cs="宋体"/>
                      <w:color w:val="auto"/>
                      <w:sz w:val="21"/>
                      <w:szCs w:val="21"/>
                      <w:highlight w:val="none"/>
                      <w:lang w:val="en-US" w:eastAsia="zh-CN"/>
                    </w:rPr>
                  </w:pPr>
                </w:p>
              </w:tc>
              <w:tc>
                <w:tcPr>
                  <w:tcW w:w="659" w:type="dxa"/>
                  <w:vMerge w:val="continue"/>
                  <w:tcBorders>
                    <w:tl2br w:val="nil"/>
                    <w:tr2bl w:val="nil"/>
                  </w:tcBorders>
                  <w:noWrap w:val="0"/>
                  <w:vAlign w:val="center"/>
                </w:tcPr>
                <w:p w14:paraId="7881E163">
                  <w:pPr>
                    <w:keepNext w:val="0"/>
                    <w:keepLines w:val="0"/>
                    <w:suppressLineNumbers w:val="0"/>
                    <w:snapToGrid w:val="0"/>
                    <w:spacing w:before="0" w:beforeAutospacing="0" w:after="0" w:afterAutospacing="0" w:line="240" w:lineRule="atLeast"/>
                    <w:ind w:left="0" w:right="0"/>
                    <w:jc w:val="center"/>
                    <w:rPr>
                      <w:rFonts w:hint="default" w:ascii="Times New Roman" w:hAnsi="Times New Roman" w:eastAsia="宋体" w:cs="Times New Roman"/>
                      <w:color w:val="auto"/>
                      <w:szCs w:val="21"/>
                      <w:highlight w:val="none"/>
                    </w:rPr>
                  </w:pPr>
                </w:p>
              </w:tc>
              <w:tc>
                <w:tcPr>
                  <w:tcW w:w="876" w:type="dxa"/>
                  <w:tcBorders>
                    <w:tl2br w:val="nil"/>
                    <w:tr2bl w:val="nil"/>
                  </w:tcBorders>
                  <w:noWrap w:val="0"/>
                  <w:vAlign w:val="center"/>
                </w:tcPr>
                <w:p w14:paraId="325D0007">
                  <w:pPr>
                    <w:keepNext w:val="0"/>
                    <w:keepLines w:val="0"/>
                    <w:suppressLineNumbers w:val="0"/>
                    <w:adjustRightInd w:val="0"/>
                    <w:snapToGrid w:val="0"/>
                    <w:spacing w:before="0" w:beforeAutospacing="0" w:after="0" w:afterAutospacing="0"/>
                    <w:ind w:left="0" w:right="0"/>
                    <w:jc w:val="center"/>
                    <w:rPr>
                      <w:rFonts w:hint="default"/>
                      <w:color w:val="auto"/>
                      <w:sz w:val="21"/>
                      <w:szCs w:val="21"/>
                      <w:lang w:val="en-US" w:eastAsia="zh-CN"/>
                    </w:rPr>
                  </w:pPr>
                  <w:r>
                    <w:rPr>
                      <w:rFonts w:hint="eastAsia"/>
                      <w:color w:val="auto"/>
                      <w:sz w:val="21"/>
                      <w:szCs w:val="21"/>
                      <w:lang w:val="en-US" w:eastAsia="zh-CN"/>
                    </w:rPr>
                    <w:t>HCl</w:t>
                  </w:r>
                </w:p>
              </w:tc>
              <w:tc>
                <w:tcPr>
                  <w:tcW w:w="501" w:type="dxa"/>
                  <w:vMerge w:val="continue"/>
                  <w:tcBorders>
                    <w:tl2br w:val="nil"/>
                    <w:tr2bl w:val="nil"/>
                  </w:tcBorders>
                  <w:noWrap w:val="0"/>
                  <w:vAlign w:val="center"/>
                </w:tcPr>
                <w:p w14:paraId="333AF38B">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Cs/>
                      <w:color w:val="auto"/>
                      <w:szCs w:val="21"/>
                      <w:highlight w:val="none"/>
                    </w:rPr>
                  </w:pPr>
                </w:p>
              </w:tc>
              <w:tc>
                <w:tcPr>
                  <w:tcW w:w="610" w:type="dxa"/>
                  <w:vMerge w:val="continue"/>
                  <w:tcBorders>
                    <w:tl2br w:val="nil"/>
                    <w:tr2bl w:val="nil"/>
                  </w:tcBorders>
                  <w:noWrap w:val="0"/>
                  <w:vAlign w:val="center"/>
                </w:tcPr>
                <w:p w14:paraId="1DA50388">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Cs/>
                      <w:color w:val="auto"/>
                      <w:szCs w:val="21"/>
                      <w:highlight w:val="none"/>
                    </w:rPr>
                  </w:pPr>
                </w:p>
              </w:tc>
              <w:tc>
                <w:tcPr>
                  <w:tcW w:w="581" w:type="dxa"/>
                  <w:vMerge w:val="continue"/>
                  <w:tcBorders>
                    <w:tl2br w:val="nil"/>
                    <w:tr2bl w:val="nil"/>
                  </w:tcBorders>
                  <w:noWrap w:val="0"/>
                  <w:vAlign w:val="center"/>
                </w:tcPr>
                <w:p w14:paraId="3075A60C">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Cs/>
                      <w:color w:val="auto"/>
                      <w:szCs w:val="21"/>
                      <w:highlight w:val="none"/>
                    </w:rPr>
                  </w:pPr>
                </w:p>
              </w:tc>
              <w:tc>
                <w:tcPr>
                  <w:tcW w:w="936" w:type="dxa"/>
                  <w:tcBorders>
                    <w:tl2br w:val="nil"/>
                    <w:tr2bl w:val="nil"/>
                  </w:tcBorders>
                  <w:noWrap w:val="0"/>
                  <w:vAlign w:val="center"/>
                </w:tcPr>
                <w:p w14:paraId="575B16A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0.083</w:t>
                  </w:r>
                </w:p>
              </w:tc>
              <w:tc>
                <w:tcPr>
                  <w:tcW w:w="794" w:type="dxa"/>
                  <w:tcBorders>
                    <w:tl2br w:val="nil"/>
                    <w:tr2bl w:val="nil"/>
                  </w:tcBorders>
                  <w:noWrap w:val="0"/>
                  <w:vAlign w:val="center"/>
                </w:tcPr>
                <w:p w14:paraId="6AF6F7E3">
                  <w:pPr>
                    <w:keepNext w:val="0"/>
                    <w:keepLines w:val="0"/>
                    <w:widowControl/>
                    <w:suppressLineNumbers w:val="0"/>
                    <w:spacing w:before="0" w:beforeAutospacing="0" w:after="0" w:afterAutospacing="0"/>
                    <w:ind w:left="0" w:right="0"/>
                    <w:jc w:val="center"/>
                    <w:textAlignment w:val="center"/>
                    <w:rPr>
                      <w:rFonts w:hint="eastAsia"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0.0005</w:t>
                  </w:r>
                </w:p>
              </w:tc>
              <w:tc>
                <w:tcPr>
                  <w:tcW w:w="899" w:type="dxa"/>
                  <w:tcBorders>
                    <w:tl2br w:val="nil"/>
                    <w:tr2bl w:val="nil"/>
                  </w:tcBorders>
                  <w:noWrap w:val="0"/>
                  <w:vAlign w:val="center"/>
                </w:tcPr>
                <w:p w14:paraId="2F62CF5D">
                  <w:pPr>
                    <w:keepNext w:val="0"/>
                    <w:keepLines w:val="0"/>
                    <w:widowControl/>
                    <w:suppressLineNumbers w:val="0"/>
                    <w:spacing w:before="0" w:beforeAutospacing="0" w:after="0" w:afterAutospacing="0"/>
                    <w:ind w:left="0" w:right="0"/>
                    <w:jc w:val="center"/>
                    <w:textAlignment w:val="center"/>
                    <w:rPr>
                      <w:rFonts w:hint="default"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0.001</w:t>
                  </w:r>
                </w:p>
              </w:tc>
              <w:tc>
                <w:tcPr>
                  <w:tcW w:w="835" w:type="dxa"/>
                  <w:vMerge w:val="continue"/>
                  <w:tcBorders>
                    <w:tl2br w:val="nil"/>
                    <w:tr2bl w:val="nil"/>
                  </w:tcBorders>
                  <w:noWrap w:val="0"/>
                  <w:vAlign w:val="center"/>
                </w:tcPr>
                <w:p w14:paraId="54F2D66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p>
              </w:tc>
              <w:tc>
                <w:tcPr>
                  <w:tcW w:w="468" w:type="dxa"/>
                  <w:vMerge w:val="continue"/>
                  <w:tcBorders>
                    <w:tl2br w:val="nil"/>
                    <w:tr2bl w:val="nil"/>
                  </w:tcBorders>
                  <w:noWrap w:val="0"/>
                  <w:vAlign w:val="center"/>
                </w:tcPr>
                <w:p w14:paraId="74106BC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510" w:type="dxa"/>
                  <w:vMerge w:val="continue"/>
                  <w:tcBorders>
                    <w:tl2br w:val="nil"/>
                    <w:tr2bl w:val="nil"/>
                  </w:tcBorders>
                  <w:noWrap w:val="0"/>
                  <w:vAlign w:val="center"/>
                </w:tcPr>
                <w:p w14:paraId="424C96D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482" w:type="dxa"/>
                  <w:vMerge w:val="continue"/>
                  <w:tcBorders>
                    <w:tl2br w:val="nil"/>
                    <w:tr2bl w:val="nil"/>
                  </w:tcBorders>
                  <w:noWrap w:val="0"/>
                  <w:vAlign w:val="center"/>
                </w:tcPr>
                <w:p w14:paraId="3F874F0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587" w:type="dxa"/>
                  <w:vMerge w:val="continue"/>
                  <w:tcBorders>
                    <w:tl2br w:val="nil"/>
                    <w:tr2bl w:val="nil"/>
                  </w:tcBorders>
                  <w:noWrap w:val="0"/>
                  <w:vAlign w:val="center"/>
                </w:tcPr>
                <w:p w14:paraId="5E493AF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p>
              </w:tc>
              <w:tc>
                <w:tcPr>
                  <w:tcW w:w="1552" w:type="dxa"/>
                  <w:vMerge w:val="continue"/>
                  <w:tcBorders>
                    <w:tl2br w:val="nil"/>
                    <w:tr2bl w:val="nil"/>
                  </w:tcBorders>
                  <w:noWrap w:val="0"/>
                  <w:vAlign w:val="center"/>
                </w:tcPr>
                <w:p w14:paraId="5503367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2069" w:type="dxa"/>
                  <w:vMerge w:val="continue"/>
                  <w:tcBorders>
                    <w:tl2br w:val="nil"/>
                    <w:tr2bl w:val="nil"/>
                  </w:tcBorders>
                  <w:noWrap w:val="0"/>
                  <w:vAlign w:val="center"/>
                </w:tcPr>
                <w:p w14:paraId="55EFBD70">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Cs/>
                      <w:color w:val="auto"/>
                      <w:szCs w:val="21"/>
                      <w:highlight w:val="none"/>
                    </w:rPr>
                  </w:pPr>
                </w:p>
              </w:tc>
            </w:tr>
            <w:tr w14:paraId="0C96B28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40" w:hRule="atLeast"/>
                <w:jc w:val="center"/>
              </w:trPr>
              <w:tc>
                <w:tcPr>
                  <w:tcW w:w="2944" w:type="dxa"/>
                  <w:vMerge w:val="continue"/>
                  <w:tcBorders>
                    <w:tl2br w:val="nil"/>
                    <w:tr2bl w:val="nil"/>
                  </w:tcBorders>
                  <w:noWrap w:val="0"/>
                  <w:vAlign w:val="center"/>
                </w:tcPr>
                <w:p w14:paraId="1DD80451">
                  <w:pPr>
                    <w:keepNext w:val="0"/>
                    <w:keepLines w:val="0"/>
                    <w:suppressLineNumbers w:val="0"/>
                    <w:snapToGrid w:val="0"/>
                    <w:spacing w:before="0" w:beforeAutospacing="0" w:after="0" w:afterAutospacing="0" w:line="240" w:lineRule="atLeast"/>
                    <w:ind w:left="0" w:right="0"/>
                    <w:jc w:val="center"/>
                    <w:rPr>
                      <w:rFonts w:hint="eastAsia" w:cs="宋体"/>
                      <w:color w:val="auto"/>
                      <w:sz w:val="21"/>
                      <w:szCs w:val="21"/>
                      <w:highlight w:val="none"/>
                      <w:lang w:val="en-US" w:eastAsia="zh-CN"/>
                    </w:rPr>
                  </w:pPr>
                </w:p>
              </w:tc>
              <w:tc>
                <w:tcPr>
                  <w:tcW w:w="659" w:type="dxa"/>
                  <w:vMerge w:val="continue"/>
                  <w:tcBorders>
                    <w:tl2br w:val="nil"/>
                    <w:tr2bl w:val="nil"/>
                  </w:tcBorders>
                  <w:noWrap w:val="0"/>
                  <w:vAlign w:val="center"/>
                </w:tcPr>
                <w:p w14:paraId="22525539">
                  <w:pPr>
                    <w:keepNext w:val="0"/>
                    <w:keepLines w:val="0"/>
                    <w:suppressLineNumbers w:val="0"/>
                    <w:snapToGrid w:val="0"/>
                    <w:spacing w:before="0" w:beforeAutospacing="0" w:after="0" w:afterAutospacing="0" w:line="240" w:lineRule="atLeast"/>
                    <w:ind w:left="0" w:right="0"/>
                    <w:jc w:val="center"/>
                    <w:rPr>
                      <w:rFonts w:hint="default" w:ascii="Times New Roman" w:hAnsi="Times New Roman" w:eastAsia="宋体" w:cs="Times New Roman"/>
                      <w:color w:val="auto"/>
                      <w:szCs w:val="21"/>
                      <w:highlight w:val="none"/>
                    </w:rPr>
                  </w:pPr>
                </w:p>
              </w:tc>
              <w:tc>
                <w:tcPr>
                  <w:tcW w:w="876" w:type="dxa"/>
                  <w:tcBorders>
                    <w:tl2br w:val="nil"/>
                    <w:tr2bl w:val="nil"/>
                  </w:tcBorders>
                  <w:noWrap w:val="0"/>
                  <w:vAlign w:val="center"/>
                </w:tcPr>
                <w:p w14:paraId="7FE9E3BC">
                  <w:pPr>
                    <w:keepNext w:val="0"/>
                    <w:keepLines w:val="0"/>
                    <w:suppressLineNumbers w:val="0"/>
                    <w:adjustRightInd w:val="0"/>
                    <w:snapToGrid w:val="0"/>
                    <w:spacing w:before="0" w:beforeAutospacing="0" w:after="0" w:afterAutospacing="0"/>
                    <w:ind w:left="0" w:right="0"/>
                    <w:jc w:val="center"/>
                    <w:rPr>
                      <w:rFonts w:hint="default"/>
                      <w:color w:val="auto"/>
                      <w:sz w:val="21"/>
                      <w:szCs w:val="21"/>
                      <w:lang w:val="en-US" w:eastAsia="zh-CN"/>
                    </w:rPr>
                  </w:pPr>
                  <w:r>
                    <w:rPr>
                      <w:rFonts w:hint="eastAsia"/>
                      <w:color w:val="auto"/>
                      <w:sz w:val="21"/>
                      <w:szCs w:val="21"/>
                      <w:lang w:val="en-US" w:eastAsia="zh-CN"/>
                    </w:rPr>
                    <w:t>臭气浓度</w:t>
                  </w:r>
                </w:p>
              </w:tc>
              <w:tc>
                <w:tcPr>
                  <w:tcW w:w="501" w:type="dxa"/>
                  <w:vMerge w:val="continue"/>
                  <w:tcBorders>
                    <w:tl2br w:val="nil"/>
                    <w:tr2bl w:val="nil"/>
                  </w:tcBorders>
                  <w:noWrap w:val="0"/>
                  <w:vAlign w:val="center"/>
                </w:tcPr>
                <w:p w14:paraId="08D71992">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Cs/>
                      <w:color w:val="auto"/>
                      <w:szCs w:val="21"/>
                      <w:highlight w:val="none"/>
                    </w:rPr>
                  </w:pPr>
                </w:p>
              </w:tc>
              <w:tc>
                <w:tcPr>
                  <w:tcW w:w="610" w:type="dxa"/>
                  <w:vMerge w:val="continue"/>
                  <w:tcBorders>
                    <w:tl2br w:val="nil"/>
                    <w:tr2bl w:val="nil"/>
                  </w:tcBorders>
                  <w:noWrap w:val="0"/>
                  <w:vAlign w:val="center"/>
                </w:tcPr>
                <w:p w14:paraId="733C97B3">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Cs/>
                      <w:color w:val="auto"/>
                      <w:szCs w:val="21"/>
                      <w:highlight w:val="none"/>
                    </w:rPr>
                  </w:pPr>
                </w:p>
              </w:tc>
              <w:tc>
                <w:tcPr>
                  <w:tcW w:w="581" w:type="dxa"/>
                  <w:vMerge w:val="continue"/>
                  <w:tcBorders>
                    <w:tl2br w:val="nil"/>
                    <w:tr2bl w:val="nil"/>
                  </w:tcBorders>
                  <w:noWrap w:val="0"/>
                  <w:vAlign w:val="center"/>
                </w:tcPr>
                <w:p w14:paraId="28DADA69">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Cs/>
                      <w:color w:val="auto"/>
                      <w:szCs w:val="21"/>
                      <w:highlight w:val="none"/>
                    </w:rPr>
                  </w:pPr>
                </w:p>
              </w:tc>
              <w:tc>
                <w:tcPr>
                  <w:tcW w:w="936" w:type="dxa"/>
                  <w:tcBorders>
                    <w:tl2br w:val="nil"/>
                    <w:tr2bl w:val="nil"/>
                  </w:tcBorders>
                  <w:noWrap w:val="0"/>
                  <w:vAlign w:val="center"/>
                </w:tcPr>
                <w:p w14:paraId="1403C5D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64（无量纲）</w:t>
                  </w:r>
                </w:p>
              </w:tc>
              <w:tc>
                <w:tcPr>
                  <w:tcW w:w="794" w:type="dxa"/>
                  <w:tcBorders>
                    <w:tl2br w:val="nil"/>
                    <w:tr2bl w:val="nil"/>
                  </w:tcBorders>
                  <w:noWrap w:val="0"/>
                  <w:vAlign w:val="center"/>
                </w:tcPr>
                <w:p w14:paraId="46D04FA6">
                  <w:pPr>
                    <w:keepNext w:val="0"/>
                    <w:keepLines w:val="0"/>
                    <w:widowControl/>
                    <w:suppressLineNumbers w:val="0"/>
                    <w:spacing w:before="0" w:beforeAutospacing="0" w:after="0" w:afterAutospacing="0"/>
                    <w:ind w:left="0" w:right="0"/>
                    <w:jc w:val="center"/>
                    <w:textAlignment w:val="center"/>
                    <w:rPr>
                      <w:rFonts w:hint="default"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w:t>
                  </w:r>
                </w:p>
              </w:tc>
              <w:tc>
                <w:tcPr>
                  <w:tcW w:w="899" w:type="dxa"/>
                  <w:tcBorders>
                    <w:tl2br w:val="nil"/>
                    <w:tr2bl w:val="nil"/>
                  </w:tcBorders>
                  <w:noWrap w:val="0"/>
                  <w:vAlign w:val="center"/>
                </w:tcPr>
                <w:p w14:paraId="0E30B44D">
                  <w:pPr>
                    <w:keepNext w:val="0"/>
                    <w:keepLines w:val="0"/>
                    <w:widowControl/>
                    <w:suppressLineNumbers w:val="0"/>
                    <w:spacing w:before="0" w:beforeAutospacing="0" w:after="0" w:afterAutospacing="0"/>
                    <w:ind w:left="0" w:right="0"/>
                    <w:jc w:val="center"/>
                    <w:textAlignment w:val="center"/>
                    <w:rPr>
                      <w:rFonts w:hint="default"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w:t>
                  </w:r>
                </w:p>
              </w:tc>
              <w:tc>
                <w:tcPr>
                  <w:tcW w:w="835" w:type="dxa"/>
                  <w:vMerge w:val="continue"/>
                  <w:tcBorders>
                    <w:tl2br w:val="nil"/>
                    <w:tr2bl w:val="nil"/>
                  </w:tcBorders>
                  <w:noWrap w:val="0"/>
                  <w:vAlign w:val="center"/>
                </w:tcPr>
                <w:p w14:paraId="4A94295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p>
              </w:tc>
              <w:tc>
                <w:tcPr>
                  <w:tcW w:w="468" w:type="dxa"/>
                  <w:vMerge w:val="continue"/>
                  <w:tcBorders>
                    <w:tl2br w:val="nil"/>
                    <w:tr2bl w:val="nil"/>
                  </w:tcBorders>
                  <w:noWrap w:val="0"/>
                  <w:vAlign w:val="center"/>
                </w:tcPr>
                <w:p w14:paraId="1B4D4A3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510" w:type="dxa"/>
                  <w:vMerge w:val="continue"/>
                  <w:tcBorders>
                    <w:tl2br w:val="nil"/>
                    <w:tr2bl w:val="nil"/>
                  </w:tcBorders>
                  <w:noWrap w:val="0"/>
                  <w:vAlign w:val="center"/>
                </w:tcPr>
                <w:p w14:paraId="3441C77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482" w:type="dxa"/>
                  <w:vMerge w:val="continue"/>
                  <w:tcBorders>
                    <w:tl2br w:val="nil"/>
                    <w:tr2bl w:val="nil"/>
                  </w:tcBorders>
                  <w:noWrap w:val="0"/>
                  <w:vAlign w:val="center"/>
                </w:tcPr>
                <w:p w14:paraId="1F18B0E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587" w:type="dxa"/>
                  <w:vMerge w:val="continue"/>
                  <w:tcBorders>
                    <w:tl2br w:val="nil"/>
                    <w:tr2bl w:val="nil"/>
                  </w:tcBorders>
                  <w:noWrap w:val="0"/>
                  <w:vAlign w:val="center"/>
                </w:tcPr>
                <w:p w14:paraId="175FEF9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p>
              </w:tc>
              <w:tc>
                <w:tcPr>
                  <w:tcW w:w="1552" w:type="dxa"/>
                  <w:vMerge w:val="continue"/>
                  <w:tcBorders>
                    <w:tl2br w:val="nil"/>
                    <w:tr2bl w:val="nil"/>
                  </w:tcBorders>
                  <w:noWrap w:val="0"/>
                  <w:vAlign w:val="center"/>
                </w:tcPr>
                <w:p w14:paraId="07C1A0D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2069" w:type="dxa"/>
                  <w:vMerge w:val="continue"/>
                  <w:tcBorders>
                    <w:tl2br w:val="nil"/>
                    <w:tr2bl w:val="nil"/>
                  </w:tcBorders>
                  <w:noWrap w:val="0"/>
                  <w:vAlign w:val="center"/>
                </w:tcPr>
                <w:p w14:paraId="73FD2781">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Cs/>
                      <w:color w:val="auto"/>
                      <w:szCs w:val="21"/>
                      <w:highlight w:val="none"/>
                    </w:rPr>
                  </w:pPr>
                </w:p>
              </w:tc>
            </w:tr>
            <w:tr w14:paraId="0EB1BD3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944" w:type="dxa"/>
                  <w:tcBorders>
                    <w:tl2br w:val="nil"/>
                    <w:tr2bl w:val="nil"/>
                  </w:tcBorders>
                  <w:noWrap w:val="0"/>
                  <w:vAlign w:val="center"/>
                </w:tcPr>
                <w:p w14:paraId="3E8D9C47">
                  <w:pPr>
                    <w:keepNext w:val="0"/>
                    <w:keepLines w:val="0"/>
                    <w:suppressLineNumbers w:val="0"/>
                    <w:snapToGrid w:val="0"/>
                    <w:spacing w:before="0" w:beforeAutospacing="0" w:after="0" w:afterAutospacing="0" w:line="240" w:lineRule="atLeast"/>
                    <w:ind w:left="0" w:right="0"/>
                    <w:jc w:val="center"/>
                    <w:rPr>
                      <w:rFonts w:hint="eastAsia" w:cs="Times New Roman"/>
                      <w:bCs/>
                      <w:color w:val="auto"/>
                      <w:szCs w:val="21"/>
                      <w:highlight w:val="none"/>
                      <w:lang w:val="en-US" w:eastAsia="zh-CN"/>
                    </w:rPr>
                  </w:pPr>
                  <w:r>
                    <w:rPr>
                      <w:rFonts w:hint="eastAsia" w:cs="宋体"/>
                      <w:color w:val="auto"/>
                      <w:sz w:val="21"/>
                      <w:szCs w:val="21"/>
                      <w:highlight w:val="none"/>
                      <w:lang w:val="en-US" w:eastAsia="zh-CN"/>
                    </w:rPr>
                    <w:t>表面处理、刷胶及烘干有机废气</w:t>
                  </w:r>
                </w:p>
              </w:tc>
              <w:tc>
                <w:tcPr>
                  <w:tcW w:w="659" w:type="dxa"/>
                  <w:vMerge w:val="continue"/>
                  <w:tcBorders>
                    <w:tl2br w:val="nil"/>
                    <w:tr2bl w:val="nil"/>
                  </w:tcBorders>
                  <w:noWrap w:val="0"/>
                  <w:vAlign w:val="center"/>
                </w:tcPr>
                <w:p w14:paraId="1339D455">
                  <w:pPr>
                    <w:keepNext w:val="0"/>
                    <w:keepLines w:val="0"/>
                    <w:suppressLineNumbers w:val="0"/>
                    <w:snapToGrid w:val="0"/>
                    <w:spacing w:before="0" w:beforeAutospacing="0" w:after="0" w:afterAutospacing="0" w:line="240" w:lineRule="atLeast"/>
                    <w:ind w:left="0" w:right="0"/>
                    <w:jc w:val="center"/>
                    <w:rPr>
                      <w:rFonts w:hint="default" w:ascii="Times New Roman" w:hAnsi="Times New Roman" w:eastAsia="宋体" w:cs="Times New Roman"/>
                      <w:color w:val="auto"/>
                      <w:szCs w:val="21"/>
                      <w:highlight w:val="none"/>
                    </w:rPr>
                  </w:pPr>
                </w:p>
              </w:tc>
              <w:tc>
                <w:tcPr>
                  <w:tcW w:w="876" w:type="dxa"/>
                  <w:tcBorders>
                    <w:tl2br w:val="nil"/>
                    <w:tr2bl w:val="nil"/>
                  </w:tcBorders>
                  <w:noWrap w:val="0"/>
                  <w:vAlign w:val="center"/>
                </w:tcPr>
                <w:p w14:paraId="4C3FD61B">
                  <w:pPr>
                    <w:keepNext w:val="0"/>
                    <w:keepLines w:val="0"/>
                    <w:suppressLineNumbers w:val="0"/>
                    <w:adjustRightInd w:val="0"/>
                    <w:snapToGrid w:val="0"/>
                    <w:spacing w:before="0" w:beforeAutospacing="0" w:after="0" w:afterAutospacing="0"/>
                    <w:ind w:left="0" w:right="0"/>
                    <w:jc w:val="center"/>
                    <w:rPr>
                      <w:rFonts w:hint="eastAsia" w:cs="Times New Roman"/>
                      <w:bCs/>
                      <w:color w:val="auto"/>
                      <w:szCs w:val="21"/>
                      <w:highlight w:val="none"/>
                      <w:lang w:val="en-US" w:eastAsia="zh-CN"/>
                    </w:rPr>
                  </w:pPr>
                  <w:r>
                    <w:rPr>
                      <w:rFonts w:hint="eastAsia" w:cs="Times New Roman"/>
                      <w:bCs/>
                      <w:color w:val="auto"/>
                      <w:szCs w:val="21"/>
                      <w:highlight w:val="none"/>
                      <w:lang w:val="en-US" w:eastAsia="zh-CN"/>
                    </w:rPr>
                    <w:t>非甲烷总烃</w:t>
                  </w:r>
                </w:p>
              </w:tc>
              <w:tc>
                <w:tcPr>
                  <w:tcW w:w="501" w:type="dxa"/>
                  <w:vMerge w:val="continue"/>
                  <w:tcBorders>
                    <w:tl2br w:val="nil"/>
                    <w:tr2bl w:val="nil"/>
                  </w:tcBorders>
                  <w:noWrap w:val="0"/>
                  <w:vAlign w:val="center"/>
                </w:tcPr>
                <w:p w14:paraId="38F476BA">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Cs/>
                      <w:color w:val="auto"/>
                      <w:szCs w:val="21"/>
                      <w:highlight w:val="none"/>
                    </w:rPr>
                  </w:pPr>
                </w:p>
              </w:tc>
              <w:tc>
                <w:tcPr>
                  <w:tcW w:w="610" w:type="dxa"/>
                  <w:vMerge w:val="continue"/>
                  <w:tcBorders>
                    <w:tl2br w:val="nil"/>
                    <w:tr2bl w:val="nil"/>
                  </w:tcBorders>
                  <w:noWrap w:val="0"/>
                  <w:vAlign w:val="center"/>
                </w:tcPr>
                <w:p w14:paraId="40F54AF5">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Cs/>
                      <w:color w:val="auto"/>
                      <w:szCs w:val="21"/>
                      <w:highlight w:val="none"/>
                    </w:rPr>
                  </w:pPr>
                </w:p>
              </w:tc>
              <w:tc>
                <w:tcPr>
                  <w:tcW w:w="581" w:type="dxa"/>
                  <w:vMerge w:val="continue"/>
                  <w:tcBorders>
                    <w:tl2br w:val="nil"/>
                    <w:tr2bl w:val="nil"/>
                  </w:tcBorders>
                  <w:noWrap w:val="0"/>
                  <w:vAlign w:val="center"/>
                </w:tcPr>
                <w:p w14:paraId="7F830B67">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Cs/>
                      <w:color w:val="auto"/>
                      <w:szCs w:val="21"/>
                      <w:highlight w:val="none"/>
                    </w:rPr>
                  </w:pPr>
                </w:p>
              </w:tc>
              <w:tc>
                <w:tcPr>
                  <w:tcW w:w="936" w:type="dxa"/>
                  <w:tcBorders>
                    <w:tl2br w:val="nil"/>
                    <w:tr2bl w:val="nil"/>
                  </w:tcBorders>
                  <w:noWrap w:val="0"/>
                  <w:vAlign w:val="center"/>
                </w:tcPr>
                <w:p w14:paraId="6B068CE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rPr>
                      <w:rFonts w:hint="default" w:cs="Times New Roman"/>
                      <w:i w:val="0"/>
                      <w:iCs w:val="0"/>
                      <w:color w:val="auto"/>
                      <w:kern w:val="0"/>
                      <w:sz w:val="21"/>
                      <w:szCs w:val="21"/>
                      <w:highlight w:val="none"/>
                      <w:u w:val="none"/>
                      <w:lang w:val="en-US" w:eastAsia="zh-CN" w:bidi="ar"/>
                    </w:rPr>
                  </w:pPr>
                  <w:r>
                    <w:rPr>
                      <w:rFonts w:hint="eastAsia" w:cs="Times New Roman"/>
                      <w:color w:val="auto"/>
                      <w:kern w:val="2"/>
                      <w:sz w:val="21"/>
                      <w:szCs w:val="21"/>
                      <w:highlight w:val="none"/>
                      <w:lang w:val="en-US" w:eastAsia="zh-CN" w:bidi="ar-SA"/>
                    </w:rPr>
                    <w:t>122.8</w:t>
                  </w:r>
                </w:p>
              </w:tc>
              <w:tc>
                <w:tcPr>
                  <w:tcW w:w="794" w:type="dxa"/>
                  <w:tcBorders>
                    <w:tl2br w:val="nil"/>
                    <w:tr2bl w:val="nil"/>
                  </w:tcBorders>
                  <w:noWrap w:val="0"/>
                  <w:vAlign w:val="center"/>
                </w:tcPr>
                <w:p w14:paraId="40D3BCBB">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1.228</w:t>
                  </w:r>
                </w:p>
              </w:tc>
              <w:tc>
                <w:tcPr>
                  <w:tcW w:w="899" w:type="dxa"/>
                  <w:tcBorders>
                    <w:tl2br w:val="nil"/>
                    <w:tr2bl w:val="nil"/>
                  </w:tcBorders>
                  <w:noWrap w:val="0"/>
                  <w:vAlign w:val="center"/>
                </w:tcPr>
                <w:p w14:paraId="58799F4B">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0.0025</w:t>
                  </w:r>
                </w:p>
              </w:tc>
              <w:tc>
                <w:tcPr>
                  <w:tcW w:w="835" w:type="dxa"/>
                  <w:tcBorders>
                    <w:tl2br w:val="nil"/>
                    <w:tr2bl w:val="nil"/>
                  </w:tcBorders>
                  <w:noWrap w:val="0"/>
                  <w:vAlign w:val="center"/>
                </w:tcPr>
                <w:p w14:paraId="2916A5A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rPr>
                  </w:pPr>
                  <w:r>
                    <w:rPr>
                      <w:rFonts w:hint="default" w:ascii="Times New Roman" w:hAnsi="Times New Roman" w:eastAsia="宋体" w:cs="Times New Roman"/>
                      <w:color w:val="auto"/>
                      <w:sz w:val="21"/>
                      <w:szCs w:val="21"/>
                      <w:highlight w:val="none"/>
                    </w:rPr>
                    <w:t>DA0</w:t>
                  </w:r>
                  <w:r>
                    <w:rPr>
                      <w:rFonts w:hint="default" w:ascii="Times New Roman" w:hAnsi="Times New Roman" w:cs="Times New Roman"/>
                      <w:color w:val="auto"/>
                      <w:sz w:val="21"/>
                      <w:szCs w:val="21"/>
                      <w:highlight w:val="none"/>
                      <w:lang w:val="en-US" w:eastAsia="zh-CN"/>
                    </w:rPr>
                    <w:t>0</w:t>
                  </w:r>
                  <w:r>
                    <w:rPr>
                      <w:rFonts w:hint="eastAsia" w:cs="Times New Roman"/>
                      <w:color w:val="auto"/>
                      <w:sz w:val="21"/>
                      <w:szCs w:val="21"/>
                      <w:highlight w:val="none"/>
                      <w:lang w:val="en-US" w:eastAsia="zh-CN"/>
                    </w:rPr>
                    <w:t>4</w:t>
                  </w:r>
                </w:p>
              </w:tc>
              <w:tc>
                <w:tcPr>
                  <w:tcW w:w="468" w:type="dxa"/>
                  <w:vMerge w:val="continue"/>
                  <w:tcBorders>
                    <w:tl2br w:val="nil"/>
                    <w:tr2bl w:val="nil"/>
                  </w:tcBorders>
                  <w:noWrap w:val="0"/>
                  <w:vAlign w:val="center"/>
                </w:tcPr>
                <w:p w14:paraId="24BDA99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510" w:type="dxa"/>
                  <w:vMerge w:val="continue"/>
                  <w:tcBorders>
                    <w:tl2br w:val="nil"/>
                    <w:tr2bl w:val="nil"/>
                  </w:tcBorders>
                  <w:noWrap w:val="0"/>
                  <w:vAlign w:val="center"/>
                </w:tcPr>
                <w:p w14:paraId="0BB6040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482" w:type="dxa"/>
                  <w:vMerge w:val="continue"/>
                  <w:tcBorders>
                    <w:tl2br w:val="nil"/>
                    <w:tr2bl w:val="nil"/>
                  </w:tcBorders>
                  <w:noWrap w:val="0"/>
                  <w:vAlign w:val="center"/>
                </w:tcPr>
                <w:p w14:paraId="335D467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587" w:type="dxa"/>
                  <w:vMerge w:val="continue"/>
                  <w:tcBorders>
                    <w:tl2br w:val="nil"/>
                    <w:tr2bl w:val="nil"/>
                  </w:tcBorders>
                  <w:noWrap w:val="0"/>
                  <w:vAlign w:val="center"/>
                </w:tcPr>
                <w:p w14:paraId="0DD56C4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p>
              </w:tc>
              <w:tc>
                <w:tcPr>
                  <w:tcW w:w="1552" w:type="dxa"/>
                  <w:tcBorders>
                    <w:tl2br w:val="nil"/>
                    <w:tr2bl w:val="nil"/>
                  </w:tcBorders>
                  <w:noWrap w:val="0"/>
                  <w:vAlign w:val="center"/>
                </w:tcPr>
                <w:p w14:paraId="253D225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eastAsia" w:cs="Times New Roman"/>
                      <w:color w:val="auto"/>
                      <w:sz w:val="21"/>
                      <w:szCs w:val="21"/>
                      <w:highlight w:val="none"/>
                      <w:lang w:val="en-US" w:eastAsia="zh-CN"/>
                    </w:rPr>
                    <w:t>E</w:t>
                  </w:r>
                  <w:r>
                    <w:rPr>
                      <w:rFonts w:hint="default" w:ascii="Times New Roman" w:hAnsi="Times New Roman" w:eastAsia="宋体" w:cs="Times New Roman"/>
                      <w:color w:val="auto"/>
                      <w:sz w:val="21"/>
                      <w:szCs w:val="21"/>
                      <w:highlight w:val="none"/>
                    </w:rPr>
                    <w:t>117°</w:t>
                  </w:r>
                  <w:r>
                    <w:rPr>
                      <w:rFonts w:hint="eastAsia" w:cs="Times New Roman"/>
                      <w:color w:val="auto"/>
                      <w:sz w:val="21"/>
                      <w:szCs w:val="21"/>
                      <w:highlight w:val="none"/>
                      <w:lang w:val="en-US" w:eastAsia="zh-CN"/>
                    </w:rPr>
                    <w:t>9</w:t>
                  </w:r>
                  <w:r>
                    <w:rPr>
                      <w:rFonts w:hint="default" w:ascii="Times New Roman" w:hAnsi="Times New Roman" w:eastAsia="宋体" w:cs="Times New Roman"/>
                      <w:color w:val="auto"/>
                      <w:sz w:val="21"/>
                      <w:szCs w:val="21"/>
                      <w:highlight w:val="none"/>
                    </w:rPr>
                    <w:t>′</w:t>
                  </w:r>
                  <w:r>
                    <w:rPr>
                      <w:rFonts w:hint="eastAsia" w:cs="Times New Roman"/>
                      <w:color w:val="auto"/>
                      <w:sz w:val="21"/>
                      <w:szCs w:val="21"/>
                      <w:highlight w:val="none"/>
                      <w:lang w:val="en-US" w:eastAsia="zh-CN"/>
                    </w:rPr>
                    <w:t>26.191</w:t>
                  </w:r>
                  <w:r>
                    <w:rPr>
                      <w:rFonts w:hint="default" w:ascii="Times New Roman" w:hAnsi="Times New Roman" w:eastAsia="宋体" w:cs="Times New Roman"/>
                      <w:color w:val="auto"/>
                      <w:sz w:val="21"/>
                      <w:szCs w:val="21"/>
                      <w:highlight w:val="none"/>
                    </w:rPr>
                    <w:t>″</w:t>
                  </w:r>
                </w:p>
                <w:p w14:paraId="066C1EB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N</w:t>
                  </w:r>
                  <w:r>
                    <w:rPr>
                      <w:rFonts w:hint="default" w:ascii="Times New Roman" w:hAnsi="Times New Roman" w:eastAsia="宋体" w:cs="Times New Roman"/>
                      <w:color w:val="auto"/>
                      <w:sz w:val="21"/>
                      <w:szCs w:val="21"/>
                      <w:highlight w:val="none"/>
                    </w:rPr>
                    <w:t>29°0′</w:t>
                  </w:r>
                  <w:r>
                    <w:rPr>
                      <w:rFonts w:hint="eastAsia" w:cs="Times New Roman"/>
                      <w:color w:val="auto"/>
                      <w:sz w:val="21"/>
                      <w:szCs w:val="21"/>
                      <w:highlight w:val="none"/>
                      <w:lang w:val="en-US" w:eastAsia="zh-CN"/>
                    </w:rPr>
                    <w:t>30.382</w:t>
                  </w:r>
                  <w:r>
                    <w:rPr>
                      <w:rFonts w:hint="default" w:ascii="Times New Roman" w:hAnsi="Times New Roman" w:eastAsia="宋体" w:cs="Times New Roman"/>
                      <w:color w:val="auto"/>
                      <w:sz w:val="21"/>
                      <w:szCs w:val="21"/>
                      <w:highlight w:val="none"/>
                    </w:rPr>
                    <w:t>″</w:t>
                  </w:r>
                </w:p>
              </w:tc>
              <w:tc>
                <w:tcPr>
                  <w:tcW w:w="2069" w:type="dxa"/>
                  <w:vMerge w:val="continue"/>
                  <w:tcBorders>
                    <w:tl2br w:val="nil"/>
                    <w:tr2bl w:val="nil"/>
                  </w:tcBorders>
                  <w:noWrap w:val="0"/>
                  <w:vAlign w:val="center"/>
                </w:tcPr>
                <w:p w14:paraId="64AAE492">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Cs/>
                      <w:color w:val="auto"/>
                      <w:szCs w:val="21"/>
                      <w:highlight w:val="none"/>
                    </w:rPr>
                  </w:pPr>
                </w:p>
              </w:tc>
            </w:tr>
          </w:tbl>
          <w:p w14:paraId="584C8231">
            <w:pPr>
              <w:keepNext w:val="0"/>
              <w:keepLines w:val="0"/>
              <w:suppressLineNumbers w:val="0"/>
              <w:spacing w:before="0" w:beforeAutospacing="0" w:after="0" w:afterAutospacing="0" w:line="360" w:lineRule="auto"/>
              <w:ind w:left="0" w:leftChars="0" w:right="0" w:firstLine="0" w:firstLineChars="0"/>
              <w:rPr>
                <w:rFonts w:hint="default"/>
                <w:color w:val="auto"/>
                <w:sz w:val="24"/>
                <w:highlight w:val="none"/>
              </w:rPr>
            </w:pPr>
          </w:p>
        </w:tc>
      </w:tr>
    </w:tbl>
    <w:p w14:paraId="2A754B2F">
      <w:pPr>
        <w:pStyle w:val="16"/>
        <w:rPr>
          <w:rFonts w:hint="default"/>
          <w:color w:val="auto"/>
          <w:highlight w:val="none"/>
        </w:rPr>
        <w:sectPr>
          <w:pgSz w:w="16840" w:h="11907" w:orient="landscape"/>
          <w:pgMar w:top="1417" w:right="1304" w:bottom="1417" w:left="1304" w:header="851" w:footer="851" w:gutter="0"/>
          <w:pgBorders>
            <w:top w:val="none" w:sz="0" w:space="0"/>
            <w:left w:val="none" w:sz="0" w:space="0"/>
            <w:bottom w:val="none" w:sz="0" w:space="0"/>
            <w:right w:val="none" w:sz="0" w:space="0"/>
          </w:pgBorders>
          <w:pgNumType w:fmt="decimal"/>
          <w:cols w:space="720" w:num="1"/>
          <w:docGrid w:linePitch="312" w:charSpace="0"/>
        </w:sectPr>
      </w:pPr>
    </w:p>
    <w:tbl>
      <w:tblPr>
        <w:tblStyle w:val="26"/>
        <w:tblW w:w="5131"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370"/>
        <w:gridCol w:w="9080"/>
      </w:tblGrid>
      <w:tr w14:paraId="5A5E55C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898" w:hRule="atLeast"/>
          <w:jc w:val="center"/>
        </w:trPr>
        <w:tc>
          <w:tcPr>
            <w:tcW w:w="196" w:type="pct"/>
            <w:tcMar>
              <w:left w:w="28" w:type="dxa"/>
              <w:right w:w="28" w:type="dxa"/>
            </w:tcMar>
            <w:vAlign w:val="center"/>
          </w:tcPr>
          <w:p w14:paraId="7DD5CB6F">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bCs/>
                <w:color w:val="auto"/>
                <w:kern w:val="2"/>
                <w:sz w:val="24"/>
                <w:szCs w:val="24"/>
                <w:highlight w:val="none"/>
                <w:lang w:val="en-US" w:eastAsia="zh-CN" w:bidi="ar-SA"/>
              </w:rPr>
            </w:pPr>
            <w:r>
              <w:rPr>
                <w:rFonts w:hint="eastAsia" w:ascii="Times New Roman" w:hAnsi="Times New Roman" w:eastAsia="宋体" w:cs="Times New Roman"/>
                <w:b/>
                <w:bCs/>
                <w:color w:val="auto"/>
                <w:kern w:val="2"/>
                <w:sz w:val="24"/>
                <w:szCs w:val="24"/>
                <w:highlight w:val="none"/>
                <w:lang w:val="en-US" w:eastAsia="zh-CN" w:bidi="ar-SA"/>
              </w:rPr>
              <w:t>运</w:t>
            </w:r>
          </w:p>
          <w:p w14:paraId="68C1FA47">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bCs/>
                <w:color w:val="auto"/>
                <w:kern w:val="2"/>
                <w:sz w:val="24"/>
                <w:szCs w:val="24"/>
                <w:highlight w:val="none"/>
                <w:lang w:val="en-US" w:eastAsia="zh-CN" w:bidi="ar-SA"/>
              </w:rPr>
            </w:pPr>
            <w:r>
              <w:rPr>
                <w:rFonts w:hint="eastAsia" w:ascii="Times New Roman" w:hAnsi="Times New Roman" w:eastAsia="宋体" w:cs="Times New Roman"/>
                <w:b/>
                <w:bCs/>
                <w:color w:val="auto"/>
                <w:kern w:val="2"/>
                <w:sz w:val="24"/>
                <w:szCs w:val="24"/>
                <w:highlight w:val="none"/>
                <w:lang w:val="en-US" w:eastAsia="zh-CN" w:bidi="ar-SA"/>
              </w:rPr>
              <w:t>营</w:t>
            </w:r>
          </w:p>
          <w:p w14:paraId="761B0580">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bCs/>
                <w:color w:val="auto"/>
                <w:kern w:val="2"/>
                <w:sz w:val="24"/>
                <w:szCs w:val="24"/>
                <w:highlight w:val="none"/>
                <w:lang w:val="en-US" w:eastAsia="zh-CN" w:bidi="ar-SA"/>
              </w:rPr>
            </w:pPr>
            <w:r>
              <w:rPr>
                <w:rFonts w:hint="eastAsia" w:ascii="Times New Roman" w:hAnsi="Times New Roman" w:eastAsia="宋体" w:cs="Times New Roman"/>
                <w:b/>
                <w:bCs/>
                <w:color w:val="auto"/>
                <w:kern w:val="2"/>
                <w:sz w:val="24"/>
                <w:szCs w:val="24"/>
                <w:highlight w:val="none"/>
                <w:lang w:val="en-US" w:eastAsia="zh-CN" w:bidi="ar-SA"/>
              </w:rPr>
              <w:t>期</w:t>
            </w:r>
          </w:p>
          <w:p w14:paraId="1C6922AE">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bCs/>
                <w:color w:val="auto"/>
                <w:kern w:val="2"/>
                <w:sz w:val="24"/>
                <w:szCs w:val="24"/>
                <w:highlight w:val="none"/>
                <w:lang w:val="en-US" w:eastAsia="zh-CN" w:bidi="ar-SA"/>
              </w:rPr>
            </w:pPr>
            <w:r>
              <w:rPr>
                <w:rFonts w:hint="eastAsia" w:ascii="Times New Roman" w:hAnsi="Times New Roman" w:eastAsia="宋体" w:cs="Times New Roman"/>
                <w:b/>
                <w:bCs/>
                <w:color w:val="auto"/>
                <w:kern w:val="2"/>
                <w:sz w:val="24"/>
                <w:szCs w:val="24"/>
                <w:highlight w:val="none"/>
                <w:lang w:val="en-US" w:eastAsia="zh-CN" w:bidi="ar-SA"/>
              </w:rPr>
              <w:t>环</w:t>
            </w:r>
          </w:p>
          <w:p w14:paraId="1C437ABB">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bCs/>
                <w:color w:val="auto"/>
                <w:kern w:val="2"/>
                <w:sz w:val="24"/>
                <w:szCs w:val="24"/>
                <w:highlight w:val="none"/>
                <w:lang w:val="en-US" w:eastAsia="zh-CN" w:bidi="ar-SA"/>
              </w:rPr>
            </w:pPr>
            <w:r>
              <w:rPr>
                <w:rFonts w:hint="eastAsia" w:ascii="Times New Roman" w:hAnsi="Times New Roman" w:eastAsia="宋体" w:cs="Times New Roman"/>
                <w:b/>
                <w:bCs/>
                <w:color w:val="auto"/>
                <w:kern w:val="2"/>
                <w:sz w:val="24"/>
                <w:szCs w:val="24"/>
                <w:highlight w:val="none"/>
                <w:lang w:val="en-US" w:eastAsia="zh-CN" w:bidi="ar-SA"/>
              </w:rPr>
              <w:t>境</w:t>
            </w:r>
          </w:p>
          <w:p w14:paraId="7BB28084">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bCs/>
                <w:color w:val="auto"/>
                <w:kern w:val="2"/>
                <w:sz w:val="24"/>
                <w:szCs w:val="24"/>
                <w:highlight w:val="none"/>
                <w:lang w:val="en-US" w:eastAsia="zh-CN" w:bidi="ar-SA"/>
              </w:rPr>
            </w:pPr>
            <w:r>
              <w:rPr>
                <w:rFonts w:hint="eastAsia" w:ascii="Times New Roman" w:hAnsi="Times New Roman" w:eastAsia="宋体" w:cs="Times New Roman"/>
                <w:b/>
                <w:bCs/>
                <w:color w:val="auto"/>
                <w:kern w:val="2"/>
                <w:sz w:val="24"/>
                <w:szCs w:val="24"/>
                <w:highlight w:val="none"/>
                <w:lang w:val="en-US" w:eastAsia="zh-CN" w:bidi="ar-SA"/>
              </w:rPr>
              <w:t>影</w:t>
            </w:r>
          </w:p>
          <w:p w14:paraId="26B961BC">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bCs/>
                <w:color w:val="auto"/>
                <w:kern w:val="2"/>
                <w:sz w:val="24"/>
                <w:szCs w:val="24"/>
                <w:highlight w:val="none"/>
                <w:lang w:val="en-US" w:eastAsia="zh-CN" w:bidi="ar-SA"/>
              </w:rPr>
            </w:pPr>
            <w:r>
              <w:rPr>
                <w:rFonts w:hint="eastAsia" w:ascii="Times New Roman" w:hAnsi="Times New Roman" w:eastAsia="宋体" w:cs="Times New Roman"/>
                <w:b/>
                <w:bCs/>
                <w:color w:val="auto"/>
                <w:kern w:val="2"/>
                <w:sz w:val="24"/>
                <w:szCs w:val="24"/>
                <w:highlight w:val="none"/>
                <w:lang w:val="en-US" w:eastAsia="zh-CN" w:bidi="ar-SA"/>
              </w:rPr>
              <w:t>响</w:t>
            </w:r>
          </w:p>
          <w:p w14:paraId="44373379">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bCs/>
                <w:color w:val="auto"/>
                <w:kern w:val="2"/>
                <w:sz w:val="24"/>
                <w:szCs w:val="24"/>
                <w:highlight w:val="none"/>
                <w:lang w:val="en-US" w:eastAsia="zh-CN" w:bidi="ar-SA"/>
              </w:rPr>
            </w:pPr>
            <w:r>
              <w:rPr>
                <w:rFonts w:hint="eastAsia" w:ascii="Times New Roman" w:hAnsi="Times New Roman" w:eastAsia="宋体" w:cs="Times New Roman"/>
                <w:b/>
                <w:bCs/>
                <w:color w:val="auto"/>
                <w:kern w:val="2"/>
                <w:sz w:val="24"/>
                <w:szCs w:val="24"/>
                <w:highlight w:val="none"/>
                <w:lang w:val="en-US" w:eastAsia="zh-CN" w:bidi="ar-SA"/>
              </w:rPr>
              <w:t>和</w:t>
            </w:r>
          </w:p>
          <w:p w14:paraId="374397B1">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bCs/>
                <w:color w:val="auto"/>
                <w:kern w:val="2"/>
                <w:sz w:val="24"/>
                <w:szCs w:val="24"/>
                <w:highlight w:val="none"/>
                <w:lang w:val="en-US" w:eastAsia="zh-CN" w:bidi="ar-SA"/>
              </w:rPr>
            </w:pPr>
            <w:r>
              <w:rPr>
                <w:rFonts w:hint="eastAsia" w:ascii="Times New Roman" w:hAnsi="Times New Roman" w:eastAsia="宋体" w:cs="Times New Roman"/>
                <w:b/>
                <w:bCs/>
                <w:color w:val="auto"/>
                <w:kern w:val="2"/>
                <w:sz w:val="24"/>
                <w:szCs w:val="24"/>
                <w:highlight w:val="none"/>
                <w:lang w:val="en-US" w:eastAsia="zh-CN" w:bidi="ar-SA"/>
              </w:rPr>
              <w:t>保</w:t>
            </w:r>
          </w:p>
          <w:p w14:paraId="382CD585">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bCs/>
                <w:color w:val="auto"/>
                <w:kern w:val="2"/>
                <w:sz w:val="24"/>
                <w:szCs w:val="24"/>
                <w:highlight w:val="none"/>
                <w:lang w:val="en-US" w:eastAsia="zh-CN" w:bidi="ar-SA"/>
              </w:rPr>
            </w:pPr>
            <w:r>
              <w:rPr>
                <w:rFonts w:hint="eastAsia" w:ascii="Times New Roman" w:hAnsi="Times New Roman" w:eastAsia="宋体" w:cs="Times New Roman"/>
                <w:b/>
                <w:bCs/>
                <w:color w:val="auto"/>
                <w:kern w:val="2"/>
                <w:sz w:val="24"/>
                <w:szCs w:val="24"/>
                <w:highlight w:val="none"/>
                <w:lang w:val="en-US" w:eastAsia="zh-CN" w:bidi="ar-SA"/>
              </w:rPr>
              <w:t>护</w:t>
            </w:r>
          </w:p>
          <w:p w14:paraId="75A55BDA">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bCs/>
                <w:color w:val="auto"/>
                <w:kern w:val="2"/>
                <w:sz w:val="24"/>
                <w:szCs w:val="24"/>
                <w:highlight w:val="none"/>
                <w:lang w:val="en-US" w:eastAsia="zh-CN" w:bidi="ar-SA"/>
              </w:rPr>
            </w:pPr>
            <w:r>
              <w:rPr>
                <w:rFonts w:hint="eastAsia" w:ascii="Times New Roman" w:hAnsi="Times New Roman" w:eastAsia="宋体" w:cs="Times New Roman"/>
                <w:b/>
                <w:bCs/>
                <w:color w:val="auto"/>
                <w:kern w:val="2"/>
                <w:sz w:val="24"/>
                <w:szCs w:val="24"/>
                <w:highlight w:val="none"/>
                <w:lang w:val="en-US" w:eastAsia="zh-CN" w:bidi="ar-SA"/>
              </w:rPr>
              <w:t>措</w:t>
            </w:r>
          </w:p>
          <w:p w14:paraId="71665702">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24"/>
                <w:szCs w:val="21"/>
                <w:highlight w:val="none"/>
                <w:lang w:val="en-US" w:eastAsia="zh-CN" w:bidi="ar-SA"/>
              </w:rPr>
            </w:pPr>
            <w:r>
              <w:rPr>
                <w:rFonts w:hint="eastAsia" w:ascii="Times New Roman" w:hAnsi="Times New Roman" w:eastAsia="宋体" w:cs="Times New Roman"/>
                <w:b/>
                <w:bCs/>
                <w:color w:val="auto"/>
                <w:kern w:val="2"/>
                <w:sz w:val="24"/>
                <w:szCs w:val="24"/>
                <w:highlight w:val="none"/>
                <w:lang w:val="en-US" w:eastAsia="zh-CN" w:bidi="ar-SA"/>
              </w:rPr>
              <w:t>施</w:t>
            </w:r>
          </w:p>
        </w:tc>
        <w:tc>
          <w:tcPr>
            <w:tcW w:w="4803" w:type="pct"/>
            <w:vAlign w:val="center"/>
          </w:tcPr>
          <w:p w14:paraId="330BA5BA">
            <w:pPr>
              <w:pStyle w:val="52"/>
              <w:keepNext w:val="0"/>
              <w:keepLines w:val="0"/>
              <w:pageBreakBefore w:val="0"/>
              <w:widowControl w:val="0"/>
              <w:suppressLineNumbers w:val="0"/>
              <w:tabs>
                <w:tab w:val="left" w:pos="2595"/>
              </w:tabs>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cs="Times New Roman"/>
                <w:color w:val="auto"/>
                <w:kern w:val="0"/>
                <w:highlight w:val="none"/>
              </w:rPr>
            </w:pPr>
            <w:r>
              <w:rPr>
                <w:rFonts w:hint="eastAsia" w:ascii="Times New Roman" w:hAnsi="Times New Roman" w:cs="Times New Roman"/>
                <w:color w:val="auto"/>
                <w:kern w:val="0"/>
                <w:highlight w:val="none"/>
                <w:lang w:val="zh-CN"/>
              </w:rPr>
              <w:t>（</w:t>
            </w:r>
            <w:r>
              <w:rPr>
                <w:rFonts w:hint="eastAsia" w:ascii="Times New Roman" w:hAnsi="Times New Roman" w:cs="Times New Roman"/>
                <w:color w:val="auto"/>
                <w:kern w:val="0"/>
                <w:highlight w:val="none"/>
              </w:rPr>
              <w:t>2</w:t>
            </w:r>
            <w:r>
              <w:rPr>
                <w:rFonts w:hint="eastAsia" w:ascii="Times New Roman" w:hAnsi="Times New Roman" w:cs="Times New Roman"/>
                <w:color w:val="auto"/>
                <w:kern w:val="0"/>
                <w:highlight w:val="none"/>
                <w:lang w:val="zh-CN"/>
              </w:rPr>
              <w:t>）</w:t>
            </w:r>
            <w:r>
              <w:rPr>
                <w:rFonts w:hint="eastAsia" w:ascii="Times New Roman" w:hAnsi="Times New Roman" w:cs="Times New Roman"/>
                <w:color w:val="auto"/>
                <w:kern w:val="0"/>
                <w:highlight w:val="none"/>
                <w:lang w:val="en-US" w:eastAsia="zh-CN"/>
              </w:rPr>
              <w:t>废气</w:t>
            </w:r>
            <w:r>
              <w:rPr>
                <w:rFonts w:hint="default" w:ascii="Times New Roman" w:hAnsi="Times New Roman" w:cs="Times New Roman"/>
                <w:color w:val="auto"/>
                <w:kern w:val="0"/>
                <w:highlight w:val="none"/>
                <w:lang w:val="zh-CN"/>
              </w:rPr>
              <w:t>污染源</w:t>
            </w:r>
            <w:r>
              <w:rPr>
                <w:rFonts w:hint="eastAsia" w:ascii="Times New Roman" w:hAnsi="Times New Roman" w:cs="Times New Roman"/>
                <w:color w:val="auto"/>
                <w:kern w:val="0"/>
                <w:highlight w:val="none"/>
              </w:rPr>
              <w:t>强核算过程</w:t>
            </w:r>
          </w:p>
          <w:p w14:paraId="01BE14E6">
            <w:pPr>
              <w:pStyle w:val="52"/>
              <w:keepNext w:val="0"/>
              <w:keepLines w:val="0"/>
              <w:pageBreakBefore w:val="0"/>
              <w:widowControl w:val="0"/>
              <w:suppressLineNumbers w:val="0"/>
              <w:tabs>
                <w:tab w:val="left" w:pos="2595"/>
              </w:tabs>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color w:val="auto"/>
                <w:highlight w:val="none"/>
                <w:lang w:val="en-US" w:eastAsia="zh-CN"/>
              </w:rPr>
            </w:pPr>
            <w:r>
              <w:rPr>
                <w:rFonts w:hint="eastAsia" w:ascii="Times New Roman" w:hAnsi="Times New Roman" w:cs="Times New Roman"/>
                <w:color w:val="auto"/>
                <w:highlight w:val="none"/>
                <w:lang w:val="en-US" w:eastAsia="zh-CN"/>
              </w:rPr>
              <w:t>本项目废气主要为PVC注塑鞋底制造线产生的</w:t>
            </w:r>
            <w:r>
              <w:rPr>
                <w:rFonts w:hint="eastAsia" w:ascii="Times New Roman" w:hAnsi="Times New Roman" w:eastAsia="宋体" w:cs="Times New Roman"/>
                <w:b w:val="0"/>
                <w:bCs w:val="0"/>
                <w:color w:val="auto"/>
                <w:sz w:val="24"/>
                <w:highlight w:val="none"/>
                <w:shd w:val="clear" w:color="auto" w:fill="auto"/>
                <w:lang w:val="en-US" w:eastAsia="zh-CN"/>
              </w:rPr>
              <w:t>投拌料粉尘</w:t>
            </w:r>
            <w:r>
              <w:rPr>
                <w:rFonts w:hint="eastAsia" w:ascii="Times New Roman" w:hAnsi="Times New Roman" w:cs="Times New Roman"/>
                <w:b w:val="0"/>
                <w:bCs w:val="0"/>
                <w:color w:val="auto"/>
                <w:sz w:val="24"/>
                <w:highlight w:val="none"/>
                <w:shd w:val="clear" w:color="auto" w:fill="auto"/>
                <w:lang w:val="en-US" w:eastAsia="zh-CN"/>
              </w:rPr>
              <w:t>和PVC注塑有机废气，鞋垫制造线产生的发泡有机废气和发泡脱模有机废气，休闲鞋生产线产生的</w:t>
            </w:r>
            <w:r>
              <w:rPr>
                <w:rFonts w:hint="eastAsia" w:ascii="Times New Roman" w:hAnsi="Times New Roman" w:cs="Times New Roman"/>
                <w:color w:val="auto"/>
                <w:highlight w:val="none"/>
                <w:lang w:val="en-US" w:eastAsia="zh-CN"/>
              </w:rPr>
              <w:t>鞋头打磨粉尘、表面处理、刷胶及烘干有机废气和丝网印花、台面胶及晾干有机废气。</w:t>
            </w:r>
          </w:p>
          <w:p w14:paraId="1BC05C10">
            <w:pPr>
              <w:pStyle w:val="52"/>
              <w:keepNext w:val="0"/>
              <w:keepLines w:val="0"/>
              <w:pageBreakBefore w:val="0"/>
              <w:widowControl w:val="0"/>
              <w:numPr>
                <w:ilvl w:val="0"/>
                <w:numId w:val="0"/>
              </w:numPr>
              <w:suppressLineNumbers w:val="0"/>
              <w:tabs>
                <w:tab w:val="left" w:pos="2595"/>
              </w:tabs>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Times New Roman" w:hAnsi="Times New Roman" w:eastAsia="宋体" w:cs="Times New Roman"/>
                <w:color w:val="auto"/>
                <w:kern w:val="21"/>
                <w:sz w:val="24"/>
                <w:szCs w:val="24"/>
                <w:lang w:val="en-US" w:eastAsia="zh-CN" w:bidi="ar-SA"/>
              </w:rPr>
            </w:pPr>
            <w:r>
              <w:rPr>
                <w:rFonts w:hint="eastAsia" w:ascii="Times New Roman" w:hAnsi="Times New Roman" w:cs="Times New Roman"/>
                <w:color w:val="auto"/>
                <w:kern w:val="21"/>
                <w:sz w:val="24"/>
                <w:szCs w:val="24"/>
                <w:lang w:val="en-US" w:eastAsia="zh-CN" w:bidi="ar-SA"/>
              </w:rPr>
              <w:t>1</w:t>
            </w:r>
            <w:r>
              <w:rPr>
                <w:rFonts w:hint="eastAsia" w:ascii="Times New Roman" w:hAnsi="Times New Roman" w:eastAsia="宋体" w:cs="Times New Roman"/>
                <w:color w:val="auto"/>
                <w:kern w:val="21"/>
                <w:sz w:val="24"/>
                <w:szCs w:val="24"/>
                <w:lang w:val="en-US" w:eastAsia="zh-CN" w:bidi="ar-SA"/>
              </w:rPr>
              <w:t>）</w:t>
            </w:r>
            <w:r>
              <w:rPr>
                <w:rFonts w:hint="eastAsia" w:ascii="Times New Roman" w:hAnsi="Times New Roman" w:cs="Times New Roman"/>
                <w:color w:val="auto"/>
                <w:kern w:val="21"/>
                <w:sz w:val="24"/>
                <w:szCs w:val="24"/>
                <w:lang w:val="en-US" w:eastAsia="zh-CN" w:bidi="ar-SA"/>
              </w:rPr>
              <w:t>PVC注塑</w:t>
            </w:r>
            <w:r>
              <w:rPr>
                <w:rFonts w:hint="eastAsia" w:ascii="Times New Roman" w:hAnsi="Times New Roman" w:eastAsia="宋体" w:cs="Times New Roman"/>
                <w:color w:val="auto"/>
                <w:kern w:val="21"/>
                <w:sz w:val="24"/>
                <w:szCs w:val="24"/>
                <w:lang w:val="en-US" w:eastAsia="zh-CN" w:bidi="ar-SA"/>
              </w:rPr>
              <w:t>投拌料粉尘</w:t>
            </w:r>
          </w:p>
          <w:p w14:paraId="0DC0998D">
            <w:pPr>
              <w:pStyle w:val="37"/>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20"/>
              <w:jc w:val="both"/>
              <w:textAlignment w:val="baseline"/>
              <w:rPr>
                <w:rFonts w:hint="default" w:ascii="Times New Roman" w:hAnsi="Times New Roman" w:eastAsia="宋体" w:cs="Times New Roman"/>
                <w:color w:val="auto"/>
                <w:lang w:eastAsia="zh-CN"/>
              </w:rPr>
            </w:pPr>
            <w:r>
              <w:rPr>
                <w:rFonts w:hint="eastAsia" w:ascii="Times New Roman" w:hAnsi="Times New Roman" w:eastAsia="宋体" w:cs="Times New Roman"/>
                <w:color w:val="auto"/>
                <w:kern w:val="21"/>
                <w:sz w:val="24"/>
                <w:szCs w:val="24"/>
                <w:lang w:val="en-US" w:eastAsia="zh-CN" w:bidi="ar-SA"/>
              </w:rPr>
              <w:t>本项目原辅料需通过搅拌机将其</w:t>
            </w:r>
            <w:r>
              <w:rPr>
                <w:rFonts w:hint="eastAsia" w:ascii="Times New Roman" w:cs="Times New Roman"/>
                <w:color w:val="auto"/>
                <w:kern w:val="21"/>
                <w:sz w:val="24"/>
                <w:szCs w:val="24"/>
                <w:lang w:val="en-US" w:eastAsia="zh-CN" w:bidi="ar-SA"/>
              </w:rPr>
              <w:t>拌和均匀</w:t>
            </w:r>
            <w:r>
              <w:rPr>
                <w:rFonts w:hint="eastAsia" w:ascii="Times New Roman" w:hAnsi="Times New Roman" w:eastAsia="宋体" w:cs="Times New Roman"/>
                <w:color w:val="auto"/>
                <w:kern w:val="21"/>
                <w:sz w:val="24"/>
                <w:szCs w:val="24"/>
                <w:lang w:val="en-US" w:eastAsia="zh-CN" w:bidi="ar-SA"/>
              </w:rPr>
              <w:t>。搅拌过程中搅拌机处于加盖密封状态，该工序拆包、投料以及搅拌过程中产生少量粉尘。粉尘产生量参考《排放源统计调查产排污核算方法和系数手册-292 塑料制品行业系数手册》，配料-混合-挤出工艺的颗粒物产生量按6kg/吨-产品计，最不利考虑以本项目注塑原料计算（约</w:t>
            </w:r>
            <w:r>
              <w:rPr>
                <w:rFonts w:hint="eastAsia" w:ascii="Times New Roman" w:hAnsi="Times New Roman" w:cs="Times New Roman"/>
                <w:color w:val="auto"/>
                <w:kern w:val="21"/>
                <w:sz w:val="24"/>
                <w:szCs w:val="24"/>
                <w:lang w:val="en-US" w:eastAsia="zh-CN" w:bidi="ar-SA"/>
              </w:rPr>
              <w:t>496</w:t>
            </w:r>
            <w:r>
              <w:rPr>
                <w:rFonts w:hint="eastAsia" w:ascii="Times New Roman" w:hAnsi="Times New Roman" w:eastAsia="宋体" w:cs="Times New Roman"/>
                <w:color w:val="auto"/>
                <w:kern w:val="21"/>
                <w:sz w:val="24"/>
                <w:szCs w:val="24"/>
                <w:lang w:val="en-US" w:eastAsia="zh-CN" w:bidi="ar-SA"/>
              </w:rPr>
              <w:t>t/a），则项目拆包、投料以及搅拌工序中产生的投拌料粉尘量约</w:t>
            </w:r>
            <w:r>
              <w:rPr>
                <w:rFonts w:hint="eastAsia" w:ascii="Times New Roman" w:hAnsi="Times New Roman" w:cs="Times New Roman"/>
                <w:color w:val="auto"/>
                <w:kern w:val="21"/>
                <w:sz w:val="24"/>
                <w:szCs w:val="24"/>
                <w:lang w:val="en-US" w:eastAsia="zh-CN" w:bidi="ar-SA"/>
              </w:rPr>
              <w:t>2.976</w:t>
            </w:r>
            <w:r>
              <w:rPr>
                <w:rFonts w:hint="eastAsia" w:ascii="Times New Roman" w:hAnsi="Times New Roman" w:eastAsia="宋体" w:cs="Times New Roman"/>
                <w:color w:val="auto"/>
                <w:kern w:val="21"/>
                <w:sz w:val="24"/>
                <w:szCs w:val="24"/>
                <w:lang w:val="en-US" w:eastAsia="zh-CN" w:bidi="ar-SA"/>
              </w:rPr>
              <w:t>t/a。</w:t>
            </w:r>
            <w:r>
              <w:rPr>
                <w:rFonts w:hint="eastAsia" w:ascii="Times New Roman" w:hAnsi="Times New Roman" w:eastAsia="宋体" w:cs="Times New Roman"/>
                <w:color w:val="auto"/>
                <w:lang w:val="en-US" w:eastAsia="zh-CN"/>
              </w:rPr>
              <w:t>搅拌</w:t>
            </w:r>
            <w:r>
              <w:rPr>
                <w:rFonts w:hint="eastAsia" w:ascii="Times New Roman" w:hAnsi="Times New Roman" w:eastAsia="宋体" w:cs="Times New Roman"/>
                <w:color w:val="auto"/>
                <w:lang w:eastAsia="zh-CN"/>
              </w:rPr>
              <w:t>机</w:t>
            </w:r>
            <w:r>
              <w:rPr>
                <w:rFonts w:hint="eastAsia" w:ascii="Times New Roman" w:hAnsi="Times New Roman" w:eastAsia="宋体" w:cs="Times New Roman"/>
                <w:color w:val="auto"/>
                <w:lang w:val="en-US" w:eastAsia="zh-CN"/>
              </w:rPr>
              <w:t>边布置半密闭集气罩负压收集</w:t>
            </w:r>
            <w:r>
              <w:rPr>
                <w:rFonts w:hint="eastAsia" w:ascii="Times New Roman" w:hAnsi="Times New Roman" w:eastAsia="宋体" w:cs="Times New Roman"/>
                <w:color w:val="auto"/>
                <w:lang w:eastAsia="zh-CN"/>
              </w:rPr>
              <w:t>+布袋</w:t>
            </w:r>
            <w:r>
              <w:rPr>
                <w:rFonts w:hint="eastAsia" w:ascii="Times New Roman" w:hAnsi="Times New Roman" w:eastAsia="宋体" w:cs="Times New Roman"/>
                <w:color w:val="auto"/>
                <w:lang w:val="en-US" w:eastAsia="zh-CN"/>
              </w:rPr>
              <w:t>除尘</w:t>
            </w:r>
            <w:r>
              <w:rPr>
                <w:rFonts w:hint="eastAsia" w:ascii="Times New Roman" w:hAnsi="Times New Roman" w:eastAsia="宋体" w:cs="Times New Roman"/>
                <w:color w:val="auto"/>
                <w:lang w:eastAsia="zh-CN"/>
              </w:rPr>
              <w:t>装置，集气效率</w:t>
            </w:r>
            <w:r>
              <w:rPr>
                <w:rFonts w:hint="eastAsia" w:ascii="Times New Roman" w:cs="Times New Roman"/>
                <w:color w:val="auto"/>
                <w:lang w:val="en-US" w:eastAsia="zh-CN"/>
              </w:rPr>
              <w:t>65</w:t>
            </w:r>
            <w:r>
              <w:rPr>
                <w:rFonts w:hint="eastAsia" w:ascii="Times New Roman" w:hAnsi="Times New Roman" w:eastAsia="宋体" w:cs="Times New Roman"/>
                <w:color w:val="auto"/>
                <w:lang w:eastAsia="zh-CN"/>
              </w:rPr>
              <w:t>%</w:t>
            </w:r>
            <w:r>
              <w:rPr>
                <w:rFonts w:hint="default" w:ascii="Times New Roman" w:hAnsi="Times New Roman" w:eastAsia="宋体" w:cs="Times New Roman"/>
                <w:color w:val="auto"/>
                <w:lang w:eastAsia="zh-CN"/>
              </w:rPr>
              <w:t>，</w:t>
            </w:r>
            <w:r>
              <w:rPr>
                <w:rFonts w:hint="eastAsia" w:ascii="Times New Roman" w:hAnsi="Times New Roman" w:eastAsia="宋体" w:cs="Times New Roman"/>
                <w:color w:val="auto"/>
                <w:lang w:eastAsia="zh-CN"/>
              </w:rPr>
              <w:t>布袋过滤效率取9</w:t>
            </w:r>
            <w:r>
              <w:rPr>
                <w:rFonts w:hint="eastAsia" w:ascii="Times New Roman" w:cs="Times New Roman"/>
                <w:color w:val="auto"/>
                <w:lang w:val="en-US" w:eastAsia="zh-CN"/>
              </w:rPr>
              <w:t>5</w:t>
            </w:r>
            <w:r>
              <w:rPr>
                <w:rFonts w:hint="eastAsia" w:ascii="Times New Roman" w:hAnsi="Times New Roman" w:eastAsia="宋体" w:cs="Times New Roman"/>
                <w:color w:val="auto"/>
                <w:lang w:eastAsia="zh-CN"/>
              </w:rPr>
              <w:t>%，则</w:t>
            </w:r>
            <w:r>
              <w:rPr>
                <w:rFonts w:hint="default" w:ascii="Times New Roman" w:hAnsi="Times New Roman" w:eastAsia="宋体" w:cs="Times New Roman"/>
                <w:color w:val="auto"/>
                <w:lang w:eastAsia="zh-CN"/>
              </w:rPr>
              <w:t>项目</w:t>
            </w:r>
            <w:r>
              <w:rPr>
                <w:rFonts w:hint="eastAsia" w:ascii="Times New Roman" w:hAnsi="Times New Roman" w:cs="Times New Roman"/>
                <w:color w:val="auto"/>
                <w:kern w:val="21"/>
                <w:sz w:val="24"/>
                <w:szCs w:val="24"/>
                <w:lang w:val="en-US" w:eastAsia="zh-CN" w:bidi="ar-SA"/>
              </w:rPr>
              <w:t>注塑</w:t>
            </w:r>
            <w:r>
              <w:rPr>
                <w:rFonts w:hint="eastAsia" w:ascii="Times New Roman" w:hAnsi="Times New Roman" w:eastAsia="宋体" w:cs="Times New Roman"/>
                <w:color w:val="auto"/>
                <w:kern w:val="21"/>
                <w:sz w:val="24"/>
                <w:szCs w:val="24"/>
                <w:lang w:val="en-US" w:eastAsia="zh-CN" w:bidi="ar-SA"/>
              </w:rPr>
              <w:t>投拌料粉尘</w:t>
            </w:r>
            <w:r>
              <w:rPr>
                <w:rFonts w:hint="eastAsia" w:ascii="Times New Roman" w:hAnsi="Times New Roman" w:eastAsia="宋体" w:cs="Times New Roman"/>
                <w:color w:val="auto"/>
                <w:lang w:val="en-US" w:eastAsia="zh-CN"/>
              </w:rPr>
              <w:t>有组织</w:t>
            </w:r>
            <w:r>
              <w:rPr>
                <w:rFonts w:hint="default" w:ascii="Times New Roman" w:hAnsi="Times New Roman" w:eastAsia="宋体" w:cs="Times New Roman"/>
                <w:color w:val="auto"/>
                <w:lang w:eastAsia="zh-CN"/>
              </w:rPr>
              <w:t>排放量为</w:t>
            </w:r>
            <w:r>
              <w:rPr>
                <w:rFonts w:hint="eastAsia" w:ascii="Times New Roman" w:hAnsi="Times New Roman" w:eastAsia="宋体" w:cs="Times New Roman"/>
                <w:color w:val="auto"/>
                <w:lang w:eastAsia="zh-CN"/>
              </w:rPr>
              <w:t>0</w:t>
            </w:r>
            <w:r>
              <w:rPr>
                <w:rFonts w:hint="eastAsia" w:ascii="Times New Roman" w:cs="Times New Roman"/>
                <w:color w:val="auto"/>
                <w:lang w:val="en-US" w:eastAsia="zh-CN"/>
              </w:rPr>
              <w:t>.097</w:t>
            </w:r>
            <w:r>
              <w:rPr>
                <w:rFonts w:hint="default" w:ascii="Times New Roman" w:hAnsi="Times New Roman" w:eastAsia="宋体" w:cs="Times New Roman"/>
                <w:color w:val="auto"/>
                <w:lang w:eastAsia="zh-CN"/>
              </w:rPr>
              <w:t>t/a</w:t>
            </w:r>
            <w:r>
              <w:rPr>
                <w:rFonts w:hint="eastAsia" w:ascii="Times New Roman" w:hAnsi="Times New Roman" w:eastAsia="宋体" w:cs="Times New Roman"/>
                <w:color w:val="auto"/>
                <w:lang w:eastAsia="zh-CN"/>
              </w:rPr>
              <w:t>，</w:t>
            </w:r>
            <w:r>
              <w:rPr>
                <w:rFonts w:hint="default" w:ascii="Times New Roman" w:hAnsi="Times New Roman" w:eastAsia="宋体" w:cs="Times New Roman"/>
                <w:color w:val="auto"/>
                <w:lang w:eastAsia="zh-CN"/>
              </w:rPr>
              <w:t>无组织排放为</w:t>
            </w:r>
            <w:r>
              <w:rPr>
                <w:rFonts w:hint="eastAsia" w:ascii="Times New Roman" w:cs="Times New Roman"/>
                <w:color w:val="auto"/>
                <w:lang w:val="en-US" w:eastAsia="zh-CN"/>
              </w:rPr>
              <w:t>1.042</w:t>
            </w:r>
            <w:r>
              <w:rPr>
                <w:rFonts w:hint="default" w:ascii="Times New Roman" w:hAnsi="Times New Roman" w:eastAsia="宋体" w:cs="Times New Roman"/>
                <w:color w:val="auto"/>
                <w:lang w:eastAsia="zh-CN"/>
              </w:rPr>
              <w:t>t/a</w:t>
            </w:r>
            <w:r>
              <w:rPr>
                <w:rFonts w:hint="eastAsia" w:ascii="Times New Roman" w:hAnsi="Times New Roman" w:eastAsia="宋体" w:cs="Times New Roman"/>
                <w:color w:val="auto"/>
                <w:lang w:eastAsia="zh-CN"/>
              </w:rPr>
              <w:t>。</w:t>
            </w:r>
          </w:p>
          <w:p w14:paraId="7D634704">
            <w:pPr>
              <w:pStyle w:val="52"/>
              <w:keepNext w:val="0"/>
              <w:keepLines w:val="0"/>
              <w:pageBreakBefore w:val="0"/>
              <w:widowControl w:val="0"/>
              <w:numPr>
                <w:ilvl w:val="0"/>
                <w:numId w:val="0"/>
              </w:numPr>
              <w:suppressLineNumbers w:val="0"/>
              <w:tabs>
                <w:tab w:val="left" w:pos="2595"/>
              </w:tabs>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Times New Roman" w:hAnsi="Times New Roman" w:cs="Times New Roman"/>
                <w:color w:val="auto"/>
                <w:highlight w:val="none"/>
                <w:lang w:val="en-US" w:eastAsia="zh-CN"/>
              </w:rPr>
            </w:pPr>
            <w:r>
              <w:rPr>
                <w:rFonts w:hint="eastAsia" w:ascii="Times New Roman" w:hAnsi="Times New Roman" w:cs="Times New Roman"/>
                <w:color w:val="auto"/>
                <w:highlight w:val="none"/>
                <w:lang w:val="en-US" w:eastAsia="zh-CN"/>
              </w:rPr>
              <w:t>2）PVC注塑有机废气</w:t>
            </w:r>
          </w:p>
          <w:p w14:paraId="32EAB9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cs="Times New Roman"/>
                <w:b w:val="0"/>
                <w:bCs w:val="0"/>
                <w:color w:val="auto"/>
                <w:kern w:val="2"/>
                <w:sz w:val="24"/>
                <w:szCs w:val="24"/>
                <w:highlight w:val="none"/>
                <w:lang w:val="en-US" w:eastAsia="zh-CN" w:bidi="ar-SA"/>
              </w:rPr>
            </w:pPr>
            <w:r>
              <w:rPr>
                <w:rFonts w:hint="default" w:ascii="Times New Roman" w:hAnsi="Times New Roman" w:eastAsia="宋体" w:cs="Times New Roman"/>
                <w:b w:val="0"/>
                <w:bCs w:val="0"/>
                <w:color w:val="auto"/>
                <w:kern w:val="2"/>
                <w:sz w:val="24"/>
                <w:szCs w:val="24"/>
                <w:highlight w:val="none"/>
                <w:lang w:val="en-US" w:eastAsia="zh-CN" w:bidi="ar-SA"/>
              </w:rPr>
              <w:t>PVC</w:t>
            </w:r>
            <w:r>
              <w:rPr>
                <w:rFonts w:hint="eastAsia" w:ascii="Times New Roman" w:hAnsi="Times New Roman" w:eastAsia="宋体" w:cs="Times New Roman"/>
                <w:b w:val="0"/>
                <w:bCs w:val="0"/>
                <w:color w:val="auto"/>
                <w:kern w:val="2"/>
                <w:sz w:val="24"/>
                <w:szCs w:val="24"/>
                <w:highlight w:val="none"/>
                <w:lang w:val="en-US" w:eastAsia="zh-CN" w:bidi="ar-SA"/>
              </w:rPr>
              <w:t>树脂在加热熔融过程中，会分解产生一定量的有机废气。污染物包括有机废气氯乙烯、不饱和烃、酸、酯等，由于难以明确污染物的种类和排放量，本环评以</w:t>
            </w:r>
            <w:r>
              <w:rPr>
                <w:rFonts w:hint="eastAsia" w:cs="Times New Roman"/>
                <w:b w:val="0"/>
                <w:bCs w:val="0"/>
                <w:color w:val="auto"/>
                <w:kern w:val="2"/>
                <w:sz w:val="24"/>
                <w:szCs w:val="24"/>
                <w:highlight w:val="none"/>
                <w:lang w:val="en-US" w:eastAsia="zh-CN" w:bidi="ar-SA"/>
              </w:rPr>
              <w:t>非甲烷总烃</w:t>
            </w:r>
            <w:r>
              <w:rPr>
                <w:rFonts w:hint="eastAsia" w:ascii="Times New Roman" w:hAnsi="Times New Roman" w:eastAsia="宋体" w:cs="Times New Roman"/>
                <w:b w:val="0"/>
                <w:bCs w:val="0"/>
                <w:color w:val="auto"/>
                <w:kern w:val="2"/>
                <w:sz w:val="24"/>
                <w:szCs w:val="24"/>
                <w:highlight w:val="none"/>
                <w:lang w:val="en-US" w:eastAsia="zh-CN" w:bidi="ar-SA"/>
              </w:rPr>
              <w:t>计。项目注塑工序主要采用</w:t>
            </w:r>
            <w:r>
              <w:rPr>
                <w:rFonts w:hint="default" w:ascii="Times New Roman" w:hAnsi="Times New Roman" w:eastAsia="宋体" w:cs="Times New Roman"/>
                <w:b w:val="0"/>
                <w:bCs w:val="0"/>
                <w:color w:val="auto"/>
                <w:kern w:val="2"/>
                <w:sz w:val="24"/>
                <w:szCs w:val="24"/>
                <w:highlight w:val="none"/>
                <w:lang w:val="en-US" w:eastAsia="zh-CN" w:bidi="ar-SA"/>
              </w:rPr>
              <w:t>PVC</w:t>
            </w:r>
            <w:r>
              <w:rPr>
                <w:rFonts w:hint="eastAsia" w:ascii="Times New Roman" w:hAnsi="Times New Roman" w:eastAsia="宋体" w:cs="Times New Roman"/>
                <w:b w:val="0"/>
                <w:bCs w:val="0"/>
                <w:color w:val="auto"/>
                <w:kern w:val="2"/>
                <w:sz w:val="24"/>
                <w:szCs w:val="24"/>
                <w:highlight w:val="none"/>
                <w:lang w:val="en-US" w:eastAsia="zh-CN" w:bidi="ar-SA"/>
              </w:rPr>
              <w:t>树脂为原料，工作温度约</w:t>
            </w:r>
            <w:r>
              <w:rPr>
                <w:rFonts w:hint="default" w:ascii="Times New Roman" w:hAnsi="Times New Roman" w:eastAsia="宋体" w:cs="Times New Roman"/>
                <w:b w:val="0"/>
                <w:bCs w:val="0"/>
                <w:color w:val="auto"/>
                <w:kern w:val="2"/>
                <w:sz w:val="24"/>
                <w:szCs w:val="24"/>
                <w:highlight w:val="none"/>
                <w:lang w:val="en-US" w:eastAsia="zh-CN" w:bidi="ar-SA"/>
              </w:rPr>
              <w:t>160℃</w:t>
            </w:r>
            <w:r>
              <w:rPr>
                <w:rFonts w:hint="eastAsia" w:ascii="Times New Roman" w:hAnsi="Times New Roman" w:eastAsia="宋体" w:cs="Times New Roman"/>
                <w:b w:val="0"/>
                <w:bCs w:val="0"/>
                <w:color w:val="auto"/>
                <w:kern w:val="2"/>
                <w:sz w:val="24"/>
                <w:szCs w:val="24"/>
                <w:highlight w:val="none"/>
                <w:lang w:val="en-US" w:eastAsia="zh-CN" w:bidi="ar-SA"/>
              </w:rPr>
              <w:t>。根据资料可知：</w:t>
            </w:r>
            <w:r>
              <w:rPr>
                <w:rFonts w:hint="default" w:ascii="Times New Roman" w:hAnsi="Times New Roman" w:eastAsia="宋体" w:cs="Times New Roman"/>
                <w:b w:val="0"/>
                <w:bCs w:val="0"/>
                <w:color w:val="auto"/>
                <w:kern w:val="2"/>
                <w:sz w:val="24"/>
                <w:szCs w:val="24"/>
                <w:highlight w:val="none"/>
                <w:lang w:val="en-US" w:eastAsia="zh-CN" w:bidi="ar-SA"/>
              </w:rPr>
              <w:t>PVC</w:t>
            </w:r>
            <w:r>
              <w:rPr>
                <w:rFonts w:hint="eastAsia" w:ascii="Times New Roman" w:hAnsi="Times New Roman" w:eastAsia="宋体" w:cs="Times New Roman"/>
                <w:b w:val="0"/>
                <w:bCs w:val="0"/>
                <w:color w:val="auto"/>
                <w:kern w:val="2"/>
                <w:sz w:val="24"/>
                <w:szCs w:val="24"/>
                <w:highlight w:val="none"/>
                <w:lang w:val="en-US" w:eastAsia="zh-CN" w:bidi="ar-SA"/>
              </w:rPr>
              <w:t>在</w:t>
            </w:r>
            <w:r>
              <w:rPr>
                <w:rFonts w:hint="default" w:ascii="Times New Roman" w:hAnsi="Times New Roman" w:eastAsia="宋体" w:cs="Times New Roman"/>
                <w:b w:val="0"/>
                <w:bCs w:val="0"/>
                <w:color w:val="auto"/>
                <w:kern w:val="2"/>
                <w:sz w:val="24"/>
                <w:szCs w:val="24"/>
                <w:highlight w:val="none"/>
                <w:lang w:val="en-US" w:eastAsia="zh-CN" w:bidi="ar-SA"/>
              </w:rPr>
              <w:t>140℃</w:t>
            </w:r>
            <w:r>
              <w:rPr>
                <w:rFonts w:hint="eastAsia" w:ascii="Times New Roman" w:hAnsi="Times New Roman" w:eastAsia="宋体" w:cs="Times New Roman"/>
                <w:b w:val="0"/>
                <w:bCs w:val="0"/>
                <w:color w:val="auto"/>
                <w:kern w:val="2"/>
                <w:sz w:val="24"/>
                <w:szCs w:val="24"/>
                <w:highlight w:val="none"/>
                <w:lang w:val="en-US" w:eastAsia="zh-CN" w:bidi="ar-SA"/>
              </w:rPr>
              <w:t>左右开始分解，到</w:t>
            </w:r>
            <w:r>
              <w:rPr>
                <w:rFonts w:hint="default" w:ascii="Times New Roman" w:hAnsi="Times New Roman" w:eastAsia="宋体" w:cs="Times New Roman"/>
                <w:b w:val="0"/>
                <w:bCs w:val="0"/>
                <w:color w:val="auto"/>
                <w:kern w:val="2"/>
                <w:sz w:val="24"/>
                <w:szCs w:val="24"/>
                <w:highlight w:val="none"/>
                <w:lang w:val="en-US" w:eastAsia="zh-CN" w:bidi="ar-SA"/>
              </w:rPr>
              <w:t>180℃</w:t>
            </w:r>
            <w:r>
              <w:rPr>
                <w:rFonts w:hint="eastAsia" w:ascii="Times New Roman" w:hAnsi="Times New Roman" w:eastAsia="宋体" w:cs="Times New Roman"/>
                <w:b w:val="0"/>
                <w:bCs w:val="0"/>
                <w:color w:val="auto"/>
                <w:kern w:val="2"/>
                <w:sz w:val="24"/>
                <w:szCs w:val="24"/>
                <w:highlight w:val="none"/>
                <w:lang w:val="en-US" w:eastAsia="zh-CN" w:bidi="ar-SA"/>
              </w:rPr>
              <w:t>时分解产生</w:t>
            </w:r>
            <w:r>
              <w:rPr>
                <w:rFonts w:hint="default" w:ascii="Times New Roman" w:hAnsi="Times New Roman" w:eastAsia="宋体" w:cs="Times New Roman"/>
                <w:b w:val="0"/>
                <w:bCs w:val="0"/>
                <w:color w:val="auto"/>
                <w:kern w:val="2"/>
                <w:sz w:val="24"/>
                <w:szCs w:val="24"/>
                <w:highlight w:val="none"/>
                <w:lang w:val="en-US" w:eastAsia="zh-CN" w:bidi="ar-SA"/>
              </w:rPr>
              <w:t>HCl</w:t>
            </w:r>
            <w:r>
              <w:rPr>
                <w:rFonts w:hint="eastAsia" w:ascii="Times New Roman" w:hAnsi="Times New Roman" w:eastAsia="宋体" w:cs="Times New Roman"/>
                <w:b w:val="0"/>
                <w:bCs w:val="0"/>
                <w:color w:val="auto"/>
                <w:kern w:val="2"/>
                <w:sz w:val="24"/>
                <w:szCs w:val="24"/>
                <w:highlight w:val="none"/>
                <w:lang w:val="en-US" w:eastAsia="zh-CN" w:bidi="ar-SA"/>
              </w:rPr>
              <w:t>及脂肪族化合物等</w:t>
            </w:r>
            <w:r>
              <w:rPr>
                <w:rFonts w:hint="eastAsia" w:cs="Times New Roman"/>
                <w:b w:val="0"/>
                <w:bCs w:val="0"/>
                <w:color w:val="auto"/>
                <w:kern w:val="2"/>
                <w:sz w:val="24"/>
                <w:szCs w:val="24"/>
                <w:highlight w:val="none"/>
                <w:lang w:val="en-US" w:eastAsia="zh-CN" w:bidi="ar-SA"/>
              </w:rPr>
              <w:t>。</w:t>
            </w:r>
          </w:p>
          <w:p w14:paraId="04752C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color w:val="auto"/>
                <w:lang w:val="en-US" w:eastAsia="zh-CN"/>
              </w:rPr>
            </w:pPr>
            <w:r>
              <w:rPr>
                <w:rFonts w:hint="eastAsia" w:ascii="Times New Roman" w:hAnsi="Times New Roman" w:eastAsia="宋体" w:cs="Times New Roman"/>
                <w:b w:val="0"/>
                <w:bCs w:val="0"/>
                <w:color w:val="auto"/>
                <w:kern w:val="2"/>
                <w:sz w:val="24"/>
                <w:szCs w:val="24"/>
                <w:highlight w:val="none"/>
                <w:lang w:val="en-US" w:eastAsia="zh-CN" w:bidi="ar-SA"/>
              </w:rPr>
              <w:t>PVC分子中大量含有氯原子，当温度升高（＞100℃），高分子链上的就开始C</w:t>
            </w:r>
            <w:r>
              <w:rPr>
                <w:rFonts w:hint="eastAsia" w:cs="Times New Roman"/>
                <w:b w:val="0"/>
                <w:bCs w:val="0"/>
                <w:color w:val="auto"/>
                <w:kern w:val="2"/>
                <w:sz w:val="24"/>
                <w:szCs w:val="24"/>
                <w:highlight w:val="none"/>
                <w:lang w:val="en-US" w:eastAsia="zh-CN" w:bidi="ar-SA"/>
              </w:rPr>
              <w:t>-</w:t>
            </w:r>
            <w:r>
              <w:rPr>
                <w:rFonts w:hint="eastAsia" w:ascii="Times New Roman" w:hAnsi="Times New Roman" w:eastAsia="宋体" w:cs="Times New Roman"/>
                <w:b w:val="0"/>
                <w:bCs w:val="0"/>
                <w:color w:val="auto"/>
                <w:kern w:val="2"/>
                <w:sz w:val="24"/>
                <w:szCs w:val="24"/>
                <w:highlight w:val="none"/>
                <w:lang w:val="en-US" w:eastAsia="zh-CN" w:bidi="ar-SA"/>
              </w:rPr>
              <w:t>Cl键、C</w:t>
            </w:r>
            <w:r>
              <w:rPr>
                <w:rFonts w:hint="eastAsia" w:cs="Times New Roman"/>
                <w:b w:val="0"/>
                <w:bCs w:val="0"/>
                <w:color w:val="auto"/>
                <w:kern w:val="2"/>
                <w:sz w:val="24"/>
                <w:szCs w:val="24"/>
                <w:highlight w:val="none"/>
                <w:lang w:val="en-US" w:eastAsia="zh-CN" w:bidi="ar-SA"/>
              </w:rPr>
              <w:t>-</w:t>
            </w:r>
            <w:r>
              <w:rPr>
                <w:rFonts w:hint="eastAsia" w:ascii="Times New Roman" w:hAnsi="Times New Roman" w:eastAsia="宋体" w:cs="Times New Roman"/>
                <w:b w:val="0"/>
                <w:bCs w:val="0"/>
                <w:color w:val="auto"/>
                <w:kern w:val="2"/>
                <w:sz w:val="24"/>
                <w:szCs w:val="24"/>
                <w:highlight w:val="none"/>
                <w:lang w:val="en-US" w:eastAsia="zh-CN" w:bidi="ar-SA"/>
              </w:rPr>
              <w:t>H键变弱、断裂，同一个碳链上相邻的-CHCl-和-CH</w:t>
            </w:r>
            <w:r>
              <w:rPr>
                <w:rFonts w:hint="eastAsia" w:cs="Times New Roman"/>
                <w:b w:val="0"/>
                <w:bCs w:val="0"/>
                <w:color w:val="auto"/>
                <w:kern w:val="2"/>
                <w:sz w:val="24"/>
                <w:szCs w:val="24"/>
                <w:highlight w:val="none"/>
                <w:vertAlign w:val="subscript"/>
                <w:lang w:val="en-US" w:eastAsia="zh-CN" w:bidi="ar-SA"/>
              </w:rPr>
              <w:t>2</w:t>
            </w:r>
            <w:r>
              <w:rPr>
                <w:rFonts w:hint="eastAsia" w:cs="Times New Roman"/>
                <w:b w:val="0"/>
                <w:bCs w:val="0"/>
                <w:color w:val="auto"/>
                <w:kern w:val="2"/>
                <w:sz w:val="24"/>
                <w:szCs w:val="24"/>
                <w:highlight w:val="none"/>
                <w:lang w:val="en-US" w:eastAsia="zh-CN" w:bidi="ar-SA"/>
              </w:rPr>
              <w:t>-</w:t>
            </w:r>
            <w:r>
              <w:rPr>
                <w:rFonts w:hint="eastAsia" w:ascii="Times New Roman" w:hAnsi="Times New Roman" w:eastAsia="宋体" w:cs="Times New Roman"/>
                <w:b w:val="0"/>
                <w:bCs w:val="0"/>
                <w:color w:val="auto"/>
                <w:kern w:val="2"/>
                <w:sz w:val="24"/>
                <w:szCs w:val="24"/>
                <w:highlight w:val="none"/>
                <w:lang w:val="en-US" w:eastAsia="zh-CN" w:bidi="ar-SA"/>
              </w:rPr>
              <w:t>之间脱去一个H和一个Cl，结合成HCl。一旦第一个HCl脱除，链上出现双键：-CH</w:t>
            </w:r>
            <w:r>
              <w:rPr>
                <w:rFonts w:hint="eastAsia" w:cs="Times New Roman"/>
                <w:b w:val="0"/>
                <w:bCs w:val="0"/>
                <w:color w:val="auto"/>
                <w:kern w:val="2"/>
                <w:sz w:val="24"/>
                <w:szCs w:val="24"/>
                <w:highlight w:val="none"/>
                <w:vertAlign w:val="subscript"/>
                <w:lang w:val="en-US" w:eastAsia="zh-CN" w:bidi="ar-SA"/>
              </w:rPr>
              <w:t>2</w:t>
            </w:r>
            <w:r>
              <w:rPr>
                <w:rFonts w:hint="eastAsia" w:cs="Times New Roman"/>
                <w:b w:val="0"/>
                <w:bCs w:val="0"/>
                <w:color w:val="auto"/>
                <w:kern w:val="2"/>
                <w:sz w:val="24"/>
                <w:szCs w:val="24"/>
                <w:highlight w:val="none"/>
                <w:lang w:val="en-US" w:eastAsia="zh-CN" w:bidi="ar-SA"/>
              </w:rPr>
              <w:t>-</w:t>
            </w:r>
            <w:r>
              <w:rPr>
                <w:rFonts w:hint="eastAsia" w:ascii="Times New Roman" w:hAnsi="Times New Roman" w:eastAsia="宋体" w:cs="Times New Roman"/>
                <w:b w:val="0"/>
                <w:bCs w:val="0"/>
                <w:color w:val="auto"/>
                <w:kern w:val="2"/>
                <w:sz w:val="24"/>
                <w:szCs w:val="24"/>
                <w:highlight w:val="none"/>
                <w:lang w:val="en-US" w:eastAsia="zh-CN" w:bidi="ar-SA"/>
              </w:rPr>
              <w:t>CH=CH-CHCl-双键会活化旁边的C</w:t>
            </w:r>
            <w:r>
              <w:rPr>
                <w:rFonts w:hint="eastAsia" w:cs="Times New Roman"/>
                <w:b w:val="0"/>
                <w:bCs w:val="0"/>
                <w:color w:val="auto"/>
                <w:kern w:val="2"/>
                <w:sz w:val="24"/>
                <w:szCs w:val="24"/>
                <w:highlight w:val="none"/>
                <w:lang w:val="en-US" w:eastAsia="zh-CN" w:bidi="ar-SA"/>
              </w:rPr>
              <w:t>-</w:t>
            </w:r>
            <w:r>
              <w:rPr>
                <w:rFonts w:hint="eastAsia" w:ascii="Times New Roman" w:hAnsi="Times New Roman" w:eastAsia="宋体" w:cs="Times New Roman"/>
                <w:b w:val="0"/>
                <w:bCs w:val="0"/>
                <w:color w:val="auto"/>
                <w:kern w:val="2"/>
                <w:sz w:val="24"/>
                <w:szCs w:val="24"/>
                <w:highlight w:val="none"/>
                <w:lang w:val="en-US" w:eastAsia="zh-CN" w:bidi="ar-SA"/>
              </w:rPr>
              <w:t>Cl键，让下一个HCl更容易脱除</w:t>
            </w:r>
            <w:r>
              <w:rPr>
                <w:rFonts w:hint="eastAsia" w:cs="Times New Roman"/>
                <w:b w:val="0"/>
                <w:bCs w:val="0"/>
                <w:color w:val="auto"/>
                <w:kern w:val="2"/>
                <w:sz w:val="24"/>
                <w:szCs w:val="24"/>
                <w:highlight w:val="none"/>
                <w:lang w:val="en-US" w:eastAsia="zh-CN" w:bidi="ar-SA"/>
              </w:rPr>
              <w:t>，</w:t>
            </w:r>
            <w:r>
              <w:rPr>
                <w:rFonts w:hint="eastAsia" w:ascii="Times New Roman" w:hAnsi="Times New Roman" w:eastAsia="宋体" w:cs="Times New Roman"/>
                <w:b w:val="0"/>
                <w:bCs w:val="0"/>
                <w:color w:val="auto"/>
                <w:kern w:val="2"/>
                <w:sz w:val="24"/>
                <w:szCs w:val="24"/>
                <w:highlight w:val="none"/>
                <w:lang w:val="en-US" w:eastAsia="zh-CN" w:bidi="ar-SA"/>
              </w:rPr>
              <w:t>于是形成连锁脱HCl，速度越来越快</w:t>
            </w:r>
            <w:r>
              <w:rPr>
                <w:rFonts w:hint="eastAsia" w:cs="Times New Roman"/>
                <w:b w:val="0"/>
                <w:bCs w:val="0"/>
                <w:color w:val="auto"/>
                <w:kern w:val="2"/>
                <w:sz w:val="24"/>
                <w:szCs w:val="24"/>
                <w:highlight w:val="none"/>
                <w:lang w:val="en-US" w:eastAsia="zh-CN" w:bidi="ar-SA"/>
              </w:rPr>
              <w:t>，</w:t>
            </w:r>
            <w:r>
              <w:rPr>
                <w:rFonts w:hint="eastAsia" w:ascii="Times New Roman" w:hAnsi="Times New Roman" w:eastAsia="宋体" w:cs="Times New Roman"/>
                <w:b w:val="0"/>
                <w:bCs w:val="0"/>
                <w:color w:val="auto"/>
                <w:kern w:val="2"/>
                <w:sz w:val="24"/>
                <w:szCs w:val="24"/>
                <w:highlight w:val="none"/>
                <w:lang w:val="en-US" w:eastAsia="zh-CN" w:bidi="ar-SA"/>
              </w:rPr>
              <w:t>持续释放氯化氢气体。但</w:t>
            </w:r>
            <w:r>
              <w:rPr>
                <w:rFonts w:hint="eastAsia" w:cs="Times New Roman"/>
                <w:b w:val="0"/>
                <w:bCs w:val="0"/>
                <w:color w:val="auto"/>
                <w:kern w:val="2"/>
                <w:sz w:val="24"/>
                <w:szCs w:val="24"/>
                <w:highlight w:val="none"/>
                <w:lang w:val="en-US" w:eastAsia="zh-CN" w:bidi="ar-SA"/>
              </w:rPr>
              <w:t>由于</w:t>
            </w:r>
            <w:r>
              <w:rPr>
                <w:rFonts w:hint="eastAsia" w:ascii="Times New Roman" w:hAnsi="Times New Roman" w:eastAsia="宋体" w:cs="Times New Roman"/>
                <w:b w:val="0"/>
                <w:bCs w:val="0"/>
                <w:color w:val="auto"/>
                <w:kern w:val="2"/>
                <w:sz w:val="24"/>
                <w:szCs w:val="24"/>
                <w:highlight w:val="none"/>
                <w:lang w:val="en-US" w:eastAsia="zh-CN" w:bidi="ar-SA"/>
              </w:rPr>
              <w:t>添加了热稳定剂之后，能够大大提高</w:t>
            </w:r>
            <w:r>
              <w:rPr>
                <w:rFonts w:hint="default" w:ascii="Times New Roman" w:hAnsi="Times New Roman" w:eastAsia="宋体" w:cs="Times New Roman"/>
                <w:b w:val="0"/>
                <w:bCs w:val="0"/>
                <w:color w:val="auto"/>
                <w:kern w:val="2"/>
                <w:sz w:val="24"/>
                <w:szCs w:val="24"/>
                <w:highlight w:val="none"/>
                <w:lang w:val="en-US" w:eastAsia="zh-CN" w:bidi="ar-SA"/>
              </w:rPr>
              <w:t>PVC</w:t>
            </w:r>
            <w:r>
              <w:rPr>
                <w:rFonts w:hint="eastAsia" w:ascii="Times New Roman" w:hAnsi="Times New Roman" w:eastAsia="宋体" w:cs="Times New Roman"/>
                <w:b w:val="0"/>
                <w:bCs w:val="0"/>
                <w:color w:val="auto"/>
                <w:kern w:val="2"/>
                <w:sz w:val="24"/>
                <w:szCs w:val="24"/>
                <w:highlight w:val="none"/>
                <w:lang w:val="en-US" w:eastAsia="zh-CN" w:bidi="ar-SA"/>
              </w:rPr>
              <w:t>的热稳定性，从而减少</w:t>
            </w:r>
            <w:r>
              <w:rPr>
                <w:rFonts w:hint="default" w:ascii="Times New Roman" w:hAnsi="Times New Roman" w:eastAsia="宋体" w:cs="Times New Roman"/>
                <w:b w:val="0"/>
                <w:bCs w:val="0"/>
                <w:color w:val="auto"/>
                <w:kern w:val="2"/>
                <w:sz w:val="24"/>
                <w:szCs w:val="24"/>
                <w:highlight w:val="none"/>
                <w:lang w:val="en-US" w:eastAsia="zh-CN" w:bidi="ar-SA"/>
              </w:rPr>
              <w:t>PVC</w:t>
            </w:r>
            <w:r>
              <w:rPr>
                <w:rFonts w:hint="eastAsia" w:ascii="Times New Roman" w:hAnsi="Times New Roman" w:eastAsia="宋体" w:cs="Times New Roman"/>
                <w:b w:val="0"/>
                <w:bCs w:val="0"/>
                <w:color w:val="auto"/>
                <w:kern w:val="2"/>
                <w:sz w:val="24"/>
                <w:szCs w:val="24"/>
                <w:highlight w:val="none"/>
                <w:lang w:val="en-US" w:eastAsia="zh-CN" w:bidi="ar-SA"/>
              </w:rPr>
              <w:t>受热废气的产生量，尤其可以抑制聚氯乙烯脱</w:t>
            </w:r>
            <w:r>
              <w:rPr>
                <w:rFonts w:hint="default" w:ascii="Times New Roman" w:hAnsi="Times New Roman" w:eastAsia="宋体" w:cs="Times New Roman"/>
                <w:b w:val="0"/>
                <w:bCs w:val="0"/>
                <w:color w:val="auto"/>
                <w:kern w:val="2"/>
                <w:sz w:val="24"/>
                <w:szCs w:val="24"/>
                <w:highlight w:val="none"/>
                <w:lang w:val="en-US" w:eastAsia="zh-CN" w:bidi="ar-SA"/>
              </w:rPr>
              <w:t>HCl</w:t>
            </w:r>
            <w:r>
              <w:rPr>
                <w:rFonts w:hint="eastAsia" w:cs="Times New Roman"/>
                <w:b w:val="0"/>
                <w:bCs w:val="0"/>
                <w:color w:val="auto"/>
                <w:kern w:val="2"/>
                <w:sz w:val="24"/>
                <w:szCs w:val="24"/>
                <w:highlight w:val="none"/>
                <w:lang w:val="en-US" w:eastAsia="zh-CN" w:bidi="ar-SA"/>
              </w:rPr>
              <w:t>，</w:t>
            </w:r>
            <w:r>
              <w:rPr>
                <w:rFonts w:hint="eastAsia" w:ascii="Times New Roman" w:hAnsi="Times New Roman" w:eastAsia="宋体" w:cs="Times New Roman"/>
                <w:b w:val="0"/>
                <w:bCs w:val="0"/>
                <w:color w:val="auto"/>
                <w:kern w:val="2"/>
                <w:sz w:val="24"/>
                <w:szCs w:val="24"/>
                <w:highlight w:val="none"/>
                <w:lang w:val="en-US" w:eastAsia="zh-CN" w:bidi="ar-SA"/>
              </w:rPr>
              <w:t>故在</w:t>
            </w:r>
            <w:r>
              <w:rPr>
                <w:rFonts w:hint="default" w:ascii="Times New Roman" w:hAnsi="Times New Roman" w:eastAsia="宋体" w:cs="Times New Roman"/>
                <w:b w:val="0"/>
                <w:bCs w:val="0"/>
                <w:color w:val="auto"/>
                <w:kern w:val="2"/>
                <w:sz w:val="24"/>
                <w:szCs w:val="24"/>
                <w:highlight w:val="none"/>
                <w:lang w:val="en-US" w:eastAsia="zh-CN" w:bidi="ar-SA"/>
              </w:rPr>
              <w:t>160℃</w:t>
            </w:r>
            <w:r>
              <w:rPr>
                <w:rFonts w:hint="eastAsia" w:ascii="Times New Roman" w:hAnsi="Times New Roman" w:eastAsia="宋体" w:cs="Times New Roman"/>
                <w:b w:val="0"/>
                <w:bCs w:val="0"/>
                <w:color w:val="auto"/>
                <w:kern w:val="2"/>
                <w:sz w:val="24"/>
                <w:szCs w:val="24"/>
                <w:highlight w:val="none"/>
                <w:lang w:val="en-US" w:eastAsia="zh-CN" w:bidi="ar-SA"/>
              </w:rPr>
              <w:t>时仅有极微量的</w:t>
            </w:r>
            <w:r>
              <w:rPr>
                <w:rFonts w:hint="default" w:ascii="Times New Roman" w:hAnsi="Times New Roman" w:eastAsia="宋体" w:cs="Times New Roman"/>
                <w:b w:val="0"/>
                <w:bCs w:val="0"/>
                <w:color w:val="auto"/>
                <w:kern w:val="2"/>
                <w:sz w:val="24"/>
                <w:szCs w:val="24"/>
                <w:highlight w:val="none"/>
                <w:lang w:val="en-US" w:eastAsia="zh-CN" w:bidi="ar-SA"/>
              </w:rPr>
              <w:t>HCl</w:t>
            </w:r>
            <w:r>
              <w:rPr>
                <w:rFonts w:hint="eastAsia" w:ascii="Times New Roman" w:hAnsi="Times New Roman" w:eastAsia="宋体" w:cs="Times New Roman"/>
                <w:b w:val="0"/>
                <w:bCs w:val="0"/>
                <w:color w:val="auto"/>
                <w:kern w:val="2"/>
                <w:sz w:val="24"/>
                <w:szCs w:val="24"/>
                <w:highlight w:val="none"/>
                <w:lang w:val="en-US" w:eastAsia="zh-CN" w:bidi="ar-SA"/>
              </w:rPr>
              <w:t>气体产生，HCl气体排放参考美国EPA《空气污染物排放和控制手册工业污染源调查与研究 第二辑》（中国环境科学出版社）中对PVC塑料研究的相关数据，取其排放系数0.015kg/tPVC。项目PVC粉用量为</w:t>
            </w:r>
            <w:r>
              <w:rPr>
                <w:rFonts w:hint="eastAsia" w:cs="Times New Roman"/>
                <w:b w:val="0"/>
                <w:bCs w:val="0"/>
                <w:color w:val="auto"/>
                <w:kern w:val="2"/>
                <w:sz w:val="24"/>
                <w:szCs w:val="24"/>
                <w:highlight w:val="none"/>
                <w:lang w:val="en-US" w:eastAsia="zh-CN" w:bidi="ar-SA"/>
              </w:rPr>
              <w:t>192</w:t>
            </w:r>
            <w:r>
              <w:rPr>
                <w:rFonts w:hint="eastAsia" w:ascii="Times New Roman" w:hAnsi="Times New Roman" w:eastAsia="宋体" w:cs="Times New Roman"/>
                <w:b w:val="0"/>
                <w:bCs w:val="0"/>
                <w:color w:val="auto"/>
                <w:kern w:val="2"/>
                <w:sz w:val="24"/>
                <w:szCs w:val="24"/>
                <w:highlight w:val="none"/>
                <w:lang w:val="en-US" w:eastAsia="zh-CN" w:bidi="ar-SA"/>
              </w:rPr>
              <w:t>t/a，计算得出HCl产生量为0.0</w:t>
            </w:r>
            <w:r>
              <w:rPr>
                <w:rFonts w:hint="eastAsia" w:cs="Times New Roman"/>
                <w:b w:val="0"/>
                <w:bCs w:val="0"/>
                <w:color w:val="auto"/>
                <w:kern w:val="2"/>
                <w:sz w:val="24"/>
                <w:szCs w:val="24"/>
                <w:highlight w:val="none"/>
                <w:lang w:val="en-US" w:eastAsia="zh-CN" w:bidi="ar-SA"/>
              </w:rPr>
              <w:t>03</w:t>
            </w:r>
            <w:r>
              <w:rPr>
                <w:rFonts w:hint="eastAsia" w:ascii="Times New Roman" w:hAnsi="Times New Roman" w:eastAsia="宋体" w:cs="Times New Roman"/>
                <w:b w:val="0"/>
                <w:bCs w:val="0"/>
                <w:color w:val="auto"/>
                <w:kern w:val="2"/>
                <w:sz w:val="24"/>
                <w:szCs w:val="24"/>
                <w:highlight w:val="none"/>
                <w:lang w:val="en-US" w:eastAsia="zh-CN" w:bidi="ar-SA"/>
              </w:rPr>
              <w:t>t/a。</w:t>
            </w:r>
          </w:p>
          <w:p w14:paraId="55F79E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Times New Roman" w:hAnsi="Times New Roman" w:eastAsia="宋体" w:cs="Times New Roman"/>
                <w:b w:val="0"/>
                <w:bCs w:val="0"/>
                <w:color w:val="auto"/>
                <w:kern w:val="2"/>
                <w:sz w:val="24"/>
                <w:szCs w:val="24"/>
                <w:highlight w:val="none"/>
                <w:lang w:val="en-US" w:eastAsia="zh-CN" w:bidi="ar-SA"/>
              </w:rPr>
            </w:pPr>
            <w:r>
              <w:rPr>
                <w:rFonts w:hint="eastAsia" w:ascii="Times New Roman" w:hAnsi="Times New Roman" w:eastAsia="宋体" w:cs="Times New Roman"/>
                <w:b w:val="0"/>
                <w:bCs w:val="0"/>
                <w:color w:val="auto"/>
                <w:kern w:val="2"/>
                <w:sz w:val="24"/>
                <w:szCs w:val="24"/>
                <w:highlight w:val="none"/>
                <w:lang w:val="en-US" w:eastAsia="zh-CN" w:bidi="ar-SA"/>
              </w:rPr>
              <w:t>根据《浙江省重点行业</w:t>
            </w:r>
            <w:r>
              <w:rPr>
                <w:rFonts w:hint="default" w:ascii="Times New Roman" w:hAnsi="Times New Roman" w:eastAsia="宋体" w:cs="Times New Roman"/>
                <w:b w:val="0"/>
                <w:bCs w:val="0"/>
                <w:color w:val="auto"/>
                <w:kern w:val="2"/>
                <w:sz w:val="24"/>
                <w:szCs w:val="24"/>
                <w:highlight w:val="none"/>
                <w:lang w:val="en-US" w:eastAsia="zh-CN" w:bidi="ar-SA"/>
              </w:rPr>
              <w:t>VOCs</w:t>
            </w:r>
            <w:r>
              <w:rPr>
                <w:rFonts w:hint="eastAsia" w:ascii="Times New Roman" w:hAnsi="Times New Roman" w:eastAsia="宋体" w:cs="Times New Roman"/>
                <w:b w:val="0"/>
                <w:bCs w:val="0"/>
                <w:color w:val="auto"/>
                <w:kern w:val="2"/>
                <w:sz w:val="24"/>
                <w:szCs w:val="24"/>
                <w:highlight w:val="none"/>
                <w:lang w:val="en-US" w:eastAsia="zh-CN" w:bidi="ar-SA"/>
              </w:rPr>
              <w:t>污染排放源排放量计算方法（</w:t>
            </w:r>
            <w:r>
              <w:rPr>
                <w:rFonts w:hint="default" w:ascii="Times New Roman" w:hAnsi="Times New Roman" w:eastAsia="宋体" w:cs="Times New Roman"/>
                <w:b w:val="0"/>
                <w:bCs w:val="0"/>
                <w:color w:val="auto"/>
                <w:kern w:val="2"/>
                <w:sz w:val="24"/>
                <w:szCs w:val="24"/>
                <w:highlight w:val="none"/>
                <w:lang w:val="en-US" w:eastAsia="zh-CN" w:bidi="ar-SA"/>
              </w:rPr>
              <w:t>1.1</w:t>
            </w:r>
            <w:r>
              <w:rPr>
                <w:rFonts w:hint="eastAsia" w:ascii="Times New Roman" w:hAnsi="Times New Roman" w:eastAsia="宋体" w:cs="Times New Roman"/>
                <w:b w:val="0"/>
                <w:bCs w:val="0"/>
                <w:color w:val="auto"/>
                <w:kern w:val="2"/>
                <w:sz w:val="24"/>
                <w:szCs w:val="24"/>
                <w:highlight w:val="none"/>
                <w:lang w:val="en-US" w:eastAsia="zh-CN" w:bidi="ar-SA"/>
              </w:rPr>
              <w:t>版）》中推荐的公式和本项目物料实际使用量计算</w:t>
            </w:r>
            <w:r>
              <w:rPr>
                <w:rFonts w:hint="default" w:ascii="Times New Roman" w:hAnsi="Times New Roman" w:eastAsia="宋体" w:cs="Times New Roman"/>
                <w:b w:val="0"/>
                <w:bCs w:val="0"/>
                <w:color w:val="auto"/>
                <w:kern w:val="2"/>
                <w:sz w:val="24"/>
                <w:szCs w:val="24"/>
                <w:highlight w:val="none"/>
                <w:lang w:val="en-US" w:eastAsia="zh-CN" w:bidi="ar-SA"/>
              </w:rPr>
              <w:t>VOCs</w:t>
            </w:r>
            <w:r>
              <w:rPr>
                <w:rFonts w:hint="eastAsia" w:ascii="Times New Roman" w:hAnsi="Times New Roman" w:eastAsia="宋体" w:cs="Times New Roman"/>
                <w:b w:val="0"/>
                <w:bCs w:val="0"/>
                <w:color w:val="auto"/>
                <w:kern w:val="2"/>
                <w:sz w:val="24"/>
                <w:szCs w:val="24"/>
                <w:highlight w:val="none"/>
                <w:lang w:val="en-US" w:eastAsia="zh-CN" w:bidi="ar-SA"/>
              </w:rPr>
              <w:t>产生量，该文件认为在项目进行其他塑料制品制造工序时，</w:t>
            </w:r>
            <w:r>
              <w:rPr>
                <w:rFonts w:hint="default" w:ascii="Times New Roman" w:hAnsi="Times New Roman" w:eastAsia="宋体" w:cs="Times New Roman"/>
                <w:b w:val="0"/>
                <w:bCs w:val="0"/>
                <w:color w:val="auto"/>
                <w:kern w:val="2"/>
                <w:sz w:val="24"/>
                <w:szCs w:val="24"/>
                <w:highlight w:val="none"/>
                <w:lang w:val="en-US" w:eastAsia="zh-CN" w:bidi="ar-SA"/>
              </w:rPr>
              <w:t>VOCs</w:t>
            </w:r>
            <w:r>
              <w:rPr>
                <w:rFonts w:hint="eastAsia" w:ascii="Times New Roman" w:hAnsi="Times New Roman" w:eastAsia="宋体" w:cs="Times New Roman"/>
                <w:b w:val="0"/>
                <w:bCs w:val="0"/>
                <w:color w:val="auto"/>
                <w:kern w:val="2"/>
                <w:sz w:val="24"/>
                <w:szCs w:val="24"/>
                <w:highlight w:val="none"/>
                <w:lang w:val="en-US" w:eastAsia="zh-CN" w:bidi="ar-SA"/>
              </w:rPr>
              <w:t>的排放系数为</w:t>
            </w:r>
            <w:r>
              <w:rPr>
                <w:rFonts w:hint="default" w:ascii="Times New Roman" w:hAnsi="Times New Roman" w:eastAsia="宋体" w:cs="Times New Roman"/>
                <w:b w:val="0"/>
                <w:bCs w:val="0"/>
                <w:color w:val="auto"/>
                <w:kern w:val="2"/>
                <w:sz w:val="24"/>
                <w:szCs w:val="24"/>
                <w:highlight w:val="none"/>
                <w:lang w:val="en-US" w:eastAsia="zh-CN" w:bidi="ar-SA"/>
              </w:rPr>
              <w:t>2.368kg/t</w:t>
            </w:r>
            <w:r>
              <w:rPr>
                <w:rFonts w:hint="eastAsia" w:ascii="Times New Roman" w:hAnsi="Times New Roman" w:eastAsia="宋体" w:cs="Times New Roman"/>
                <w:b w:val="0"/>
                <w:bCs w:val="0"/>
                <w:color w:val="auto"/>
                <w:kern w:val="2"/>
                <w:sz w:val="24"/>
                <w:szCs w:val="24"/>
                <w:highlight w:val="none"/>
                <w:lang w:val="en-US" w:eastAsia="zh-CN" w:bidi="ar-SA"/>
              </w:rPr>
              <w:t>树脂原料。根据企业生产情况，本项目原料用量为496</w:t>
            </w:r>
            <w:r>
              <w:rPr>
                <w:rFonts w:hint="default" w:ascii="Times New Roman" w:hAnsi="Times New Roman" w:eastAsia="宋体" w:cs="Times New Roman"/>
                <w:b w:val="0"/>
                <w:bCs w:val="0"/>
                <w:color w:val="auto"/>
                <w:kern w:val="2"/>
                <w:sz w:val="24"/>
                <w:szCs w:val="24"/>
                <w:highlight w:val="none"/>
                <w:lang w:val="en-US" w:eastAsia="zh-CN" w:bidi="ar-SA"/>
              </w:rPr>
              <w:t>t/a</w:t>
            </w:r>
            <w:r>
              <w:rPr>
                <w:rFonts w:hint="eastAsia" w:ascii="Times New Roman" w:hAnsi="Times New Roman" w:eastAsia="宋体" w:cs="Times New Roman"/>
                <w:b w:val="0"/>
                <w:bCs w:val="0"/>
                <w:color w:val="auto"/>
                <w:kern w:val="2"/>
                <w:sz w:val="24"/>
                <w:szCs w:val="24"/>
                <w:highlight w:val="none"/>
                <w:lang w:val="en-US" w:eastAsia="zh-CN" w:bidi="ar-SA"/>
              </w:rPr>
              <w:t>，则注塑工序</w:t>
            </w:r>
            <w:r>
              <w:rPr>
                <w:rFonts w:hint="default" w:ascii="Times New Roman" w:hAnsi="Times New Roman" w:eastAsia="宋体" w:cs="Times New Roman"/>
                <w:b w:val="0"/>
                <w:bCs w:val="0"/>
                <w:color w:val="auto"/>
                <w:kern w:val="2"/>
                <w:sz w:val="24"/>
                <w:szCs w:val="24"/>
                <w:highlight w:val="none"/>
                <w:lang w:val="en-US" w:eastAsia="zh-CN" w:bidi="ar-SA"/>
              </w:rPr>
              <w:t>VOCs</w:t>
            </w:r>
            <w:r>
              <w:rPr>
                <w:rFonts w:hint="eastAsia" w:ascii="Times New Roman" w:hAnsi="Times New Roman" w:eastAsia="宋体" w:cs="Times New Roman"/>
                <w:b w:val="0"/>
                <w:bCs w:val="0"/>
                <w:color w:val="auto"/>
                <w:kern w:val="2"/>
                <w:sz w:val="24"/>
                <w:szCs w:val="24"/>
                <w:highlight w:val="none"/>
                <w:lang w:val="en-US" w:eastAsia="zh-CN" w:bidi="ar-SA"/>
              </w:rPr>
              <w:t>产生量为1.175</w:t>
            </w:r>
            <w:r>
              <w:rPr>
                <w:rFonts w:hint="default" w:ascii="Times New Roman" w:hAnsi="Times New Roman" w:eastAsia="宋体" w:cs="Times New Roman"/>
                <w:b w:val="0"/>
                <w:bCs w:val="0"/>
                <w:color w:val="auto"/>
                <w:kern w:val="2"/>
                <w:sz w:val="24"/>
                <w:szCs w:val="24"/>
                <w:highlight w:val="none"/>
                <w:lang w:val="en-US" w:eastAsia="zh-CN" w:bidi="ar-SA"/>
              </w:rPr>
              <w:t>t/a</w:t>
            </w:r>
            <w:r>
              <w:rPr>
                <w:rFonts w:hint="eastAsia" w:ascii="Times New Roman" w:hAnsi="Times New Roman" w:eastAsia="宋体" w:cs="Times New Roman"/>
                <w:b w:val="0"/>
                <w:bCs w:val="0"/>
                <w:color w:val="auto"/>
                <w:kern w:val="2"/>
                <w:sz w:val="24"/>
                <w:szCs w:val="24"/>
                <w:highlight w:val="none"/>
                <w:lang w:val="en-US" w:eastAsia="zh-CN" w:bidi="ar-SA"/>
              </w:rPr>
              <w:t>。注塑有机废气</w:t>
            </w:r>
            <w:r>
              <w:rPr>
                <w:rFonts w:hint="eastAsia" w:cs="Times New Roman"/>
                <w:b w:val="0"/>
                <w:bCs w:val="0"/>
                <w:color w:val="auto"/>
                <w:kern w:val="2"/>
                <w:sz w:val="24"/>
                <w:szCs w:val="24"/>
                <w:highlight w:val="none"/>
                <w:lang w:val="en-US" w:eastAsia="zh-CN" w:bidi="ar-SA"/>
              </w:rPr>
              <w:t>采用</w:t>
            </w:r>
            <w:r>
              <w:rPr>
                <w:rFonts w:hint="eastAsia" w:ascii="Times New Roman" w:hAnsi="Times New Roman" w:eastAsia="宋体" w:cs="Times New Roman"/>
                <w:b w:val="0"/>
                <w:bCs w:val="0"/>
                <w:color w:val="auto"/>
                <w:kern w:val="2"/>
                <w:sz w:val="24"/>
                <w:szCs w:val="24"/>
                <w:highlight w:val="none"/>
                <w:lang w:val="en-US" w:eastAsia="zh-CN" w:bidi="ar-SA"/>
              </w:rPr>
              <w:t>半密闭集气罩负压收集+</w:t>
            </w:r>
            <w:r>
              <w:rPr>
                <w:rFonts w:hint="eastAsia" w:cs="Times New Roman"/>
                <w:b w:val="0"/>
                <w:bCs w:val="0"/>
                <w:color w:val="auto"/>
                <w:kern w:val="2"/>
                <w:sz w:val="24"/>
                <w:szCs w:val="24"/>
                <w:highlight w:val="none"/>
                <w:lang w:val="en-US" w:eastAsia="zh-CN" w:bidi="ar-SA"/>
              </w:rPr>
              <w:t>五级活性炭</w:t>
            </w:r>
            <w:r>
              <w:rPr>
                <w:rFonts w:hint="eastAsia" w:ascii="Times New Roman" w:hAnsi="Times New Roman" w:eastAsia="宋体" w:cs="Times New Roman"/>
                <w:b w:val="0"/>
                <w:bCs w:val="0"/>
                <w:color w:val="auto"/>
                <w:kern w:val="2"/>
                <w:sz w:val="24"/>
                <w:szCs w:val="24"/>
                <w:highlight w:val="none"/>
                <w:lang w:val="en-US" w:eastAsia="zh-CN" w:bidi="ar-SA"/>
              </w:rPr>
              <w:t>吸附，集气效率65%，</w:t>
            </w:r>
            <w:r>
              <w:rPr>
                <w:rFonts w:hint="eastAsia" w:cs="Times New Roman"/>
                <w:b w:val="0"/>
                <w:bCs w:val="0"/>
                <w:color w:val="auto"/>
                <w:kern w:val="2"/>
                <w:sz w:val="24"/>
                <w:szCs w:val="24"/>
                <w:highlight w:val="none"/>
                <w:lang w:val="en-US" w:eastAsia="zh-CN" w:bidi="ar-SA"/>
              </w:rPr>
              <w:t>五级活性炭</w:t>
            </w:r>
            <w:r>
              <w:rPr>
                <w:rFonts w:hint="eastAsia" w:ascii="Times New Roman" w:hAnsi="Times New Roman" w:eastAsia="宋体" w:cs="Times New Roman"/>
                <w:b w:val="0"/>
                <w:bCs w:val="0"/>
                <w:color w:val="auto"/>
                <w:kern w:val="2"/>
                <w:sz w:val="24"/>
                <w:szCs w:val="24"/>
                <w:highlight w:val="none"/>
                <w:lang w:val="en-US" w:eastAsia="zh-CN" w:bidi="ar-SA"/>
              </w:rPr>
              <w:t>吸附效率取</w:t>
            </w:r>
            <w:r>
              <w:rPr>
                <w:rFonts w:hint="eastAsia" w:cs="Times New Roman"/>
                <w:b w:val="0"/>
                <w:bCs w:val="0"/>
                <w:color w:val="auto"/>
                <w:kern w:val="2"/>
                <w:sz w:val="24"/>
                <w:szCs w:val="24"/>
                <w:highlight w:val="none"/>
                <w:lang w:val="en-US" w:eastAsia="zh-CN" w:bidi="ar-SA"/>
              </w:rPr>
              <w:t>83.19</w:t>
            </w:r>
            <w:r>
              <w:rPr>
                <w:rFonts w:hint="eastAsia" w:ascii="Times New Roman" w:hAnsi="Times New Roman" w:eastAsia="宋体" w:cs="Times New Roman"/>
                <w:b w:val="0"/>
                <w:bCs w:val="0"/>
                <w:color w:val="auto"/>
                <w:kern w:val="2"/>
                <w:sz w:val="24"/>
                <w:szCs w:val="24"/>
                <w:highlight w:val="none"/>
                <w:lang w:val="en-US" w:eastAsia="zh-CN" w:bidi="ar-SA"/>
              </w:rPr>
              <w:t>%，则有组织排放量为</w:t>
            </w:r>
            <w:r>
              <w:rPr>
                <w:rFonts w:hint="eastAsia" w:cs="Times New Roman"/>
                <w:b w:val="0"/>
                <w:bCs w:val="0"/>
                <w:color w:val="auto"/>
                <w:kern w:val="2"/>
                <w:sz w:val="24"/>
                <w:szCs w:val="24"/>
                <w:highlight w:val="none"/>
                <w:lang w:val="en-US" w:eastAsia="zh-CN" w:bidi="ar-SA"/>
              </w:rPr>
              <w:t>0.128</w:t>
            </w:r>
            <w:r>
              <w:rPr>
                <w:rFonts w:hint="eastAsia" w:ascii="Times New Roman" w:hAnsi="Times New Roman" w:eastAsia="宋体" w:cs="Times New Roman"/>
                <w:b w:val="0"/>
                <w:bCs w:val="0"/>
                <w:color w:val="auto"/>
                <w:kern w:val="2"/>
                <w:sz w:val="24"/>
                <w:szCs w:val="24"/>
                <w:highlight w:val="none"/>
                <w:lang w:val="en-US" w:eastAsia="zh-CN" w:bidi="ar-SA"/>
              </w:rPr>
              <w:t>t/a，无组织排放为</w:t>
            </w:r>
            <w:r>
              <w:rPr>
                <w:rFonts w:hint="eastAsia" w:cs="Times New Roman"/>
                <w:b w:val="0"/>
                <w:bCs w:val="0"/>
                <w:color w:val="auto"/>
                <w:kern w:val="2"/>
                <w:sz w:val="24"/>
                <w:szCs w:val="24"/>
                <w:highlight w:val="none"/>
                <w:lang w:val="en-US" w:eastAsia="zh-CN" w:bidi="ar-SA"/>
              </w:rPr>
              <w:t>0.411</w:t>
            </w:r>
            <w:r>
              <w:rPr>
                <w:rFonts w:hint="eastAsia" w:ascii="Times New Roman" w:hAnsi="Times New Roman" w:eastAsia="宋体" w:cs="Times New Roman"/>
                <w:b w:val="0"/>
                <w:bCs w:val="0"/>
                <w:color w:val="auto"/>
                <w:kern w:val="2"/>
                <w:sz w:val="24"/>
                <w:szCs w:val="24"/>
                <w:highlight w:val="none"/>
                <w:lang w:val="en-US" w:eastAsia="zh-CN" w:bidi="ar-SA"/>
              </w:rPr>
              <w:t>t/a。</w:t>
            </w:r>
          </w:p>
          <w:p w14:paraId="201FD9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eastAsia="宋体" w:cs="Times New Roman"/>
                <w:b w:val="0"/>
                <w:bCs w:val="0"/>
                <w:color w:val="auto"/>
                <w:kern w:val="2"/>
                <w:sz w:val="24"/>
                <w:szCs w:val="24"/>
                <w:highlight w:val="none"/>
                <w:lang w:val="en-US" w:eastAsia="zh-CN" w:bidi="ar-SA"/>
              </w:rPr>
            </w:pPr>
            <w:r>
              <w:rPr>
                <w:rFonts w:hint="default" w:ascii="Times New Roman" w:hAnsi="Times New Roman" w:eastAsia="宋体" w:cs="Times New Roman"/>
                <w:b w:val="0"/>
                <w:bCs w:val="0"/>
                <w:color w:val="auto"/>
                <w:kern w:val="2"/>
                <w:sz w:val="24"/>
                <w:szCs w:val="24"/>
                <w:highlight w:val="none"/>
                <w:lang w:val="en-US" w:eastAsia="zh-CN" w:bidi="ar-SA"/>
              </w:rPr>
              <w:t>DBP</w:t>
            </w:r>
            <w:r>
              <w:rPr>
                <w:rFonts w:hint="eastAsia" w:ascii="Times New Roman" w:hAnsi="Times New Roman" w:eastAsia="宋体" w:cs="Times New Roman"/>
                <w:b w:val="0"/>
                <w:bCs w:val="0"/>
                <w:color w:val="auto"/>
                <w:kern w:val="2"/>
                <w:sz w:val="24"/>
                <w:szCs w:val="24"/>
                <w:highlight w:val="none"/>
                <w:lang w:val="en-US" w:eastAsia="zh-CN" w:bidi="ar-SA"/>
              </w:rPr>
              <w:t>是聚氯乙烯最常用的增塑剂，可使制品具有良好的柔软性，但耐久性差，邻苯二甲酸二丁酯会在注塑工序（</w:t>
            </w:r>
            <w:r>
              <w:rPr>
                <w:rFonts w:hint="default" w:ascii="Times New Roman" w:hAnsi="Times New Roman" w:eastAsia="宋体" w:cs="Times New Roman"/>
                <w:b w:val="0"/>
                <w:bCs w:val="0"/>
                <w:color w:val="auto"/>
                <w:kern w:val="2"/>
                <w:sz w:val="24"/>
                <w:szCs w:val="24"/>
                <w:highlight w:val="none"/>
                <w:lang w:val="en-US" w:eastAsia="zh-CN" w:bidi="ar-SA"/>
              </w:rPr>
              <w:t>180</w:t>
            </w:r>
            <w:r>
              <w:rPr>
                <w:rFonts w:hint="eastAsia" w:ascii="Times New Roman" w:hAnsi="Times New Roman" w:eastAsia="宋体" w:cs="Times New Roman"/>
                <w:b w:val="0"/>
                <w:bCs w:val="0"/>
                <w:color w:val="auto"/>
                <w:kern w:val="2"/>
                <w:sz w:val="24"/>
                <w:szCs w:val="24"/>
                <w:highlight w:val="none"/>
                <w:lang w:val="en-US" w:eastAsia="zh-CN" w:bidi="ar-SA"/>
              </w:rPr>
              <w:t>℃）中因局部温度过高，生产过程中会产生其他异味，该异味</w:t>
            </w:r>
            <w:r>
              <w:rPr>
                <w:rFonts w:hint="eastAsia" w:cs="Times New Roman"/>
                <w:b w:val="0"/>
                <w:bCs w:val="0"/>
                <w:color w:val="auto"/>
                <w:kern w:val="2"/>
                <w:sz w:val="24"/>
                <w:szCs w:val="24"/>
                <w:highlight w:val="none"/>
                <w:lang w:val="en-US" w:eastAsia="zh-CN" w:bidi="ar-SA"/>
              </w:rPr>
              <w:t>成分</w:t>
            </w:r>
            <w:r>
              <w:rPr>
                <w:rFonts w:hint="eastAsia" w:ascii="Times New Roman" w:hAnsi="Times New Roman" w:eastAsia="宋体" w:cs="Times New Roman"/>
                <w:b w:val="0"/>
                <w:bCs w:val="0"/>
                <w:color w:val="auto"/>
                <w:kern w:val="2"/>
                <w:sz w:val="24"/>
                <w:szCs w:val="24"/>
                <w:highlight w:val="none"/>
                <w:lang w:val="en-US" w:eastAsia="zh-CN" w:bidi="ar-SA"/>
              </w:rPr>
              <w:t>比较复杂，均以臭气浓度表征，臭气浓度大小跟企业车间空气流通性有关，类比同类型项目验收监测报告，注塑废气中的臭气浓度</w:t>
            </w:r>
            <w:r>
              <w:rPr>
                <w:rFonts w:hint="eastAsia" w:cs="Times New Roman"/>
                <w:b w:val="0"/>
                <w:bCs w:val="0"/>
                <w:color w:val="auto"/>
                <w:kern w:val="2"/>
                <w:sz w:val="24"/>
                <w:szCs w:val="24"/>
                <w:highlight w:val="none"/>
                <w:lang w:val="en-US" w:eastAsia="zh-CN" w:bidi="ar-SA"/>
              </w:rPr>
              <w:t>为80（无量纲）</w:t>
            </w:r>
            <w:r>
              <w:rPr>
                <w:rFonts w:hint="eastAsia" w:ascii="Times New Roman" w:hAnsi="Times New Roman" w:eastAsia="宋体" w:cs="Times New Roman"/>
                <w:b w:val="0"/>
                <w:bCs w:val="0"/>
                <w:color w:val="auto"/>
                <w:kern w:val="2"/>
                <w:sz w:val="24"/>
                <w:szCs w:val="24"/>
                <w:highlight w:val="none"/>
                <w:lang w:val="en-US" w:eastAsia="zh-CN" w:bidi="ar-SA"/>
              </w:rPr>
              <w:t>。则本项目注塑工序产生的氨及臭气浓度随挥发性有机物一起收集处理后排放，少量未被收集的臭气浓度无组织排放，通过加强车间通风不会对周边环境产生明显影响，本报告仅</w:t>
            </w:r>
            <w:r>
              <w:rPr>
                <w:rFonts w:hint="eastAsia" w:cs="Times New Roman"/>
                <w:b w:val="0"/>
                <w:bCs w:val="0"/>
                <w:color w:val="auto"/>
                <w:kern w:val="2"/>
                <w:sz w:val="24"/>
                <w:szCs w:val="24"/>
                <w:highlight w:val="none"/>
                <w:lang w:val="en-US" w:eastAsia="zh-CN" w:bidi="ar-SA"/>
              </w:rPr>
              <w:t>做</w:t>
            </w:r>
            <w:r>
              <w:rPr>
                <w:rFonts w:hint="eastAsia" w:ascii="Times New Roman" w:hAnsi="Times New Roman" w:eastAsia="宋体" w:cs="Times New Roman"/>
                <w:b w:val="0"/>
                <w:bCs w:val="0"/>
                <w:color w:val="auto"/>
                <w:kern w:val="2"/>
                <w:sz w:val="24"/>
                <w:szCs w:val="24"/>
                <w:highlight w:val="none"/>
                <w:lang w:val="en-US" w:eastAsia="zh-CN" w:bidi="ar-SA"/>
              </w:rPr>
              <w:t>定性分析。</w:t>
            </w:r>
          </w:p>
          <w:p w14:paraId="0CE654B1">
            <w:pPr>
              <w:pStyle w:val="52"/>
              <w:keepNext w:val="0"/>
              <w:keepLines w:val="0"/>
              <w:pageBreakBefore w:val="0"/>
              <w:widowControl w:val="0"/>
              <w:numPr>
                <w:ilvl w:val="0"/>
                <w:numId w:val="0"/>
              </w:numPr>
              <w:suppressLineNumbers w:val="0"/>
              <w:tabs>
                <w:tab w:val="left" w:pos="2595"/>
              </w:tabs>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Times New Roman" w:hAnsi="Times New Roman" w:cs="Times New Roman"/>
                <w:color w:val="auto"/>
                <w:highlight w:val="none"/>
                <w:lang w:val="en-US" w:eastAsia="zh-CN"/>
              </w:rPr>
            </w:pPr>
            <w:r>
              <w:rPr>
                <w:rFonts w:hint="eastAsia" w:ascii="Times New Roman" w:hAnsi="Times New Roman" w:cs="Times New Roman"/>
                <w:color w:val="auto"/>
                <w:kern w:val="21"/>
                <w:sz w:val="24"/>
                <w:szCs w:val="24"/>
                <w:lang w:val="en-US" w:eastAsia="zh-CN" w:bidi="ar-SA"/>
              </w:rPr>
              <w:t>3</w:t>
            </w:r>
            <w:r>
              <w:rPr>
                <w:rFonts w:hint="eastAsia" w:ascii="Times New Roman" w:hAnsi="Times New Roman" w:eastAsia="宋体" w:cs="Times New Roman"/>
                <w:color w:val="auto"/>
                <w:kern w:val="21"/>
                <w:sz w:val="24"/>
                <w:szCs w:val="24"/>
                <w:lang w:val="en-US" w:eastAsia="zh-CN" w:bidi="ar-SA"/>
              </w:rPr>
              <w:t>）</w:t>
            </w:r>
            <w:r>
              <w:rPr>
                <w:rFonts w:hint="eastAsia" w:ascii="Times New Roman" w:hAnsi="Times New Roman" w:cs="Times New Roman"/>
                <w:color w:val="auto"/>
                <w:highlight w:val="none"/>
                <w:lang w:val="en-US" w:eastAsia="zh-CN"/>
              </w:rPr>
              <w:t>发泡有机废气</w:t>
            </w:r>
          </w:p>
          <w:p w14:paraId="7D3CBC82">
            <w:pPr>
              <w:pStyle w:val="37"/>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20"/>
              <w:jc w:val="both"/>
              <w:textAlignment w:val="baseline"/>
              <w:rPr>
                <w:rFonts w:hint="default" w:ascii="Times New Roman" w:hAnsi="Times New Roman" w:eastAsia="宋体" w:cs="Times New Roman"/>
                <w:color w:val="auto"/>
                <w:lang w:eastAsia="zh-CN"/>
              </w:rPr>
            </w:pPr>
            <w:r>
              <w:rPr>
                <w:rFonts w:hint="eastAsia" w:ascii="Times New Roman" w:hAnsi="Times New Roman" w:eastAsia="宋体" w:cs="Times New Roman"/>
                <w:color w:val="auto"/>
                <w:lang w:val="en-US" w:eastAsia="zh-CN"/>
              </w:rPr>
              <w:t>本项目鞋垫制造工序即发泡过程中水和异氰酸酯反应为放热反应，项目所用原辅材料（聚醚多元醇组合料、改性</w:t>
            </w:r>
            <w:r>
              <w:rPr>
                <w:rFonts w:hint="default" w:ascii="Times New Roman" w:hAnsi="Times New Roman" w:eastAsia="宋体" w:cs="Times New Roman"/>
                <w:color w:val="auto"/>
                <w:lang w:val="en-US" w:eastAsia="zh-CN"/>
              </w:rPr>
              <w:t>MDI</w:t>
            </w:r>
            <w:r>
              <w:rPr>
                <w:rFonts w:hint="eastAsia" w:ascii="Times New Roman" w:hAnsi="Times New Roman" w:eastAsia="宋体" w:cs="Times New Roman"/>
                <w:color w:val="auto"/>
                <w:lang w:val="en-US" w:eastAsia="zh-CN"/>
              </w:rPr>
              <w:t>）受热易挥发形成有机废气，本次环评对发泡过</w:t>
            </w:r>
            <w:r>
              <w:rPr>
                <w:rFonts w:hint="eastAsia" w:ascii="Times New Roman" w:cs="Times New Roman"/>
                <w:color w:val="auto"/>
                <w:lang w:val="en-US" w:eastAsia="zh-CN"/>
              </w:rPr>
              <w:t>程中</w:t>
            </w:r>
            <w:r>
              <w:rPr>
                <w:rFonts w:hint="eastAsia" w:ascii="Times New Roman" w:hAnsi="Times New Roman" w:eastAsia="宋体" w:cs="Times New Roman"/>
                <w:color w:val="auto"/>
                <w:lang w:val="en-US" w:eastAsia="zh-CN"/>
              </w:rPr>
              <w:t>挥发产生的有机废气采用非甲烷总烃进行表征，考虑到所用原材料中有改性</w:t>
            </w:r>
            <w:r>
              <w:rPr>
                <w:rFonts w:hint="default" w:ascii="Times New Roman" w:hAnsi="Times New Roman" w:eastAsia="宋体" w:cs="Times New Roman"/>
                <w:color w:val="auto"/>
                <w:lang w:val="en-US" w:eastAsia="zh-CN"/>
              </w:rPr>
              <w:t>MDI</w:t>
            </w:r>
            <w:r>
              <w:rPr>
                <w:rFonts w:hint="eastAsia" w:ascii="Times New Roman" w:hAnsi="Times New Roman" w:eastAsia="宋体" w:cs="Times New Roman"/>
                <w:color w:val="auto"/>
                <w:lang w:val="en-US" w:eastAsia="zh-CN"/>
              </w:rPr>
              <w:t>，因此增加</w:t>
            </w:r>
            <w:r>
              <w:rPr>
                <w:rFonts w:hint="default" w:ascii="Times New Roman" w:hAnsi="Times New Roman" w:eastAsia="宋体" w:cs="Times New Roman"/>
                <w:color w:val="auto"/>
                <w:lang w:val="en-US" w:eastAsia="zh-CN"/>
              </w:rPr>
              <w:t>MDI</w:t>
            </w:r>
            <w:r>
              <w:rPr>
                <w:rFonts w:hint="eastAsia" w:ascii="Times New Roman" w:hAnsi="Times New Roman" w:eastAsia="宋体" w:cs="Times New Roman"/>
                <w:color w:val="auto"/>
                <w:lang w:val="en-US" w:eastAsia="zh-CN"/>
              </w:rPr>
              <w:t>作为评价因子。</w:t>
            </w:r>
          </w:p>
          <w:p w14:paraId="2D98E22C">
            <w:pPr>
              <w:pStyle w:val="37"/>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20"/>
              <w:jc w:val="both"/>
              <w:textAlignment w:val="baseline"/>
              <w:rPr>
                <w:rFonts w:hint="default" w:ascii="Times New Roman" w:hAnsi="Times New Roman" w:eastAsia="宋体" w:cs="Times New Roman"/>
                <w:color w:val="auto"/>
                <w:lang w:eastAsia="zh-CN"/>
              </w:rPr>
            </w:pPr>
            <w:r>
              <w:rPr>
                <w:rFonts w:hint="eastAsia" w:ascii="Times New Roman" w:hAnsi="Times New Roman" w:eastAsia="宋体" w:cs="Times New Roman"/>
                <w:color w:val="auto"/>
                <w:lang w:val="en-US" w:eastAsia="zh-CN"/>
              </w:rPr>
              <w:t>由于发泡生产过程有多个反应同时进行，工艺废气的成分复杂，现阶段暂无具体的计算公式。可参照《排放源统计调查产排污核算方法和系数手册》（</w:t>
            </w:r>
            <w:r>
              <w:rPr>
                <w:rFonts w:hint="default" w:ascii="Times New Roman" w:hAnsi="Times New Roman" w:eastAsia="宋体" w:cs="Times New Roman"/>
                <w:color w:val="auto"/>
                <w:lang w:val="en-US" w:eastAsia="zh-CN"/>
              </w:rPr>
              <w:t>2021</w:t>
            </w:r>
            <w:r>
              <w:rPr>
                <w:rFonts w:hint="eastAsia" w:ascii="Times New Roman" w:hAnsi="Times New Roman" w:eastAsia="宋体" w:cs="Times New Roman"/>
                <w:color w:val="auto"/>
                <w:lang w:val="en-US" w:eastAsia="zh-CN"/>
              </w:rPr>
              <w:t>年第</w:t>
            </w:r>
            <w:r>
              <w:rPr>
                <w:rFonts w:hint="default" w:ascii="Times New Roman" w:hAnsi="Times New Roman" w:eastAsia="宋体" w:cs="Times New Roman"/>
                <w:color w:val="auto"/>
                <w:lang w:val="en-US" w:eastAsia="zh-CN"/>
              </w:rPr>
              <w:t>24</w:t>
            </w:r>
            <w:r>
              <w:rPr>
                <w:rFonts w:hint="eastAsia" w:ascii="Times New Roman" w:hAnsi="Times New Roman" w:eastAsia="宋体" w:cs="Times New Roman"/>
                <w:color w:val="auto"/>
                <w:lang w:val="en-US" w:eastAsia="zh-CN"/>
              </w:rPr>
              <w:t>号）中的《</w:t>
            </w:r>
            <w:r>
              <w:rPr>
                <w:rFonts w:hint="default" w:ascii="Times New Roman" w:hAnsi="Times New Roman" w:eastAsia="宋体" w:cs="Times New Roman"/>
                <w:color w:val="auto"/>
                <w:lang w:val="en-US" w:eastAsia="zh-CN"/>
              </w:rPr>
              <w:t xml:space="preserve">292 </w:t>
            </w:r>
            <w:r>
              <w:rPr>
                <w:rFonts w:hint="eastAsia" w:ascii="Times New Roman" w:hAnsi="Times New Roman" w:eastAsia="宋体" w:cs="Times New Roman"/>
                <w:color w:val="auto"/>
                <w:lang w:val="en-US" w:eastAsia="zh-CN"/>
              </w:rPr>
              <w:t>塑料制品业系数手册》与《</w:t>
            </w:r>
            <w:r>
              <w:rPr>
                <w:rFonts w:hint="default" w:ascii="Times New Roman" w:hAnsi="Times New Roman" w:eastAsia="宋体" w:cs="Times New Roman"/>
                <w:color w:val="auto"/>
                <w:lang w:val="en-US" w:eastAsia="zh-CN"/>
              </w:rPr>
              <w:t>33-37</w:t>
            </w:r>
            <w:r>
              <w:rPr>
                <w:rFonts w:hint="eastAsia" w:ascii="Times New Roman" w:hAnsi="Times New Roman" w:eastAsia="宋体" w:cs="Times New Roman"/>
                <w:color w:val="auto"/>
                <w:lang w:val="en-US" w:eastAsia="zh-CN"/>
              </w:rPr>
              <w:t>，</w:t>
            </w:r>
            <w:r>
              <w:rPr>
                <w:rFonts w:hint="default" w:ascii="Times New Roman" w:hAnsi="Times New Roman" w:eastAsia="宋体" w:cs="Times New Roman"/>
                <w:color w:val="auto"/>
                <w:lang w:val="en-US" w:eastAsia="zh-CN"/>
              </w:rPr>
              <w:t xml:space="preserve">431-434 </w:t>
            </w:r>
            <w:r>
              <w:rPr>
                <w:rFonts w:hint="eastAsia" w:ascii="Times New Roman" w:hAnsi="Times New Roman" w:eastAsia="宋体" w:cs="Times New Roman"/>
                <w:color w:val="auto"/>
                <w:lang w:val="en-US" w:eastAsia="zh-CN"/>
              </w:rPr>
              <w:t>机械行业系数手册》中的相关产污系数，其中《排放源统计调查产排污核算方法和系数手册》（</w:t>
            </w:r>
            <w:r>
              <w:rPr>
                <w:rFonts w:hint="default" w:ascii="Times New Roman" w:hAnsi="Times New Roman" w:eastAsia="宋体" w:cs="Times New Roman"/>
                <w:color w:val="auto"/>
                <w:lang w:val="en-US" w:eastAsia="zh-CN"/>
              </w:rPr>
              <w:t xml:space="preserve">2021 </w:t>
            </w:r>
            <w:r>
              <w:rPr>
                <w:rFonts w:hint="eastAsia" w:ascii="Times New Roman" w:hAnsi="Times New Roman" w:eastAsia="宋体" w:cs="Times New Roman"/>
                <w:color w:val="auto"/>
                <w:lang w:val="en-US" w:eastAsia="zh-CN"/>
              </w:rPr>
              <w:t>年第</w:t>
            </w:r>
            <w:r>
              <w:rPr>
                <w:rFonts w:hint="default" w:ascii="Times New Roman" w:hAnsi="Times New Roman" w:eastAsia="宋体" w:cs="Times New Roman"/>
                <w:color w:val="auto"/>
                <w:lang w:val="en-US" w:eastAsia="zh-CN"/>
              </w:rPr>
              <w:t>24</w:t>
            </w:r>
            <w:r>
              <w:rPr>
                <w:rFonts w:hint="eastAsia" w:ascii="Times New Roman" w:hAnsi="Times New Roman" w:eastAsia="宋体" w:cs="Times New Roman"/>
                <w:color w:val="auto"/>
                <w:lang w:val="en-US" w:eastAsia="zh-CN"/>
              </w:rPr>
              <w:t>号）中的《</w:t>
            </w:r>
            <w:r>
              <w:rPr>
                <w:rFonts w:hint="default" w:ascii="Times New Roman" w:hAnsi="Times New Roman" w:eastAsia="宋体" w:cs="Times New Roman"/>
                <w:color w:val="auto"/>
                <w:lang w:val="en-US" w:eastAsia="zh-CN"/>
              </w:rPr>
              <w:t xml:space="preserve">292 </w:t>
            </w:r>
            <w:r>
              <w:rPr>
                <w:rFonts w:hint="eastAsia" w:ascii="Times New Roman" w:hAnsi="Times New Roman" w:eastAsia="宋体" w:cs="Times New Roman"/>
                <w:color w:val="auto"/>
                <w:lang w:val="en-US" w:eastAsia="zh-CN"/>
              </w:rPr>
              <w:t>塑料制品业系数手册》</w:t>
            </w:r>
            <w:r>
              <w:rPr>
                <w:rFonts w:hint="default" w:ascii="Times New Roman" w:hAnsi="Times New Roman" w:eastAsia="宋体" w:cs="Times New Roman"/>
                <w:color w:val="auto"/>
                <w:lang w:val="en-US" w:eastAsia="zh-CN"/>
              </w:rPr>
              <w:t>2.3</w:t>
            </w:r>
            <w:r>
              <w:rPr>
                <w:rFonts w:hint="eastAsia" w:ascii="Times New Roman" w:hAnsi="Times New Roman" w:eastAsia="宋体" w:cs="Times New Roman"/>
                <w:color w:val="auto"/>
                <w:lang w:val="en-US" w:eastAsia="zh-CN"/>
              </w:rPr>
              <w:t>中“</w:t>
            </w:r>
            <w:r>
              <w:rPr>
                <w:rFonts w:hint="default" w:ascii="Times New Roman" w:hAnsi="Times New Roman" w:eastAsia="宋体" w:cs="Times New Roman"/>
                <w:color w:val="auto"/>
                <w:lang w:val="en-US" w:eastAsia="zh-CN"/>
              </w:rPr>
              <w:t>2924</w:t>
            </w:r>
            <w:r>
              <w:rPr>
                <w:rFonts w:hint="eastAsia" w:ascii="Times New Roman" w:hAnsi="Times New Roman" w:eastAsia="宋体" w:cs="Times New Roman"/>
                <w:color w:val="auto"/>
                <w:lang w:val="en-US" w:eastAsia="zh-CN"/>
              </w:rPr>
              <w:t>泡沫塑料生产过程的发泡剂一般可分为物理发泡剂和化学发泡剂两大类。化学发泡剂一般为偶氮二甲酰胺、偶氮异丁腈和无机盐类。由于化学发泡剂在分解过程中主要释放二氧化碳、水、氮气等气体，无挥发性有机物产生。因此，本系数手册主要适用于采用物理发泡剂的企业。对于采用化学发泡剂的企业，加热挤出工段的产污系数可参照</w:t>
            </w:r>
            <w:r>
              <w:rPr>
                <w:rFonts w:hint="default" w:ascii="Times New Roman" w:hAnsi="Times New Roman" w:eastAsia="宋体" w:cs="Times New Roman"/>
                <w:color w:val="auto"/>
                <w:lang w:val="en-US" w:eastAsia="zh-CN"/>
              </w:rPr>
              <w:t>2922</w:t>
            </w:r>
            <w:r>
              <w:rPr>
                <w:rFonts w:hint="eastAsia" w:ascii="Times New Roman" w:hAnsi="Times New Roman" w:eastAsia="宋体" w:cs="Times New Roman"/>
                <w:color w:val="auto"/>
                <w:lang w:val="en-US" w:eastAsia="zh-CN"/>
              </w:rPr>
              <w:t>塑料板、管、型材行业挤出工段的产污系数。”</w:t>
            </w:r>
          </w:p>
          <w:p w14:paraId="695E082B">
            <w:pPr>
              <w:pStyle w:val="37"/>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80" w:firstLineChars="200"/>
              <w:jc w:val="both"/>
              <w:textAlignment w:val="baseline"/>
              <w:rPr>
                <w:rFonts w:hint="default" w:ascii="Times New Roman" w:hAnsi="Times New Roman" w:eastAsia="宋体" w:cs="Times New Roman"/>
                <w:color w:val="auto"/>
                <w:lang w:eastAsia="zh-CN"/>
              </w:rPr>
            </w:pPr>
            <w:r>
              <w:rPr>
                <w:rFonts w:hint="eastAsia" w:ascii="Times New Roman" w:hAnsi="Times New Roman" w:eastAsia="宋体" w:cs="Times New Roman"/>
                <w:color w:val="auto"/>
                <w:lang w:val="en-US" w:eastAsia="zh-CN"/>
              </w:rPr>
              <w:t>本项目发泡</w:t>
            </w:r>
            <w:r>
              <w:rPr>
                <w:rFonts w:hint="eastAsia" w:ascii="Times New Roman" w:cs="Times New Roman"/>
                <w:color w:val="auto"/>
                <w:lang w:val="en-US" w:eastAsia="zh-CN"/>
              </w:rPr>
              <w:t>过程</w:t>
            </w:r>
            <w:r>
              <w:rPr>
                <w:rFonts w:hint="eastAsia" w:ascii="Times New Roman" w:hAnsi="Times New Roman" w:eastAsia="宋体" w:cs="Times New Roman"/>
                <w:color w:val="auto"/>
                <w:lang w:val="en-US" w:eastAsia="zh-CN"/>
              </w:rPr>
              <w:t>不属于物理发泡，属于化学发泡，发泡过程不涉及加热挤出工段且与</w:t>
            </w:r>
            <w:r>
              <w:rPr>
                <w:rFonts w:hint="default" w:ascii="Times New Roman" w:hAnsi="Times New Roman" w:eastAsia="宋体" w:cs="Times New Roman"/>
                <w:color w:val="auto"/>
                <w:lang w:val="en-US" w:eastAsia="zh-CN"/>
              </w:rPr>
              <w:t>2922</w:t>
            </w:r>
            <w:r>
              <w:rPr>
                <w:rFonts w:hint="eastAsia" w:ascii="Times New Roman" w:hAnsi="Times New Roman" w:eastAsia="宋体" w:cs="Times New Roman"/>
                <w:color w:val="auto"/>
                <w:lang w:val="en-US" w:eastAsia="zh-CN"/>
              </w:rPr>
              <w:t>塑料板、管、型材行业挤出工段差别较大，因此不适用。故参照《排放源统计调查产排污核算方法和系数手册》（生态环境部公告</w:t>
            </w:r>
            <w:r>
              <w:rPr>
                <w:rFonts w:hint="default" w:ascii="Times New Roman" w:hAnsi="Times New Roman" w:eastAsia="宋体" w:cs="Times New Roman"/>
                <w:color w:val="auto"/>
                <w:lang w:val="en-US" w:eastAsia="zh-CN"/>
              </w:rPr>
              <w:t>2021</w:t>
            </w:r>
            <w:r>
              <w:rPr>
                <w:rFonts w:hint="eastAsia" w:ascii="Times New Roman" w:hAnsi="Times New Roman" w:eastAsia="宋体" w:cs="Times New Roman"/>
                <w:color w:val="auto"/>
                <w:lang w:val="en-US" w:eastAsia="zh-CN"/>
              </w:rPr>
              <w:t>年第</w:t>
            </w:r>
            <w:r>
              <w:rPr>
                <w:rFonts w:hint="default" w:ascii="Times New Roman" w:hAnsi="Times New Roman" w:eastAsia="宋体" w:cs="Times New Roman"/>
                <w:color w:val="auto"/>
                <w:lang w:val="en-US" w:eastAsia="zh-CN"/>
              </w:rPr>
              <w:t>24</w:t>
            </w:r>
            <w:r>
              <w:rPr>
                <w:rFonts w:hint="eastAsia" w:ascii="Times New Roman" w:hAnsi="Times New Roman" w:eastAsia="宋体" w:cs="Times New Roman"/>
                <w:color w:val="auto"/>
                <w:lang w:val="en-US" w:eastAsia="zh-CN"/>
              </w:rPr>
              <w:t>号）中的《</w:t>
            </w:r>
            <w:r>
              <w:rPr>
                <w:rFonts w:hint="default" w:ascii="Times New Roman" w:hAnsi="Times New Roman" w:eastAsia="宋体" w:cs="Times New Roman"/>
                <w:color w:val="auto"/>
                <w:lang w:val="en-US" w:eastAsia="zh-CN"/>
              </w:rPr>
              <w:t>33-37</w:t>
            </w:r>
            <w:r>
              <w:rPr>
                <w:rFonts w:hint="eastAsia" w:ascii="Times New Roman" w:hAnsi="Times New Roman" w:eastAsia="宋体" w:cs="Times New Roman"/>
                <w:color w:val="auto"/>
                <w:lang w:val="en-US" w:eastAsia="zh-CN"/>
              </w:rPr>
              <w:t>，</w:t>
            </w:r>
            <w:r>
              <w:rPr>
                <w:rFonts w:hint="default" w:ascii="Times New Roman" w:hAnsi="Times New Roman" w:eastAsia="宋体" w:cs="Times New Roman"/>
                <w:color w:val="auto"/>
                <w:lang w:val="en-US" w:eastAsia="zh-CN"/>
              </w:rPr>
              <w:t xml:space="preserve">431-434 </w:t>
            </w:r>
            <w:r>
              <w:rPr>
                <w:rFonts w:hint="eastAsia" w:ascii="Times New Roman" w:hAnsi="Times New Roman" w:eastAsia="宋体" w:cs="Times New Roman"/>
                <w:color w:val="auto"/>
                <w:lang w:val="en-US" w:eastAsia="zh-CN"/>
              </w:rPr>
              <w:t>机械行业系数手册》</w:t>
            </w:r>
            <w:r>
              <w:rPr>
                <w:rFonts w:hint="default" w:ascii="Times New Roman" w:hAnsi="Times New Roman" w:eastAsia="宋体" w:cs="Times New Roman"/>
                <w:color w:val="auto"/>
                <w:lang w:val="en-US" w:eastAsia="zh-CN"/>
              </w:rPr>
              <w:t xml:space="preserve">-08 </w:t>
            </w:r>
            <w:r>
              <w:rPr>
                <w:rFonts w:hint="eastAsia" w:ascii="Times New Roman" w:hAnsi="Times New Roman" w:eastAsia="宋体" w:cs="Times New Roman"/>
                <w:color w:val="auto"/>
                <w:lang w:val="en-US" w:eastAsia="zh-CN"/>
              </w:rPr>
              <w:t>树脂纤维加工核算环节中“发泡成型”的挥发性有机物产污系数为</w:t>
            </w:r>
            <w:r>
              <w:rPr>
                <w:rFonts w:hint="default" w:ascii="Times New Roman" w:hAnsi="Times New Roman" w:eastAsia="宋体" w:cs="Times New Roman"/>
                <w:color w:val="auto"/>
                <w:lang w:val="en-US" w:eastAsia="zh-CN"/>
              </w:rPr>
              <w:t>5.37kg/t</w:t>
            </w:r>
            <w:r>
              <w:rPr>
                <w:rFonts w:hint="eastAsia" w:ascii="Times New Roman" w:hAnsi="Times New Roman" w:eastAsia="宋体" w:cs="Times New Roman"/>
                <w:color w:val="auto"/>
                <w:lang w:val="en-US" w:eastAsia="zh-CN"/>
              </w:rPr>
              <w:t>原料，对发泡过程废气产生量进行核算。</w:t>
            </w:r>
          </w:p>
          <w:p w14:paraId="304B12DD">
            <w:pPr>
              <w:pStyle w:val="37"/>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20"/>
              <w:jc w:val="both"/>
              <w:textAlignment w:val="baseline"/>
              <w:rPr>
                <w:rFonts w:hint="default" w:ascii="Times New Roman" w:hAnsi="Times New Roman" w:eastAsia="宋体" w:cs="Times New Roman"/>
                <w:color w:val="auto"/>
                <w:lang w:eastAsia="zh-CN"/>
              </w:rPr>
            </w:pPr>
            <w:r>
              <w:rPr>
                <w:rFonts w:hint="eastAsia" w:ascii="Times New Roman" w:hAnsi="Times New Roman" w:eastAsia="宋体" w:cs="Times New Roman"/>
                <w:color w:val="auto"/>
                <w:lang w:val="en-US" w:eastAsia="zh-CN"/>
              </w:rPr>
              <w:t>本项目鞋垫生产中聚醚多元醇组合料年用量为5</w:t>
            </w:r>
            <w:r>
              <w:rPr>
                <w:rFonts w:hint="eastAsia" w:ascii="Times New Roman" w:cs="Times New Roman"/>
                <w:color w:val="auto"/>
                <w:lang w:val="en-US" w:eastAsia="zh-CN"/>
              </w:rPr>
              <w:t>2</w:t>
            </w:r>
            <w:r>
              <w:rPr>
                <w:rFonts w:hint="default" w:ascii="Times New Roman" w:hAnsi="Times New Roman" w:eastAsia="宋体" w:cs="Times New Roman"/>
                <w:color w:val="auto"/>
                <w:lang w:val="en-US" w:eastAsia="zh-CN"/>
              </w:rPr>
              <w:t>t</w:t>
            </w:r>
            <w:r>
              <w:rPr>
                <w:rFonts w:hint="eastAsia" w:ascii="Times New Roman" w:hAnsi="Times New Roman" w:eastAsia="宋体" w:cs="Times New Roman"/>
                <w:color w:val="auto"/>
                <w:lang w:val="en-US" w:eastAsia="zh-CN"/>
              </w:rPr>
              <w:t>、改性</w:t>
            </w:r>
            <w:r>
              <w:rPr>
                <w:rFonts w:hint="default" w:ascii="Times New Roman" w:hAnsi="Times New Roman" w:eastAsia="宋体" w:cs="Times New Roman"/>
                <w:color w:val="auto"/>
                <w:lang w:val="en-US" w:eastAsia="zh-CN"/>
              </w:rPr>
              <w:t>MDI</w:t>
            </w:r>
            <w:r>
              <w:rPr>
                <w:rFonts w:hint="eastAsia" w:ascii="Times New Roman" w:hAnsi="Times New Roman" w:eastAsia="宋体" w:cs="Times New Roman"/>
                <w:color w:val="auto"/>
                <w:lang w:val="en-US" w:eastAsia="zh-CN"/>
              </w:rPr>
              <w:t>年用量为2</w:t>
            </w:r>
            <w:r>
              <w:rPr>
                <w:rFonts w:hint="eastAsia" w:ascii="Times New Roman" w:cs="Times New Roman"/>
                <w:color w:val="auto"/>
                <w:lang w:val="en-US" w:eastAsia="zh-CN"/>
              </w:rPr>
              <w:t>3</w:t>
            </w:r>
            <w:r>
              <w:rPr>
                <w:rFonts w:hint="default" w:ascii="Times New Roman" w:hAnsi="Times New Roman" w:eastAsia="宋体" w:cs="Times New Roman"/>
                <w:color w:val="auto"/>
                <w:lang w:val="en-US" w:eastAsia="zh-CN"/>
              </w:rPr>
              <w:t>t</w:t>
            </w:r>
            <w:r>
              <w:rPr>
                <w:rFonts w:hint="eastAsia" w:ascii="Times New Roman" w:hAnsi="Times New Roman" w:eastAsia="宋体" w:cs="Times New Roman"/>
                <w:color w:val="auto"/>
                <w:lang w:val="en-US" w:eastAsia="zh-CN"/>
              </w:rPr>
              <w:t>，则</w:t>
            </w:r>
            <w:r>
              <w:rPr>
                <w:rFonts w:hint="eastAsia" w:ascii="Times New Roman" w:cs="Times New Roman"/>
                <w:color w:val="auto"/>
                <w:sz w:val="24"/>
                <w:lang w:val="en-US" w:eastAsia="zh-CN"/>
              </w:rPr>
              <w:t>非甲烷总烃</w:t>
            </w:r>
            <w:r>
              <w:rPr>
                <w:rFonts w:hint="eastAsia" w:ascii="Times New Roman" w:hAnsi="Times New Roman" w:eastAsia="宋体" w:cs="Times New Roman"/>
                <w:color w:val="auto"/>
                <w:lang w:val="en-US" w:eastAsia="zh-CN"/>
              </w:rPr>
              <w:t>产生量</w:t>
            </w:r>
            <w:r>
              <w:rPr>
                <w:rFonts w:hint="default" w:ascii="Times New Roman" w:hAnsi="Times New Roman" w:eastAsia="宋体" w:cs="Times New Roman"/>
                <w:color w:val="auto"/>
                <w:lang w:val="en-US" w:eastAsia="zh-CN"/>
              </w:rPr>
              <w:t>0.4</w:t>
            </w:r>
            <w:r>
              <w:rPr>
                <w:rFonts w:hint="eastAsia" w:ascii="Times New Roman" w:cs="Times New Roman"/>
                <w:color w:val="auto"/>
                <w:lang w:val="en-US" w:eastAsia="zh-CN"/>
              </w:rPr>
              <w:t>0</w:t>
            </w:r>
            <w:r>
              <w:rPr>
                <w:rFonts w:hint="eastAsia" w:ascii="Times New Roman" w:hAnsi="Times New Roman" w:eastAsia="宋体" w:cs="Times New Roman"/>
                <w:color w:val="auto"/>
                <w:lang w:val="en-US" w:eastAsia="zh-CN"/>
              </w:rPr>
              <w:t>3</w:t>
            </w:r>
            <w:r>
              <w:rPr>
                <w:rFonts w:hint="default" w:ascii="Times New Roman" w:hAnsi="Times New Roman" w:eastAsia="宋体" w:cs="Times New Roman"/>
                <w:color w:val="auto"/>
                <w:lang w:val="en-US" w:eastAsia="zh-CN"/>
              </w:rPr>
              <w:t>t/a</w:t>
            </w:r>
            <w:r>
              <w:rPr>
                <w:rFonts w:hint="eastAsia" w:ascii="Times New Roman" w:hAnsi="Times New Roman" w:eastAsia="宋体" w:cs="Times New Roman"/>
                <w:color w:val="auto"/>
                <w:lang w:val="en-US" w:eastAsia="zh-CN"/>
              </w:rPr>
              <w:t>。</w:t>
            </w:r>
          </w:p>
          <w:p w14:paraId="11492180">
            <w:pPr>
              <w:pStyle w:val="37"/>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80" w:firstLineChars="200"/>
              <w:jc w:val="both"/>
              <w:textAlignment w:val="baseline"/>
              <w:rPr>
                <w:rFonts w:hint="default" w:ascii="Times New Roman" w:hAnsi="Times New Roman" w:eastAsia="宋体" w:cs="Times New Roman"/>
                <w:color w:val="auto"/>
                <w:sz w:val="24"/>
                <w:lang w:eastAsia="zh-CN"/>
              </w:rPr>
            </w:pPr>
            <w:r>
              <w:rPr>
                <w:rFonts w:hint="eastAsia" w:ascii="Times New Roman" w:hAnsi="Times New Roman" w:eastAsia="宋体" w:cs="Times New Roman"/>
                <w:color w:val="auto"/>
                <w:sz w:val="24"/>
                <w:lang w:val="en-US" w:eastAsia="zh-CN"/>
              </w:rPr>
              <w:t>由于国家尚未发布</w:t>
            </w:r>
            <w:r>
              <w:rPr>
                <w:rFonts w:hint="default" w:ascii="Times New Roman" w:hAnsi="Times New Roman" w:eastAsia="宋体" w:cs="Times New Roman"/>
                <w:color w:val="auto"/>
                <w:sz w:val="24"/>
                <w:lang w:val="en-US" w:eastAsia="zh-CN"/>
              </w:rPr>
              <w:t>MDI</w:t>
            </w:r>
            <w:r>
              <w:rPr>
                <w:rFonts w:hint="eastAsia" w:ascii="Times New Roman" w:hAnsi="Times New Roman" w:eastAsia="宋体" w:cs="Times New Roman"/>
                <w:color w:val="auto"/>
                <w:sz w:val="24"/>
                <w:lang w:val="en-US" w:eastAsia="zh-CN"/>
              </w:rPr>
              <w:t>污染物监测方法，因此，无</w:t>
            </w:r>
            <w:r>
              <w:rPr>
                <w:rFonts w:hint="default" w:ascii="Times New Roman" w:hAnsi="Times New Roman" w:eastAsia="宋体" w:cs="Times New Roman"/>
                <w:color w:val="auto"/>
                <w:sz w:val="24"/>
                <w:lang w:val="en-US" w:eastAsia="zh-CN"/>
              </w:rPr>
              <w:t>MDI</w:t>
            </w:r>
            <w:r>
              <w:rPr>
                <w:rFonts w:hint="eastAsia" w:ascii="Times New Roman" w:hAnsi="Times New Roman" w:eastAsia="宋体" w:cs="Times New Roman"/>
                <w:color w:val="auto"/>
                <w:sz w:val="24"/>
                <w:lang w:val="en-US" w:eastAsia="zh-CN"/>
              </w:rPr>
              <w:t>实测值供参考计算。根据建设单位提供的资料，为了使原来</w:t>
            </w:r>
            <w:r>
              <w:rPr>
                <w:rFonts w:hint="default" w:ascii="Times New Roman" w:hAnsi="Times New Roman" w:eastAsia="宋体" w:cs="Times New Roman"/>
                <w:color w:val="auto"/>
                <w:sz w:val="24"/>
                <w:lang w:val="en-US" w:eastAsia="zh-CN"/>
              </w:rPr>
              <w:t>MDI</w:t>
            </w:r>
            <w:r>
              <w:rPr>
                <w:rFonts w:hint="eastAsia" w:ascii="Times New Roman" w:hAnsi="Times New Roman" w:eastAsia="宋体" w:cs="Times New Roman"/>
                <w:color w:val="auto"/>
                <w:sz w:val="24"/>
                <w:lang w:val="en-US" w:eastAsia="zh-CN"/>
              </w:rPr>
              <w:t>充分反应，须在理论值上多加一定的量，根据反应大部分</w:t>
            </w:r>
            <w:r>
              <w:rPr>
                <w:rFonts w:hint="default" w:ascii="Times New Roman" w:hAnsi="Times New Roman" w:eastAsia="宋体" w:cs="Times New Roman"/>
                <w:color w:val="auto"/>
                <w:sz w:val="24"/>
                <w:lang w:val="en-US" w:eastAsia="zh-CN"/>
              </w:rPr>
              <w:t>MDI</w:t>
            </w:r>
            <w:r>
              <w:rPr>
                <w:rFonts w:hint="eastAsia" w:ascii="Times New Roman" w:hAnsi="Times New Roman" w:eastAsia="宋体" w:cs="Times New Roman"/>
                <w:color w:val="auto"/>
                <w:sz w:val="24"/>
                <w:lang w:val="en-US" w:eastAsia="zh-CN"/>
              </w:rPr>
              <w:t>与聚醚迅速反应形成聚氨酯，只有少量未参与反应的</w:t>
            </w:r>
            <w:r>
              <w:rPr>
                <w:rFonts w:hint="default" w:ascii="Times New Roman" w:hAnsi="Times New Roman" w:eastAsia="宋体" w:cs="Times New Roman"/>
                <w:color w:val="auto"/>
                <w:sz w:val="24"/>
                <w:lang w:val="en-US" w:eastAsia="zh-CN"/>
              </w:rPr>
              <w:t>MDI</w:t>
            </w:r>
            <w:r>
              <w:rPr>
                <w:rFonts w:hint="eastAsia" w:ascii="Times New Roman" w:hAnsi="Times New Roman" w:eastAsia="宋体" w:cs="Times New Roman"/>
                <w:color w:val="auto"/>
                <w:sz w:val="24"/>
                <w:lang w:val="en-US" w:eastAsia="zh-CN"/>
              </w:rPr>
              <w:t>挥发形成大气污染物。根据ASTM D8036-25 Standard Test Method for Determination of Free Isocyanate Monomer in Polyurethane Raw Materials and Prepolymers[S]. ASTM International, 2025，工业纯MDI与聚醚合成聚氨酯预制品，常规工艺控制游离MDI单体≤1.0%为合格水平。本项目</w:t>
            </w:r>
            <w:r>
              <w:rPr>
                <w:rFonts w:hint="eastAsia" w:ascii="Times New Roman" w:hAnsi="Times New Roman" w:eastAsia="宋体" w:cs="Times New Roman"/>
                <w:b w:val="0"/>
                <w:bCs w:val="0"/>
                <w:color w:val="auto"/>
                <w:kern w:val="2"/>
                <w:sz w:val="24"/>
                <w:szCs w:val="24"/>
                <w:highlight w:val="none"/>
                <w:u w:val="none"/>
                <w:lang w:val="en-US" w:eastAsia="zh-CN" w:bidi="ar-SA"/>
              </w:rPr>
              <w:t>取最不利值，则</w:t>
            </w:r>
            <w:r>
              <w:rPr>
                <w:rFonts w:hint="eastAsia" w:ascii="Times New Roman" w:hAnsi="Times New Roman" w:eastAsia="宋体" w:cs="Times New Roman"/>
                <w:color w:val="auto"/>
                <w:sz w:val="24"/>
                <w:lang w:val="en-US" w:eastAsia="zh-CN"/>
              </w:rPr>
              <w:t>生产过程中未参与反应的</w:t>
            </w:r>
            <w:r>
              <w:rPr>
                <w:rFonts w:hint="default" w:ascii="Times New Roman" w:hAnsi="Times New Roman" w:eastAsia="宋体" w:cs="Times New Roman"/>
                <w:color w:val="auto"/>
                <w:sz w:val="24"/>
                <w:lang w:val="en-US" w:eastAsia="zh-CN"/>
              </w:rPr>
              <w:t>MDI</w:t>
            </w:r>
            <w:r>
              <w:rPr>
                <w:rFonts w:hint="eastAsia" w:ascii="Times New Roman" w:hAnsi="Times New Roman" w:eastAsia="宋体" w:cs="Times New Roman"/>
                <w:color w:val="auto"/>
                <w:sz w:val="24"/>
                <w:lang w:val="en-US" w:eastAsia="zh-CN"/>
              </w:rPr>
              <w:t>约占原料的1</w:t>
            </w:r>
            <w:r>
              <w:rPr>
                <w:rFonts w:hint="default" w:ascii="Times New Roman" w:hAnsi="Times New Roman" w:eastAsia="宋体" w:cs="Times New Roman"/>
                <w:color w:val="auto"/>
                <w:sz w:val="24"/>
                <w:lang w:val="en-US" w:eastAsia="zh-CN"/>
              </w:rPr>
              <w:t>%</w:t>
            </w:r>
            <w:r>
              <w:rPr>
                <w:rFonts w:hint="eastAsia" w:ascii="Times New Roman" w:hAnsi="Times New Roman" w:eastAsia="宋体" w:cs="Times New Roman"/>
                <w:color w:val="auto"/>
                <w:sz w:val="24"/>
                <w:lang w:val="en-US" w:eastAsia="zh-CN"/>
              </w:rPr>
              <w:t>。本项目鞋垫生产中改性</w:t>
            </w:r>
            <w:r>
              <w:rPr>
                <w:rFonts w:hint="default" w:ascii="Times New Roman" w:hAnsi="Times New Roman" w:eastAsia="宋体" w:cs="Times New Roman"/>
                <w:color w:val="auto"/>
                <w:sz w:val="24"/>
                <w:lang w:val="en-US" w:eastAsia="zh-CN"/>
              </w:rPr>
              <w:t>MDI</w:t>
            </w:r>
            <w:r>
              <w:rPr>
                <w:rFonts w:hint="eastAsia" w:ascii="Times New Roman" w:hAnsi="Times New Roman" w:eastAsia="宋体" w:cs="Times New Roman"/>
                <w:color w:val="auto"/>
                <w:sz w:val="24"/>
                <w:lang w:val="en-US" w:eastAsia="zh-CN"/>
              </w:rPr>
              <w:t>年用量为23</w:t>
            </w:r>
            <w:r>
              <w:rPr>
                <w:rFonts w:hint="default" w:ascii="Times New Roman" w:hAnsi="Times New Roman" w:eastAsia="宋体" w:cs="Times New Roman"/>
                <w:color w:val="auto"/>
                <w:sz w:val="24"/>
                <w:lang w:val="en-US" w:eastAsia="zh-CN"/>
              </w:rPr>
              <w:t>t</w:t>
            </w:r>
            <w:r>
              <w:rPr>
                <w:rFonts w:hint="eastAsia" w:ascii="Times New Roman" w:hAnsi="Times New Roman" w:eastAsia="宋体" w:cs="Times New Roman"/>
                <w:color w:val="auto"/>
                <w:sz w:val="24"/>
                <w:lang w:val="en-US" w:eastAsia="zh-CN"/>
              </w:rPr>
              <w:t>，经核算，本项目发泡工序</w:t>
            </w:r>
            <w:r>
              <w:rPr>
                <w:rFonts w:hint="default" w:ascii="Times New Roman" w:hAnsi="Times New Roman" w:eastAsia="宋体" w:cs="Times New Roman"/>
                <w:color w:val="auto"/>
                <w:sz w:val="24"/>
                <w:lang w:val="en-US" w:eastAsia="zh-CN"/>
              </w:rPr>
              <w:t>MDI</w:t>
            </w:r>
            <w:r>
              <w:rPr>
                <w:rFonts w:hint="eastAsia" w:ascii="Times New Roman" w:hAnsi="Times New Roman" w:eastAsia="宋体" w:cs="Times New Roman"/>
                <w:color w:val="auto"/>
                <w:sz w:val="24"/>
                <w:lang w:val="en-US" w:eastAsia="zh-CN"/>
              </w:rPr>
              <w:t>产生量</w:t>
            </w:r>
            <w:r>
              <w:rPr>
                <w:rFonts w:hint="default" w:ascii="Times New Roman" w:hAnsi="Times New Roman" w:eastAsia="宋体" w:cs="Times New Roman"/>
                <w:color w:val="auto"/>
                <w:sz w:val="24"/>
                <w:lang w:val="en-US" w:eastAsia="zh-CN"/>
              </w:rPr>
              <w:t>0.</w:t>
            </w:r>
            <w:r>
              <w:rPr>
                <w:rFonts w:hint="eastAsia" w:ascii="Times New Roman" w:hAnsi="Times New Roman" w:eastAsia="宋体" w:cs="Times New Roman"/>
                <w:color w:val="auto"/>
                <w:sz w:val="24"/>
                <w:lang w:val="en-US" w:eastAsia="zh-CN"/>
              </w:rPr>
              <w:t>23</w:t>
            </w:r>
            <w:r>
              <w:rPr>
                <w:rFonts w:hint="default" w:ascii="Times New Roman" w:hAnsi="Times New Roman" w:eastAsia="宋体" w:cs="Times New Roman"/>
                <w:color w:val="auto"/>
                <w:sz w:val="24"/>
                <w:lang w:val="en-US" w:eastAsia="zh-CN"/>
              </w:rPr>
              <w:t>t/a</w:t>
            </w:r>
            <w:r>
              <w:rPr>
                <w:rFonts w:hint="eastAsia" w:ascii="Times New Roman" w:hAnsi="Times New Roman" w:eastAsia="宋体" w:cs="Times New Roman"/>
                <w:color w:val="auto"/>
                <w:sz w:val="24"/>
                <w:lang w:val="en-US" w:eastAsia="zh-CN"/>
              </w:rPr>
              <w:t>。</w:t>
            </w:r>
          </w:p>
          <w:p w14:paraId="4076B50C">
            <w:pPr>
              <w:pStyle w:val="37"/>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80" w:firstLineChars="200"/>
              <w:jc w:val="both"/>
              <w:textAlignment w:val="baseline"/>
              <w:rPr>
                <w:rFonts w:hint="default" w:ascii="Times New Roman" w:hAnsi="Times New Roman" w:eastAsia="宋体" w:cs="Times New Roman"/>
                <w:color w:val="auto"/>
                <w:sz w:val="24"/>
                <w:lang w:eastAsia="zh-CN"/>
              </w:rPr>
            </w:pPr>
            <w:r>
              <w:rPr>
                <w:rFonts w:hint="eastAsia" w:ascii="Times New Roman" w:hAnsi="Times New Roman" w:eastAsia="宋体" w:cs="Times New Roman"/>
                <w:color w:val="auto"/>
                <w:sz w:val="24"/>
                <w:lang w:val="en-US" w:eastAsia="zh-CN"/>
              </w:rPr>
              <w:t>本项目</w:t>
            </w:r>
            <w:r>
              <w:rPr>
                <w:rFonts w:hint="default" w:ascii="Times New Roman" w:hAnsi="Times New Roman" w:eastAsia="宋体" w:cs="Times New Roman"/>
                <w:color w:val="auto"/>
                <w:sz w:val="24"/>
                <w:lang w:val="en-US" w:eastAsia="zh-CN"/>
              </w:rPr>
              <w:t>MDI</w:t>
            </w:r>
            <w:r>
              <w:rPr>
                <w:rFonts w:hint="eastAsia" w:ascii="Times New Roman" w:hAnsi="Times New Roman" w:eastAsia="宋体" w:cs="Times New Roman"/>
                <w:color w:val="auto"/>
                <w:sz w:val="24"/>
                <w:lang w:val="en-US" w:eastAsia="zh-CN"/>
              </w:rPr>
              <w:t>产生量已计入非甲烷总烃产生量中。本项目MDI产生量已计入非甲烷总烃产生量中。则发泡有机废气VOCs产生量为0.633t/a。发泡有机废气采用半密闭集气罩负压收集+五级活性炭吸附，集气效率65%，五级活性炭吸附效率取83.19%，则有组织排放量为0.069t/a，无组织排放为0.222t/a。</w:t>
            </w:r>
          </w:p>
          <w:p w14:paraId="791E3EAE">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cs="Times New Roman"/>
                <w:color w:val="auto"/>
                <w:u w:val="none"/>
                <w:lang w:val="en-US" w:eastAsia="zh-CN"/>
              </w:rPr>
            </w:pPr>
            <w:r>
              <w:rPr>
                <w:rFonts w:hint="eastAsia" w:cs="宋体"/>
                <w:color w:val="auto"/>
                <w:kern w:val="21"/>
                <w:sz w:val="24"/>
                <w:szCs w:val="24"/>
                <w:highlight w:val="none"/>
                <w:u w:val="none"/>
                <w:lang w:val="en-US" w:eastAsia="zh-CN" w:bidi="ar-SA"/>
              </w:rPr>
              <w:t>4</w:t>
            </w:r>
            <w:r>
              <w:rPr>
                <w:rFonts w:hint="eastAsia" w:ascii="Times New Roman" w:hAnsi="Times New Roman" w:eastAsia="宋体" w:cs="宋体"/>
                <w:color w:val="auto"/>
                <w:kern w:val="21"/>
                <w:sz w:val="24"/>
                <w:szCs w:val="24"/>
                <w:highlight w:val="none"/>
                <w:u w:val="none"/>
                <w:lang w:val="en-US" w:eastAsia="zh-CN" w:bidi="ar-SA"/>
              </w:rPr>
              <w:t>）发泡脱</w:t>
            </w:r>
            <w:r>
              <w:rPr>
                <w:rFonts w:hint="eastAsia" w:ascii="Times New Roman" w:hAnsi="Times New Roman" w:eastAsia="宋体" w:cs="Times New Roman"/>
                <w:color w:val="auto"/>
                <w:kern w:val="21"/>
                <w:sz w:val="24"/>
                <w:szCs w:val="24"/>
                <w:highlight w:val="none"/>
                <w:u w:val="none"/>
                <w:lang w:val="en-US" w:eastAsia="zh-CN" w:bidi="ar-SA"/>
              </w:rPr>
              <w:t>模有机废气</w:t>
            </w:r>
          </w:p>
          <w:p w14:paraId="5BB6CF16">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b w:val="0"/>
                <w:bCs w:val="0"/>
                <w:color w:val="auto"/>
                <w:kern w:val="2"/>
                <w:sz w:val="24"/>
                <w:szCs w:val="24"/>
                <w:highlight w:val="none"/>
                <w:lang w:val="en-US" w:eastAsia="zh-CN" w:bidi="ar-SA"/>
              </w:rPr>
            </w:pPr>
            <w:r>
              <w:rPr>
                <w:rFonts w:hint="eastAsia" w:ascii="Times New Roman" w:hAnsi="Times New Roman" w:eastAsia="宋体" w:cs="Times New Roman"/>
                <w:b w:val="0"/>
                <w:bCs w:val="0"/>
                <w:color w:val="auto"/>
                <w:kern w:val="2"/>
                <w:sz w:val="24"/>
                <w:szCs w:val="24"/>
                <w:highlight w:val="none"/>
                <w:u w:val="none"/>
                <w:lang w:val="en-US" w:eastAsia="zh-CN" w:bidi="ar-SA"/>
              </w:rPr>
              <w:t>本项目脱模剂使用过程会产生有机废气，以</w:t>
            </w:r>
            <w:r>
              <w:rPr>
                <w:rFonts w:hint="eastAsia" w:ascii="Times New Roman" w:hAnsi="Times New Roman" w:eastAsia="宋体" w:cs="Times New Roman"/>
                <w:color w:val="auto"/>
                <w:sz w:val="24"/>
                <w:lang w:val="en-US" w:eastAsia="zh-CN"/>
              </w:rPr>
              <w:t>非甲烷总烃</w:t>
            </w:r>
            <w:r>
              <w:rPr>
                <w:rFonts w:hint="eastAsia" w:ascii="Times New Roman" w:hAnsi="Times New Roman" w:eastAsia="宋体" w:cs="Times New Roman"/>
                <w:b w:val="0"/>
                <w:bCs w:val="0"/>
                <w:color w:val="auto"/>
                <w:kern w:val="2"/>
                <w:sz w:val="24"/>
                <w:szCs w:val="24"/>
                <w:highlight w:val="none"/>
                <w:u w:val="none"/>
                <w:lang w:val="en-US" w:eastAsia="zh-CN" w:bidi="ar-SA"/>
              </w:rPr>
              <w:t>表征。根据建设单位提供的水性脱模剂成分说明，</w:t>
            </w:r>
            <w:r>
              <w:rPr>
                <w:rFonts w:hint="default" w:ascii="Times New Roman" w:hAnsi="Times New Roman" w:eastAsia="宋体" w:cs="宋体"/>
                <w:color w:val="auto"/>
                <w:sz w:val="24"/>
                <w:szCs w:val="24"/>
              </w:rPr>
              <w:t>其主要成分为：水（</w:t>
            </w:r>
            <w:r>
              <w:rPr>
                <w:rFonts w:hint="eastAsia" w:ascii="Times New Roman" w:hAnsi="Times New Roman" w:eastAsia="宋体" w:cs="宋体"/>
                <w:color w:val="auto"/>
                <w:sz w:val="24"/>
                <w:szCs w:val="24"/>
                <w:lang w:eastAsia="zh-CN"/>
              </w:rPr>
              <w:t>40%～60%</w:t>
            </w:r>
            <w:r>
              <w:rPr>
                <w:rFonts w:hint="default" w:ascii="Times New Roman" w:hAnsi="Times New Roman" w:eastAsia="宋体" w:cs="宋体"/>
                <w:color w:val="auto"/>
                <w:sz w:val="24"/>
                <w:szCs w:val="24"/>
              </w:rPr>
              <w:t>）、聚二甲硅氧烷（</w:t>
            </w:r>
            <w:r>
              <w:rPr>
                <w:rFonts w:hint="eastAsia" w:ascii="Times New Roman" w:hAnsi="Times New Roman" w:eastAsia="宋体" w:cs="宋体"/>
                <w:color w:val="auto"/>
                <w:sz w:val="24"/>
                <w:szCs w:val="24"/>
                <w:lang w:eastAsia="zh-CN"/>
              </w:rPr>
              <w:t>10%～30%</w:t>
            </w:r>
            <w:r>
              <w:rPr>
                <w:rFonts w:hint="default" w:ascii="Times New Roman" w:hAnsi="Times New Roman" w:eastAsia="宋体" w:cs="宋体"/>
                <w:color w:val="auto"/>
                <w:sz w:val="24"/>
                <w:szCs w:val="24"/>
              </w:rPr>
              <w:t>）、石油和光亮油混合物（</w:t>
            </w:r>
            <w:r>
              <w:rPr>
                <w:rFonts w:hint="eastAsia" w:ascii="Times New Roman" w:hAnsi="Times New Roman" w:eastAsia="宋体" w:cs="宋体"/>
                <w:color w:val="auto"/>
                <w:sz w:val="24"/>
                <w:szCs w:val="24"/>
                <w:lang w:eastAsia="zh-CN"/>
              </w:rPr>
              <w:t>10%～30%</w:t>
            </w:r>
            <w:r>
              <w:rPr>
                <w:rFonts w:hint="default" w:ascii="Times New Roman" w:hAnsi="Times New Roman" w:eastAsia="宋体" w:cs="宋体"/>
                <w:color w:val="auto"/>
                <w:sz w:val="24"/>
                <w:szCs w:val="24"/>
              </w:rPr>
              <w:t>）、异丙醇（</w:t>
            </w:r>
            <w:r>
              <w:rPr>
                <w:rFonts w:hint="eastAsia" w:ascii="Times New Roman" w:hAnsi="Times New Roman" w:eastAsia="宋体" w:cs="宋体"/>
                <w:color w:val="auto"/>
                <w:sz w:val="24"/>
                <w:szCs w:val="24"/>
                <w:lang w:eastAsia="zh-CN"/>
              </w:rPr>
              <w:t>3%～7%</w:t>
            </w:r>
            <w:r>
              <w:rPr>
                <w:rFonts w:hint="default" w:ascii="Times New Roman" w:hAnsi="Times New Roman" w:eastAsia="宋体" w:cs="宋体"/>
                <w:color w:val="auto"/>
                <w:sz w:val="24"/>
                <w:szCs w:val="24"/>
              </w:rPr>
              <w:t>）。脱膜剂中异丙醇会产生挥发性有机物，其他成分不会产生挥发性有机物，因此脱膜剂挥发性有机物含量按照7%考虑。</w:t>
            </w:r>
            <w:r>
              <w:rPr>
                <w:rFonts w:hint="eastAsia" w:ascii="Times New Roman" w:hAnsi="Times New Roman" w:eastAsia="宋体" w:cs="Times New Roman"/>
                <w:b w:val="0"/>
                <w:bCs w:val="0"/>
                <w:color w:val="auto"/>
                <w:kern w:val="2"/>
                <w:sz w:val="24"/>
                <w:szCs w:val="24"/>
                <w:highlight w:val="none"/>
                <w:u w:val="none"/>
                <w:lang w:val="en-US" w:eastAsia="zh-CN" w:bidi="ar-SA"/>
              </w:rPr>
              <w:t>项目脱模剂使用量为1.2t/a，脱模剂中挥发性有机物含量以异丙醇最大含量7%计，采用物料衡算法计算得出非甲烷总烃产生量为0.084t/a。</w:t>
            </w:r>
            <w:r>
              <w:rPr>
                <w:rFonts w:hint="eastAsia" w:ascii="Times New Roman" w:hAnsi="Times New Roman" w:eastAsia="宋体" w:cs="宋体"/>
                <w:color w:val="auto"/>
                <w:kern w:val="21"/>
                <w:sz w:val="24"/>
                <w:szCs w:val="24"/>
                <w:highlight w:val="none"/>
                <w:u w:val="none"/>
                <w:lang w:val="en-US" w:eastAsia="zh-CN" w:bidi="ar-SA"/>
              </w:rPr>
              <w:t>发泡脱</w:t>
            </w:r>
            <w:r>
              <w:rPr>
                <w:rFonts w:hint="eastAsia" w:ascii="Times New Roman" w:hAnsi="Times New Roman" w:eastAsia="宋体" w:cs="Times New Roman"/>
                <w:color w:val="auto"/>
                <w:kern w:val="21"/>
                <w:sz w:val="24"/>
                <w:szCs w:val="24"/>
                <w:highlight w:val="none"/>
                <w:u w:val="none"/>
                <w:lang w:val="en-US" w:eastAsia="zh-CN" w:bidi="ar-SA"/>
              </w:rPr>
              <w:t>模有机废气</w:t>
            </w:r>
            <w:r>
              <w:rPr>
                <w:rFonts w:hint="eastAsia" w:ascii="Times New Roman" w:hAnsi="Times New Roman" w:eastAsia="宋体" w:cs="Times New Roman"/>
                <w:b w:val="0"/>
                <w:bCs w:val="0"/>
                <w:color w:val="auto"/>
                <w:kern w:val="2"/>
                <w:sz w:val="24"/>
                <w:szCs w:val="24"/>
                <w:highlight w:val="none"/>
                <w:lang w:val="en-US" w:eastAsia="zh-CN" w:bidi="ar-SA"/>
              </w:rPr>
              <w:t>采用半密闭集气罩负压收集+五级活性炭吸附，集气效率65%，五级活性炭吸附效率取83.19%，则有组织排放量为0.009t/a，无组织排放为0.029t/a。</w:t>
            </w:r>
          </w:p>
          <w:p w14:paraId="52B55E2F">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color w:val="auto"/>
                <w:kern w:val="2"/>
                <w:sz w:val="24"/>
                <w:szCs w:val="24"/>
                <w:lang w:eastAsia="zh-CN"/>
              </w:rPr>
            </w:pPr>
            <w:r>
              <w:rPr>
                <w:rFonts w:hint="default" w:ascii="Times New Roman" w:hAnsi="Times New Roman" w:cs="Times New Roman"/>
                <w:color w:val="auto"/>
                <w:kern w:val="2"/>
                <w:sz w:val="24"/>
                <w:szCs w:val="24"/>
                <w:lang w:val="en-US" w:eastAsia="zh-CN" w:bidi="ar"/>
              </w:rPr>
              <w:t>5</w:t>
            </w:r>
            <w:r>
              <w:rPr>
                <w:rFonts w:hint="eastAsia" w:ascii="宋体" w:hAnsi="宋体" w:eastAsia="宋体" w:cs="宋体"/>
                <w:color w:val="auto"/>
                <w:kern w:val="2"/>
                <w:sz w:val="24"/>
                <w:szCs w:val="24"/>
                <w:lang w:eastAsia="zh-CN" w:bidi="ar"/>
              </w:rPr>
              <w:t>）</w:t>
            </w:r>
            <w:r>
              <w:rPr>
                <w:rFonts w:hint="eastAsia" w:ascii="宋体" w:hAnsi="宋体" w:eastAsia="宋体" w:cs="宋体"/>
                <w:color w:val="auto"/>
                <w:sz w:val="24"/>
                <w:szCs w:val="24"/>
                <w:lang w:eastAsia="zh-CN" w:bidi="ar"/>
              </w:rPr>
              <w:t>刷鞋头（打磨）产生的颗粒物</w:t>
            </w:r>
          </w:p>
          <w:p w14:paraId="12EB0B5E">
            <w:pPr>
              <w:pStyle w:val="37"/>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20"/>
              <w:jc w:val="both"/>
              <w:textAlignment w:val="baseline"/>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项目</w:t>
            </w:r>
            <w:r>
              <w:rPr>
                <w:rFonts w:hint="eastAsia" w:ascii="Times New Roman" w:hAnsi="Times New Roman" w:eastAsia="宋体" w:cs="Times New Roman"/>
                <w:color w:val="auto"/>
                <w:lang w:eastAsia="zh-CN"/>
              </w:rPr>
              <w:t>刷鞋头</w:t>
            </w:r>
            <w:r>
              <w:rPr>
                <w:rFonts w:hint="eastAsia" w:ascii="宋体" w:hAnsi="宋体" w:eastAsia="宋体" w:cs="宋体"/>
                <w:color w:val="auto"/>
                <w:lang w:eastAsia="zh-CN" w:bidi="ar"/>
              </w:rPr>
              <w:t>（打磨）</w:t>
            </w:r>
            <w:r>
              <w:rPr>
                <w:rFonts w:hint="eastAsia" w:ascii="Times New Roman" w:hAnsi="Times New Roman" w:eastAsia="宋体" w:cs="Times New Roman"/>
                <w:color w:val="auto"/>
                <w:lang w:eastAsia="zh-CN"/>
              </w:rPr>
              <w:t>工艺</w:t>
            </w:r>
            <w:r>
              <w:rPr>
                <w:rFonts w:hint="default" w:ascii="Times New Roman" w:hAnsi="Times New Roman" w:eastAsia="宋体" w:cs="Times New Roman"/>
                <w:color w:val="auto"/>
                <w:lang w:eastAsia="zh-CN"/>
              </w:rPr>
              <w:t>会产生少量的粉尘。参照《排放源统计调查产排污核算方法和系数手册》中195制鞋业行业系数手册，纺织面料鞋制造行业颗粒物产污系数为5450mg/双-产品</w:t>
            </w:r>
            <w:r>
              <w:rPr>
                <w:rFonts w:hint="eastAsia" w:ascii="Times New Roman" w:hAnsi="Times New Roman" w:eastAsia="宋体" w:cs="Times New Roman"/>
                <w:color w:val="auto"/>
                <w:lang w:eastAsia="zh-CN"/>
              </w:rPr>
              <w:t>、皮鞋</w:t>
            </w:r>
            <w:r>
              <w:rPr>
                <w:rFonts w:hint="default" w:ascii="Times New Roman" w:hAnsi="Times New Roman" w:eastAsia="宋体" w:cs="Times New Roman"/>
                <w:color w:val="auto"/>
                <w:lang w:eastAsia="zh-CN"/>
              </w:rPr>
              <w:t>面料鞋制造行业颗粒物产污系数为16740mg/双-产品</w:t>
            </w:r>
            <w:r>
              <w:rPr>
                <w:rFonts w:hint="eastAsia" w:ascii="Times New Roman" w:hAnsi="Times New Roman" w:eastAsia="宋体" w:cs="Times New Roman"/>
                <w:color w:val="auto"/>
                <w:lang w:eastAsia="zh-CN"/>
              </w:rPr>
              <w:t>，本项目包含纺织面料和皮鞋两种面料，</w:t>
            </w:r>
            <w:r>
              <w:rPr>
                <w:rFonts w:hint="eastAsia" w:ascii="Times New Roman" w:hAnsi="Times New Roman" w:eastAsia="宋体" w:cs="Times New Roman"/>
                <w:color w:val="auto"/>
                <w:lang w:val="en-US" w:eastAsia="zh-CN"/>
              </w:rPr>
              <w:t>其中</w:t>
            </w:r>
            <w:r>
              <w:rPr>
                <w:rFonts w:hint="eastAsia" w:ascii="Times New Roman" w:hAnsi="Times New Roman" w:eastAsia="宋体" w:cs="Times New Roman"/>
                <w:color w:val="auto"/>
                <w:lang w:eastAsia="zh-CN"/>
              </w:rPr>
              <w:t>纺织面料</w:t>
            </w:r>
            <w:r>
              <w:rPr>
                <w:rFonts w:hint="eastAsia" w:ascii="Times New Roman" w:hAnsi="Times New Roman" w:eastAsia="宋体" w:cs="Times New Roman"/>
                <w:color w:val="auto"/>
                <w:lang w:val="en-US" w:eastAsia="zh-CN"/>
              </w:rPr>
              <w:t>120万双/a</w:t>
            </w:r>
            <w:r>
              <w:rPr>
                <w:rFonts w:hint="eastAsia" w:ascii="Times New Roman" w:hAnsi="Times New Roman" w:eastAsia="宋体" w:cs="Times New Roman"/>
                <w:color w:val="auto"/>
                <w:lang w:eastAsia="zh-CN"/>
              </w:rPr>
              <w:t>，皮鞋</w:t>
            </w:r>
            <w:r>
              <w:rPr>
                <w:rFonts w:hint="default" w:ascii="Times New Roman" w:hAnsi="Times New Roman" w:eastAsia="宋体" w:cs="Times New Roman"/>
                <w:color w:val="auto"/>
                <w:lang w:eastAsia="zh-CN"/>
              </w:rPr>
              <w:t>面料</w:t>
            </w:r>
            <w:r>
              <w:rPr>
                <w:rFonts w:hint="eastAsia" w:ascii="Times New Roman" w:hAnsi="Times New Roman" w:eastAsia="宋体" w:cs="Times New Roman"/>
                <w:color w:val="auto"/>
                <w:lang w:val="en-US" w:eastAsia="zh-CN"/>
              </w:rPr>
              <w:t>160万双/a，</w:t>
            </w:r>
            <w:r>
              <w:rPr>
                <w:rFonts w:hint="eastAsia" w:ascii="Times New Roman" w:hAnsi="Times New Roman" w:eastAsia="宋体" w:cs="Times New Roman"/>
                <w:color w:val="auto"/>
                <w:lang w:eastAsia="zh-CN"/>
              </w:rPr>
              <w:t>需要刷鞋头的占比为20%</w:t>
            </w:r>
            <w:r>
              <w:rPr>
                <w:rFonts w:hint="default" w:ascii="Times New Roman" w:hAnsi="Times New Roman" w:eastAsia="宋体" w:cs="Times New Roman"/>
                <w:color w:val="auto"/>
                <w:lang w:eastAsia="zh-CN"/>
              </w:rPr>
              <w:t>，因此计算</w:t>
            </w:r>
            <w:r>
              <w:rPr>
                <w:rFonts w:hint="eastAsia" w:ascii="Times New Roman" w:hAnsi="Times New Roman" w:eastAsia="宋体" w:cs="Times New Roman"/>
                <w:color w:val="auto"/>
                <w:lang w:eastAsia="zh-CN"/>
              </w:rPr>
              <w:t>刷鞋头</w:t>
            </w:r>
            <w:r>
              <w:rPr>
                <w:rFonts w:hint="eastAsia" w:ascii="宋体" w:hAnsi="宋体" w:eastAsia="宋体" w:cs="宋体"/>
                <w:color w:val="auto"/>
                <w:lang w:eastAsia="zh-CN" w:bidi="ar"/>
              </w:rPr>
              <w:t>（打磨）</w:t>
            </w:r>
            <w:r>
              <w:rPr>
                <w:rFonts w:hint="default" w:ascii="Times New Roman" w:hAnsi="Times New Roman" w:eastAsia="宋体" w:cs="Times New Roman"/>
                <w:color w:val="auto"/>
                <w:lang w:eastAsia="zh-CN"/>
              </w:rPr>
              <w:t>粉尘产生量为</w:t>
            </w:r>
            <w:r>
              <w:rPr>
                <w:rFonts w:hint="eastAsia" w:ascii="Times New Roman" w:hAnsi="Times New Roman" w:eastAsia="宋体" w:cs="Times New Roman"/>
                <w:color w:val="auto"/>
                <w:lang w:val="en-US" w:eastAsia="zh-CN"/>
              </w:rPr>
              <w:t>6.66</w:t>
            </w:r>
            <w:r>
              <w:rPr>
                <w:rFonts w:hint="default" w:ascii="Times New Roman" w:hAnsi="Times New Roman" w:eastAsia="宋体" w:cs="Times New Roman"/>
                <w:color w:val="auto"/>
                <w:lang w:eastAsia="zh-CN"/>
              </w:rPr>
              <w:t>t/a，</w:t>
            </w:r>
            <w:r>
              <w:rPr>
                <w:rFonts w:hint="eastAsia" w:ascii="Times New Roman" w:hAnsi="Times New Roman" w:eastAsia="宋体" w:cs="Times New Roman"/>
                <w:color w:val="auto"/>
                <w:lang w:eastAsia="zh-CN"/>
              </w:rPr>
              <w:t>打磨机</w:t>
            </w:r>
            <w:r>
              <w:rPr>
                <w:rFonts w:hint="eastAsia" w:ascii="Times New Roman" w:hAnsi="Times New Roman" w:eastAsia="宋体" w:cs="Times New Roman"/>
                <w:color w:val="auto"/>
                <w:lang w:val="en-US" w:eastAsia="zh-CN"/>
              </w:rPr>
              <w:t>边布置半密闭集气罩负压收集</w:t>
            </w:r>
            <w:r>
              <w:rPr>
                <w:rFonts w:hint="eastAsia" w:ascii="Times New Roman" w:hAnsi="Times New Roman" w:eastAsia="宋体" w:cs="Times New Roman"/>
                <w:color w:val="auto"/>
                <w:lang w:eastAsia="zh-CN"/>
              </w:rPr>
              <w:t>+布袋</w:t>
            </w:r>
            <w:r>
              <w:rPr>
                <w:rFonts w:hint="eastAsia" w:ascii="Times New Roman" w:hAnsi="Times New Roman" w:eastAsia="宋体" w:cs="Times New Roman"/>
                <w:color w:val="auto"/>
                <w:lang w:val="en-US" w:eastAsia="zh-CN"/>
              </w:rPr>
              <w:t>除尘</w:t>
            </w:r>
            <w:r>
              <w:rPr>
                <w:rFonts w:hint="eastAsia" w:ascii="Times New Roman" w:hAnsi="Times New Roman" w:eastAsia="宋体" w:cs="Times New Roman"/>
                <w:color w:val="auto"/>
                <w:lang w:eastAsia="zh-CN"/>
              </w:rPr>
              <w:t>装置，集气效率</w:t>
            </w:r>
            <w:r>
              <w:rPr>
                <w:rFonts w:hint="eastAsia" w:ascii="Times New Roman" w:cs="Times New Roman"/>
                <w:color w:val="auto"/>
                <w:lang w:val="en-US" w:eastAsia="zh-CN"/>
              </w:rPr>
              <w:t>65</w:t>
            </w:r>
            <w:r>
              <w:rPr>
                <w:rFonts w:hint="eastAsia" w:ascii="Times New Roman" w:hAnsi="Times New Roman" w:eastAsia="宋体" w:cs="Times New Roman"/>
                <w:color w:val="auto"/>
                <w:lang w:eastAsia="zh-CN"/>
              </w:rPr>
              <w:t>%</w:t>
            </w:r>
            <w:r>
              <w:rPr>
                <w:rFonts w:hint="default" w:ascii="Times New Roman" w:hAnsi="Times New Roman" w:eastAsia="宋体" w:cs="Times New Roman"/>
                <w:color w:val="auto"/>
                <w:lang w:eastAsia="zh-CN"/>
              </w:rPr>
              <w:t>，</w:t>
            </w:r>
            <w:r>
              <w:rPr>
                <w:rFonts w:hint="eastAsia" w:ascii="Times New Roman" w:hAnsi="Times New Roman" w:eastAsia="宋体" w:cs="Times New Roman"/>
                <w:color w:val="auto"/>
                <w:lang w:eastAsia="zh-CN"/>
              </w:rPr>
              <w:t>布袋过滤效率取9</w:t>
            </w:r>
            <w:r>
              <w:rPr>
                <w:rFonts w:hint="eastAsia" w:ascii="Times New Roman" w:cs="Times New Roman"/>
                <w:color w:val="auto"/>
                <w:lang w:val="en-US" w:eastAsia="zh-CN"/>
              </w:rPr>
              <w:t>5</w:t>
            </w:r>
            <w:r>
              <w:rPr>
                <w:rFonts w:hint="eastAsia" w:ascii="Times New Roman" w:hAnsi="Times New Roman" w:eastAsia="宋体" w:cs="Times New Roman"/>
                <w:color w:val="auto"/>
                <w:lang w:eastAsia="zh-CN"/>
              </w:rPr>
              <w:t>%，则</w:t>
            </w:r>
            <w:r>
              <w:rPr>
                <w:rFonts w:hint="default" w:ascii="Times New Roman" w:hAnsi="Times New Roman" w:eastAsia="宋体" w:cs="Times New Roman"/>
                <w:color w:val="auto"/>
                <w:lang w:eastAsia="zh-CN"/>
              </w:rPr>
              <w:t>项目</w:t>
            </w:r>
            <w:r>
              <w:rPr>
                <w:rFonts w:hint="eastAsia" w:ascii="Times New Roman" w:hAnsi="Times New Roman" w:eastAsia="宋体" w:cs="Times New Roman"/>
                <w:color w:val="auto"/>
                <w:lang w:eastAsia="zh-CN"/>
              </w:rPr>
              <w:t>刷鞋头</w:t>
            </w:r>
            <w:r>
              <w:rPr>
                <w:rFonts w:hint="eastAsia" w:ascii="宋体" w:hAnsi="宋体" w:eastAsia="宋体" w:cs="宋体"/>
                <w:color w:val="auto"/>
                <w:lang w:eastAsia="zh-CN" w:bidi="ar"/>
              </w:rPr>
              <w:t>（打磨）</w:t>
            </w:r>
            <w:r>
              <w:rPr>
                <w:rFonts w:hint="default" w:ascii="Times New Roman" w:hAnsi="Times New Roman" w:eastAsia="宋体" w:cs="Times New Roman"/>
                <w:color w:val="auto"/>
                <w:lang w:eastAsia="zh-CN"/>
              </w:rPr>
              <w:t>粉尘</w:t>
            </w:r>
            <w:r>
              <w:rPr>
                <w:rFonts w:hint="eastAsia" w:ascii="Times New Roman" w:hAnsi="Times New Roman" w:eastAsia="宋体" w:cs="Times New Roman"/>
                <w:color w:val="auto"/>
                <w:lang w:val="en-US" w:eastAsia="zh-CN"/>
              </w:rPr>
              <w:t>有组织</w:t>
            </w:r>
            <w:r>
              <w:rPr>
                <w:rFonts w:hint="default" w:ascii="Times New Roman" w:hAnsi="Times New Roman" w:eastAsia="宋体" w:cs="Times New Roman"/>
                <w:color w:val="auto"/>
                <w:lang w:eastAsia="zh-CN"/>
              </w:rPr>
              <w:t>排放量为</w:t>
            </w:r>
            <w:r>
              <w:rPr>
                <w:rFonts w:hint="eastAsia" w:ascii="Times New Roman" w:hAnsi="Times New Roman" w:eastAsia="宋体" w:cs="Times New Roman"/>
                <w:color w:val="auto"/>
                <w:lang w:eastAsia="zh-CN"/>
              </w:rPr>
              <w:t>0.5</w:t>
            </w:r>
            <w:r>
              <w:rPr>
                <w:rFonts w:hint="eastAsia" w:ascii="Times New Roman" w:hAnsi="Times New Roman" w:eastAsia="宋体" w:cs="Times New Roman"/>
                <w:color w:val="auto"/>
                <w:lang w:val="en-US" w:eastAsia="zh-CN"/>
              </w:rPr>
              <w:t>33</w:t>
            </w:r>
            <w:r>
              <w:rPr>
                <w:rFonts w:hint="default" w:ascii="Times New Roman" w:hAnsi="Times New Roman" w:eastAsia="宋体" w:cs="Times New Roman"/>
                <w:color w:val="auto"/>
                <w:lang w:eastAsia="zh-CN"/>
              </w:rPr>
              <w:t>t/a</w:t>
            </w:r>
            <w:r>
              <w:rPr>
                <w:rFonts w:hint="eastAsia" w:ascii="Times New Roman" w:hAnsi="Times New Roman" w:eastAsia="宋体" w:cs="Times New Roman"/>
                <w:color w:val="auto"/>
                <w:lang w:eastAsia="zh-CN"/>
              </w:rPr>
              <w:t>，</w:t>
            </w:r>
            <w:r>
              <w:rPr>
                <w:rFonts w:hint="default" w:ascii="Times New Roman" w:hAnsi="Times New Roman" w:eastAsia="宋体" w:cs="Times New Roman"/>
                <w:color w:val="auto"/>
                <w:lang w:eastAsia="zh-CN"/>
              </w:rPr>
              <w:t>无组织排放为</w:t>
            </w:r>
            <w:r>
              <w:rPr>
                <w:rFonts w:hint="eastAsia" w:ascii="Times New Roman" w:hAnsi="Times New Roman" w:eastAsia="宋体" w:cs="Times New Roman"/>
                <w:color w:val="auto"/>
                <w:lang w:val="en-US" w:eastAsia="zh-CN"/>
              </w:rPr>
              <w:t>1.332</w:t>
            </w:r>
            <w:r>
              <w:rPr>
                <w:rFonts w:hint="default" w:ascii="Times New Roman" w:hAnsi="Times New Roman" w:eastAsia="宋体" w:cs="Times New Roman"/>
                <w:color w:val="auto"/>
                <w:lang w:eastAsia="zh-CN"/>
              </w:rPr>
              <w:t>t/a</w:t>
            </w:r>
            <w:r>
              <w:rPr>
                <w:rFonts w:hint="eastAsia" w:ascii="Times New Roman" w:hAnsi="Times New Roman" w:eastAsia="宋体" w:cs="Times New Roman"/>
                <w:color w:val="auto"/>
                <w:lang w:eastAsia="zh-CN"/>
              </w:rPr>
              <w:t>。</w:t>
            </w:r>
          </w:p>
          <w:p w14:paraId="4D720B20">
            <w:pPr>
              <w:pStyle w:val="52"/>
              <w:keepNext w:val="0"/>
              <w:keepLines w:val="0"/>
              <w:pageBreakBefore w:val="0"/>
              <w:widowControl w:val="0"/>
              <w:numPr>
                <w:ilvl w:val="0"/>
                <w:numId w:val="0"/>
              </w:numPr>
              <w:suppressLineNumbers w:val="0"/>
              <w:tabs>
                <w:tab w:val="left" w:pos="2595"/>
              </w:tabs>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Times New Roman" w:hAnsi="Times New Roman" w:cs="Times New Roman"/>
                <w:color w:val="auto"/>
                <w:highlight w:val="none"/>
                <w:lang w:val="en-US" w:eastAsia="zh-CN"/>
              </w:rPr>
            </w:pPr>
            <w:r>
              <w:rPr>
                <w:rFonts w:hint="eastAsia" w:ascii="Times New Roman" w:hAnsi="Times New Roman" w:cs="Times New Roman"/>
                <w:color w:val="auto"/>
                <w:kern w:val="21"/>
                <w:sz w:val="24"/>
                <w:szCs w:val="24"/>
                <w:lang w:val="en-US" w:eastAsia="zh-CN" w:bidi="ar-SA"/>
              </w:rPr>
              <w:t>6</w:t>
            </w:r>
            <w:r>
              <w:rPr>
                <w:rFonts w:hint="eastAsia" w:ascii="Times New Roman" w:hAnsi="Times New Roman" w:eastAsia="宋体" w:cs="Times New Roman"/>
                <w:color w:val="auto"/>
                <w:kern w:val="21"/>
                <w:sz w:val="24"/>
                <w:szCs w:val="24"/>
                <w:lang w:val="en-US" w:eastAsia="zh-CN" w:bidi="ar-SA"/>
              </w:rPr>
              <w:t>）</w:t>
            </w:r>
            <w:r>
              <w:rPr>
                <w:rFonts w:hint="eastAsia" w:ascii="Times New Roman" w:hAnsi="Times New Roman" w:cs="Times New Roman"/>
                <w:color w:val="auto"/>
                <w:highlight w:val="none"/>
                <w:lang w:val="en-US" w:eastAsia="zh-CN"/>
              </w:rPr>
              <w:t>表面处理、刷胶及烘干有机废气</w:t>
            </w:r>
          </w:p>
          <w:p w14:paraId="03DF9C43">
            <w:pPr>
              <w:pStyle w:val="33"/>
              <w:keepNext w:val="0"/>
              <w:keepLines w:val="0"/>
              <w:pageBreakBefore w:val="0"/>
              <w:suppressLineNumbers w:val="0"/>
              <w:kinsoku/>
              <w:wordWrap/>
              <w:overflowPunct/>
              <w:topLinePunct w:val="0"/>
              <w:autoSpaceDE/>
              <w:autoSpaceDN/>
              <w:bidi w:val="0"/>
              <w:adjustRightInd/>
              <w:spacing w:before="0" w:beforeAutospacing="0" w:afterAutospacing="0"/>
              <w:ind w:right="0"/>
              <w:jc w:val="left"/>
              <w:textAlignment w:val="auto"/>
              <w:rPr>
                <w:rFonts w:hint="default" w:ascii="Times New Roman" w:hAnsi="Times New Roman" w:eastAsia="宋体" w:cs="Times New Roman"/>
                <w:color w:val="auto"/>
                <w:sz w:val="24"/>
                <w:lang w:val="en-US" w:eastAsia="zh-CN"/>
              </w:rPr>
            </w:pPr>
            <w:r>
              <w:rPr>
                <w:rFonts w:hint="eastAsia" w:ascii="Times New Roman" w:hAnsi="Times New Roman" w:eastAsia="宋体" w:cs="Times New Roman"/>
                <w:color w:val="auto"/>
                <w:sz w:val="24"/>
                <w:lang w:val="en-US" w:eastAsia="zh-CN"/>
              </w:rPr>
              <w:t>根据上文表2-</w:t>
            </w:r>
            <w:r>
              <w:rPr>
                <w:rFonts w:hint="eastAsia" w:cs="Times New Roman"/>
                <w:color w:val="auto"/>
                <w:sz w:val="24"/>
                <w:lang w:val="en-US" w:eastAsia="zh-CN"/>
              </w:rPr>
              <w:t>7</w:t>
            </w:r>
            <w:r>
              <w:rPr>
                <w:rFonts w:hint="eastAsia" w:ascii="Times New Roman" w:hAnsi="Times New Roman" w:eastAsia="宋体" w:cs="Times New Roman"/>
                <w:color w:val="auto"/>
                <w:sz w:val="24"/>
                <w:lang w:val="en-US" w:eastAsia="zh-CN"/>
              </w:rPr>
              <w:t>VOCs平衡分析，项目休闲鞋生产线</w:t>
            </w:r>
            <w:r>
              <w:rPr>
                <w:rFonts w:hint="eastAsia" w:ascii="Times New Roman" w:hAnsi="Times New Roman" w:cs="Times New Roman"/>
                <w:color w:val="auto"/>
                <w:highlight w:val="none"/>
                <w:lang w:val="en-US" w:eastAsia="zh-CN"/>
              </w:rPr>
              <w:t>表面处理、刷胶及烘干有机废气</w:t>
            </w:r>
            <w:r>
              <w:rPr>
                <w:rFonts w:hint="eastAsia" w:ascii="Times New Roman" w:hAnsi="Times New Roman" w:eastAsia="宋体" w:cs="Times New Roman"/>
                <w:color w:val="auto"/>
                <w:sz w:val="24"/>
                <w:lang w:val="en-US" w:eastAsia="zh-CN"/>
              </w:rPr>
              <w:t>所用的胶水、处理剂中挥发性有机物总含量为</w:t>
            </w:r>
            <w:r>
              <w:rPr>
                <w:rFonts w:hint="eastAsia" w:cs="Times New Roman"/>
                <w:color w:val="auto"/>
                <w:sz w:val="24"/>
                <w:lang w:val="en-US" w:eastAsia="zh-CN"/>
              </w:rPr>
              <w:t>11.339</w:t>
            </w:r>
            <w:r>
              <w:rPr>
                <w:rFonts w:hint="eastAsia" w:ascii="Times New Roman" w:hAnsi="Times New Roman" w:eastAsia="宋体" w:cs="Times New Roman"/>
                <w:color w:val="auto"/>
                <w:sz w:val="24"/>
                <w:lang w:val="en-US" w:eastAsia="zh-CN"/>
              </w:rPr>
              <w:t>t/a，本项目生产线设置于半封闭车间内，废气产生点均采用导气风管和集气罩等抽取挥发性有机物，各车间的导气风管和集气罩分别</w:t>
            </w:r>
            <w:r>
              <w:rPr>
                <w:rFonts w:hint="eastAsia" w:cs="Times New Roman"/>
                <w:color w:val="auto"/>
                <w:sz w:val="24"/>
                <w:lang w:val="en-US" w:eastAsia="zh-CN"/>
              </w:rPr>
              <w:t>负</w:t>
            </w:r>
            <w:r>
              <w:rPr>
                <w:rFonts w:hint="eastAsia" w:ascii="Times New Roman" w:hAnsi="Times New Roman" w:eastAsia="宋体" w:cs="Times New Roman"/>
                <w:color w:val="auto"/>
                <w:sz w:val="24"/>
                <w:lang w:val="en-US" w:eastAsia="zh-CN"/>
              </w:rPr>
              <w:t>压收集各产生点的挥发性有机物，合并后进入活性炭处理装置进行处理，达标后通过一根15米排气筒DA004排放。集气系统配套风机风量为</w:t>
            </w:r>
            <w:r>
              <w:rPr>
                <w:rFonts w:hint="eastAsia" w:ascii="Times New Roman" w:cs="Times New Roman"/>
                <w:color w:val="auto"/>
                <w:sz w:val="24"/>
                <w:lang w:val="en-US" w:eastAsia="zh-CN"/>
              </w:rPr>
              <w:t>1</w:t>
            </w:r>
            <w:r>
              <w:rPr>
                <w:rFonts w:hint="eastAsia" w:ascii="Times New Roman" w:hAnsi="Times New Roman" w:eastAsia="宋体" w:cs="Times New Roman"/>
                <w:color w:val="auto"/>
                <w:sz w:val="24"/>
                <w:lang w:val="en-US" w:eastAsia="zh-CN"/>
              </w:rPr>
              <w:t>0000m</w:t>
            </w:r>
            <w:r>
              <w:rPr>
                <w:rFonts w:hint="eastAsia" w:ascii="Times New Roman" w:hAnsi="Times New Roman" w:eastAsia="宋体" w:cs="Times New Roman"/>
                <w:color w:val="auto"/>
                <w:sz w:val="24"/>
                <w:vertAlign w:val="superscript"/>
                <w:lang w:val="en-US" w:eastAsia="zh-CN"/>
              </w:rPr>
              <w:t>3</w:t>
            </w:r>
            <w:r>
              <w:rPr>
                <w:rFonts w:hint="eastAsia" w:ascii="Times New Roman" w:hAnsi="Times New Roman" w:eastAsia="宋体" w:cs="Times New Roman"/>
                <w:color w:val="auto"/>
                <w:sz w:val="24"/>
                <w:lang w:val="en-US" w:eastAsia="zh-CN"/>
              </w:rPr>
              <w:t>/h。由于PVC注塑、发泡工序和</w:t>
            </w:r>
            <w:r>
              <w:rPr>
                <w:rFonts w:hint="eastAsia" w:ascii="Times New Roman" w:hAnsi="Times New Roman" w:eastAsia="宋体" w:cs="Times New Roman"/>
                <w:color w:val="auto"/>
                <w:highlight w:val="none"/>
                <w:lang w:val="en-US" w:eastAsia="zh-CN"/>
              </w:rPr>
              <w:t>表面处理、刷胶及烘干工序的生产设备限制，</w:t>
            </w:r>
            <w:r>
              <w:rPr>
                <w:rFonts w:hint="eastAsia" w:ascii="Times New Roman" w:hAnsi="Times New Roman" w:eastAsia="宋体" w:cs="Times New Roman"/>
                <w:color w:val="auto"/>
                <w:sz w:val="24"/>
                <w:lang w:val="en-US" w:eastAsia="zh-CN"/>
              </w:rPr>
              <w:t>无法采用密闭设备，</w:t>
            </w:r>
            <w:r>
              <w:rPr>
                <w:rFonts w:hint="eastAsia" w:cs="Times New Roman"/>
                <w:color w:val="auto"/>
                <w:kern w:val="21"/>
                <w:sz w:val="24"/>
                <w:szCs w:val="24"/>
                <w:highlight w:val="none"/>
                <w:lang w:val="en-US" w:eastAsia="zh-CN" w:bidi="ar-SA"/>
              </w:rPr>
              <w:t>本项目采用半密闭集气罩，属于局部集气系统，满足</w:t>
            </w:r>
            <w:r>
              <w:rPr>
                <w:rFonts w:hint="eastAsia" w:ascii="Times New Roman" w:hAnsi="Times New Roman" w:eastAsia="宋体" w:cs="Times New Roman"/>
                <w:color w:val="auto"/>
                <w:kern w:val="21"/>
                <w:sz w:val="24"/>
                <w:szCs w:val="24"/>
                <w:highlight w:val="none"/>
                <w:lang w:val="en-US" w:eastAsia="zh-CN" w:bidi="ar-SA"/>
              </w:rPr>
              <w:t>《排污许可证申请与核发技术规范 制鞋工业》（HJ1123-2020）4.3.4.1废气</w:t>
            </w:r>
            <w:r>
              <w:rPr>
                <w:rFonts w:ascii="宋体" w:hAnsi="宋体" w:eastAsia="宋体" w:cs="宋体"/>
                <w:color w:val="auto"/>
                <w:sz w:val="24"/>
                <w:szCs w:val="24"/>
              </w:rPr>
              <w:t>运行管理要求</w:t>
            </w:r>
            <w:r>
              <w:rPr>
                <w:rFonts w:hint="eastAsia" w:ascii="宋体" w:hAnsi="宋体" w:eastAsia="宋体" w:cs="宋体"/>
                <w:color w:val="auto"/>
                <w:sz w:val="24"/>
                <w:szCs w:val="24"/>
                <w:lang w:eastAsia="zh-CN"/>
              </w:rPr>
              <w:t>。</w:t>
            </w:r>
            <w:r>
              <w:rPr>
                <w:rFonts w:hint="eastAsia" w:cs="Times New Roman"/>
                <w:color w:val="auto"/>
                <w:kern w:val="21"/>
                <w:sz w:val="24"/>
                <w:szCs w:val="24"/>
                <w:highlight w:val="none"/>
                <w:lang w:val="en-US" w:eastAsia="zh-CN" w:bidi="ar-SA"/>
              </w:rPr>
              <w:t>参照《江西省生态环境厅关于做好2022年主要大气污染物总量减排核算工作的通知》（赣环大气〔2022〕26号）中表2-3VOCs废气收集率和治理设施去除率通用系数和《2021年主要污染物总量减排核算技术指南》中表2-1VOCs废气收集率和治理设施去除率通用系数，半密闭集气罩废气收集率为65%，</w:t>
            </w:r>
            <w:r>
              <w:rPr>
                <w:rFonts w:hint="eastAsia" w:ascii="Times New Roman" w:hAnsi="Times New Roman" w:cs="Times New Roman"/>
                <w:b w:val="0"/>
                <w:bCs w:val="0"/>
                <w:color w:val="auto"/>
                <w:sz w:val="24"/>
                <w:highlight w:val="none"/>
                <w:lang w:val="en-US" w:eastAsia="zh-CN"/>
              </w:rPr>
              <w:t>一级活性炭对VOCs废气处理效率为</w:t>
            </w:r>
            <w:r>
              <w:rPr>
                <w:rFonts w:hint="eastAsia" w:cs="Times New Roman"/>
                <w:b w:val="0"/>
                <w:bCs w:val="0"/>
                <w:color w:val="auto"/>
                <w:sz w:val="24"/>
                <w:highlight w:val="none"/>
                <w:lang w:val="en-US" w:eastAsia="zh-CN"/>
              </w:rPr>
              <w:t>30</w:t>
            </w:r>
            <w:r>
              <w:rPr>
                <w:rFonts w:hint="eastAsia" w:ascii="Times New Roman" w:hAnsi="Times New Roman" w:cs="Times New Roman"/>
                <w:b w:val="0"/>
                <w:bCs w:val="0"/>
                <w:color w:val="auto"/>
                <w:sz w:val="24"/>
                <w:highlight w:val="none"/>
                <w:lang w:val="en-US" w:eastAsia="zh-CN"/>
              </w:rPr>
              <w:t>%，则</w:t>
            </w:r>
            <w:r>
              <w:rPr>
                <w:rFonts w:hint="eastAsia" w:cs="Times New Roman"/>
                <w:b w:val="0"/>
                <w:bCs w:val="0"/>
                <w:color w:val="auto"/>
                <w:sz w:val="24"/>
                <w:highlight w:val="none"/>
                <w:lang w:val="en-US" w:eastAsia="zh-CN"/>
              </w:rPr>
              <w:t>五级活性炭</w:t>
            </w:r>
            <w:r>
              <w:rPr>
                <w:rFonts w:hint="eastAsia" w:ascii="Times New Roman" w:hAnsi="Times New Roman" w:cs="Times New Roman"/>
                <w:b w:val="0"/>
                <w:bCs w:val="0"/>
                <w:color w:val="auto"/>
                <w:sz w:val="24"/>
                <w:highlight w:val="none"/>
                <w:lang w:val="en-US" w:eastAsia="zh-CN"/>
              </w:rPr>
              <w:t>吸附装置对有机废气的处理效率为1-(1-</w:t>
            </w:r>
            <w:r>
              <w:rPr>
                <w:rFonts w:hint="eastAsia" w:cs="Times New Roman"/>
                <w:b w:val="0"/>
                <w:bCs w:val="0"/>
                <w:color w:val="auto"/>
                <w:sz w:val="24"/>
                <w:highlight w:val="none"/>
                <w:lang w:val="en-US" w:eastAsia="zh-CN"/>
              </w:rPr>
              <w:t>30</w:t>
            </w:r>
            <w:r>
              <w:rPr>
                <w:rFonts w:hint="eastAsia" w:ascii="Times New Roman" w:hAnsi="Times New Roman" w:cs="Times New Roman"/>
                <w:b w:val="0"/>
                <w:bCs w:val="0"/>
                <w:color w:val="auto"/>
                <w:sz w:val="24"/>
                <w:highlight w:val="none"/>
                <w:lang w:val="en-US" w:eastAsia="zh-CN"/>
              </w:rPr>
              <w:t>%)*(1-</w:t>
            </w:r>
            <w:r>
              <w:rPr>
                <w:rFonts w:hint="eastAsia" w:cs="Times New Roman"/>
                <w:b w:val="0"/>
                <w:bCs w:val="0"/>
                <w:color w:val="auto"/>
                <w:sz w:val="24"/>
                <w:highlight w:val="none"/>
                <w:lang w:val="en-US" w:eastAsia="zh-CN"/>
              </w:rPr>
              <w:t>30</w:t>
            </w:r>
            <w:r>
              <w:rPr>
                <w:rFonts w:hint="eastAsia" w:ascii="Times New Roman" w:hAnsi="Times New Roman" w:cs="Times New Roman"/>
                <w:b w:val="0"/>
                <w:bCs w:val="0"/>
                <w:color w:val="auto"/>
                <w:sz w:val="24"/>
                <w:highlight w:val="none"/>
                <w:lang w:val="en-US" w:eastAsia="zh-CN"/>
              </w:rPr>
              <w:t>%)*(1-</w:t>
            </w:r>
            <w:r>
              <w:rPr>
                <w:rFonts w:hint="eastAsia" w:cs="Times New Roman"/>
                <w:b w:val="0"/>
                <w:bCs w:val="0"/>
                <w:color w:val="auto"/>
                <w:sz w:val="24"/>
                <w:highlight w:val="none"/>
                <w:lang w:val="en-US" w:eastAsia="zh-CN"/>
              </w:rPr>
              <w:t>30</w:t>
            </w:r>
            <w:r>
              <w:rPr>
                <w:rFonts w:hint="eastAsia" w:ascii="Times New Roman" w:hAnsi="Times New Roman" w:cs="Times New Roman"/>
                <w:b w:val="0"/>
                <w:bCs w:val="0"/>
                <w:color w:val="auto"/>
                <w:sz w:val="24"/>
                <w:highlight w:val="none"/>
                <w:lang w:val="en-US" w:eastAsia="zh-CN"/>
              </w:rPr>
              <w:t>%)*(1-</w:t>
            </w:r>
            <w:r>
              <w:rPr>
                <w:rFonts w:hint="eastAsia" w:cs="Times New Roman"/>
                <w:b w:val="0"/>
                <w:bCs w:val="0"/>
                <w:color w:val="auto"/>
                <w:sz w:val="24"/>
                <w:highlight w:val="none"/>
                <w:lang w:val="en-US" w:eastAsia="zh-CN"/>
              </w:rPr>
              <w:t>30</w:t>
            </w:r>
            <w:r>
              <w:rPr>
                <w:rFonts w:hint="eastAsia" w:ascii="Times New Roman" w:hAnsi="Times New Roman" w:cs="Times New Roman"/>
                <w:b w:val="0"/>
                <w:bCs w:val="0"/>
                <w:color w:val="auto"/>
                <w:sz w:val="24"/>
                <w:highlight w:val="none"/>
                <w:lang w:val="en-US" w:eastAsia="zh-CN"/>
              </w:rPr>
              <w:t>%)*(1-</w:t>
            </w:r>
            <w:r>
              <w:rPr>
                <w:rFonts w:hint="eastAsia" w:cs="Times New Roman"/>
                <w:b w:val="0"/>
                <w:bCs w:val="0"/>
                <w:color w:val="auto"/>
                <w:sz w:val="24"/>
                <w:highlight w:val="none"/>
                <w:lang w:val="en-US" w:eastAsia="zh-CN"/>
              </w:rPr>
              <w:t>30</w:t>
            </w:r>
            <w:r>
              <w:rPr>
                <w:rFonts w:hint="eastAsia" w:ascii="Times New Roman" w:hAnsi="Times New Roman" w:cs="Times New Roman"/>
                <w:b w:val="0"/>
                <w:bCs w:val="0"/>
                <w:color w:val="auto"/>
                <w:sz w:val="24"/>
                <w:highlight w:val="none"/>
                <w:lang w:val="en-US" w:eastAsia="zh-CN"/>
              </w:rPr>
              <w:t>%)=</w:t>
            </w:r>
            <w:r>
              <w:rPr>
                <w:rFonts w:hint="eastAsia" w:cs="Times New Roman"/>
                <w:b w:val="0"/>
                <w:bCs w:val="0"/>
                <w:color w:val="auto"/>
                <w:sz w:val="24"/>
                <w:highlight w:val="none"/>
                <w:lang w:val="en-US" w:eastAsia="zh-CN"/>
              </w:rPr>
              <w:t>83.19</w:t>
            </w:r>
            <w:r>
              <w:rPr>
                <w:rFonts w:hint="eastAsia" w:ascii="Times New Roman" w:hAnsi="Times New Roman" w:cs="Times New Roman"/>
                <w:b w:val="0"/>
                <w:bCs w:val="0"/>
                <w:color w:val="auto"/>
                <w:sz w:val="24"/>
                <w:highlight w:val="none"/>
                <w:lang w:val="en-US" w:eastAsia="zh-CN"/>
              </w:rPr>
              <w:t>%</w:t>
            </w:r>
            <w:r>
              <w:rPr>
                <w:rFonts w:hint="eastAsia" w:ascii="Times New Roman" w:hAnsi="Times New Roman" w:cs="Times New Roman"/>
                <w:color w:val="auto"/>
                <w:sz w:val="24"/>
                <w:highlight w:val="none"/>
                <w:lang w:val="en-US" w:eastAsia="zh-CN"/>
              </w:rPr>
              <w:t>，项目年工作4800h</w:t>
            </w:r>
            <w:r>
              <w:rPr>
                <w:rFonts w:hint="eastAsia" w:ascii="Times New Roman" w:hAnsi="Times New Roman" w:eastAsia="宋体" w:cs="Times New Roman"/>
                <w:color w:val="auto"/>
                <w:sz w:val="24"/>
                <w:lang w:val="en-US" w:eastAsia="zh-CN"/>
              </w:rPr>
              <w:t>。则表面处理、刷胶及烘干有机废气有组织排放量为</w:t>
            </w:r>
            <w:r>
              <w:rPr>
                <w:rFonts w:hint="eastAsia" w:cs="Times New Roman"/>
                <w:color w:val="auto"/>
                <w:sz w:val="24"/>
                <w:lang w:val="en-US" w:eastAsia="zh-CN"/>
              </w:rPr>
              <w:t>1.239</w:t>
            </w:r>
            <w:r>
              <w:rPr>
                <w:rFonts w:hint="eastAsia" w:ascii="Times New Roman" w:hAnsi="Times New Roman" w:eastAsia="宋体" w:cs="Times New Roman"/>
                <w:color w:val="auto"/>
                <w:sz w:val="24"/>
                <w:lang w:val="en-US" w:eastAsia="zh-CN"/>
              </w:rPr>
              <w:t>t/a，排放速率为</w:t>
            </w:r>
            <w:r>
              <w:rPr>
                <w:rFonts w:hint="eastAsia" w:cs="Times New Roman"/>
                <w:color w:val="auto"/>
                <w:sz w:val="24"/>
                <w:lang w:val="en-US" w:eastAsia="zh-CN"/>
              </w:rPr>
              <w:t>0.258</w:t>
            </w:r>
            <w:r>
              <w:rPr>
                <w:rFonts w:hint="eastAsia" w:ascii="Times New Roman" w:hAnsi="Times New Roman" w:eastAsia="宋体" w:cs="Times New Roman"/>
                <w:color w:val="auto"/>
                <w:sz w:val="24"/>
                <w:lang w:val="en-US" w:eastAsia="zh-CN"/>
              </w:rPr>
              <w:t>kg/h，排放浓度为</w:t>
            </w:r>
            <w:r>
              <w:rPr>
                <w:rFonts w:hint="eastAsia" w:cs="Times New Roman"/>
                <w:b w:val="0"/>
                <w:bCs w:val="0"/>
                <w:color w:val="auto"/>
                <w:kern w:val="0"/>
                <w:sz w:val="24"/>
                <w:szCs w:val="24"/>
                <w:highlight w:val="none"/>
                <w:lang w:val="en-US" w:eastAsia="zh-CN" w:bidi="ar-SA"/>
              </w:rPr>
              <w:t>25.8</w:t>
            </w:r>
            <w:r>
              <w:rPr>
                <w:rFonts w:hint="eastAsia" w:ascii="Times New Roman" w:hAnsi="Times New Roman" w:eastAsia="宋体" w:cs="Times New Roman"/>
                <w:b w:val="0"/>
                <w:bCs w:val="0"/>
                <w:color w:val="auto"/>
                <w:kern w:val="0"/>
                <w:sz w:val="24"/>
                <w:szCs w:val="24"/>
                <w:highlight w:val="none"/>
                <w:lang w:val="en-US" w:eastAsia="zh-CN" w:bidi="ar-SA"/>
              </w:rPr>
              <w:t>mg/m</w:t>
            </w:r>
            <w:r>
              <w:rPr>
                <w:rFonts w:hint="eastAsia" w:ascii="Times New Roman" w:hAnsi="Times New Roman" w:eastAsia="宋体" w:cs="Times New Roman"/>
                <w:b w:val="0"/>
                <w:bCs w:val="0"/>
                <w:color w:val="auto"/>
                <w:kern w:val="0"/>
                <w:sz w:val="24"/>
                <w:szCs w:val="24"/>
                <w:highlight w:val="none"/>
                <w:vertAlign w:val="superscript"/>
                <w:lang w:val="en-US" w:eastAsia="zh-CN" w:bidi="ar-SA"/>
              </w:rPr>
              <w:t>3</w:t>
            </w:r>
            <w:r>
              <w:rPr>
                <w:rFonts w:hint="eastAsia" w:ascii="Times New Roman" w:hAnsi="Times New Roman" w:eastAsia="宋体" w:cs="Times New Roman"/>
                <w:b w:val="0"/>
                <w:bCs w:val="0"/>
                <w:color w:val="auto"/>
                <w:kern w:val="0"/>
                <w:sz w:val="24"/>
                <w:szCs w:val="24"/>
                <w:highlight w:val="none"/>
                <w:lang w:val="en-US" w:eastAsia="zh-CN" w:bidi="ar-SA"/>
              </w:rPr>
              <w:t>。</w:t>
            </w:r>
            <w:r>
              <w:rPr>
                <w:rFonts w:hint="eastAsia" w:ascii="Times New Roman" w:hAnsi="Times New Roman" w:eastAsia="宋体" w:cs="Times New Roman"/>
                <w:color w:val="auto"/>
                <w:sz w:val="24"/>
                <w:lang w:val="en-US" w:eastAsia="zh-CN"/>
              </w:rPr>
              <w:t>有机废气无组织排放量为</w:t>
            </w:r>
            <w:r>
              <w:rPr>
                <w:rFonts w:hint="eastAsia" w:cs="Times New Roman"/>
                <w:color w:val="auto"/>
                <w:sz w:val="24"/>
                <w:lang w:val="en-US" w:eastAsia="zh-CN"/>
              </w:rPr>
              <w:t>3.969</w:t>
            </w:r>
            <w:r>
              <w:rPr>
                <w:rFonts w:hint="eastAsia" w:ascii="Times New Roman" w:hAnsi="Times New Roman" w:eastAsia="宋体" w:cs="Times New Roman"/>
                <w:color w:val="auto"/>
                <w:sz w:val="24"/>
                <w:lang w:val="en-US" w:eastAsia="zh-CN"/>
              </w:rPr>
              <w:t>t/a，排放速率为</w:t>
            </w:r>
            <w:r>
              <w:rPr>
                <w:rFonts w:hint="eastAsia" w:cs="Times New Roman"/>
                <w:color w:val="auto"/>
                <w:sz w:val="24"/>
                <w:lang w:val="en-US" w:eastAsia="zh-CN"/>
              </w:rPr>
              <w:t>0.827</w:t>
            </w:r>
            <w:r>
              <w:rPr>
                <w:rFonts w:hint="eastAsia" w:ascii="Times New Roman" w:hAnsi="Times New Roman" w:eastAsia="宋体" w:cs="Times New Roman"/>
                <w:color w:val="auto"/>
                <w:sz w:val="24"/>
                <w:lang w:val="en-US" w:eastAsia="zh-CN"/>
              </w:rPr>
              <w:t>kg/h。</w:t>
            </w:r>
          </w:p>
          <w:p w14:paraId="07A233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imes New Roman" w:hAnsi="Times New Roman" w:eastAsia="宋体" w:cs="Times New Roman"/>
                <w:b w:val="0"/>
                <w:bCs w:val="0"/>
                <w:color w:val="auto"/>
                <w:kern w:val="2"/>
                <w:sz w:val="24"/>
                <w:szCs w:val="24"/>
                <w:highlight w:val="none"/>
                <w:u w:val="none"/>
                <w:lang w:val="en-US" w:eastAsia="zh-CN" w:bidi="ar-SA"/>
              </w:rPr>
            </w:pPr>
            <w:r>
              <w:rPr>
                <w:rFonts w:hint="default" w:ascii="Times New Roman" w:hAnsi="Times New Roman" w:eastAsia="宋体" w:cs="Times New Roman"/>
                <w:color w:val="auto"/>
                <w:sz w:val="24"/>
                <w:szCs w:val="24"/>
                <w:u w:val="none"/>
                <w:lang w:val="en-US" w:eastAsia="zh-CN"/>
              </w:rPr>
              <w:t>7</w:t>
            </w:r>
            <w:r>
              <w:rPr>
                <w:rFonts w:hint="default" w:ascii="Times New Roman" w:hAnsi="Times New Roman" w:eastAsia="宋体" w:cs="Times New Roman"/>
                <w:color w:val="auto"/>
                <w:kern w:val="21"/>
                <w:sz w:val="24"/>
                <w:szCs w:val="24"/>
                <w:highlight w:val="none"/>
                <w:u w:val="none"/>
                <w:lang w:val="en-US" w:eastAsia="zh-CN" w:bidi="ar-SA"/>
              </w:rPr>
              <w:t>）丝网印花、台面胶及晾干有机废气</w:t>
            </w:r>
          </w:p>
          <w:p w14:paraId="75E55756">
            <w:pPr>
              <w:pStyle w:val="52"/>
              <w:keepNext w:val="0"/>
              <w:keepLines w:val="0"/>
              <w:pageBreakBefore w:val="0"/>
              <w:widowControl w:val="0"/>
              <w:suppressLineNumbers w:val="0"/>
              <w:tabs>
                <w:tab w:val="left" w:pos="2595"/>
              </w:tabs>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cs="Times New Roman"/>
                <w:b w:val="0"/>
                <w:bCs w:val="0"/>
                <w:color w:val="auto"/>
                <w:kern w:val="0"/>
                <w:sz w:val="24"/>
                <w:szCs w:val="24"/>
                <w:highlight w:val="none"/>
                <w:lang w:val="en-US" w:eastAsia="zh-CN" w:bidi="ar-SA"/>
              </w:rPr>
            </w:pPr>
            <w:r>
              <w:rPr>
                <w:rFonts w:hint="eastAsia" w:ascii="Times New Roman" w:hAnsi="Times New Roman" w:eastAsia="宋体" w:cs="Times New Roman"/>
                <w:b w:val="0"/>
                <w:bCs w:val="0"/>
                <w:color w:val="auto"/>
                <w:kern w:val="0"/>
                <w:sz w:val="24"/>
                <w:szCs w:val="24"/>
                <w:highlight w:val="none"/>
                <w:lang w:val="en-US" w:eastAsia="zh-CN" w:bidi="ar-SA"/>
              </w:rPr>
              <w:t>项目</w:t>
            </w:r>
            <w:r>
              <w:rPr>
                <w:rFonts w:hint="default" w:ascii="Times New Roman" w:hAnsi="Times New Roman" w:eastAsia="宋体" w:cs="Times New Roman"/>
                <w:color w:val="auto"/>
                <w:kern w:val="21"/>
                <w:sz w:val="24"/>
                <w:szCs w:val="24"/>
                <w:highlight w:val="none"/>
                <w:u w:val="none"/>
                <w:lang w:val="en-US" w:eastAsia="zh-CN" w:bidi="ar-SA"/>
              </w:rPr>
              <w:t>丝网印花</w:t>
            </w:r>
            <w:r>
              <w:rPr>
                <w:rFonts w:hint="eastAsia" w:ascii="Times New Roman" w:hAnsi="Times New Roman" w:eastAsia="宋体" w:cs="Times New Roman"/>
                <w:b w:val="0"/>
                <w:bCs w:val="0"/>
                <w:color w:val="auto"/>
                <w:kern w:val="0"/>
                <w:sz w:val="24"/>
                <w:szCs w:val="24"/>
                <w:highlight w:val="none"/>
                <w:lang w:val="en-US" w:eastAsia="zh-CN" w:bidi="ar-SA"/>
              </w:rPr>
              <w:t>使用水性油墨，印刷过程中会产生少量臭气浓度，本环评仅定性分析。根据水性油墨的VOCs检测报告可知，油墨中的VOCs含量为0.28%，本项目水性油墨的使用量为1t/a，则VOCs的产生量为0.0028t/a。每天工作</w:t>
            </w:r>
            <w:r>
              <w:rPr>
                <w:rFonts w:hint="eastAsia" w:ascii="Times New Roman" w:hAnsi="Times New Roman" w:cs="Times New Roman"/>
                <w:b w:val="0"/>
                <w:bCs w:val="0"/>
                <w:color w:val="auto"/>
                <w:kern w:val="0"/>
                <w:sz w:val="24"/>
                <w:szCs w:val="24"/>
                <w:highlight w:val="none"/>
                <w:lang w:val="en-US" w:eastAsia="zh-CN" w:bidi="ar-SA"/>
              </w:rPr>
              <w:t>8</w:t>
            </w:r>
            <w:r>
              <w:rPr>
                <w:rFonts w:hint="eastAsia" w:ascii="Times New Roman" w:hAnsi="Times New Roman" w:eastAsia="宋体" w:cs="Times New Roman"/>
                <w:b w:val="0"/>
                <w:bCs w:val="0"/>
                <w:color w:val="auto"/>
                <w:kern w:val="0"/>
                <w:sz w:val="24"/>
                <w:szCs w:val="24"/>
                <w:highlight w:val="none"/>
                <w:lang w:val="en-US" w:eastAsia="zh-CN" w:bidi="ar-SA"/>
              </w:rPr>
              <w:t>小时，年工作300天，则VOCs的产生速率为0.00</w:t>
            </w:r>
            <w:r>
              <w:rPr>
                <w:rFonts w:hint="eastAsia" w:ascii="Times New Roman" w:hAnsi="Times New Roman" w:cs="Times New Roman"/>
                <w:b w:val="0"/>
                <w:bCs w:val="0"/>
                <w:color w:val="auto"/>
                <w:kern w:val="0"/>
                <w:sz w:val="24"/>
                <w:szCs w:val="24"/>
                <w:highlight w:val="none"/>
                <w:lang w:val="en-US" w:eastAsia="zh-CN" w:bidi="ar-SA"/>
              </w:rPr>
              <w:t>1</w:t>
            </w:r>
            <w:r>
              <w:rPr>
                <w:rFonts w:hint="eastAsia" w:ascii="Times New Roman" w:hAnsi="Times New Roman" w:eastAsia="宋体" w:cs="Times New Roman"/>
                <w:b w:val="0"/>
                <w:bCs w:val="0"/>
                <w:color w:val="auto"/>
                <w:kern w:val="0"/>
                <w:sz w:val="24"/>
                <w:szCs w:val="24"/>
                <w:highlight w:val="none"/>
                <w:lang w:val="en-US" w:eastAsia="zh-CN" w:bidi="ar-SA"/>
              </w:rPr>
              <w:t>kg/h。</w:t>
            </w:r>
          </w:p>
          <w:p w14:paraId="150A6374">
            <w:pPr>
              <w:pStyle w:val="52"/>
              <w:keepNext w:val="0"/>
              <w:keepLines w:val="0"/>
              <w:pageBreakBefore w:val="0"/>
              <w:widowControl w:val="0"/>
              <w:suppressLineNumbers w:val="0"/>
              <w:tabs>
                <w:tab w:val="left" w:pos="2595"/>
              </w:tabs>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cs="Times New Roman"/>
                <w:b w:val="0"/>
                <w:bCs w:val="0"/>
                <w:color w:val="auto"/>
                <w:kern w:val="0"/>
                <w:sz w:val="24"/>
                <w:szCs w:val="24"/>
                <w:highlight w:val="none"/>
                <w:lang w:val="en-US" w:eastAsia="zh-CN" w:bidi="ar-SA"/>
              </w:rPr>
            </w:pPr>
            <w:r>
              <w:rPr>
                <w:rFonts w:hint="eastAsia" w:ascii="Times New Roman" w:hAnsi="Times New Roman" w:eastAsia="宋体" w:cs="Times New Roman"/>
                <w:b w:val="0"/>
                <w:bCs w:val="0"/>
                <w:color w:val="auto"/>
                <w:kern w:val="0"/>
                <w:sz w:val="24"/>
                <w:szCs w:val="24"/>
                <w:highlight w:val="none"/>
                <w:lang w:val="en-US" w:eastAsia="zh-CN" w:bidi="ar-SA"/>
              </w:rPr>
              <w:t>根据《挥发性有机物无组织排放控制标准》（</w:t>
            </w:r>
            <w:r>
              <w:rPr>
                <w:rFonts w:hint="default" w:ascii="Times New Roman" w:hAnsi="Times New Roman" w:eastAsia="宋体" w:cs="Times New Roman"/>
                <w:b w:val="0"/>
                <w:bCs w:val="0"/>
                <w:color w:val="auto"/>
                <w:kern w:val="0"/>
                <w:sz w:val="24"/>
                <w:szCs w:val="24"/>
                <w:highlight w:val="none"/>
                <w:lang w:val="en-US" w:eastAsia="zh-CN" w:bidi="ar-SA"/>
              </w:rPr>
              <w:t>GB37822-2019</w:t>
            </w:r>
            <w:r>
              <w:rPr>
                <w:rFonts w:hint="eastAsia" w:ascii="Times New Roman" w:hAnsi="Times New Roman" w:eastAsia="宋体" w:cs="Times New Roman"/>
                <w:b w:val="0"/>
                <w:bCs w:val="0"/>
                <w:color w:val="auto"/>
                <w:kern w:val="0"/>
                <w:sz w:val="24"/>
                <w:szCs w:val="24"/>
                <w:highlight w:val="none"/>
                <w:lang w:val="en-US" w:eastAsia="zh-CN" w:bidi="ar-SA"/>
              </w:rPr>
              <w:t>）</w:t>
            </w:r>
            <w:r>
              <w:rPr>
                <w:rFonts w:hint="default" w:ascii="Times New Roman" w:hAnsi="Times New Roman" w:eastAsia="宋体" w:cs="Times New Roman"/>
                <w:b w:val="0"/>
                <w:bCs w:val="0"/>
                <w:color w:val="auto"/>
                <w:kern w:val="0"/>
                <w:sz w:val="24"/>
                <w:szCs w:val="24"/>
                <w:highlight w:val="none"/>
                <w:lang w:val="en-US" w:eastAsia="zh-CN" w:bidi="ar-SA"/>
              </w:rPr>
              <w:t>10.2.3</w:t>
            </w:r>
            <w:r>
              <w:rPr>
                <w:rFonts w:hint="eastAsia" w:ascii="Times New Roman" w:hAnsi="Times New Roman" w:eastAsia="宋体" w:cs="Times New Roman"/>
                <w:b w:val="0"/>
                <w:bCs w:val="0"/>
                <w:color w:val="auto"/>
                <w:kern w:val="0"/>
                <w:sz w:val="24"/>
                <w:szCs w:val="24"/>
                <w:highlight w:val="none"/>
                <w:lang w:val="en-US" w:eastAsia="zh-CN" w:bidi="ar-SA"/>
              </w:rPr>
              <w:t>“收集的废气中</w:t>
            </w:r>
            <w:r>
              <w:rPr>
                <w:rFonts w:hint="default" w:ascii="Times New Roman" w:hAnsi="Times New Roman" w:eastAsia="宋体" w:cs="Times New Roman"/>
                <w:b w:val="0"/>
                <w:bCs w:val="0"/>
                <w:color w:val="auto"/>
                <w:kern w:val="0"/>
                <w:sz w:val="24"/>
                <w:szCs w:val="24"/>
                <w:highlight w:val="none"/>
                <w:lang w:val="en-US" w:eastAsia="zh-CN" w:bidi="ar-SA"/>
              </w:rPr>
              <w:t>NMHC</w:t>
            </w:r>
            <w:r>
              <w:rPr>
                <w:rFonts w:hint="eastAsia" w:ascii="Times New Roman" w:hAnsi="Times New Roman" w:eastAsia="宋体" w:cs="Times New Roman"/>
                <w:b w:val="0"/>
                <w:bCs w:val="0"/>
                <w:color w:val="auto"/>
                <w:kern w:val="0"/>
                <w:sz w:val="24"/>
                <w:szCs w:val="24"/>
                <w:highlight w:val="none"/>
                <w:lang w:val="en-US" w:eastAsia="zh-CN" w:bidi="ar-SA"/>
              </w:rPr>
              <w:t>初始排放速率≥</w:t>
            </w:r>
            <w:r>
              <w:rPr>
                <w:rFonts w:hint="default" w:ascii="Times New Roman" w:hAnsi="Times New Roman" w:eastAsia="宋体" w:cs="Times New Roman"/>
                <w:b w:val="0"/>
                <w:bCs w:val="0"/>
                <w:color w:val="auto"/>
                <w:kern w:val="0"/>
                <w:sz w:val="24"/>
                <w:szCs w:val="24"/>
                <w:highlight w:val="none"/>
                <w:lang w:val="en-US" w:eastAsia="zh-CN" w:bidi="ar-SA"/>
              </w:rPr>
              <w:t>3kg/h</w:t>
            </w:r>
            <w:r>
              <w:rPr>
                <w:rFonts w:hint="eastAsia" w:ascii="Times New Roman" w:hAnsi="Times New Roman" w:eastAsia="宋体" w:cs="Times New Roman"/>
                <w:b w:val="0"/>
                <w:bCs w:val="0"/>
                <w:color w:val="auto"/>
                <w:kern w:val="0"/>
                <w:sz w:val="24"/>
                <w:szCs w:val="24"/>
                <w:highlight w:val="none"/>
                <w:lang w:val="en-US" w:eastAsia="zh-CN" w:bidi="ar-SA"/>
              </w:rPr>
              <w:t>时，应配置</w:t>
            </w:r>
            <w:r>
              <w:rPr>
                <w:rFonts w:hint="default" w:ascii="Times New Roman" w:hAnsi="Times New Roman" w:eastAsia="宋体" w:cs="Times New Roman"/>
                <w:b w:val="0"/>
                <w:bCs w:val="0"/>
                <w:color w:val="auto"/>
                <w:kern w:val="0"/>
                <w:sz w:val="24"/>
                <w:szCs w:val="24"/>
                <w:highlight w:val="none"/>
                <w:lang w:val="en-US" w:eastAsia="zh-CN" w:bidi="ar-SA"/>
              </w:rPr>
              <w:t>VOC</w:t>
            </w:r>
            <w:r>
              <w:rPr>
                <w:rFonts w:hint="eastAsia" w:ascii="Times New Roman" w:hAnsi="Times New Roman" w:eastAsia="宋体" w:cs="Times New Roman"/>
                <w:b w:val="0"/>
                <w:bCs w:val="0"/>
                <w:color w:val="auto"/>
                <w:kern w:val="0"/>
                <w:sz w:val="24"/>
                <w:szCs w:val="24"/>
                <w:highlight w:val="none"/>
                <w:lang w:val="en-US" w:eastAsia="zh-CN" w:bidi="ar-SA"/>
              </w:rPr>
              <w:t>处理设施，处理效率不应低于</w:t>
            </w:r>
            <w:r>
              <w:rPr>
                <w:rFonts w:hint="default" w:ascii="Times New Roman" w:hAnsi="Times New Roman" w:eastAsia="宋体" w:cs="Times New Roman"/>
                <w:b w:val="0"/>
                <w:bCs w:val="0"/>
                <w:color w:val="auto"/>
                <w:kern w:val="0"/>
                <w:sz w:val="24"/>
                <w:szCs w:val="24"/>
                <w:highlight w:val="none"/>
                <w:lang w:val="en-US" w:eastAsia="zh-CN" w:bidi="ar-SA"/>
              </w:rPr>
              <w:t>80%</w:t>
            </w:r>
            <w:r>
              <w:rPr>
                <w:rFonts w:hint="eastAsia" w:ascii="Times New Roman" w:hAnsi="Times New Roman" w:eastAsia="宋体" w:cs="Times New Roman"/>
                <w:b w:val="0"/>
                <w:bCs w:val="0"/>
                <w:color w:val="auto"/>
                <w:kern w:val="0"/>
                <w:sz w:val="24"/>
                <w:szCs w:val="24"/>
                <w:highlight w:val="none"/>
                <w:lang w:val="en-US" w:eastAsia="zh-CN" w:bidi="ar-SA"/>
              </w:rPr>
              <w:t>；对于重点地区，收集的废气中</w:t>
            </w:r>
            <w:r>
              <w:rPr>
                <w:rFonts w:hint="default" w:ascii="Times New Roman" w:hAnsi="Times New Roman" w:eastAsia="宋体" w:cs="Times New Roman"/>
                <w:b w:val="0"/>
                <w:bCs w:val="0"/>
                <w:color w:val="auto"/>
                <w:kern w:val="0"/>
                <w:sz w:val="24"/>
                <w:szCs w:val="24"/>
                <w:highlight w:val="none"/>
                <w:lang w:val="en-US" w:eastAsia="zh-CN" w:bidi="ar-SA"/>
              </w:rPr>
              <w:t>NMHC</w:t>
            </w:r>
            <w:r>
              <w:rPr>
                <w:rFonts w:hint="eastAsia" w:ascii="Times New Roman" w:hAnsi="Times New Roman" w:eastAsia="宋体" w:cs="Times New Roman"/>
                <w:b w:val="0"/>
                <w:bCs w:val="0"/>
                <w:color w:val="auto"/>
                <w:kern w:val="0"/>
                <w:sz w:val="24"/>
                <w:szCs w:val="24"/>
                <w:highlight w:val="none"/>
                <w:lang w:val="en-US" w:eastAsia="zh-CN" w:bidi="ar-SA"/>
              </w:rPr>
              <w:t>初始排放速率≥</w:t>
            </w:r>
            <w:r>
              <w:rPr>
                <w:rFonts w:hint="default" w:ascii="Times New Roman" w:hAnsi="Times New Roman" w:eastAsia="宋体" w:cs="Times New Roman"/>
                <w:b w:val="0"/>
                <w:bCs w:val="0"/>
                <w:color w:val="auto"/>
                <w:kern w:val="0"/>
                <w:sz w:val="24"/>
                <w:szCs w:val="24"/>
                <w:highlight w:val="none"/>
                <w:lang w:val="en-US" w:eastAsia="zh-CN" w:bidi="ar-SA"/>
              </w:rPr>
              <w:t>2kg/h</w:t>
            </w:r>
            <w:r>
              <w:rPr>
                <w:rFonts w:hint="eastAsia" w:ascii="Times New Roman" w:hAnsi="Times New Roman" w:eastAsia="宋体" w:cs="Times New Roman"/>
                <w:b w:val="0"/>
                <w:bCs w:val="0"/>
                <w:color w:val="auto"/>
                <w:kern w:val="0"/>
                <w:sz w:val="24"/>
                <w:szCs w:val="24"/>
                <w:highlight w:val="none"/>
                <w:lang w:val="en-US" w:eastAsia="zh-CN" w:bidi="ar-SA"/>
              </w:rPr>
              <w:t>时，应配置</w:t>
            </w:r>
            <w:r>
              <w:rPr>
                <w:rFonts w:hint="default" w:ascii="Times New Roman" w:hAnsi="Times New Roman" w:eastAsia="宋体" w:cs="Times New Roman"/>
                <w:b w:val="0"/>
                <w:bCs w:val="0"/>
                <w:color w:val="auto"/>
                <w:kern w:val="0"/>
                <w:sz w:val="24"/>
                <w:szCs w:val="24"/>
                <w:highlight w:val="none"/>
                <w:lang w:val="en-US" w:eastAsia="zh-CN" w:bidi="ar-SA"/>
              </w:rPr>
              <w:t>VOCs</w:t>
            </w:r>
            <w:r>
              <w:rPr>
                <w:rFonts w:hint="eastAsia" w:ascii="Times New Roman" w:hAnsi="Times New Roman" w:eastAsia="宋体" w:cs="Times New Roman"/>
                <w:b w:val="0"/>
                <w:bCs w:val="0"/>
                <w:color w:val="auto"/>
                <w:kern w:val="0"/>
                <w:sz w:val="24"/>
                <w:szCs w:val="24"/>
                <w:highlight w:val="none"/>
                <w:lang w:val="en-US" w:eastAsia="zh-CN" w:bidi="ar-SA"/>
              </w:rPr>
              <w:t>处理设施，处理效率不应低于</w:t>
            </w:r>
            <w:r>
              <w:rPr>
                <w:rFonts w:hint="default" w:ascii="Times New Roman" w:hAnsi="Times New Roman" w:eastAsia="宋体" w:cs="Times New Roman"/>
                <w:b w:val="0"/>
                <w:bCs w:val="0"/>
                <w:color w:val="auto"/>
                <w:kern w:val="0"/>
                <w:sz w:val="24"/>
                <w:szCs w:val="24"/>
                <w:highlight w:val="none"/>
                <w:lang w:val="en-US" w:eastAsia="zh-CN" w:bidi="ar-SA"/>
              </w:rPr>
              <w:t>80%</w:t>
            </w:r>
            <w:r>
              <w:rPr>
                <w:rFonts w:hint="eastAsia" w:ascii="Times New Roman" w:hAnsi="Times New Roman" w:eastAsia="宋体" w:cs="Times New Roman"/>
                <w:b w:val="0"/>
                <w:bCs w:val="0"/>
                <w:color w:val="auto"/>
                <w:kern w:val="0"/>
                <w:sz w:val="24"/>
                <w:szCs w:val="24"/>
                <w:highlight w:val="none"/>
                <w:lang w:val="en-US" w:eastAsia="zh-CN" w:bidi="ar-SA"/>
              </w:rPr>
              <w:t>；采用的原辅材料符合国家有关低</w:t>
            </w:r>
            <w:r>
              <w:rPr>
                <w:rFonts w:hint="default" w:ascii="Times New Roman" w:hAnsi="Times New Roman" w:eastAsia="宋体" w:cs="Times New Roman"/>
                <w:b w:val="0"/>
                <w:bCs w:val="0"/>
                <w:color w:val="auto"/>
                <w:kern w:val="0"/>
                <w:sz w:val="24"/>
                <w:szCs w:val="24"/>
                <w:highlight w:val="none"/>
                <w:lang w:val="en-US" w:eastAsia="zh-CN" w:bidi="ar-SA"/>
              </w:rPr>
              <w:t>VOCs</w:t>
            </w:r>
            <w:r>
              <w:rPr>
                <w:rFonts w:hint="eastAsia" w:ascii="Times New Roman" w:hAnsi="Times New Roman" w:eastAsia="宋体" w:cs="Times New Roman"/>
                <w:b w:val="0"/>
                <w:bCs w:val="0"/>
                <w:color w:val="auto"/>
                <w:kern w:val="0"/>
                <w:sz w:val="24"/>
                <w:szCs w:val="24"/>
                <w:highlight w:val="none"/>
                <w:lang w:val="en-US" w:eastAsia="zh-CN" w:bidi="ar-SA"/>
              </w:rPr>
              <w:t>含量产品规定的除外。”</w:t>
            </w:r>
          </w:p>
          <w:p w14:paraId="15DA3CA9">
            <w:pPr>
              <w:pStyle w:val="52"/>
              <w:keepNext w:val="0"/>
              <w:keepLines w:val="0"/>
              <w:pageBreakBefore w:val="0"/>
              <w:widowControl w:val="0"/>
              <w:suppressLineNumbers w:val="0"/>
              <w:tabs>
                <w:tab w:val="left" w:pos="2595"/>
              </w:tabs>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imes New Roman" w:hAnsi="Times New Roman" w:eastAsia="宋体" w:cs="Times New Roman"/>
                <w:b w:val="0"/>
                <w:bCs w:val="0"/>
                <w:color w:val="auto"/>
                <w:kern w:val="0"/>
                <w:sz w:val="24"/>
                <w:szCs w:val="24"/>
                <w:highlight w:val="none"/>
                <w:lang w:val="en-US" w:eastAsia="zh-CN" w:bidi="ar-SA"/>
              </w:rPr>
            </w:pPr>
            <w:r>
              <w:rPr>
                <w:rFonts w:hint="eastAsia" w:ascii="Times New Roman" w:hAnsi="Times New Roman" w:eastAsia="宋体" w:cs="Times New Roman"/>
                <w:b w:val="0"/>
                <w:bCs w:val="0"/>
                <w:color w:val="auto"/>
                <w:kern w:val="0"/>
                <w:sz w:val="24"/>
                <w:szCs w:val="24"/>
                <w:highlight w:val="none"/>
                <w:lang w:val="en-US" w:eastAsia="zh-CN" w:bidi="ar-SA"/>
              </w:rPr>
              <w:t>根据“关于印发《重点行业挥发性有机物综合治理方案》的通知”环大气〔</w:t>
            </w:r>
            <w:r>
              <w:rPr>
                <w:rFonts w:hint="default" w:ascii="Times New Roman" w:hAnsi="Times New Roman" w:eastAsia="宋体" w:cs="Times New Roman"/>
                <w:b w:val="0"/>
                <w:bCs w:val="0"/>
                <w:color w:val="auto"/>
                <w:kern w:val="0"/>
                <w:sz w:val="24"/>
                <w:szCs w:val="24"/>
                <w:highlight w:val="none"/>
                <w:lang w:val="en-US" w:eastAsia="zh-CN" w:bidi="ar-SA"/>
              </w:rPr>
              <w:t>2019</w:t>
            </w:r>
            <w:r>
              <w:rPr>
                <w:rFonts w:hint="eastAsia" w:ascii="Times New Roman" w:hAnsi="Times New Roman" w:eastAsia="宋体" w:cs="Times New Roman"/>
                <w:b w:val="0"/>
                <w:bCs w:val="0"/>
                <w:color w:val="auto"/>
                <w:kern w:val="0"/>
                <w:sz w:val="24"/>
                <w:szCs w:val="24"/>
                <w:highlight w:val="none"/>
                <w:lang w:val="en-US" w:eastAsia="zh-CN" w:bidi="ar-SA"/>
              </w:rPr>
              <w:t>〕</w:t>
            </w:r>
            <w:r>
              <w:rPr>
                <w:rFonts w:hint="default" w:ascii="Times New Roman" w:hAnsi="Times New Roman" w:eastAsia="宋体" w:cs="Times New Roman"/>
                <w:b w:val="0"/>
                <w:bCs w:val="0"/>
                <w:color w:val="auto"/>
                <w:kern w:val="0"/>
                <w:sz w:val="24"/>
                <w:szCs w:val="24"/>
                <w:highlight w:val="none"/>
                <w:lang w:val="en-US" w:eastAsia="zh-CN" w:bidi="ar-SA"/>
              </w:rPr>
              <w:t>53</w:t>
            </w:r>
            <w:r>
              <w:rPr>
                <w:rFonts w:hint="eastAsia" w:ascii="Times New Roman" w:hAnsi="Times New Roman" w:eastAsia="宋体" w:cs="Times New Roman"/>
                <w:b w:val="0"/>
                <w:bCs w:val="0"/>
                <w:color w:val="auto"/>
                <w:kern w:val="0"/>
                <w:sz w:val="24"/>
                <w:szCs w:val="24"/>
                <w:highlight w:val="none"/>
                <w:lang w:val="en-US" w:eastAsia="zh-CN" w:bidi="ar-SA"/>
              </w:rPr>
              <w:t>号“三、控制思路与要求”中“使用的原辅材料</w:t>
            </w:r>
            <w:r>
              <w:rPr>
                <w:rFonts w:hint="default" w:ascii="Times New Roman" w:hAnsi="Times New Roman" w:eastAsia="宋体" w:cs="Times New Roman"/>
                <w:b w:val="0"/>
                <w:bCs w:val="0"/>
                <w:color w:val="auto"/>
                <w:kern w:val="0"/>
                <w:sz w:val="24"/>
                <w:szCs w:val="24"/>
                <w:highlight w:val="none"/>
                <w:lang w:val="en-US" w:eastAsia="zh-CN" w:bidi="ar-SA"/>
              </w:rPr>
              <w:t>VOCs</w:t>
            </w:r>
            <w:r>
              <w:rPr>
                <w:rFonts w:hint="eastAsia" w:ascii="Times New Roman" w:hAnsi="Times New Roman" w:eastAsia="宋体" w:cs="Times New Roman"/>
                <w:b w:val="0"/>
                <w:bCs w:val="0"/>
                <w:color w:val="auto"/>
                <w:kern w:val="0"/>
                <w:sz w:val="24"/>
                <w:szCs w:val="24"/>
                <w:highlight w:val="none"/>
                <w:lang w:val="en-US" w:eastAsia="zh-CN" w:bidi="ar-SA"/>
              </w:rPr>
              <w:t>含量（质量比）低于</w:t>
            </w:r>
            <w:r>
              <w:rPr>
                <w:rFonts w:hint="default" w:ascii="Times New Roman" w:hAnsi="Times New Roman" w:eastAsia="宋体" w:cs="Times New Roman"/>
                <w:b w:val="0"/>
                <w:bCs w:val="0"/>
                <w:color w:val="auto"/>
                <w:kern w:val="0"/>
                <w:sz w:val="24"/>
                <w:szCs w:val="24"/>
                <w:highlight w:val="none"/>
                <w:lang w:val="en-US" w:eastAsia="zh-CN" w:bidi="ar-SA"/>
              </w:rPr>
              <w:t>10%</w:t>
            </w:r>
            <w:r>
              <w:rPr>
                <w:rFonts w:hint="eastAsia" w:ascii="Times New Roman" w:hAnsi="Times New Roman" w:eastAsia="宋体" w:cs="Times New Roman"/>
                <w:b w:val="0"/>
                <w:bCs w:val="0"/>
                <w:color w:val="auto"/>
                <w:kern w:val="0"/>
                <w:sz w:val="24"/>
                <w:szCs w:val="24"/>
                <w:highlight w:val="none"/>
                <w:lang w:val="en-US" w:eastAsia="zh-CN" w:bidi="ar-SA"/>
              </w:rPr>
              <w:t>的工序，可不要求采取无组织排放收集措施”；另根据《印刷工业污染防治可行技术指南》（</w:t>
            </w:r>
            <w:r>
              <w:rPr>
                <w:rFonts w:hint="default" w:ascii="Times New Roman" w:hAnsi="Times New Roman" w:eastAsia="宋体" w:cs="Times New Roman"/>
                <w:b w:val="0"/>
                <w:bCs w:val="0"/>
                <w:color w:val="auto"/>
                <w:kern w:val="0"/>
                <w:sz w:val="24"/>
                <w:szCs w:val="24"/>
                <w:highlight w:val="none"/>
                <w:lang w:val="en-US" w:eastAsia="zh-CN" w:bidi="ar-SA"/>
              </w:rPr>
              <w:t>HJ1089-2020</w:t>
            </w:r>
            <w:r>
              <w:rPr>
                <w:rFonts w:hint="eastAsia" w:ascii="Times New Roman" w:hAnsi="Times New Roman" w:eastAsia="宋体" w:cs="Times New Roman"/>
                <w:b w:val="0"/>
                <w:bCs w:val="0"/>
                <w:color w:val="auto"/>
                <w:kern w:val="0"/>
                <w:sz w:val="24"/>
                <w:szCs w:val="24"/>
                <w:highlight w:val="none"/>
                <w:lang w:val="en-US" w:eastAsia="zh-CN" w:bidi="ar-SA"/>
              </w:rPr>
              <w:t>），大气污染预防技术中“原辅料替代技术”中“水性油墨替代技术”提到“水性油墨</w:t>
            </w:r>
            <w:r>
              <w:rPr>
                <w:rFonts w:hint="default" w:ascii="Times New Roman" w:hAnsi="Times New Roman" w:eastAsia="宋体" w:cs="Times New Roman"/>
                <w:b w:val="0"/>
                <w:bCs w:val="0"/>
                <w:color w:val="auto"/>
                <w:kern w:val="0"/>
                <w:sz w:val="24"/>
                <w:szCs w:val="24"/>
                <w:highlight w:val="none"/>
                <w:lang w:val="en-US" w:eastAsia="zh-CN" w:bidi="ar-SA"/>
              </w:rPr>
              <w:t>VOCs</w:t>
            </w:r>
            <w:r>
              <w:rPr>
                <w:rFonts w:hint="eastAsia" w:ascii="Times New Roman" w:hAnsi="Times New Roman" w:eastAsia="宋体" w:cs="Times New Roman"/>
                <w:b w:val="0"/>
                <w:bCs w:val="0"/>
                <w:color w:val="auto"/>
                <w:kern w:val="0"/>
                <w:sz w:val="24"/>
                <w:szCs w:val="24"/>
                <w:highlight w:val="none"/>
                <w:lang w:val="en-US" w:eastAsia="zh-CN" w:bidi="ar-SA"/>
              </w:rPr>
              <w:t>质量占比应小于等于</w:t>
            </w:r>
            <w:r>
              <w:rPr>
                <w:rFonts w:hint="default" w:ascii="Times New Roman" w:hAnsi="Times New Roman" w:eastAsia="宋体" w:cs="Times New Roman"/>
                <w:b w:val="0"/>
                <w:bCs w:val="0"/>
                <w:color w:val="auto"/>
                <w:kern w:val="0"/>
                <w:sz w:val="24"/>
                <w:szCs w:val="24"/>
                <w:highlight w:val="none"/>
                <w:lang w:val="en-US" w:eastAsia="zh-CN" w:bidi="ar-SA"/>
              </w:rPr>
              <w:t>30%</w:t>
            </w:r>
            <w:r>
              <w:rPr>
                <w:rFonts w:hint="eastAsia" w:ascii="Times New Roman" w:hAnsi="Times New Roman" w:eastAsia="宋体" w:cs="Times New Roman"/>
                <w:b w:val="0"/>
                <w:bCs w:val="0"/>
                <w:color w:val="auto"/>
                <w:kern w:val="0"/>
                <w:sz w:val="24"/>
                <w:szCs w:val="24"/>
                <w:highlight w:val="none"/>
                <w:lang w:val="en-US" w:eastAsia="zh-CN" w:bidi="ar-SA"/>
              </w:rPr>
              <w:t>，采用水性凹印油墨替代溶剂型凹印油墨，</w:t>
            </w:r>
            <w:r>
              <w:rPr>
                <w:rFonts w:hint="default" w:ascii="Times New Roman" w:hAnsi="Times New Roman" w:eastAsia="宋体" w:cs="Times New Roman"/>
                <w:b w:val="0"/>
                <w:bCs w:val="0"/>
                <w:color w:val="auto"/>
                <w:kern w:val="0"/>
                <w:sz w:val="24"/>
                <w:szCs w:val="24"/>
                <w:highlight w:val="none"/>
                <w:lang w:val="en-US" w:eastAsia="zh-CN" w:bidi="ar-SA"/>
              </w:rPr>
              <w:t>VOCs</w:t>
            </w:r>
            <w:r>
              <w:rPr>
                <w:rFonts w:hint="eastAsia" w:ascii="Times New Roman" w:hAnsi="Times New Roman" w:eastAsia="宋体" w:cs="Times New Roman"/>
                <w:b w:val="0"/>
                <w:bCs w:val="0"/>
                <w:color w:val="auto"/>
                <w:kern w:val="0"/>
                <w:sz w:val="24"/>
                <w:szCs w:val="24"/>
                <w:highlight w:val="none"/>
                <w:lang w:val="en-US" w:eastAsia="zh-CN" w:bidi="ar-SA"/>
              </w:rPr>
              <w:t>产生量一般可减少</w:t>
            </w:r>
            <w:r>
              <w:rPr>
                <w:rFonts w:hint="eastAsia" w:ascii="Times New Roman" w:hAnsi="Times New Roman" w:cs="Times New Roman"/>
                <w:b w:val="0"/>
                <w:bCs w:val="0"/>
                <w:color w:val="auto"/>
                <w:kern w:val="0"/>
                <w:sz w:val="24"/>
                <w:szCs w:val="24"/>
                <w:highlight w:val="none"/>
                <w:lang w:val="en-US" w:eastAsia="zh-CN" w:bidi="ar-SA"/>
              </w:rPr>
              <w:t>30%～80%</w:t>
            </w:r>
            <w:r>
              <w:rPr>
                <w:rFonts w:hint="eastAsia" w:ascii="Times New Roman" w:hAnsi="Times New Roman" w:eastAsia="宋体" w:cs="Times New Roman"/>
                <w:b w:val="0"/>
                <w:bCs w:val="0"/>
                <w:color w:val="auto"/>
                <w:kern w:val="0"/>
                <w:sz w:val="24"/>
                <w:szCs w:val="24"/>
                <w:highlight w:val="none"/>
                <w:lang w:val="en-US" w:eastAsia="zh-CN" w:bidi="ar-SA"/>
              </w:rPr>
              <w:t>”，本项目印刷工段使用油墨均为水性油墨，</w:t>
            </w:r>
            <w:r>
              <w:rPr>
                <w:rFonts w:hint="default" w:ascii="Times New Roman" w:hAnsi="Times New Roman" w:eastAsia="宋体" w:cs="Times New Roman"/>
                <w:b w:val="0"/>
                <w:bCs w:val="0"/>
                <w:color w:val="auto"/>
                <w:kern w:val="0"/>
                <w:sz w:val="24"/>
                <w:szCs w:val="24"/>
                <w:highlight w:val="none"/>
                <w:lang w:val="en-US" w:eastAsia="zh-CN" w:bidi="ar-SA"/>
              </w:rPr>
              <w:t>VOCs</w:t>
            </w:r>
            <w:r>
              <w:rPr>
                <w:rFonts w:hint="eastAsia" w:ascii="Times New Roman" w:hAnsi="Times New Roman" w:eastAsia="宋体" w:cs="Times New Roman"/>
                <w:b w:val="0"/>
                <w:bCs w:val="0"/>
                <w:color w:val="auto"/>
                <w:kern w:val="0"/>
                <w:sz w:val="24"/>
                <w:szCs w:val="24"/>
                <w:highlight w:val="none"/>
                <w:lang w:val="en-US" w:eastAsia="zh-CN" w:bidi="ar-SA"/>
              </w:rPr>
              <w:t>含量占0.28</w:t>
            </w:r>
            <w:r>
              <w:rPr>
                <w:rFonts w:hint="default" w:ascii="Times New Roman" w:hAnsi="Times New Roman" w:eastAsia="宋体" w:cs="Times New Roman"/>
                <w:b w:val="0"/>
                <w:bCs w:val="0"/>
                <w:color w:val="auto"/>
                <w:kern w:val="0"/>
                <w:sz w:val="24"/>
                <w:szCs w:val="24"/>
                <w:highlight w:val="none"/>
                <w:lang w:val="en-US" w:eastAsia="zh-CN" w:bidi="ar-SA"/>
              </w:rPr>
              <w:t>%</w:t>
            </w:r>
            <w:r>
              <w:rPr>
                <w:rFonts w:hint="eastAsia" w:ascii="Times New Roman" w:hAnsi="Times New Roman" w:eastAsia="宋体" w:cs="Times New Roman"/>
                <w:b w:val="0"/>
                <w:bCs w:val="0"/>
                <w:color w:val="auto"/>
                <w:kern w:val="0"/>
                <w:sz w:val="24"/>
                <w:szCs w:val="24"/>
                <w:highlight w:val="none"/>
                <w:lang w:val="en-US" w:eastAsia="zh-CN" w:bidi="ar-SA"/>
              </w:rPr>
              <w:t>，符合源头替代技术要求。</w:t>
            </w:r>
          </w:p>
          <w:p w14:paraId="36CBEA18">
            <w:pPr>
              <w:pStyle w:val="52"/>
              <w:keepNext w:val="0"/>
              <w:keepLines w:val="0"/>
              <w:pageBreakBefore w:val="0"/>
              <w:widowControl w:val="0"/>
              <w:suppressLineNumbers w:val="0"/>
              <w:tabs>
                <w:tab w:val="left" w:pos="2595"/>
              </w:tabs>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cs="Times New Roman"/>
                <w:b w:val="0"/>
                <w:bCs w:val="0"/>
                <w:color w:val="auto"/>
                <w:kern w:val="0"/>
                <w:sz w:val="24"/>
                <w:szCs w:val="24"/>
                <w:highlight w:val="none"/>
                <w:lang w:val="en-US" w:eastAsia="zh-CN" w:bidi="ar-SA"/>
              </w:rPr>
            </w:pPr>
            <w:r>
              <w:rPr>
                <w:rFonts w:hint="eastAsia" w:ascii="Times New Roman" w:hAnsi="Times New Roman" w:eastAsia="宋体" w:cs="Times New Roman"/>
                <w:b w:val="0"/>
                <w:bCs w:val="0"/>
                <w:color w:val="auto"/>
                <w:kern w:val="0"/>
                <w:sz w:val="24"/>
                <w:szCs w:val="24"/>
                <w:highlight w:val="none"/>
                <w:lang w:val="en-US" w:eastAsia="zh-CN" w:bidi="ar-SA"/>
              </w:rPr>
              <w:t>台面胶废气：本项目台面胶采用的是水基型，根据建设单位提供资料，其挥发份含量仅</w:t>
            </w:r>
            <w:r>
              <w:rPr>
                <w:rFonts w:hint="default" w:ascii="Times New Roman" w:hAnsi="Times New Roman" w:eastAsia="宋体" w:cs="Times New Roman"/>
                <w:b w:val="0"/>
                <w:bCs w:val="0"/>
                <w:color w:val="auto"/>
                <w:kern w:val="0"/>
                <w:sz w:val="24"/>
                <w:szCs w:val="24"/>
                <w:highlight w:val="none"/>
                <w:lang w:val="en-US" w:eastAsia="zh-CN" w:bidi="ar-SA"/>
              </w:rPr>
              <w:t>2%</w:t>
            </w:r>
            <w:r>
              <w:rPr>
                <w:rFonts w:hint="eastAsia" w:ascii="Times New Roman" w:hAnsi="Times New Roman" w:eastAsia="宋体" w:cs="Times New Roman"/>
                <w:b w:val="0"/>
                <w:bCs w:val="0"/>
                <w:color w:val="auto"/>
                <w:kern w:val="0"/>
                <w:sz w:val="24"/>
                <w:szCs w:val="24"/>
                <w:highlight w:val="none"/>
                <w:lang w:val="en-US" w:eastAsia="zh-CN" w:bidi="ar-SA"/>
              </w:rPr>
              <w:t>，且台面胶年用量仅</w:t>
            </w:r>
            <w:r>
              <w:rPr>
                <w:rFonts w:hint="default" w:ascii="Times New Roman" w:hAnsi="Times New Roman" w:eastAsia="宋体" w:cs="Times New Roman"/>
                <w:b w:val="0"/>
                <w:bCs w:val="0"/>
                <w:color w:val="auto"/>
                <w:kern w:val="0"/>
                <w:sz w:val="24"/>
                <w:szCs w:val="24"/>
                <w:highlight w:val="none"/>
                <w:lang w:val="en-US" w:eastAsia="zh-CN" w:bidi="ar-SA"/>
              </w:rPr>
              <w:t>0.1t</w:t>
            </w:r>
            <w:r>
              <w:rPr>
                <w:rFonts w:hint="eastAsia" w:ascii="Times New Roman" w:hAnsi="Times New Roman" w:eastAsia="宋体" w:cs="Times New Roman"/>
                <w:b w:val="0"/>
                <w:bCs w:val="0"/>
                <w:color w:val="auto"/>
                <w:kern w:val="0"/>
                <w:sz w:val="24"/>
                <w:szCs w:val="24"/>
                <w:highlight w:val="none"/>
                <w:lang w:val="en-US" w:eastAsia="zh-CN" w:bidi="ar-SA"/>
              </w:rPr>
              <w:t>，挥发分产生量仅为</w:t>
            </w:r>
            <w:r>
              <w:rPr>
                <w:rFonts w:hint="default" w:ascii="Times New Roman" w:hAnsi="Times New Roman" w:eastAsia="宋体" w:cs="Times New Roman"/>
                <w:b w:val="0"/>
                <w:bCs w:val="0"/>
                <w:color w:val="auto"/>
                <w:kern w:val="0"/>
                <w:sz w:val="24"/>
                <w:szCs w:val="24"/>
                <w:highlight w:val="none"/>
                <w:lang w:val="en-US" w:eastAsia="zh-CN" w:bidi="ar-SA"/>
              </w:rPr>
              <w:t>0.002t/a</w:t>
            </w:r>
            <w:r>
              <w:rPr>
                <w:rFonts w:hint="eastAsia" w:ascii="Times New Roman" w:hAnsi="Times New Roman" w:eastAsia="宋体" w:cs="Times New Roman"/>
                <w:b w:val="0"/>
                <w:bCs w:val="0"/>
                <w:color w:val="auto"/>
                <w:kern w:val="0"/>
                <w:sz w:val="24"/>
                <w:szCs w:val="24"/>
                <w:highlight w:val="none"/>
                <w:lang w:val="en-US" w:eastAsia="zh-CN" w:bidi="ar-SA"/>
              </w:rPr>
              <w:t>，所用台面胶满足《胶粘剂挥发性有机化合物限量》（</w:t>
            </w:r>
            <w:r>
              <w:rPr>
                <w:rFonts w:hint="default" w:ascii="Times New Roman" w:hAnsi="Times New Roman" w:eastAsia="宋体" w:cs="Times New Roman"/>
                <w:b w:val="0"/>
                <w:bCs w:val="0"/>
                <w:color w:val="auto"/>
                <w:kern w:val="0"/>
                <w:sz w:val="24"/>
                <w:szCs w:val="24"/>
                <w:highlight w:val="none"/>
                <w:lang w:val="en-US" w:eastAsia="zh-CN" w:bidi="ar-SA"/>
              </w:rPr>
              <w:t>GB33372-2020</w:t>
            </w:r>
            <w:r>
              <w:rPr>
                <w:rFonts w:hint="eastAsia" w:ascii="Times New Roman" w:hAnsi="Times New Roman" w:eastAsia="宋体" w:cs="Times New Roman"/>
                <w:b w:val="0"/>
                <w:bCs w:val="0"/>
                <w:color w:val="auto"/>
                <w:kern w:val="0"/>
                <w:sz w:val="24"/>
                <w:szCs w:val="24"/>
                <w:highlight w:val="none"/>
                <w:lang w:val="en-US" w:eastAsia="zh-CN" w:bidi="ar-SA"/>
              </w:rPr>
              <w:t>）标准要求，且台面胶有机挥发分含量为</w:t>
            </w:r>
            <w:r>
              <w:rPr>
                <w:rFonts w:hint="default" w:ascii="Times New Roman" w:hAnsi="Times New Roman" w:eastAsia="宋体" w:cs="Times New Roman"/>
                <w:b w:val="0"/>
                <w:bCs w:val="0"/>
                <w:color w:val="auto"/>
                <w:kern w:val="0"/>
                <w:sz w:val="24"/>
                <w:szCs w:val="24"/>
                <w:highlight w:val="none"/>
                <w:lang w:val="en-US" w:eastAsia="zh-CN" w:bidi="ar-SA"/>
              </w:rPr>
              <w:t>2%</w:t>
            </w:r>
            <w:r>
              <w:rPr>
                <w:rFonts w:hint="eastAsia" w:ascii="Times New Roman" w:hAnsi="Times New Roman" w:eastAsia="宋体" w:cs="Times New Roman"/>
                <w:b w:val="0"/>
                <w:bCs w:val="0"/>
                <w:color w:val="auto"/>
                <w:kern w:val="0"/>
                <w:sz w:val="24"/>
                <w:szCs w:val="24"/>
                <w:highlight w:val="none"/>
                <w:lang w:val="en-US" w:eastAsia="zh-CN" w:bidi="ar-SA"/>
              </w:rPr>
              <w:t>，小于</w:t>
            </w:r>
            <w:r>
              <w:rPr>
                <w:rFonts w:hint="default" w:ascii="Times New Roman" w:hAnsi="Times New Roman" w:eastAsia="宋体" w:cs="Times New Roman"/>
                <w:b w:val="0"/>
                <w:bCs w:val="0"/>
                <w:color w:val="auto"/>
                <w:kern w:val="0"/>
                <w:sz w:val="24"/>
                <w:szCs w:val="24"/>
                <w:highlight w:val="none"/>
                <w:lang w:val="en-US" w:eastAsia="zh-CN" w:bidi="ar-SA"/>
              </w:rPr>
              <w:t>10%</w:t>
            </w:r>
            <w:r>
              <w:rPr>
                <w:rFonts w:hint="eastAsia" w:ascii="Times New Roman" w:hAnsi="Times New Roman" w:eastAsia="宋体" w:cs="Times New Roman"/>
                <w:b w:val="0"/>
                <w:bCs w:val="0"/>
                <w:color w:val="auto"/>
                <w:kern w:val="0"/>
                <w:sz w:val="24"/>
                <w:szCs w:val="24"/>
                <w:highlight w:val="none"/>
                <w:lang w:val="en-US" w:eastAsia="zh-CN" w:bidi="ar-SA"/>
              </w:rPr>
              <w:t>，满足源头替代技术要求，结合《重点行业挥发性有机物综合治理方案》中“使用的原辅材料</w:t>
            </w:r>
            <w:r>
              <w:rPr>
                <w:rFonts w:hint="default" w:ascii="Times New Roman" w:hAnsi="Times New Roman" w:eastAsia="宋体" w:cs="Times New Roman"/>
                <w:b w:val="0"/>
                <w:bCs w:val="0"/>
                <w:color w:val="auto"/>
                <w:kern w:val="0"/>
                <w:sz w:val="24"/>
                <w:szCs w:val="24"/>
                <w:highlight w:val="none"/>
                <w:lang w:val="en-US" w:eastAsia="zh-CN" w:bidi="ar-SA"/>
              </w:rPr>
              <w:t>VOCs</w:t>
            </w:r>
            <w:r>
              <w:rPr>
                <w:rFonts w:hint="eastAsia" w:ascii="Times New Roman" w:hAnsi="Times New Roman" w:eastAsia="宋体" w:cs="Times New Roman"/>
                <w:b w:val="0"/>
                <w:bCs w:val="0"/>
                <w:color w:val="auto"/>
                <w:kern w:val="0"/>
                <w:sz w:val="24"/>
                <w:szCs w:val="24"/>
                <w:highlight w:val="none"/>
                <w:lang w:val="en-US" w:eastAsia="zh-CN" w:bidi="ar-SA"/>
              </w:rPr>
              <w:t>含量（质量比）低于</w:t>
            </w:r>
            <w:r>
              <w:rPr>
                <w:rFonts w:hint="default" w:ascii="Times New Roman" w:hAnsi="Times New Roman" w:eastAsia="宋体" w:cs="Times New Roman"/>
                <w:b w:val="0"/>
                <w:bCs w:val="0"/>
                <w:color w:val="auto"/>
                <w:kern w:val="0"/>
                <w:sz w:val="24"/>
                <w:szCs w:val="24"/>
                <w:highlight w:val="none"/>
                <w:lang w:val="en-US" w:eastAsia="zh-CN" w:bidi="ar-SA"/>
              </w:rPr>
              <w:t>10%</w:t>
            </w:r>
            <w:r>
              <w:rPr>
                <w:rFonts w:hint="eastAsia" w:ascii="Times New Roman" w:hAnsi="Times New Roman" w:eastAsia="宋体" w:cs="Times New Roman"/>
                <w:b w:val="0"/>
                <w:bCs w:val="0"/>
                <w:color w:val="auto"/>
                <w:kern w:val="0"/>
                <w:sz w:val="24"/>
                <w:szCs w:val="24"/>
                <w:highlight w:val="none"/>
                <w:lang w:val="en-US" w:eastAsia="zh-CN" w:bidi="ar-SA"/>
              </w:rPr>
              <w:t>的工序，可不要求采取无组织排放收集措施”等相关政策条款要求，刷台面胶过程产生的少量有机废气以无组织排放。</w:t>
            </w:r>
          </w:p>
          <w:p w14:paraId="298DD484">
            <w:pPr>
              <w:pStyle w:val="52"/>
              <w:keepNext w:val="0"/>
              <w:keepLines w:val="0"/>
              <w:pageBreakBefore w:val="0"/>
              <w:widowControl w:val="0"/>
              <w:suppressLineNumbers w:val="0"/>
              <w:tabs>
                <w:tab w:val="left" w:pos="2595"/>
              </w:tabs>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cs="Times New Roman"/>
                <w:b w:val="0"/>
                <w:bCs w:val="0"/>
                <w:color w:val="auto"/>
                <w:kern w:val="0"/>
                <w:sz w:val="24"/>
                <w:szCs w:val="24"/>
                <w:highlight w:val="none"/>
                <w:lang w:val="en-US" w:eastAsia="zh-CN" w:bidi="ar-SA"/>
              </w:rPr>
            </w:pPr>
            <w:r>
              <w:rPr>
                <w:rFonts w:hint="eastAsia" w:ascii="Times New Roman" w:hAnsi="Times New Roman" w:eastAsia="宋体" w:cs="Times New Roman"/>
                <w:b w:val="0"/>
                <w:bCs w:val="0"/>
                <w:color w:val="auto"/>
                <w:kern w:val="0"/>
                <w:sz w:val="24"/>
                <w:szCs w:val="24"/>
                <w:highlight w:val="none"/>
                <w:lang w:val="en-US" w:eastAsia="zh-CN" w:bidi="ar-SA"/>
              </w:rPr>
              <w:t>综上所述，项目</w:t>
            </w:r>
            <w:r>
              <w:rPr>
                <w:rFonts w:hint="default" w:ascii="Times New Roman" w:hAnsi="Times New Roman" w:eastAsia="宋体" w:cs="Times New Roman"/>
                <w:color w:val="auto"/>
                <w:kern w:val="21"/>
                <w:sz w:val="24"/>
                <w:szCs w:val="24"/>
                <w:highlight w:val="none"/>
                <w:u w:val="none"/>
                <w:lang w:val="en-US" w:eastAsia="zh-CN" w:bidi="ar-SA"/>
              </w:rPr>
              <w:t>丝网印花、台面胶及晾干</w:t>
            </w:r>
            <w:r>
              <w:rPr>
                <w:rFonts w:hint="eastAsia" w:ascii="Times New Roman" w:hAnsi="Times New Roman" w:eastAsia="宋体" w:cs="Times New Roman"/>
                <w:color w:val="auto"/>
                <w:kern w:val="21"/>
                <w:sz w:val="24"/>
                <w:szCs w:val="24"/>
                <w:highlight w:val="none"/>
                <w:u w:val="none"/>
                <w:lang w:val="en-US" w:eastAsia="zh-CN" w:bidi="ar-SA"/>
              </w:rPr>
              <w:t>有机废气</w:t>
            </w:r>
            <w:r>
              <w:rPr>
                <w:rFonts w:hint="eastAsia" w:ascii="Times New Roman" w:hAnsi="Times New Roman" w:eastAsia="宋体" w:cs="Times New Roman"/>
                <w:b w:val="0"/>
                <w:bCs w:val="0"/>
                <w:color w:val="auto"/>
                <w:kern w:val="0"/>
                <w:sz w:val="24"/>
                <w:szCs w:val="24"/>
                <w:highlight w:val="none"/>
                <w:lang w:val="en-US" w:eastAsia="zh-CN" w:bidi="ar-SA"/>
              </w:rPr>
              <w:t>可采取无组织形式排放，随生产车间置换风装置一并排出车间。</w:t>
            </w:r>
          </w:p>
          <w:p w14:paraId="796641AC">
            <w:pPr>
              <w:pStyle w:val="97"/>
              <w:keepNext w:val="0"/>
              <w:keepLines w:val="0"/>
              <w:pageBreakBefore w:val="0"/>
              <w:widowControl w:val="0"/>
              <w:numPr>
                <w:ilvl w:val="0"/>
                <w:numId w:val="6"/>
              </w:numPr>
              <w:suppressLineNumbers w:val="0"/>
              <w:kinsoku/>
              <w:wordWrap/>
              <w:overflowPunct/>
              <w:topLinePunct w:val="0"/>
              <w:autoSpaceDE/>
              <w:autoSpaceDN/>
              <w:bidi w:val="0"/>
              <w:spacing w:before="0" w:beforeAutospacing="0" w:after="0" w:afterAutospacing="0" w:line="360" w:lineRule="auto"/>
              <w:ind w:left="0" w:right="0" w:firstLine="480" w:firstLineChars="200"/>
              <w:textAlignment w:val="auto"/>
              <w:rPr>
                <w:rFonts w:hint="eastAsia" w:ascii="Times New Roman" w:hAnsi="Times New Roman" w:cs="Times New Roman"/>
                <w:color w:val="auto"/>
                <w:spacing w:val="-2"/>
                <w:sz w:val="24"/>
                <w:highlight w:val="none"/>
                <w:lang w:val="en-US" w:eastAsia="zh-CN"/>
              </w:rPr>
            </w:pPr>
            <w:r>
              <w:rPr>
                <w:rFonts w:hint="default" w:ascii="Times New Roman" w:hAnsi="Times New Roman" w:eastAsia="宋体" w:cs="Times New Roman"/>
                <w:color w:val="auto"/>
                <w:sz w:val="24"/>
                <w:szCs w:val="24"/>
              </w:rPr>
              <w:t>废气污染防治措施可行性分析</w:t>
            </w:r>
          </w:p>
          <w:p w14:paraId="10CC52F3">
            <w:pPr>
              <w:keepNext w:val="0"/>
              <w:keepLines w:val="0"/>
              <w:suppressLineNumbers w:val="0"/>
              <w:spacing w:before="0" w:beforeAutospacing="0" w:after="0" w:afterAutospacing="0" w:line="360" w:lineRule="auto"/>
              <w:ind w:left="0" w:right="0" w:firstLine="480"/>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1</w:t>
            </w:r>
            <w:r>
              <w:rPr>
                <w:rFonts w:hint="eastAsia" w:ascii="Times New Roman" w:hAnsi="Times New Roman" w:eastAsia="宋体" w:cs="Times New Roman"/>
                <w:color w:val="auto"/>
                <w:sz w:val="24"/>
                <w:szCs w:val="24"/>
                <w:lang w:eastAsia="zh-CN"/>
              </w:rPr>
              <w:t>）</w:t>
            </w:r>
            <w:r>
              <w:rPr>
                <w:rFonts w:hint="eastAsia" w:ascii="Times New Roman" w:hAnsi="Times New Roman" w:eastAsia="宋体" w:cs="Times New Roman"/>
                <w:color w:val="auto"/>
                <w:sz w:val="24"/>
                <w:szCs w:val="24"/>
                <w:lang w:val="en-US" w:eastAsia="zh-CN"/>
              </w:rPr>
              <w:t>排气筒高度设置的合理性分析</w:t>
            </w:r>
          </w:p>
          <w:p w14:paraId="78D8B23C">
            <w:pPr>
              <w:pStyle w:val="5"/>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cs="Times New Roman"/>
                <w:b w:val="0"/>
                <w:color w:val="auto"/>
                <w:kern w:val="2"/>
                <w:sz w:val="24"/>
                <w:szCs w:val="24"/>
                <w:lang w:val="en-US" w:eastAsia="zh-CN" w:bidi="ar-SA"/>
              </w:rPr>
            </w:pPr>
            <w:r>
              <w:rPr>
                <w:rFonts w:hint="eastAsia" w:ascii="Times New Roman" w:hAnsi="Times New Roman" w:eastAsia="宋体" w:cs="Times New Roman"/>
                <w:b w:val="0"/>
                <w:color w:val="auto"/>
                <w:kern w:val="2"/>
                <w:sz w:val="24"/>
                <w:szCs w:val="24"/>
                <w:lang w:val="en-US" w:eastAsia="zh-CN" w:bidi="ar-SA"/>
              </w:rPr>
              <w:t>根据现场踏勘，项目周边200</w:t>
            </w:r>
            <w:r>
              <w:rPr>
                <w:rFonts w:hint="eastAsia" w:ascii="Times New Roman" w:hAnsi="Times New Roman" w:cs="Times New Roman"/>
                <w:b w:val="0"/>
                <w:color w:val="auto"/>
                <w:kern w:val="2"/>
                <w:sz w:val="24"/>
                <w:szCs w:val="24"/>
                <w:lang w:val="en-US" w:eastAsia="zh-CN" w:bidi="ar-SA"/>
              </w:rPr>
              <w:t>米</w:t>
            </w:r>
            <w:r>
              <w:rPr>
                <w:rFonts w:hint="eastAsia" w:ascii="Times New Roman" w:hAnsi="Times New Roman" w:eastAsia="宋体" w:cs="Times New Roman"/>
                <w:b w:val="0"/>
                <w:color w:val="auto"/>
                <w:kern w:val="2"/>
                <w:sz w:val="24"/>
                <w:szCs w:val="24"/>
                <w:lang w:val="en-US" w:eastAsia="zh-CN" w:bidi="ar-SA"/>
              </w:rPr>
              <w:t>范围内建筑高度见下表。</w:t>
            </w:r>
          </w:p>
          <w:p w14:paraId="4226EFCA">
            <w:pPr>
              <w:keepNext w:val="0"/>
              <w:keepLines w:val="0"/>
              <w:suppressLineNumbers w:val="0"/>
              <w:spacing w:before="0" w:beforeAutospacing="0" w:after="0" w:afterAutospacing="0"/>
              <w:ind w:left="0" w:right="0"/>
              <w:jc w:val="center"/>
              <w:rPr>
                <w:rFonts w:hint="eastAsia" w:ascii="Times New Roman" w:hAnsi="Times New Roman" w:eastAsia="宋体" w:cs="Times New Roman"/>
                <w:b/>
                <w:color w:val="auto"/>
                <w:szCs w:val="21"/>
              </w:rPr>
            </w:pPr>
            <w:r>
              <w:rPr>
                <w:rFonts w:hint="default" w:ascii="Times New Roman" w:hAnsi="Times New Roman" w:eastAsia="宋体" w:cs="Times New Roman"/>
                <w:b/>
                <w:color w:val="auto"/>
                <w:szCs w:val="21"/>
              </w:rPr>
              <w:t>表</w:t>
            </w:r>
            <w:r>
              <w:rPr>
                <w:rFonts w:hint="eastAsia" w:ascii="Times New Roman" w:hAnsi="Times New Roman" w:eastAsia="宋体" w:cs="Times New Roman"/>
                <w:b/>
                <w:color w:val="auto"/>
                <w:szCs w:val="21"/>
                <w:lang w:val="en-US" w:eastAsia="zh-CN"/>
              </w:rPr>
              <w:t>4</w:t>
            </w:r>
            <w:r>
              <w:rPr>
                <w:rFonts w:hint="default" w:ascii="Times New Roman" w:hAnsi="Times New Roman" w:eastAsia="宋体" w:cs="Times New Roman"/>
                <w:b/>
                <w:color w:val="auto"/>
                <w:szCs w:val="21"/>
              </w:rPr>
              <w:t>-</w:t>
            </w:r>
            <w:r>
              <w:rPr>
                <w:rFonts w:hint="eastAsia" w:ascii="Times New Roman" w:hAnsi="Times New Roman" w:eastAsia="宋体" w:cs="Times New Roman"/>
                <w:b/>
                <w:color w:val="auto"/>
                <w:szCs w:val="21"/>
                <w:lang w:val="en-US" w:eastAsia="zh-CN"/>
              </w:rPr>
              <w:t xml:space="preserve">3  </w:t>
            </w:r>
            <w:r>
              <w:rPr>
                <w:rFonts w:hint="eastAsia" w:ascii="Times New Roman" w:hAnsi="Times New Roman" w:eastAsia="宋体" w:cs="Times New Roman"/>
                <w:b/>
                <w:color w:val="auto"/>
                <w:szCs w:val="21"/>
              </w:rPr>
              <w:t>项目周边200米范围内建筑物高度</w:t>
            </w:r>
          </w:p>
          <w:tbl>
            <w:tblPr>
              <w:tblStyle w:val="26"/>
              <w:tblW w:w="5000" w:type="pct"/>
              <w:jc w:val="center"/>
              <w:tblBorders>
                <w:top w:val="double" w:color="000000" w:sz="4" w:space="0"/>
                <w:left w:val="none" w:color="auto" w:sz="0" w:space="0"/>
                <w:bottom w:val="double" w:color="000000" w:sz="4" w:space="0"/>
                <w:right w:val="none" w:color="auto" w:sz="0" w:space="0"/>
                <w:insideH w:val="single" w:color="000000" w:sz="4" w:space="0"/>
                <w:insideV w:val="single" w:color="000000" w:sz="4" w:space="0"/>
              </w:tblBorders>
              <w:tblLayout w:type="autofit"/>
              <w:tblCellMar>
                <w:top w:w="0" w:type="dxa"/>
                <w:left w:w="57" w:type="dxa"/>
                <w:bottom w:w="0" w:type="dxa"/>
                <w:right w:w="57" w:type="dxa"/>
              </w:tblCellMar>
            </w:tblPr>
            <w:tblGrid>
              <w:gridCol w:w="1114"/>
              <w:gridCol w:w="3074"/>
              <w:gridCol w:w="1249"/>
              <w:gridCol w:w="1151"/>
              <w:gridCol w:w="2276"/>
            </w:tblGrid>
            <w:tr w14:paraId="33C38A99">
              <w:tblPrEx>
                <w:tblBorders>
                  <w:top w:val="double" w:color="000000" w:sz="4" w:space="0"/>
                  <w:left w:val="none" w:color="auto" w:sz="0" w:space="0"/>
                  <w:bottom w:val="double" w:color="000000" w:sz="4" w:space="0"/>
                  <w:right w:val="none" w:color="auto" w:sz="0" w:space="0"/>
                  <w:insideH w:val="single" w:color="000000" w:sz="4" w:space="0"/>
                  <w:insideV w:val="single" w:color="000000" w:sz="4" w:space="0"/>
                </w:tblBorders>
                <w:tblCellMar>
                  <w:top w:w="0" w:type="dxa"/>
                  <w:left w:w="57" w:type="dxa"/>
                  <w:bottom w:w="0" w:type="dxa"/>
                  <w:right w:w="57" w:type="dxa"/>
                </w:tblCellMar>
              </w:tblPrEx>
              <w:trPr>
                <w:trHeight w:val="340" w:hRule="atLeast"/>
                <w:jc w:val="center"/>
              </w:trPr>
              <w:tc>
                <w:tcPr>
                  <w:tcW w:w="628" w:type="pct"/>
                  <w:tcBorders>
                    <w:top w:val="single" w:color="000000" w:sz="12" w:space="0"/>
                    <w:bottom w:val="single" w:color="000000" w:sz="4" w:space="0"/>
                    <w:right w:val="single" w:color="000000" w:sz="4" w:space="0"/>
                  </w:tcBorders>
                  <w:vAlign w:val="center"/>
                </w:tcPr>
                <w:p w14:paraId="3F6A13E5">
                  <w:pPr>
                    <w:keepNext w:val="0"/>
                    <w:keepLines w:val="0"/>
                    <w:suppressLineNumbers w:val="0"/>
                    <w:spacing w:before="0" w:beforeAutospacing="0" w:after="0" w:afterAutospacing="0"/>
                    <w:ind w:left="0" w:right="0"/>
                    <w:jc w:val="center"/>
                    <w:rPr>
                      <w:rFonts w:hint="eastAsia" w:ascii="Times New Roman" w:hAnsi="Times New Roman" w:eastAsia="宋体" w:cs="Times New Roman"/>
                      <w:b/>
                      <w:color w:val="auto"/>
                      <w:szCs w:val="21"/>
                      <w:lang w:eastAsia="zh-CN"/>
                    </w:rPr>
                  </w:pPr>
                  <w:r>
                    <w:rPr>
                      <w:rFonts w:hint="eastAsia" w:ascii="Times New Roman" w:hAnsi="Times New Roman" w:eastAsia="宋体" w:cs="Times New Roman"/>
                      <w:b/>
                      <w:color w:val="auto"/>
                      <w:szCs w:val="21"/>
                      <w:lang w:val="en-US" w:eastAsia="zh-CN"/>
                    </w:rPr>
                    <w:t>序号</w:t>
                  </w:r>
                </w:p>
              </w:tc>
              <w:tc>
                <w:tcPr>
                  <w:tcW w:w="1733" w:type="pct"/>
                  <w:tcBorders>
                    <w:top w:val="single" w:color="000000" w:sz="12" w:space="0"/>
                    <w:left w:val="single" w:color="000000" w:sz="4" w:space="0"/>
                    <w:bottom w:val="single" w:color="000000" w:sz="4" w:space="0"/>
                    <w:right w:val="single" w:color="000000" w:sz="4" w:space="0"/>
                  </w:tcBorders>
                  <w:vAlign w:val="center"/>
                </w:tcPr>
                <w:p w14:paraId="065D70D0">
                  <w:pPr>
                    <w:keepNext w:val="0"/>
                    <w:keepLines w:val="0"/>
                    <w:suppressLineNumbers w:val="0"/>
                    <w:spacing w:before="0" w:beforeAutospacing="0" w:after="0" w:afterAutospacing="0"/>
                    <w:ind w:left="0" w:right="0"/>
                    <w:jc w:val="center"/>
                    <w:rPr>
                      <w:rFonts w:hint="eastAsia" w:ascii="Times New Roman" w:hAnsi="Times New Roman" w:eastAsia="宋体" w:cs="Times New Roman"/>
                      <w:b/>
                      <w:color w:val="auto"/>
                      <w:szCs w:val="21"/>
                      <w:lang w:eastAsia="zh-CN"/>
                    </w:rPr>
                  </w:pPr>
                  <w:r>
                    <w:rPr>
                      <w:rFonts w:hint="eastAsia" w:ascii="Times New Roman" w:hAnsi="Times New Roman" w:eastAsia="宋体" w:cs="Times New Roman"/>
                      <w:b/>
                      <w:color w:val="auto"/>
                      <w:szCs w:val="21"/>
                      <w:lang w:val="en-US" w:eastAsia="zh-CN"/>
                    </w:rPr>
                    <w:t>名称</w:t>
                  </w:r>
                </w:p>
              </w:tc>
              <w:tc>
                <w:tcPr>
                  <w:tcW w:w="704" w:type="pct"/>
                  <w:tcBorders>
                    <w:top w:val="single" w:color="000000" w:sz="12" w:space="0"/>
                    <w:left w:val="single" w:color="000000" w:sz="4" w:space="0"/>
                    <w:bottom w:val="single" w:color="000000" w:sz="4" w:space="0"/>
                    <w:right w:val="single" w:color="000000" w:sz="4" w:space="0"/>
                  </w:tcBorders>
                  <w:vAlign w:val="center"/>
                </w:tcPr>
                <w:p w14:paraId="1BB85307">
                  <w:pPr>
                    <w:keepNext w:val="0"/>
                    <w:keepLines w:val="0"/>
                    <w:suppressLineNumbers w:val="0"/>
                    <w:spacing w:before="0" w:beforeAutospacing="0" w:after="0" w:afterAutospacing="0"/>
                    <w:ind w:left="0" w:right="0"/>
                    <w:jc w:val="center"/>
                    <w:rPr>
                      <w:rFonts w:hint="default" w:ascii="Times New Roman" w:hAnsi="Times New Roman" w:eastAsia="宋体" w:cs="Times New Roman"/>
                      <w:b/>
                      <w:color w:val="auto"/>
                      <w:szCs w:val="21"/>
                      <w:lang w:val="en-US" w:eastAsia="zh-CN"/>
                    </w:rPr>
                  </w:pPr>
                  <w:r>
                    <w:rPr>
                      <w:rFonts w:hint="eastAsia" w:ascii="Times New Roman" w:hAnsi="Times New Roman" w:eastAsia="宋体" w:cs="Times New Roman"/>
                      <w:b/>
                      <w:color w:val="auto"/>
                      <w:szCs w:val="21"/>
                      <w:lang w:val="en-US" w:eastAsia="zh-CN"/>
                    </w:rPr>
                    <w:t>高度</w:t>
                  </w:r>
                  <w:r>
                    <w:rPr>
                      <w:rFonts w:hint="default" w:ascii="Times New Roman" w:hAnsi="Times New Roman" w:eastAsia="宋体" w:cs="Times New Roman"/>
                      <w:b/>
                      <w:color w:val="auto"/>
                      <w:szCs w:val="21"/>
                    </w:rPr>
                    <w:t>（m）</w:t>
                  </w:r>
                </w:p>
              </w:tc>
              <w:tc>
                <w:tcPr>
                  <w:tcW w:w="649" w:type="pct"/>
                  <w:tcBorders>
                    <w:top w:val="single" w:color="000000" w:sz="12" w:space="0"/>
                    <w:left w:val="single" w:color="000000" w:sz="4" w:space="0"/>
                    <w:bottom w:val="single" w:color="000000" w:sz="4" w:space="0"/>
                    <w:right w:val="single" w:color="000000" w:sz="4" w:space="0"/>
                  </w:tcBorders>
                  <w:vAlign w:val="center"/>
                </w:tcPr>
                <w:p w14:paraId="7FD6D706">
                  <w:pPr>
                    <w:keepNext w:val="0"/>
                    <w:keepLines w:val="0"/>
                    <w:suppressLineNumbers w:val="0"/>
                    <w:spacing w:before="0" w:beforeAutospacing="0" w:after="0" w:afterAutospacing="0"/>
                    <w:ind w:left="0" w:right="0"/>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rPr>
                    <w:t>方位</w:t>
                  </w:r>
                </w:p>
              </w:tc>
              <w:tc>
                <w:tcPr>
                  <w:tcW w:w="1283" w:type="pct"/>
                  <w:tcBorders>
                    <w:top w:val="single" w:color="000000" w:sz="12" w:space="0"/>
                    <w:left w:val="single" w:color="000000" w:sz="4" w:space="0"/>
                    <w:bottom w:val="single" w:color="000000" w:sz="4" w:space="0"/>
                  </w:tcBorders>
                  <w:vAlign w:val="center"/>
                </w:tcPr>
                <w:p w14:paraId="1A63071C">
                  <w:pPr>
                    <w:keepNext w:val="0"/>
                    <w:keepLines w:val="0"/>
                    <w:suppressLineNumbers w:val="0"/>
                    <w:spacing w:before="0" w:beforeAutospacing="0" w:after="0" w:afterAutospacing="0"/>
                    <w:ind w:left="0" w:right="0"/>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rPr>
                    <w:t>与厂界最近距离（m）</w:t>
                  </w:r>
                </w:p>
              </w:tc>
            </w:tr>
            <w:tr w14:paraId="52020A61">
              <w:tblPrEx>
                <w:tblBorders>
                  <w:top w:val="double" w:color="000000" w:sz="4" w:space="0"/>
                  <w:left w:val="none" w:color="auto" w:sz="0" w:space="0"/>
                  <w:bottom w:val="double" w:color="000000" w:sz="4" w:space="0"/>
                  <w:right w:val="none" w:color="auto" w:sz="0" w:space="0"/>
                  <w:insideH w:val="single" w:color="000000" w:sz="4" w:space="0"/>
                  <w:insideV w:val="single" w:color="000000" w:sz="4" w:space="0"/>
                </w:tblBorders>
                <w:tblCellMar>
                  <w:top w:w="0" w:type="dxa"/>
                  <w:left w:w="57" w:type="dxa"/>
                  <w:bottom w:w="0" w:type="dxa"/>
                  <w:right w:w="57" w:type="dxa"/>
                </w:tblCellMar>
              </w:tblPrEx>
              <w:trPr>
                <w:trHeight w:val="340" w:hRule="atLeast"/>
                <w:jc w:val="center"/>
              </w:trPr>
              <w:tc>
                <w:tcPr>
                  <w:tcW w:w="628" w:type="pct"/>
                  <w:tcBorders>
                    <w:top w:val="single" w:color="000000" w:sz="4" w:space="0"/>
                    <w:bottom w:val="single" w:color="000000" w:sz="4" w:space="0"/>
                    <w:right w:val="single" w:color="000000" w:sz="4" w:space="0"/>
                  </w:tcBorders>
                  <w:vAlign w:val="center"/>
                </w:tcPr>
                <w:p w14:paraId="27B83B3C">
                  <w:pPr>
                    <w:keepNext w:val="0"/>
                    <w:keepLines w:val="0"/>
                    <w:suppressLineNumbers w:val="0"/>
                    <w:spacing w:before="0" w:beforeAutospacing="0" w:after="0" w:afterAutospacing="0"/>
                    <w:ind w:left="0" w:right="0"/>
                    <w:jc w:val="center"/>
                    <w:rPr>
                      <w:rFonts w:hint="eastAsia" w:ascii="Times New Roman" w:hAnsi="Times New Roman" w:eastAsia="宋体" w:cs="Times New Roman"/>
                      <w:bCs/>
                      <w:color w:val="auto"/>
                      <w:szCs w:val="21"/>
                      <w:lang w:eastAsia="zh-CN"/>
                    </w:rPr>
                  </w:pPr>
                  <w:r>
                    <w:rPr>
                      <w:rFonts w:hint="eastAsia" w:ascii="Times New Roman" w:hAnsi="Times New Roman" w:eastAsia="宋体" w:cs="Times New Roman"/>
                      <w:bCs/>
                      <w:color w:val="auto"/>
                      <w:szCs w:val="21"/>
                      <w:lang w:val="en-US" w:eastAsia="zh-CN"/>
                    </w:rPr>
                    <w:t>1</w:t>
                  </w:r>
                </w:p>
              </w:tc>
              <w:tc>
                <w:tcPr>
                  <w:tcW w:w="1733" w:type="pct"/>
                  <w:tcBorders>
                    <w:top w:val="single" w:color="000000" w:sz="4" w:space="0"/>
                    <w:left w:val="single" w:color="000000" w:sz="4" w:space="0"/>
                    <w:bottom w:val="single" w:color="000000" w:sz="4" w:space="0"/>
                    <w:right w:val="single" w:color="000000" w:sz="4" w:space="0"/>
                  </w:tcBorders>
                  <w:vAlign w:val="center"/>
                </w:tcPr>
                <w:p w14:paraId="3ECC6FE6">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auto"/>
                      <w:szCs w:val="21"/>
                      <w:lang w:val="en-US" w:eastAsia="zh-CN"/>
                    </w:rPr>
                  </w:pPr>
                  <w:r>
                    <w:rPr>
                      <w:rFonts w:hint="eastAsia" w:ascii="Times New Roman" w:hAnsi="Times New Roman" w:eastAsia="宋体" w:cs="Times New Roman"/>
                      <w:color w:val="auto"/>
                      <w:kern w:val="0"/>
                      <w:sz w:val="21"/>
                      <w:szCs w:val="21"/>
                      <w:lang w:val="en-US" w:eastAsia="zh-CN"/>
                    </w:rPr>
                    <w:t>江西科诗曼新材料科技</w:t>
                  </w:r>
                  <w:r>
                    <w:rPr>
                      <w:rFonts w:hint="default" w:ascii="Times New Roman" w:hAnsi="Times New Roman" w:eastAsia="宋体" w:cs="Times New Roman"/>
                      <w:color w:val="auto"/>
                      <w:kern w:val="0"/>
                      <w:sz w:val="21"/>
                      <w:szCs w:val="21"/>
                      <w:lang w:val="en-US" w:eastAsia="zh-CN"/>
                    </w:rPr>
                    <w:t>有限公司</w:t>
                  </w:r>
                  <w:r>
                    <w:rPr>
                      <w:rFonts w:hint="eastAsia" w:cs="Times New Roman"/>
                      <w:color w:val="auto"/>
                      <w:kern w:val="0"/>
                      <w:sz w:val="21"/>
                      <w:szCs w:val="21"/>
                      <w:lang w:val="en-US" w:eastAsia="zh-CN"/>
                    </w:rPr>
                    <w:t>标准厂房</w:t>
                  </w:r>
                </w:p>
              </w:tc>
              <w:tc>
                <w:tcPr>
                  <w:tcW w:w="704" w:type="pct"/>
                  <w:tcBorders>
                    <w:top w:val="single" w:color="000000" w:sz="4" w:space="0"/>
                    <w:left w:val="single" w:color="000000" w:sz="4" w:space="0"/>
                    <w:bottom w:val="single" w:color="000000" w:sz="4" w:space="0"/>
                    <w:right w:val="single" w:color="000000" w:sz="4" w:space="0"/>
                  </w:tcBorders>
                  <w:vAlign w:val="center"/>
                </w:tcPr>
                <w:p w14:paraId="4518B3E3">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0"/>
                      <w:sz w:val="21"/>
                      <w:szCs w:val="21"/>
                      <w:lang w:val="en-US" w:eastAsia="zh-CN"/>
                    </w:rPr>
                  </w:pPr>
                  <w:r>
                    <w:rPr>
                      <w:rFonts w:hint="eastAsia" w:cs="Times New Roman"/>
                      <w:color w:val="auto"/>
                      <w:kern w:val="0"/>
                      <w:sz w:val="21"/>
                      <w:szCs w:val="21"/>
                      <w:lang w:val="en-US" w:eastAsia="zh-CN"/>
                    </w:rPr>
                    <w:t>12</w:t>
                  </w:r>
                </w:p>
              </w:tc>
              <w:tc>
                <w:tcPr>
                  <w:tcW w:w="649" w:type="pct"/>
                  <w:tcBorders>
                    <w:top w:val="single" w:color="000000" w:sz="4" w:space="0"/>
                    <w:left w:val="single" w:color="000000" w:sz="4" w:space="0"/>
                    <w:bottom w:val="single" w:color="000000" w:sz="4" w:space="0"/>
                    <w:right w:val="single" w:color="000000" w:sz="4" w:space="0"/>
                  </w:tcBorders>
                  <w:vAlign w:val="center"/>
                </w:tcPr>
                <w:p w14:paraId="7AA77968">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auto"/>
                      <w:szCs w:val="21"/>
                      <w:lang w:val="en-US" w:eastAsia="zh-CN"/>
                    </w:rPr>
                  </w:pPr>
                  <w:r>
                    <w:rPr>
                      <w:rFonts w:hint="eastAsia" w:cs="Times New Roman"/>
                      <w:bCs/>
                      <w:color w:val="auto"/>
                      <w:szCs w:val="21"/>
                      <w:lang w:val="en-US" w:eastAsia="zh-CN"/>
                    </w:rPr>
                    <w:t>北</w:t>
                  </w:r>
                </w:p>
              </w:tc>
              <w:tc>
                <w:tcPr>
                  <w:tcW w:w="1283" w:type="pct"/>
                  <w:tcBorders>
                    <w:top w:val="single" w:color="000000" w:sz="4" w:space="0"/>
                    <w:left w:val="single" w:color="000000" w:sz="4" w:space="0"/>
                    <w:bottom w:val="single" w:color="000000" w:sz="4" w:space="0"/>
                  </w:tcBorders>
                  <w:vAlign w:val="center"/>
                </w:tcPr>
                <w:p w14:paraId="7A431144">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auto"/>
                      <w:szCs w:val="21"/>
                      <w:lang w:val="en-US" w:eastAsia="zh-CN"/>
                    </w:rPr>
                  </w:pPr>
                  <w:r>
                    <w:rPr>
                      <w:rFonts w:hint="eastAsia" w:cs="Times New Roman"/>
                      <w:bCs/>
                      <w:color w:val="auto"/>
                      <w:szCs w:val="21"/>
                      <w:lang w:val="en-US" w:eastAsia="zh-CN"/>
                    </w:rPr>
                    <w:t>20</w:t>
                  </w:r>
                </w:p>
              </w:tc>
            </w:tr>
            <w:tr w14:paraId="2174B8A2">
              <w:tblPrEx>
                <w:tblBorders>
                  <w:top w:val="double" w:color="000000" w:sz="4" w:space="0"/>
                  <w:left w:val="none" w:color="auto" w:sz="0" w:space="0"/>
                  <w:bottom w:val="double" w:color="000000" w:sz="4" w:space="0"/>
                  <w:right w:val="none" w:color="auto" w:sz="0" w:space="0"/>
                  <w:insideH w:val="single" w:color="000000" w:sz="4" w:space="0"/>
                  <w:insideV w:val="single" w:color="000000" w:sz="4" w:space="0"/>
                </w:tblBorders>
                <w:tblCellMar>
                  <w:top w:w="0" w:type="dxa"/>
                  <w:left w:w="57" w:type="dxa"/>
                  <w:bottom w:w="0" w:type="dxa"/>
                  <w:right w:w="57" w:type="dxa"/>
                </w:tblCellMar>
              </w:tblPrEx>
              <w:trPr>
                <w:trHeight w:val="340" w:hRule="atLeast"/>
                <w:jc w:val="center"/>
              </w:trPr>
              <w:tc>
                <w:tcPr>
                  <w:tcW w:w="628" w:type="pct"/>
                  <w:tcBorders>
                    <w:top w:val="single" w:color="000000" w:sz="4" w:space="0"/>
                    <w:bottom w:val="single" w:color="000000" w:sz="4" w:space="0"/>
                    <w:right w:val="single" w:color="000000" w:sz="4" w:space="0"/>
                  </w:tcBorders>
                  <w:vAlign w:val="center"/>
                </w:tcPr>
                <w:p w14:paraId="51FDEF7E">
                  <w:pPr>
                    <w:keepNext w:val="0"/>
                    <w:keepLines w:val="0"/>
                    <w:suppressLineNumbers w:val="0"/>
                    <w:spacing w:before="0" w:beforeAutospacing="0" w:after="0" w:afterAutospacing="0"/>
                    <w:ind w:left="0" w:right="0"/>
                    <w:jc w:val="center"/>
                    <w:rPr>
                      <w:rFonts w:hint="eastAsia" w:ascii="Times New Roman" w:hAnsi="Times New Roman" w:eastAsia="宋体" w:cs="Times New Roman"/>
                      <w:bCs/>
                      <w:color w:val="auto"/>
                      <w:szCs w:val="21"/>
                      <w:lang w:val="en-US" w:eastAsia="zh-CN"/>
                    </w:rPr>
                  </w:pPr>
                  <w:r>
                    <w:rPr>
                      <w:rFonts w:hint="eastAsia" w:ascii="Times New Roman" w:hAnsi="Times New Roman" w:eastAsia="宋体" w:cs="Times New Roman"/>
                      <w:bCs/>
                      <w:color w:val="auto"/>
                      <w:szCs w:val="21"/>
                      <w:lang w:val="en-US" w:eastAsia="zh-CN"/>
                    </w:rPr>
                    <w:t>2</w:t>
                  </w:r>
                </w:p>
              </w:tc>
              <w:tc>
                <w:tcPr>
                  <w:tcW w:w="1733" w:type="pct"/>
                  <w:tcBorders>
                    <w:top w:val="single" w:color="000000" w:sz="4" w:space="0"/>
                    <w:left w:val="single" w:color="000000" w:sz="4" w:space="0"/>
                    <w:bottom w:val="single" w:color="000000" w:sz="4" w:space="0"/>
                    <w:right w:val="single" w:color="000000" w:sz="4" w:space="0"/>
                  </w:tcBorders>
                  <w:vAlign w:val="center"/>
                </w:tcPr>
                <w:p w14:paraId="7D8F82C3">
                  <w:pPr>
                    <w:keepNext w:val="0"/>
                    <w:keepLines w:val="0"/>
                    <w:suppressLineNumbers w:val="0"/>
                    <w:spacing w:before="0" w:beforeAutospacing="0" w:after="0" w:afterAutospacing="0"/>
                    <w:ind w:left="0" w:right="0"/>
                    <w:jc w:val="center"/>
                    <w:rPr>
                      <w:rFonts w:hint="eastAsia"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江西锦石达美新能源有限公司</w:t>
                  </w:r>
                  <w:r>
                    <w:rPr>
                      <w:rFonts w:hint="eastAsia" w:cs="Times New Roman"/>
                      <w:color w:val="auto"/>
                      <w:kern w:val="0"/>
                      <w:sz w:val="21"/>
                      <w:szCs w:val="21"/>
                      <w:lang w:val="en-US" w:eastAsia="zh-CN"/>
                    </w:rPr>
                    <w:t>标准厂房</w:t>
                  </w:r>
                </w:p>
              </w:tc>
              <w:tc>
                <w:tcPr>
                  <w:tcW w:w="704" w:type="pct"/>
                  <w:tcBorders>
                    <w:top w:val="single" w:color="000000" w:sz="4" w:space="0"/>
                    <w:left w:val="single" w:color="000000" w:sz="4" w:space="0"/>
                    <w:bottom w:val="single" w:color="000000" w:sz="4" w:space="0"/>
                    <w:right w:val="single" w:color="000000" w:sz="4" w:space="0"/>
                  </w:tcBorders>
                  <w:vAlign w:val="center"/>
                </w:tcPr>
                <w:p w14:paraId="667117C0">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0"/>
                      <w:sz w:val="21"/>
                      <w:szCs w:val="21"/>
                      <w:lang w:val="en-US" w:eastAsia="zh-CN"/>
                    </w:rPr>
                  </w:pPr>
                  <w:r>
                    <w:rPr>
                      <w:rFonts w:hint="eastAsia" w:cs="Times New Roman"/>
                      <w:color w:val="auto"/>
                      <w:kern w:val="0"/>
                      <w:sz w:val="21"/>
                      <w:szCs w:val="21"/>
                      <w:lang w:val="en-US" w:eastAsia="zh-CN"/>
                    </w:rPr>
                    <w:t>12</w:t>
                  </w:r>
                </w:p>
              </w:tc>
              <w:tc>
                <w:tcPr>
                  <w:tcW w:w="649" w:type="pct"/>
                  <w:tcBorders>
                    <w:top w:val="single" w:color="000000" w:sz="4" w:space="0"/>
                    <w:left w:val="single" w:color="000000" w:sz="4" w:space="0"/>
                    <w:bottom w:val="single" w:color="000000" w:sz="4" w:space="0"/>
                    <w:right w:val="single" w:color="000000" w:sz="4" w:space="0"/>
                  </w:tcBorders>
                  <w:vAlign w:val="center"/>
                </w:tcPr>
                <w:p w14:paraId="49A0FF4E">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Cs w:val="21"/>
                      <w:lang w:val="en-US" w:eastAsia="zh-CN"/>
                    </w:rPr>
                  </w:pPr>
                  <w:r>
                    <w:rPr>
                      <w:rFonts w:hint="eastAsia" w:cs="Times New Roman"/>
                      <w:color w:val="auto"/>
                      <w:szCs w:val="21"/>
                      <w:lang w:val="en-US" w:eastAsia="zh-CN"/>
                    </w:rPr>
                    <w:t>东北</w:t>
                  </w:r>
                </w:p>
              </w:tc>
              <w:tc>
                <w:tcPr>
                  <w:tcW w:w="1283" w:type="pct"/>
                  <w:tcBorders>
                    <w:top w:val="single" w:color="000000" w:sz="4" w:space="0"/>
                    <w:left w:val="single" w:color="000000" w:sz="4" w:space="0"/>
                    <w:bottom w:val="single" w:color="000000" w:sz="4" w:space="0"/>
                  </w:tcBorders>
                  <w:vAlign w:val="center"/>
                </w:tcPr>
                <w:p w14:paraId="6DA308B4">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Cs w:val="21"/>
                      <w:lang w:val="en-US" w:eastAsia="zh-CN"/>
                    </w:rPr>
                  </w:pPr>
                  <w:r>
                    <w:rPr>
                      <w:rFonts w:hint="eastAsia" w:cs="Times New Roman"/>
                      <w:color w:val="auto"/>
                      <w:szCs w:val="21"/>
                      <w:lang w:val="en-US" w:eastAsia="zh-CN"/>
                    </w:rPr>
                    <w:t>165</w:t>
                  </w:r>
                </w:p>
              </w:tc>
            </w:tr>
            <w:tr w14:paraId="08EBE9ED">
              <w:tblPrEx>
                <w:tblBorders>
                  <w:top w:val="double" w:color="000000" w:sz="4" w:space="0"/>
                  <w:left w:val="none" w:color="auto" w:sz="0" w:space="0"/>
                  <w:bottom w:val="double" w:color="000000" w:sz="4" w:space="0"/>
                  <w:right w:val="none" w:color="auto" w:sz="0" w:space="0"/>
                  <w:insideH w:val="single" w:color="000000" w:sz="4" w:space="0"/>
                  <w:insideV w:val="single" w:color="000000" w:sz="4" w:space="0"/>
                </w:tblBorders>
                <w:tblCellMar>
                  <w:top w:w="0" w:type="dxa"/>
                  <w:left w:w="57" w:type="dxa"/>
                  <w:bottom w:w="0" w:type="dxa"/>
                  <w:right w:w="57" w:type="dxa"/>
                </w:tblCellMar>
              </w:tblPrEx>
              <w:trPr>
                <w:trHeight w:val="340" w:hRule="atLeast"/>
                <w:jc w:val="center"/>
              </w:trPr>
              <w:tc>
                <w:tcPr>
                  <w:tcW w:w="628" w:type="pct"/>
                  <w:tcBorders>
                    <w:top w:val="single" w:color="000000" w:sz="4" w:space="0"/>
                    <w:bottom w:val="single" w:color="000000" w:sz="4" w:space="0"/>
                    <w:right w:val="single" w:color="000000" w:sz="4" w:space="0"/>
                  </w:tcBorders>
                  <w:shd w:val="clear" w:color="auto" w:fill="auto"/>
                  <w:vAlign w:val="center"/>
                </w:tcPr>
                <w:p w14:paraId="5B58796C">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bCs/>
                      <w:color w:val="auto"/>
                      <w:szCs w:val="21"/>
                      <w:lang w:val="en-US" w:eastAsia="zh-CN"/>
                    </w:rPr>
                    <w:t>3</w:t>
                  </w:r>
                </w:p>
              </w:tc>
              <w:tc>
                <w:tcPr>
                  <w:tcW w:w="1733" w:type="pct"/>
                  <w:tcBorders>
                    <w:top w:val="single" w:color="000000" w:sz="4" w:space="0"/>
                    <w:left w:val="single" w:color="000000" w:sz="4" w:space="0"/>
                    <w:bottom w:val="single" w:color="000000" w:sz="4" w:space="0"/>
                    <w:right w:val="single" w:color="000000" w:sz="4" w:space="0"/>
                  </w:tcBorders>
                  <w:vAlign w:val="center"/>
                </w:tcPr>
                <w:p w14:paraId="1627D1EF">
                  <w:pPr>
                    <w:keepNext w:val="0"/>
                    <w:keepLines w:val="0"/>
                    <w:suppressLineNumbers w:val="0"/>
                    <w:spacing w:before="0" w:beforeAutospacing="0" w:after="0" w:afterAutospacing="0"/>
                    <w:ind w:left="0" w:right="0"/>
                    <w:jc w:val="center"/>
                    <w:rPr>
                      <w:rFonts w:hint="eastAsia"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大润新材料有限公司</w:t>
                  </w:r>
                  <w:r>
                    <w:rPr>
                      <w:rFonts w:hint="eastAsia" w:cs="Times New Roman"/>
                      <w:color w:val="auto"/>
                      <w:kern w:val="0"/>
                      <w:sz w:val="21"/>
                      <w:szCs w:val="21"/>
                      <w:lang w:val="en-US" w:eastAsia="zh-CN"/>
                    </w:rPr>
                    <w:t>标准厂房</w:t>
                  </w:r>
                </w:p>
              </w:tc>
              <w:tc>
                <w:tcPr>
                  <w:tcW w:w="704" w:type="pct"/>
                  <w:tcBorders>
                    <w:top w:val="single" w:color="000000" w:sz="4" w:space="0"/>
                    <w:left w:val="single" w:color="000000" w:sz="4" w:space="0"/>
                    <w:bottom w:val="single" w:color="000000" w:sz="4" w:space="0"/>
                    <w:right w:val="single" w:color="000000" w:sz="4" w:space="0"/>
                  </w:tcBorders>
                  <w:vAlign w:val="center"/>
                </w:tcPr>
                <w:p w14:paraId="54191BE1">
                  <w:pPr>
                    <w:keepNext w:val="0"/>
                    <w:keepLines w:val="0"/>
                    <w:suppressLineNumbers w:val="0"/>
                    <w:spacing w:before="0" w:beforeAutospacing="0" w:after="0" w:afterAutospacing="0"/>
                    <w:ind w:left="0" w:right="0"/>
                    <w:jc w:val="center"/>
                    <w:rPr>
                      <w:rFonts w:hint="eastAsia" w:cs="Times New Roman"/>
                      <w:color w:val="auto"/>
                      <w:kern w:val="0"/>
                      <w:sz w:val="21"/>
                      <w:szCs w:val="21"/>
                      <w:lang w:val="en-US" w:eastAsia="zh-CN"/>
                    </w:rPr>
                  </w:pPr>
                  <w:r>
                    <w:rPr>
                      <w:rFonts w:hint="eastAsia" w:cs="Times New Roman"/>
                      <w:color w:val="auto"/>
                      <w:kern w:val="0"/>
                      <w:sz w:val="21"/>
                      <w:szCs w:val="21"/>
                      <w:lang w:val="en-US" w:eastAsia="zh-CN"/>
                    </w:rPr>
                    <w:t>12</w:t>
                  </w:r>
                </w:p>
              </w:tc>
              <w:tc>
                <w:tcPr>
                  <w:tcW w:w="649" w:type="pct"/>
                  <w:tcBorders>
                    <w:top w:val="single" w:color="000000" w:sz="4" w:space="0"/>
                    <w:left w:val="single" w:color="000000" w:sz="4" w:space="0"/>
                    <w:bottom w:val="single" w:color="000000" w:sz="4" w:space="0"/>
                    <w:right w:val="single" w:color="000000" w:sz="4" w:space="0"/>
                  </w:tcBorders>
                  <w:vAlign w:val="center"/>
                </w:tcPr>
                <w:p w14:paraId="24193C10">
                  <w:pPr>
                    <w:keepNext w:val="0"/>
                    <w:keepLines w:val="0"/>
                    <w:suppressLineNumbers w:val="0"/>
                    <w:spacing w:before="0" w:beforeAutospacing="0" w:after="0" w:afterAutospacing="0"/>
                    <w:ind w:left="0" w:right="0"/>
                    <w:jc w:val="center"/>
                    <w:rPr>
                      <w:rFonts w:hint="eastAsia" w:cs="Times New Roman"/>
                      <w:color w:val="auto"/>
                      <w:szCs w:val="21"/>
                      <w:lang w:val="en-US" w:eastAsia="zh-CN"/>
                    </w:rPr>
                  </w:pPr>
                  <w:r>
                    <w:rPr>
                      <w:rFonts w:hint="eastAsia" w:cs="Times New Roman"/>
                      <w:color w:val="auto"/>
                      <w:szCs w:val="21"/>
                      <w:lang w:val="en-US" w:eastAsia="zh-CN"/>
                    </w:rPr>
                    <w:t>东北</w:t>
                  </w:r>
                </w:p>
              </w:tc>
              <w:tc>
                <w:tcPr>
                  <w:tcW w:w="1283" w:type="pct"/>
                  <w:tcBorders>
                    <w:top w:val="single" w:color="000000" w:sz="4" w:space="0"/>
                    <w:left w:val="single" w:color="000000" w:sz="4" w:space="0"/>
                    <w:bottom w:val="single" w:color="000000" w:sz="4" w:space="0"/>
                  </w:tcBorders>
                  <w:vAlign w:val="center"/>
                </w:tcPr>
                <w:p w14:paraId="4FFFEC46">
                  <w:pPr>
                    <w:keepNext w:val="0"/>
                    <w:keepLines w:val="0"/>
                    <w:suppressLineNumbers w:val="0"/>
                    <w:spacing w:before="0" w:beforeAutospacing="0" w:after="0" w:afterAutospacing="0"/>
                    <w:ind w:left="0" w:right="0"/>
                    <w:jc w:val="center"/>
                    <w:rPr>
                      <w:rFonts w:hint="default" w:cs="Times New Roman"/>
                      <w:color w:val="auto"/>
                      <w:szCs w:val="21"/>
                      <w:lang w:val="en-US" w:eastAsia="zh-CN"/>
                    </w:rPr>
                  </w:pPr>
                  <w:r>
                    <w:rPr>
                      <w:rFonts w:hint="eastAsia" w:cs="Times New Roman"/>
                      <w:color w:val="auto"/>
                      <w:szCs w:val="21"/>
                      <w:lang w:val="en-US" w:eastAsia="zh-CN"/>
                    </w:rPr>
                    <w:t>25</w:t>
                  </w:r>
                </w:p>
              </w:tc>
            </w:tr>
            <w:tr w14:paraId="5A3AC759">
              <w:tblPrEx>
                <w:tblBorders>
                  <w:top w:val="double" w:color="000000" w:sz="4" w:space="0"/>
                  <w:left w:val="none" w:color="auto" w:sz="0" w:space="0"/>
                  <w:bottom w:val="double" w:color="000000" w:sz="4" w:space="0"/>
                  <w:right w:val="none" w:color="auto" w:sz="0" w:space="0"/>
                  <w:insideH w:val="single" w:color="000000" w:sz="4" w:space="0"/>
                  <w:insideV w:val="single" w:color="000000" w:sz="4" w:space="0"/>
                </w:tblBorders>
                <w:tblCellMar>
                  <w:top w:w="0" w:type="dxa"/>
                  <w:left w:w="57" w:type="dxa"/>
                  <w:bottom w:w="0" w:type="dxa"/>
                  <w:right w:w="57" w:type="dxa"/>
                </w:tblCellMar>
              </w:tblPrEx>
              <w:trPr>
                <w:trHeight w:val="340" w:hRule="atLeast"/>
                <w:jc w:val="center"/>
              </w:trPr>
              <w:tc>
                <w:tcPr>
                  <w:tcW w:w="628" w:type="pct"/>
                  <w:tcBorders>
                    <w:top w:val="single" w:color="000000" w:sz="4" w:space="0"/>
                    <w:bottom w:val="single" w:color="000000" w:sz="4" w:space="0"/>
                    <w:right w:val="single" w:color="000000" w:sz="4" w:space="0"/>
                  </w:tcBorders>
                  <w:shd w:val="clear" w:color="auto" w:fill="auto"/>
                  <w:vAlign w:val="center"/>
                </w:tcPr>
                <w:p w14:paraId="310B05D1">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bCs/>
                      <w:color w:val="auto"/>
                      <w:kern w:val="2"/>
                      <w:sz w:val="21"/>
                      <w:szCs w:val="21"/>
                      <w:lang w:val="en-US" w:eastAsia="zh-CN" w:bidi="ar-SA"/>
                    </w:rPr>
                  </w:pPr>
                  <w:r>
                    <w:rPr>
                      <w:rFonts w:hint="eastAsia" w:cs="Times New Roman"/>
                      <w:bCs/>
                      <w:color w:val="auto"/>
                      <w:szCs w:val="21"/>
                      <w:lang w:val="en-US" w:eastAsia="zh-CN"/>
                    </w:rPr>
                    <w:t>4</w:t>
                  </w:r>
                </w:p>
              </w:tc>
              <w:tc>
                <w:tcPr>
                  <w:tcW w:w="1733" w:type="pct"/>
                  <w:tcBorders>
                    <w:top w:val="single" w:color="000000" w:sz="4" w:space="0"/>
                    <w:left w:val="single" w:color="000000" w:sz="4" w:space="0"/>
                    <w:bottom w:val="single" w:color="000000" w:sz="4" w:space="0"/>
                    <w:right w:val="single" w:color="000000" w:sz="4" w:space="0"/>
                  </w:tcBorders>
                  <w:vAlign w:val="center"/>
                </w:tcPr>
                <w:p w14:paraId="1C15A12E">
                  <w:pPr>
                    <w:keepNext w:val="0"/>
                    <w:keepLines w:val="0"/>
                    <w:suppressLineNumbers w:val="0"/>
                    <w:spacing w:before="0" w:beforeAutospacing="0" w:after="0" w:afterAutospacing="0"/>
                    <w:ind w:left="0" w:right="0"/>
                    <w:jc w:val="center"/>
                    <w:rPr>
                      <w:rFonts w:hint="eastAsia"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江西锦宏印刷有限公司</w:t>
                  </w:r>
                  <w:r>
                    <w:rPr>
                      <w:rFonts w:hint="eastAsia" w:cs="Times New Roman"/>
                      <w:color w:val="auto"/>
                      <w:kern w:val="0"/>
                      <w:sz w:val="21"/>
                      <w:szCs w:val="21"/>
                      <w:lang w:val="en-US" w:eastAsia="zh-CN"/>
                    </w:rPr>
                    <w:t>标准厂房</w:t>
                  </w:r>
                </w:p>
              </w:tc>
              <w:tc>
                <w:tcPr>
                  <w:tcW w:w="704" w:type="pct"/>
                  <w:tcBorders>
                    <w:top w:val="single" w:color="000000" w:sz="4" w:space="0"/>
                    <w:left w:val="single" w:color="000000" w:sz="4" w:space="0"/>
                    <w:bottom w:val="single" w:color="000000" w:sz="4" w:space="0"/>
                    <w:right w:val="single" w:color="000000" w:sz="4" w:space="0"/>
                  </w:tcBorders>
                  <w:vAlign w:val="center"/>
                </w:tcPr>
                <w:p w14:paraId="1B29C111">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0"/>
                      <w:sz w:val="21"/>
                      <w:szCs w:val="21"/>
                      <w:lang w:val="en-US" w:eastAsia="zh-CN"/>
                    </w:rPr>
                  </w:pPr>
                  <w:r>
                    <w:rPr>
                      <w:rFonts w:hint="eastAsia" w:cs="Times New Roman"/>
                      <w:color w:val="auto"/>
                      <w:kern w:val="0"/>
                      <w:sz w:val="21"/>
                      <w:szCs w:val="21"/>
                      <w:lang w:val="en-US" w:eastAsia="zh-CN"/>
                    </w:rPr>
                    <w:t>12</w:t>
                  </w:r>
                </w:p>
              </w:tc>
              <w:tc>
                <w:tcPr>
                  <w:tcW w:w="649" w:type="pct"/>
                  <w:tcBorders>
                    <w:top w:val="single" w:color="000000" w:sz="4" w:space="0"/>
                    <w:left w:val="single" w:color="000000" w:sz="4" w:space="0"/>
                    <w:bottom w:val="single" w:color="000000" w:sz="4" w:space="0"/>
                    <w:right w:val="single" w:color="000000" w:sz="4" w:space="0"/>
                  </w:tcBorders>
                  <w:vAlign w:val="center"/>
                </w:tcPr>
                <w:p w14:paraId="0518B9F9">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Cs w:val="21"/>
                      <w:lang w:val="en-US" w:eastAsia="zh-CN"/>
                    </w:rPr>
                  </w:pPr>
                  <w:r>
                    <w:rPr>
                      <w:rFonts w:hint="eastAsia" w:cs="Times New Roman"/>
                      <w:color w:val="auto"/>
                      <w:szCs w:val="21"/>
                      <w:lang w:val="en-US" w:eastAsia="zh-CN"/>
                    </w:rPr>
                    <w:t>东</w:t>
                  </w:r>
                </w:p>
              </w:tc>
              <w:tc>
                <w:tcPr>
                  <w:tcW w:w="1283" w:type="pct"/>
                  <w:tcBorders>
                    <w:top w:val="single" w:color="000000" w:sz="4" w:space="0"/>
                    <w:left w:val="single" w:color="000000" w:sz="4" w:space="0"/>
                    <w:bottom w:val="single" w:color="000000" w:sz="4" w:space="0"/>
                  </w:tcBorders>
                  <w:vAlign w:val="center"/>
                </w:tcPr>
                <w:p w14:paraId="4E8C27E4">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Cs w:val="21"/>
                      <w:lang w:val="en-US" w:eastAsia="zh-CN"/>
                    </w:rPr>
                  </w:pPr>
                  <w:r>
                    <w:rPr>
                      <w:rFonts w:hint="eastAsia" w:cs="Times New Roman"/>
                      <w:color w:val="auto"/>
                      <w:szCs w:val="21"/>
                      <w:lang w:val="en-US" w:eastAsia="zh-CN"/>
                    </w:rPr>
                    <w:t>20</w:t>
                  </w:r>
                </w:p>
              </w:tc>
            </w:tr>
            <w:tr w14:paraId="177F3C3B">
              <w:tblPrEx>
                <w:tblBorders>
                  <w:top w:val="double" w:color="000000" w:sz="4" w:space="0"/>
                  <w:left w:val="none" w:color="auto" w:sz="0" w:space="0"/>
                  <w:bottom w:val="double" w:color="000000" w:sz="4" w:space="0"/>
                  <w:right w:val="none" w:color="auto" w:sz="0" w:space="0"/>
                  <w:insideH w:val="single" w:color="000000" w:sz="4" w:space="0"/>
                  <w:insideV w:val="single" w:color="000000" w:sz="4" w:space="0"/>
                </w:tblBorders>
                <w:tblCellMar>
                  <w:top w:w="0" w:type="dxa"/>
                  <w:left w:w="57" w:type="dxa"/>
                  <w:bottom w:w="0" w:type="dxa"/>
                  <w:right w:w="57" w:type="dxa"/>
                </w:tblCellMar>
              </w:tblPrEx>
              <w:trPr>
                <w:trHeight w:val="340" w:hRule="atLeast"/>
                <w:jc w:val="center"/>
              </w:trPr>
              <w:tc>
                <w:tcPr>
                  <w:tcW w:w="628" w:type="pct"/>
                  <w:tcBorders>
                    <w:top w:val="single" w:color="000000" w:sz="4" w:space="0"/>
                    <w:bottom w:val="single" w:color="000000" w:sz="12" w:space="0"/>
                    <w:right w:val="single" w:color="000000" w:sz="4" w:space="0"/>
                  </w:tcBorders>
                  <w:vAlign w:val="center"/>
                </w:tcPr>
                <w:p w14:paraId="0BAE8F25">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bCs/>
                      <w:color w:val="auto"/>
                      <w:szCs w:val="21"/>
                      <w:lang w:val="en-US" w:eastAsia="zh-CN"/>
                    </w:rPr>
                  </w:pPr>
                  <w:r>
                    <w:rPr>
                      <w:rFonts w:hint="eastAsia" w:cs="Times New Roman"/>
                      <w:bCs/>
                      <w:color w:val="auto"/>
                      <w:szCs w:val="21"/>
                      <w:lang w:val="en-US" w:eastAsia="zh-CN"/>
                    </w:rPr>
                    <w:t>5</w:t>
                  </w:r>
                </w:p>
              </w:tc>
              <w:tc>
                <w:tcPr>
                  <w:tcW w:w="1733" w:type="pct"/>
                  <w:tcBorders>
                    <w:top w:val="single" w:color="000000" w:sz="4" w:space="0"/>
                    <w:left w:val="single" w:color="000000" w:sz="4" w:space="0"/>
                    <w:bottom w:val="single" w:color="000000" w:sz="12" w:space="0"/>
                    <w:right w:val="single" w:color="000000" w:sz="4" w:space="0"/>
                  </w:tcBorders>
                  <w:shd w:val="clear" w:color="auto" w:fill="auto"/>
                  <w:vAlign w:val="center"/>
                </w:tcPr>
                <w:p w14:paraId="1019E4F4">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spacing w:val="0"/>
                      <w:sz w:val="21"/>
                      <w:szCs w:val="21"/>
                      <w:highlight w:val="none"/>
                      <w:lang w:val="en-US" w:eastAsia="zh-CN"/>
                    </w:rPr>
                    <w:t>摩配小镇配套公寓</w:t>
                  </w:r>
                </w:p>
              </w:tc>
              <w:tc>
                <w:tcPr>
                  <w:tcW w:w="704" w:type="pct"/>
                  <w:tcBorders>
                    <w:top w:val="single" w:color="000000" w:sz="4" w:space="0"/>
                    <w:left w:val="single" w:color="000000" w:sz="4" w:space="0"/>
                    <w:bottom w:val="single" w:color="000000" w:sz="12" w:space="0"/>
                    <w:right w:val="single" w:color="000000" w:sz="4" w:space="0"/>
                  </w:tcBorders>
                  <w:shd w:val="clear" w:color="auto" w:fill="auto"/>
                  <w:vAlign w:val="center"/>
                </w:tcPr>
                <w:p w14:paraId="080348FD">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rPr>
                    <w:t>5</w:t>
                  </w:r>
                  <w:r>
                    <w:rPr>
                      <w:rFonts w:hint="eastAsia" w:cs="Times New Roman"/>
                      <w:color w:val="auto"/>
                      <w:kern w:val="0"/>
                      <w:sz w:val="21"/>
                      <w:szCs w:val="21"/>
                      <w:lang w:val="en-US" w:eastAsia="zh-CN"/>
                    </w:rPr>
                    <w:t>8</w:t>
                  </w:r>
                </w:p>
              </w:tc>
              <w:tc>
                <w:tcPr>
                  <w:tcW w:w="649" w:type="pct"/>
                  <w:tcBorders>
                    <w:top w:val="single" w:color="000000" w:sz="4" w:space="0"/>
                    <w:left w:val="single" w:color="000000" w:sz="4" w:space="0"/>
                    <w:bottom w:val="single" w:color="000000" w:sz="12" w:space="0"/>
                    <w:right w:val="single" w:color="000000" w:sz="4" w:space="0"/>
                  </w:tcBorders>
                  <w:shd w:val="clear" w:color="auto" w:fill="auto"/>
                  <w:vAlign w:val="center"/>
                </w:tcPr>
                <w:p w14:paraId="4E467696">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东</w:t>
                  </w:r>
                  <w:r>
                    <w:rPr>
                      <w:rFonts w:hint="eastAsia" w:cs="Times New Roman"/>
                      <w:color w:val="auto"/>
                      <w:szCs w:val="21"/>
                      <w:lang w:val="en-US" w:eastAsia="zh-CN"/>
                    </w:rPr>
                    <w:t>南</w:t>
                  </w:r>
                </w:p>
              </w:tc>
              <w:tc>
                <w:tcPr>
                  <w:tcW w:w="1283" w:type="pct"/>
                  <w:tcBorders>
                    <w:top w:val="single" w:color="000000" w:sz="4" w:space="0"/>
                    <w:left w:val="single" w:color="000000" w:sz="4" w:space="0"/>
                    <w:bottom w:val="single" w:color="000000" w:sz="12" w:space="0"/>
                  </w:tcBorders>
                  <w:shd w:val="clear" w:color="auto" w:fill="auto"/>
                  <w:vAlign w:val="center"/>
                </w:tcPr>
                <w:p w14:paraId="42B2A97A">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Cs w:val="21"/>
                      <w:lang w:val="en-US" w:eastAsia="zh-CN"/>
                    </w:rPr>
                    <w:t>79</w:t>
                  </w:r>
                </w:p>
              </w:tc>
            </w:tr>
          </w:tbl>
          <w:p w14:paraId="077FD9A7">
            <w:pPr>
              <w:pStyle w:val="97"/>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eastAsia="宋体" w:cs="Times New Roman"/>
                <w:color w:val="auto"/>
                <w:kern w:val="21"/>
                <w:sz w:val="24"/>
                <w:szCs w:val="24"/>
                <w:highlight w:val="none"/>
                <w:lang w:val="en-US" w:eastAsia="zh-CN" w:bidi="ar-SA"/>
              </w:rPr>
            </w:pPr>
            <w:r>
              <w:rPr>
                <w:rFonts w:hint="eastAsia" w:ascii="Times New Roman" w:hAnsi="Times New Roman" w:eastAsia="宋体" w:cs="Times New Roman"/>
                <w:color w:val="auto"/>
                <w:kern w:val="21"/>
                <w:sz w:val="24"/>
                <w:szCs w:val="24"/>
                <w:highlight w:val="none"/>
                <w:lang w:val="en-US" w:eastAsia="zh-CN" w:bidi="ar-SA"/>
              </w:rPr>
              <w:t>本项目排气筒高度未高出周围200m半径范围的建筑5m以上，已按其高度对应的表列排放速率标准值严格50%执行</w:t>
            </w:r>
            <w:r>
              <w:rPr>
                <w:rFonts w:hint="eastAsia" w:ascii="Times New Roman" w:hAnsi="Times New Roman" w:cs="Times New Roman"/>
                <w:color w:val="auto"/>
                <w:kern w:val="21"/>
                <w:sz w:val="24"/>
                <w:szCs w:val="24"/>
                <w:highlight w:val="none"/>
                <w:lang w:val="en-US" w:eastAsia="zh-CN" w:bidi="ar-SA"/>
              </w:rPr>
              <w:t>，满足《大气污染物综合排放标准》（GB16297-1996）7.1条要求，</w:t>
            </w:r>
            <w:r>
              <w:rPr>
                <w:rFonts w:hint="eastAsia" w:ascii="Times New Roman" w:hAnsi="Times New Roman" w:eastAsia="宋体" w:cs="Times New Roman"/>
                <w:color w:val="auto"/>
                <w:sz w:val="24"/>
                <w:szCs w:val="24"/>
                <w:lang w:val="en-US" w:eastAsia="zh-CN"/>
              </w:rPr>
              <w:t>排气筒高度设置合理</w:t>
            </w:r>
            <w:r>
              <w:rPr>
                <w:rFonts w:hint="eastAsia" w:ascii="Times New Roman" w:hAnsi="Times New Roman" w:eastAsia="宋体" w:cs="Times New Roman"/>
                <w:color w:val="auto"/>
                <w:kern w:val="21"/>
                <w:sz w:val="24"/>
                <w:szCs w:val="24"/>
                <w:highlight w:val="none"/>
                <w:lang w:val="en-US" w:eastAsia="zh-CN" w:bidi="ar-SA"/>
              </w:rPr>
              <w:t>。</w:t>
            </w:r>
          </w:p>
          <w:p w14:paraId="6C793730">
            <w:pPr>
              <w:keepNext w:val="0"/>
              <w:keepLines w:val="0"/>
              <w:pageBreakBefore w:val="0"/>
              <w:widowControl w:val="0"/>
              <w:numPr>
                <w:ilvl w:val="0"/>
                <w:numId w:val="7"/>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cs="Times New Roman"/>
                <w:color w:val="auto"/>
                <w:kern w:val="21"/>
                <w:sz w:val="24"/>
                <w:szCs w:val="24"/>
                <w:highlight w:val="none"/>
                <w:lang w:val="en-US" w:eastAsia="zh-CN" w:bidi="ar-SA"/>
              </w:rPr>
            </w:pPr>
            <w:r>
              <w:rPr>
                <w:rFonts w:hint="eastAsia" w:ascii="Times New Roman" w:hAnsi="Times New Roman" w:eastAsia="宋体" w:cs="Times New Roman"/>
                <w:color w:val="auto"/>
                <w:kern w:val="21"/>
                <w:sz w:val="24"/>
                <w:szCs w:val="24"/>
                <w:highlight w:val="none"/>
                <w:lang w:val="en-US" w:eastAsia="zh-CN" w:bidi="ar-SA"/>
              </w:rPr>
              <w:t>有组织废气治理措施可行性</w:t>
            </w:r>
          </w:p>
          <w:p w14:paraId="60A734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eastAsia="宋体"/>
                <w:color w:val="auto"/>
                <w:sz w:val="24"/>
                <w:lang w:val="en-US" w:eastAsia="zh-CN"/>
              </w:rPr>
            </w:pPr>
            <w:r>
              <w:rPr>
                <w:rFonts w:hint="eastAsia" w:ascii="Times New Roman" w:hAnsi="Times New Roman" w:cs="Times New Roman"/>
                <w:b w:val="0"/>
                <w:bCs w:val="0"/>
                <w:color w:val="auto"/>
                <w:sz w:val="24"/>
                <w:highlight w:val="none"/>
                <w:lang w:val="en-US" w:eastAsia="zh-CN"/>
              </w:rPr>
              <w:t>活性炭吸附装置：</w:t>
            </w:r>
            <w:r>
              <w:rPr>
                <w:rFonts w:hint="eastAsia"/>
                <w:color w:val="auto"/>
                <w:sz w:val="24"/>
                <w:lang w:val="en-US" w:eastAsia="zh-CN"/>
              </w:rPr>
              <w:t>活性炭吸附装置主要应用于有机废气的处理，主要是吸附箱，内含穿孔板、活性炭吸附层等部件。有机废气经收集后，在风机负压作用下进入活性炭吸附箱。活性炭吸附是利用活性炭的多孔性，存在吸引力的原理而开发的，由于固体表面上存在着未平衡饱和的分子力或化学键力，因此当固体表面与气体接触时，就能吸引气体分子，使其浓集并保持在固体表面，这种现象就是吸附现象。本工艺采用活性炭吸附法就是利用固体表面的这种性质，当废气与大表面积的多孔性活性炭相接触，废气中的污染物被吸附在活性炭固体表面，从而与气体混合物分离，达到净化的目的。</w:t>
            </w:r>
            <w:r>
              <w:rPr>
                <w:rFonts w:hint="eastAsia" w:ascii="Times New Roman" w:hAnsi="Times New Roman" w:eastAsia="宋体"/>
                <w:color w:val="auto"/>
                <w:sz w:val="24"/>
                <w:lang w:val="en-US" w:eastAsia="zh-CN"/>
              </w:rPr>
              <w:t>本项目选用卧式箱体、5级串联分级吸附的整体构型，下进上出（逆流），内部配气流均布板，独立炭床，每层设支撑网、穿孔板、检修抽屉。一级粗吸附</w:t>
            </w:r>
            <w:r>
              <w:rPr>
                <w:rFonts w:hint="eastAsia"/>
                <w:color w:val="auto"/>
                <w:sz w:val="24"/>
                <w:lang w:val="en-US" w:eastAsia="zh-CN"/>
              </w:rPr>
              <w:t>层</w:t>
            </w:r>
            <w:r>
              <w:rPr>
                <w:rFonts w:hint="eastAsia" w:ascii="Times New Roman" w:hAnsi="Times New Roman" w:eastAsia="宋体"/>
                <w:color w:val="auto"/>
                <w:sz w:val="24"/>
                <w:lang w:val="en-US" w:eastAsia="zh-CN"/>
              </w:rPr>
              <w:t>，炭型：柱状炭（φ4-6mm）</w:t>
            </w:r>
            <w:r>
              <w:rPr>
                <w:rFonts w:hint="eastAsia"/>
                <w:color w:val="auto"/>
                <w:sz w:val="24"/>
                <w:lang w:val="en-US" w:eastAsia="zh-CN"/>
              </w:rPr>
              <w:t>，</w:t>
            </w:r>
            <w:r>
              <w:rPr>
                <w:rFonts w:hint="eastAsia" w:ascii="Times New Roman" w:hAnsi="Times New Roman" w:eastAsia="宋体"/>
                <w:color w:val="auto"/>
                <w:sz w:val="24"/>
                <w:lang w:val="en-US" w:eastAsia="zh-CN"/>
              </w:rPr>
              <w:t>碘值：≥800mg/g；四氯化碳≥50%</w:t>
            </w:r>
            <w:r>
              <w:rPr>
                <w:rFonts w:hint="eastAsia"/>
                <w:color w:val="auto"/>
                <w:sz w:val="24"/>
                <w:lang w:val="en-US" w:eastAsia="zh-CN"/>
              </w:rPr>
              <w:t>，</w:t>
            </w:r>
            <w:r>
              <w:rPr>
                <w:rFonts w:hint="eastAsia" w:ascii="Times New Roman" w:hAnsi="Times New Roman" w:eastAsia="宋体"/>
                <w:color w:val="auto"/>
                <w:sz w:val="24"/>
                <w:lang w:val="en-US" w:eastAsia="zh-CN"/>
              </w:rPr>
              <w:t>厚度：</w:t>
            </w:r>
            <w:r>
              <w:rPr>
                <w:rFonts w:hint="eastAsia"/>
                <w:color w:val="auto"/>
                <w:sz w:val="24"/>
                <w:lang w:val="en-US" w:eastAsia="zh-CN"/>
              </w:rPr>
              <w:t>25</w:t>
            </w:r>
            <w:r>
              <w:rPr>
                <w:rFonts w:hint="eastAsia" w:ascii="Times New Roman" w:hAnsi="Times New Roman" w:eastAsia="宋体"/>
                <w:color w:val="auto"/>
                <w:sz w:val="24"/>
                <w:lang w:val="en-US" w:eastAsia="zh-CN"/>
              </w:rPr>
              <w:t>0mm；填充密度：</w:t>
            </w:r>
            <w:r>
              <w:rPr>
                <w:rFonts w:hint="eastAsia"/>
                <w:color w:val="auto"/>
                <w:sz w:val="24"/>
                <w:lang w:val="en-US" w:eastAsia="zh-CN"/>
              </w:rPr>
              <w:t>52</w:t>
            </w:r>
            <w:r>
              <w:rPr>
                <w:rFonts w:hint="eastAsia" w:ascii="Times New Roman" w:hAnsi="Times New Roman" w:eastAsia="宋体"/>
                <w:color w:val="auto"/>
                <w:sz w:val="24"/>
                <w:lang w:val="en-US" w:eastAsia="zh-CN"/>
              </w:rPr>
              <w:t>0-</w:t>
            </w:r>
            <w:r>
              <w:rPr>
                <w:rFonts w:hint="eastAsia"/>
                <w:color w:val="auto"/>
                <w:sz w:val="24"/>
                <w:lang w:val="en-US" w:eastAsia="zh-CN"/>
              </w:rPr>
              <w:t>5</w:t>
            </w:r>
            <w:r>
              <w:rPr>
                <w:rFonts w:hint="eastAsia" w:ascii="Times New Roman" w:hAnsi="Times New Roman" w:eastAsia="宋体"/>
                <w:color w:val="auto"/>
                <w:sz w:val="24"/>
                <w:lang w:val="en-US" w:eastAsia="zh-CN"/>
              </w:rPr>
              <w:t>50kg/m</w:t>
            </w:r>
            <w:r>
              <w:rPr>
                <w:rFonts w:hint="eastAsia" w:ascii="Times New Roman" w:hAnsi="Times New Roman" w:eastAsia="宋体"/>
                <w:color w:val="auto"/>
                <w:sz w:val="24"/>
                <w:vertAlign w:val="superscript"/>
                <w:lang w:val="en-US" w:eastAsia="zh-CN"/>
              </w:rPr>
              <w:t>3</w:t>
            </w:r>
            <w:r>
              <w:rPr>
                <w:rFonts w:hint="eastAsia" w:ascii="Times New Roman" w:hAnsi="Times New Roman" w:eastAsia="宋体"/>
                <w:color w:val="auto"/>
                <w:sz w:val="24"/>
                <w:lang w:val="en-US" w:eastAsia="zh-CN"/>
              </w:rPr>
              <w:t>。二级中吸附一</w:t>
            </w:r>
            <w:r>
              <w:rPr>
                <w:rFonts w:hint="eastAsia"/>
                <w:color w:val="auto"/>
                <w:sz w:val="24"/>
                <w:lang w:val="en-US" w:eastAsia="zh-CN"/>
              </w:rPr>
              <w:t>层</w:t>
            </w:r>
            <w:r>
              <w:rPr>
                <w:rFonts w:hint="eastAsia" w:ascii="Times New Roman" w:hAnsi="Times New Roman" w:eastAsia="宋体"/>
                <w:color w:val="auto"/>
                <w:sz w:val="24"/>
                <w:lang w:val="en-US" w:eastAsia="zh-CN"/>
              </w:rPr>
              <w:t>，炭型：中颗粒柱状炭（φ2-3mm）</w:t>
            </w:r>
            <w:r>
              <w:rPr>
                <w:rFonts w:hint="eastAsia"/>
                <w:color w:val="auto"/>
                <w:sz w:val="24"/>
                <w:lang w:val="en-US" w:eastAsia="zh-CN"/>
              </w:rPr>
              <w:t>，</w:t>
            </w:r>
            <w:r>
              <w:rPr>
                <w:rFonts w:hint="eastAsia" w:ascii="Times New Roman" w:hAnsi="Times New Roman" w:eastAsia="宋体"/>
                <w:color w:val="auto"/>
                <w:sz w:val="24"/>
                <w:lang w:val="en-US" w:eastAsia="zh-CN"/>
              </w:rPr>
              <w:t>碘值：≥850-900mg/g；四氯化碳≥60%</w:t>
            </w:r>
            <w:r>
              <w:rPr>
                <w:rFonts w:hint="eastAsia"/>
                <w:color w:val="auto"/>
                <w:sz w:val="24"/>
                <w:lang w:val="en-US" w:eastAsia="zh-CN"/>
              </w:rPr>
              <w:t>，</w:t>
            </w:r>
            <w:r>
              <w:rPr>
                <w:rFonts w:hint="eastAsia" w:ascii="Times New Roman" w:hAnsi="Times New Roman" w:eastAsia="宋体"/>
                <w:color w:val="auto"/>
                <w:sz w:val="24"/>
                <w:lang w:val="en-US" w:eastAsia="zh-CN"/>
              </w:rPr>
              <w:t>厚度：</w:t>
            </w:r>
            <w:r>
              <w:rPr>
                <w:rFonts w:hint="eastAsia"/>
                <w:color w:val="auto"/>
                <w:sz w:val="24"/>
                <w:lang w:val="en-US" w:eastAsia="zh-CN"/>
              </w:rPr>
              <w:t>25</w:t>
            </w:r>
            <w:r>
              <w:rPr>
                <w:rFonts w:hint="eastAsia" w:ascii="Times New Roman" w:hAnsi="Times New Roman" w:eastAsia="宋体"/>
                <w:color w:val="auto"/>
                <w:sz w:val="24"/>
                <w:lang w:val="en-US" w:eastAsia="zh-CN"/>
              </w:rPr>
              <w:t>0mm；填充密度：</w:t>
            </w:r>
            <w:r>
              <w:rPr>
                <w:rFonts w:hint="eastAsia"/>
                <w:color w:val="auto"/>
                <w:sz w:val="24"/>
                <w:lang w:val="en-US" w:eastAsia="zh-CN"/>
              </w:rPr>
              <w:t>530</w:t>
            </w:r>
            <w:r>
              <w:rPr>
                <w:rFonts w:hint="eastAsia" w:ascii="Times New Roman" w:hAnsi="Times New Roman" w:eastAsia="宋体"/>
                <w:color w:val="auto"/>
                <w:sz w:val="24"/>
                <w:lang w:val="en-US" w:eastAsia="zh-CN"/>
              </w:rPr>
              <w:t>-5</w:t>
            </w:r>
            <w:r>
              <w:rPr>
                <w:rFonts w:hint="eastAsia"/>
                <w:color w:val="auto"/>
                <w:sz w:val="24"/>
                <w:lang w:val="en-US" w:eastAsia="zh-CN"/>
              </w:rPr>
              <w:t>6</w:t>
            </w:r>
            <w:r>
              <w:rPr>
                <w:rFonts w:hint="eastAsia" w:ascii="Times New Roman" w:hAnsi="Times New Roman" w:eastAsia="宋体"/>
                <w:color w:val="auto"/>
                <w:sz w:val="24"/>
                <w:lang w:val="en-US" w:eastAsia="zh-CN"/>
              </w:rPr>
              <w:t>0kg/m</w:t>
            </w:r>
            <w:r>
              <w:rPr>
                <w:rFonts w:hint="eastAsia" w:ascii="Times New Roman" w:hAnsi="Times New Roman" w:eastAsia="宋体"/>
                <w:color w:val="auto"/>
                <w:sz w:val="24"/>
                <w:vertAlign w:val="superscript"/>
                <w:lang w:val="en-US" w:eastAsia="zh-CN"/>
              </w:rPr>
              <w:t>3</w:t>
            </w:r>
            <w:r>
              <w:rPr>
                <w:rFonts w:hint="eastAsia" w:ascii="Times New Roman" w:hAnsi="Times New Roman" w:eastAsia="宋体"/>
                <w:color w:val="auto"/>
                <w:sz w:val="24"/>
                <w:lang w:val="en-US" w:eastAsia="zh-CN"/>
              </w:rPr>
              <w:t>。三级中吸附</w:t>
            </w:r>
            <w:r>
              <w:rPr>
                <w:rFonts w:hint="eastAsia"/>
                <w:color w:val="auto"/>
                <w:sz w:val="24"/>
                <w:lang w:val="en-US" w:eastAsia="zh-CN"/>
              </w:rPr>
              <w:t>二层</w:t>
            </w:r>
            <w:r>
              <w:rPr>
                <w:rFonts w:hint="eastAsia" w:ascii="Times New Roman" w:hAnsi="Times New Roman" w:eastAsia="宋体"/>
                <w:color w:val="auto"/>
                <w:sz w:val="24"/>
                <w:lang w:val="en-US" w:eastAsia="zh-CN"/>
              </w:rPr>
              <w:t>，炭型：蜂窝活性炭+柱状炭混填</w:t>
            </w:r>
            <w:r>
              <w:rPr>
                <w:rFonts w:hint="eastAsia"/>
                <w:color w:val="auto"/>
                <w:sz w:val="24"/>
                <w:lang w:val="en-US" w:eastAsia="zh-CN"/>
              </w:rPr>
              <w:t>，</w:t>
            </w:r>
            <w:r>
              <w:rPr>
                <w:rFonts w:hint="eastAsia" w:ascii="Times New Roman" w:hAnsi="Times New Roman" w:eastAsia="宋体"/>
                <w:color w:val="auto"/>
                <w:sz w:val="24"/>
                <w:lang w:val="en-US" w:eastAsia="zh-CN"/>
              </w:rPr>
              <w:t>碘值：≥850-900mg/g；四氯化碳≥6</w:t>
            </w:r>
            <w:r>
              <w:rPr>
                <w:rFonts w:hint="eastAsia"/>
                <w:color w:val="auto"/>
                <w:sz w:val="24"/>
                <w:lang w:val="en-US" w:eastAsia="zh-CN"/>
              </w:rPr>
              <w:t>0</w:t>
            </w:r>
            <w:r>
              <w:rPr>
                <w:rFonts w:hint="eastAsia" w:ascii="Times New Roman" w:hAnsi="Times New Roman" w:eastAsia="宋体"/>
                <w:color w:val="auto"/>
                <w:sz w:val="24"/>
                <w:lang w:val="en-US" w:eastAsia="zh-CN"/>
              </w:rPr>
              <w:t>%</w:t>
            </w:r>
            <w:r>
              <w:rPr>
                <w:rFonts w:hint="eastAsia"/>
                <w:color w:val="auto"/>
                <w:sz w:val="24"/>
                <w:lang w:val="en-US" w:eastAsia="zh-CN"/>
              </w:rPr>
              <w:t>，</w:t>
            </w:r>
            <w:r>
              <w:rPr>
                <w:rFonts w:hint="eastAsia" w:ascii="Times New Roman" w:hAnsi="Times New Roman" w:eastAsia="宋体"/>
                <w:color w:val="auto"/>
                <w:sz w:val="24"/>
                <w:lang w:val="en-US" w:eastAsia="zh-CN"/>
              </w:rPr>
              <w:t>厚度：300mm；填充密度：480-5</w:t>
            </w:r>
            <w:r>
              <w:rPr>
                <w:rFonts w:hint="eastAsia"/>
                <w:color w:val="auto"/>
                <w:sz w:val="24"/>
                <w:lang w:val="en-US" w:eastAsia="zh-CN"/>
              </w:rPr>
              <w:t>1</w:t>
            </w:r>
            <w:r>
              <w:rPr>
                <w:rFonts w:hint="eastAsia" w:ascii="Times New Roman" w:hAnsi="Times New Roman" w:eastAsia="宋体"/>
                <w:color w:val="auto"/>
                <w:sz w:val="24"/>
                <w:lang w:val="en-US" w:eastAsia="zh-CN"/>
              </w:rPr>
              <w:t>0kg/m</w:t>
            </w:r>
            <w:r>
              <w:rPr>
                <w:rFonts w:hint="eastAsia" w:ascii="Times New Roman" w:hAnsi="Times New Roman" w:eastAsia="宋体"/>
                <w:color w:val="auto"/>
                <w:sz w:val="24"/>
                <w:vertAlign w:val="superscript"/>
                <w:lang w:val="en-US" w:eastAsia="zh-CN"/>
              </w:rPr>
              <w:t>3</w:t>
            </w:r>
            <w:r>
              <w:rPr>
                <w:rFonts w:hint="eastAsia" w:ascii="Times New Roman" w:hAnsi="Times New Roman" w:eastAsia="宋体"/>
                <w:color w:val="auto"/>
                <w:sz w:val="24"/>
                <w:lang w:val="en-US" w:eastAsia="zh-CN"/>
              </w:rPr>
              <w:t>。</w:t>
            </w:r>
            <w:r>
              <w:rPr>
                <w:rFonts w:hint="eastAsia"/>
                <w:color w:val="auto"/>
                <w:sz w:val="24"/>
                <w:lang w:val="en-US" w:eastAsia="zh-CN"/>
              </w:rPr>
              <w:t>四级</w:t>
            </w:r>
            <w:r>
              <w:rPr>
                <w:rFonts w:hint="eastAsia" w:ascii="Times New Roman" w:hAnsi="Times New Roman" w:eastAsia="宋体"/>
                <w:color w:val="auto"/>
                <w:sz w:val="24"/>
                <w:lang w:val="en-US" w:eastAsia="zh-CN"/>
              </w:rPr>
              <w:t>精吸附一</w:t>
            </w:r>
            <w:r>
              <w:rPr>
                <w:rFonts w:hint="eastAsia"/>
                <w:color w:val="auto"/>
                <w:sz w:val="24"/>
                <w:lang w:val="en-US" w:eastAsia="zh-CN"/>
              </w:rPr>
              <w:t>层</w:t>
            </w:r>
            <w:r>
              <w:rPr>
                <w:rFonts w:hint="eastAsia" w:ascii="Times New Roman" w:hAnsi="Times New Roman" w:eastAsia="宋体"/>
                <w:color w:val="auto"/>
                <w:sz w:val="24"/>
                <w:lang w:val="en-US" w:eastAsia="zh-CN"/>
              </w:rPr>
              <w:t>，炭型：蜂窝活性炭（100×100孔）</w:t>
            </w:r>
            <w:r>
              <w:rPr>
                <w:rFonts w:hint="eastAsia"/>
                <w:color w:val="auto"/>
                <w:sz w:val="24"/>
                <w:lang w:val="en-US" w:eastAsia="zh-CN"/>
              </w:rPr>
              <w:t>，</w:t>
            </w:r>
            <w:r>
              <w:rPr>
                <w:rFonts w:hint="eastAsia" w:ascii="Times New Roman" w:hAnsi="Times New Roman" w:eastAsia="宋体"/>
                <w:color w:val="auto"/>
                <w:sz w:val="24"/>
                <w:lang w:val="en-US" w:eastAsia="zh-CN"/>
              </w:rPr>
              <w:t>碘值：≥900mg/g；四氯化碳≥6</w:t>
            </w:r>
            <w:r>
              <w:rPr>
                <w:rFonts w:hint="eastAsia"/>
                <w:color w:val="auto"/>
                <w:sz w:val="24"/>
                <w:lang w:val="en-US" w:eastAsia="zh-CN"/>
              </w:rPr>
              <w:t>5</w:t>
            </w:r>
            <w:r>
              <w:rPr>
                <w:rFonts w:hint="eastAsia" w:ascii="Times New Roman" w:hAnsi="Times New Roman" w:eastAsia="宋体"/>
                <w:color w:val="auto"/>
                <w:sz w:val="24"/>
                <w:lang w:val="en-US" w:eastAsia="zh-CN"/>
              </w:rPr>
              <w:t>%</w:t>
            </w:r>
            <w:r>
              <w:rPr>
                <w:rFonts w:hint="eastAsia"/>
                <w:color w:val="auto"/>
                <w:sz w:val="24"/>
                <w:lang w:val="en-US" w:eastAsia="zh-CN"/>
              </w:rPr>
              <w:t>，</w:t>
            </w:r>
            <w:r>
              <w:rPr>
                <w:rFonts w:hint="eastAsia" w:ascii="Times New Roman" w:hAnsi="Times New Roman" w:eastAsia="宋体"/>
                <w:color w:val="auto"/>
                <w:sz w:val="24"/>
                <w:lang w:val="en-US" w:eastAsia="zh-CN"/>
              </w:rPr>
              <w:t>厚度：300mm；填充密度：4</w:t>
            </w:r>
            <w:r>
              <w:rPr>
                <w:rFonts w:hint="eastAsia"/>
                <w:color w:val="auto"/>
                <w:sz w:val="24"/>
                <w:lang w:val="en-US" w:eastAsia="zh-CN"/>
              </w:rPr>
              <w:t>5</w:t>
            </w:r>
            <w:r>
              <w:rPr>
                <w:rFonts w:hint="eastAsia" w:ascii="Times New Roman" w:hAnsi="Times New Roman" w:eastAsia="宋体"/>
                <w:color w:val="auto"/>
                <w:sz w:val="24"/>
                <w:lang w:val="en-US" w:eastAsia="zh-CN"/>
              </w:rPr>
              <w:t>0-</w:t>
            </w:r>
            <w:r>
              <w:rPr>
                <w:rFonts w:hint="eastAsia"/>
                <w:color w:val="auto"/>
                <w:sz w:val="24"/>
                <w:lang w:val="en-US" w:eastAsia="zh-CN"/>
              </w:rPr>
              <w:t>48</w:t>
            </w:r>
            <w:r>
              <w:rPr>
                <w:rFonts w:hint="eastAsia" w:ascii="Times New Roman" w:hAnsi="Times New Roman" w:eastAsia="宋体"/>
                <w:color w:val="auto"/>
                <w:sz w:val="24"/>
                <w:lang w:val="en-US" w:eastAsia="zh-CN"/>
              </w:rPr>
              <w:t>0kg/m</w:t>
            </w:r>
            <w:r>
              <w:rPr>
                <w:rFonts w:hint="eastAsia" w:ascii="Times New Roman" w:hAnsi="Times New Roman" w:eastAsia="宋体"/>
                <w:color w:val="auto"/>
                <w:sz w:val="24"/>
                <w:vertAlign w:val="superscript"/>
                <w:lang w:val="en-US" w:eastAsia="zh-CN"/>
              </w:rPr>
              <w:t>3</w:t>
            </w:r>
            <w:r>
              <w:rPr>
                <w:rFonts w:hint="eastAsia" w:ascii="Times New Roman" w:hAnsi="Times New Roman" w:eastAsia="宋体"/>
                <w:color w:val="auto"/>
                <w:sz w:val="24"/>
                <w:lang w:val="en-US" w:eastAsia="zh-CN"/>
              </w:rPr>
              <w:t>。</w:t>
            </w:r>
            <w:r>
              <w:rPr>
                <w:rFonts w:hint="eastAsia"/>
                <w:color w:val="auto"/>
                <w:sz w:val="24"/>
                <w:lang w:val="en-US" w:eastAsia="zh-CN"/>
              </w:rPr>
              <w:t>五级</w:t>
            </w:r>
            <w:r>
              <w:rPr>
                <w:rFonts w:hint="eastAsia" w:ascii="Times New Roman" w:hAnsi="Times New Roman" w:eastAsia="宋体"/>
                <w:color w:val="auto"/>
                <w:sz w:val="24"/>
                <w:lang w:val="en-US" w:eastAsia="zh-CN"/>
              </w:rPr>
              <w:t>终端精净化</w:t>
            </w:r>
            <w:r>
              <w:rPr>
                <w:rFonts w:hint="eastAsia"/>
                <w:color w:val="auto"/>
                <w:sz w:val="24"/>
                <w:lang w:val="en-US" w:eastAsia="zh-CN"/>
              </w:rPr>
              <w:t>层</w:t>
            </w:r>
            <w:r>
              <w:rPr>
                <w:rFonts w:hint="eastAsia" w:ascii="Times New Roman" w:hAnsi="Times New Roman" w:eastAsia="宋体"/>
                <w:color w:val="auto"/>
                <w:sz w:val="24"/>
                <w:lang w:val="en-US" w:eastAsia="zh-CN"/>
              </w:rPr>
              <w:t>，炭型：高碘值蜂窝活性炭</w:t>
            </w:r>
            <w:r>
              <w:rPr>
                <w:rFonts w:hint="eastAsia"/>
                <w:color w:val="auto"/>
                <w:sz w:val="24"/>
                <w:lang w:val="en-US" w:eastAsia="zh-CN"/>
              </w:rPr>
              <w:t>，</w:t>
            </w:r>
            <w:r>
              <w:rPr>
                <w:rFonts w:hint="eastAsia" w:ascii="Times New Roman" w:hAnsi="Times New Roman" w:eastAsia="宋体"/>
                <w:color w:val="auto"/>
                <w:sz w:val="24"/>
                <w:lang w:val="en-US" w:eastAsia="zh-CN"/>
              </w:rPr>
              <w:t>碘值：≥9</w:t>
            </w:r>
            <w:r>
              <w:rPr>
                <w:rFonts w:hint="eastAsia"/>
                <w:color w:val="auto"/>
                <w:sz w:val="24"/>
                <w:lang w:val="en-US" w:eastAsia="zh-CN"/>
              </w:rPr>
              <w:t>5</w:t>
            </w:r>
            <w:r>
              <w:rPr>
                <w:rFonts w:hint="eastAsia" w:ascii="Times New Roman" w:hAnsi="Times New Roman" w:eastAsia="宋体"/>
                <w:color w:val="auto"/>
                <w:sz w:val="24"/>
                <w:lang w:val="en-US" w:eastAsia="zh-CN"/>
              </w:rPr>
              <w:t>0mg/g；四氯化碳≥</w:t>
            </w:r>
            <w:r>
              <w:rPr>
                <w:rFonts w:hint="eastAsia"/>
                <w:color w:val="auto"/>
                <w:sz w:val="24"/>
                <w:lang w:val="en-US" w:eastAsia="zh-CN"/>
              </w:rPr>
              <w:t>75</w:t>
            </w:r>
            <w:r>
              <w:rPr>
                <w:rFonts w:hint="eastAsia" w:ascii="Times New Roman" w:hAnsi="Times New Roman" w:eastAsia="宋体"/>
                <w:color w:val="auto"/>
                <w:sz w:val="24"/>
                <w:lang w:val="en-US" w:eastAsia="zh-CN"/>
              </w:rPr>
              <w:t>%</w:t>
            </w:r>
            <w:r>
              <w:rPr>
                <w:rFonts w:hint="eastAsia"/>
                <w:color w:val="auto"/>
                <w:sz w:val="24"/>
                <w:lang w:val="en-US" w:eastAsia="zh-CN"/>
              </w:rPr>
              <w:t>，</w:t>
            </w:r>
            <w:r>
              <w:rPr>
                <w:rFonts w:hint="eastAsia" w:ascii="Times New Roman" w:hAnsi="Times New Roman" w:eastAsia="宋体"/>
                <w:color w:val="auto"/>
                <w:sz w:val="24"/>
                <w:lang w:val="en-US" w:eastAsia="zh-CN"/>
              </w:rPr>
              <w:t>厚度：3</w:t>
            </w:r>
            <w:r>
              <w:rPr>
                <w:rFonts w:hint="eastAsia"/>
                <w:color w:val="auto"/>
                <w:sz w:val="24"/>
                <w:lang w:val="en-US" w:eastAsia="zh-CN"/>
              </w:rPr>
              <w:t>5</w:t>
            </w:r>
            <w:r>
              <w:rPr>
                <w:rFonts w:hint="eastAsia" w:ascii="Times New Roman" w:hAnsi="Times New Roman" w:eastAsia="宋体"/>
                <w:color w:val="auto"/>
                <w:sz w:val="24"/>
                <w:lang w:val="en-US" w:eastAsia="zh-CN"/>
              </w:rPr>
              <w:t>0mm；填充密度：4</w:t>
            </w:r>
            <w:r>
              <w:rPr>
                <w:rFonts w:hint="eastAsia"/>
                <w:color w:val="auto"/>
                <w:sz w:val="24"/>
                <w:lang w:val="en-US" w:eastAsia="zh-CN"/>
              </w:rPr>
              <w:t>5</w:t>
            </w:r>
            <w:r>
              <w:rPr>
                <w:rFonts w:hint="eastAsia" w:ascii="Times New Roman" w:hAnsi="Times New Roman" w:eastAsia="宋体"/>
                <w:color w:val="auto"/>
                <w:sz w:val="24"/>
                <w:lang w:val="en-US" w:eastAsia="zh-CN"/>
              </w:rPr>
              <w:t>0-</w:t>
            </w:r>
            <w:r>
              <w:rPr>
                <w:rFonts w:hint="eastAsia"/>
                <w:color w:val="auto"/>
                <w:sz w:val="24"/>
                <w:lang w:val="en-US" w:eastAsia="zh-CN"/>
              </w:rPr>
              <w:t>47</w:t>
            </w:r>
            <w:r>
              <w:rPr>
                <w:rFonts w:hint="eastAsia" w:ascii="Times New Roman" w:hAnsi="Times New Roman" w:eastAsia="宋体"/>
                <w:color w:val="auto"/>
                <w:sz w:val="24"/>
                <w:lang w:val="en-US" w:eastAsia="zh-CN"/>
              </w:rPr>
              <w:t>0kg/m</w:t>
            </w:r>
            <w:r>
              <w:rPr>
                <w:rFonts w:hint="eastAsia" w:ascii="Times New Roman" w:hAnsi="Times New Roman" w:eastAsia="宋体"/>
                <w:color w:val="auto"/>
                <w:sz w:val="24"/>
                <w:vertAlign w:val="superscript"/>
                <w:lang w:val="en-US" w:eastAsia="zh-CN"/>
              </w:rPr>
              <w:t>3</w:t>
            </w:r>
            <w:r>
              <w:rPr>
                <w:rFonts w:hint="eastAsia" w:ascii="Times New Roman" w:hAnsi="Times New Roman" w:eastAsia="宋体"/>
                <w:color w:val="auto"/>
                <w:sz w:val="24"/>
                <w:lang w:val="en-US" w:eastAsia="zh-CN"/>
              </w:rPr>
              <w:t>。高温会显著降低吸附容量并增加自燃风险。吸附温度控制小于40℃；停留时间1s。当进出口VOCs浓度差＜10%，或活性炭箱连续运行大于≥3个月需更换活性炭。</w:t>
            </w:r>
          </w:p>
          <w:p w14:paraId="03B5DA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Times New Roman" w:hAnsi="Times New Roman" w:eastAsia="宋体"/>
                <w:color w:val="auto"/>
                <w:sz w:val="24"/>
                <w:lang w:val="en-US" w:eastAsia="zh-CN"/>
              </w:rPr>
            </w:pPr>
            <w:r>
              <w:rPr>
                <w:rFonts w:hint="eastAsia"/>
                <w:color w:val="auto"/>
                <w:sz w:val="24"/>
                <w:lang w:val="en-US" w:eastAsia="zh-CN"/>
              </w:rPr>
              <w:t>选用负压收集，可</w:t>
            </w:r>
            <w:r>
              <w:rPr>
                <w:rFonts w:hint="eastAsia" w:ascii="Times New Roman" w:hAnsi="Times New Roman" w:eastAsia="宋体"/>
                <w:color w:val="auto"/>
                <w:sz w:val="24"/>
                <w:lang w:val="en-US" w:eastAsia="zh-CN"/>
              </w:rPr>
              <w:t>有效防止污染物</w:t>
            </w:r>
            <w:r>
              <w:rPr>
                <w:rFonts w:hint="eastAsia"/>
                <w:color w:val="auto"/>
                <w:sz w:val="24"/>
                <w:lang w:val="en-US" w:eastAsia="zh-CN"/>
              </w:rPr>
              <w:t>外泄</w:t>
            </w:r>
            <w:r>
              <w:rPr>
                <w:rFonts w:hint="eastAsia" w:ascii="Times New Roman" w:hAnsi="Times New Roman" w:eastAsia="宋体"/>
                <w:color w:val="auto"/>
                <w:sz w:val="24"/>
                <w:lang w:val="en-US" w:eastAsia="zh-CN"/>
              </w:rPr>
              <w:t>，负压系统即使发生内部爆炸，压力冲击也会被抑制，降低爆炸向外传播的风险</w:t>
            </w:r>
            <w:r>
              <w:rPr>
                <w:rFonts w:hint="eastAsia"/>
                <w:color w:val="auto"/>
                <w:sz w:val="24"/>
                <w:lang w:val="en-US" w:eastAsia="zh-CN"/>
              </w:rPr>
              <w:t>和</w:t>
            </w:r>
            <w:r>
              <w:rPr>
                <w:rFonts w:hint="eastAsia" w:ascii="Times New Roman" w:hAnsi="Times New Roman" w:eastAsia="宋体"/>
                <w:color w:val="auto"/>
                <w:sz w:val="24"/>
                <w:lang w:val="en-US" w:eastAsia="zh-CN"/>
              </w:rPr>
              <w:t>安全性。</w:t>
            </w:r>
          </w:p>
          <w:p w14:paraId="6D94AC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eastAsia="宋体" w:cs="Times New Roman"/>
                <w:color w:val="auto"/>
                <w:kern w:val="21"/>
                <w:sz w:val="24"/>
                <w:szCs w:val="24"/>
                <w:highlight w:val="none"/>
                <w:lang w:val="en-US" w:eastAsia="zh-CN" w:bidi="ar-SA"/>
              </w:rPr>
            </w:pPr>
            <w:r>
              <w:rPr>
                <w:rFonts w:hint="eastAsia" w:ascii="Times New Roman" w:hAnsi="Times New Roman" w:eastAsia="宋体" w:cs="Times New Roman"/>
                <w:color w:val="auto"/>
                <w:kern w:val="21"/>
                <w:sz w:val="24"/>
                <w:szCs w:val="24"/>
                <w:highlight w:val="none"/>
                <w:lang w:val="en-US" w:eastAsia="zh-CN" w:bidi="ar-SA"/>
              </w:rPr>
              <w:t>参照《排污许可证申请与核发技术规范 制鞋工业》（HJ1123—2020）中附录F：表F.1排污单位废气污染防治可行技术参考表中挥发性有机物可行技术为水基型胶粘剂源头替代、吸附法、生物法、吸附法与低温等离子体法或光催化氧化法组合使用；因此，本项目废气所采取污染防治措施活性炭吸附法为可行性技术。</w:t>
            </w:r>
          </w:p>
          <w:p w14:paraId="394B87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cs="Times New Roman"/>
                <w:color w:val="auto"/>
                <w:kern w:val="21"/>
                <w:sz w:val="24"/>
                <w:szCs w:val="24"/>
                <w:highlight w:val="none"/>
                <w:lang w:val="en-US" w:eastAsia="zh-CN" w:bidi="ar-SA"/>
              </w:rPr>
            </w:pPr>
            <w:r>
              <w:rPr>
                <w:rFonts w:hint="eastAsia" w:ascii="Times New Roman" w:hAnsi="Times New Roman" w:eastAsia="宋体" w:cs="Times New Roman"/>
                <w:color w:val="auto"/>
                <w:kern w:val="21"/>
                <w:sz w:val="24"/>
                <w:szCs w:val="24"/>
                <w:highlight w:val="none"/>
                <w:lang w:val="en-US" w:eastAsia="zh-CN" w:bidi="ar-SA"/>
              </w:rPr>
              <w:t>根据废气源强分析，项目产生的有机废气经半密闭集气罩及导气风管收集后进入</w:t>
            </w:r>
            <w:r>
              <w:rPr>
                <w:rFonts w:hint="eastAsia" w:cs="Times New Roman"/>
                <w:color w:val="auto"/>
                <w:kern w:val="21"/>
                <w:sz w:val="24"/>
                <w:szCs w:val="24"/>
                <w:highlight w:val="none"/>
                <w:lang w:val="en-US" w:eastAsia="zh-CN" w:bidi="ar-SA"/>
              </w:rPr>
              <w:t>五级活性炭</w:t>
            </w:r>
            <w:r>
              <w:rPr>
                <w:rFonts w:hint="eastAsia" w:ascii="Times New Roman" w:hAnsi="Times New Roman" w:eastAsia="宋体" w:cs="Times New Roman"/>
                <w:color w:val="auto"/>
                <w:kern w:val="21"/>
                <w:sz w:val="24"/>
                <w:szCs w:val="24"/>
                <w:highlight w:val="none"/>
                <w:lang w:val="en-US" w:eastAsia="zh-CN" w:bidi="ar-SA"/>
              </w:rPr>
              <w:t>吸附装置处理后排放浓度、排放速率均能满足《大气污染物综合排放标准》（GB16297-1996）中表2的二级标准</w:t>
            </w:r>
            <w:r>
              <w:rPr>
                <w:rFonts w:hint="eastAsia" w:cs="Times New Roman"/>
                <w:color w:val="auto"/>
                <w:kern w:val="21"/>
                <w:sz w:val="24"/>
                <w:szCs w:val="24"/>
                <w:highlight w:val="none"/>
                <w:lang w:val="en-US" w:eastAsia="zh-CN" w:bidi="ar-SA"/>
              </w:rPr>
              <w:t>、</w:t>
            </w:r>
            <w:r>
              <w:rPr>
                <w:rFonts w:hint="eastAsia" w:ascii="Times New Roman" w:hAnsi="Times New Roman" w:eastAsia="宋体" w:cs="Times New Roman"/>
                <w:color w:val="auto"/>
                <w:kern w:val="21"/>
                <w:sz w:val="24"/>
                <w:szCs w:val="24"/>
                <w:highlight w:val="none"/>
                <w:lang w:val="en-US" w:eastAsia="zh-CN" w:bidi="ar-SA"/>
              </w:rPr>
              <w:t>《合成树脂工业污染物排放标准》（GB31572-2015，含2024年修改单）中表4大气污染物排放限值</w:t>
            </w:r>
            <w:r>
              <w:rPr>
                <w:rFonts w:hint="eastAsia" w:cs="Times New Roman"/>
                <w:color w:val="auto"/>
                <w:kern w:val="21"/>
                <w:sz w:val="24"/>
                <w:szCs w:val="24"/>
                <w:highlight w:val="none"/>
                <w:lang w:val="en-US" w:eastAsia="zh-CN" w:bidi="ar-SA"/>
              </w:rPr>
              <w:t>和《挥发性有机物综合排放控制标准（试行）》（DB36/2186—2025）表1挥发性有机物有组织排放限值</w:t>
            </w:r>
            <w:r>
              <w:rPr>
                <w:rFonts w:hint="eastAsia" w:ascii="Times New Roman" w:hAnsi="Times New Roman" w:eastAsia="宋体" w:cs="Times New Roman"/>
                <w:color w:val="auto"/>
                <w:kern w:val="21"/>
                <w:sz w:val="24"/>
                <w:szCs w:val="24"/>
                <w:highlight w:val="none"/>
                <w:lang w:val="en-US" w:eastAsia="zh-CN" w:bidi="ar-SA"/>
              </w:rPr>
              <w:t>。</w:t>
            </w:r>
          </w:p>
          <w:p w14:paraId="45E650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cs="Times New Roman"/>
                <w:color w:val="auto"/>
                <w:kern w:val="21"/>
                <w:sz w:val="24"/>
                <w:szCs w:val="24"/>
                <w:highlight w:val="none"/>
                <w:lang w:val="en-US" w:eastAsia="zh-CN" w:bidi="ar-SA"/>
              </w:rPr>
            </w:pPr>
            <w:r>
              <w:rPr>
                <w:rFonts w:hint="eastAsia" w:cs="Times New Roman"/>
                <w:color w:val="auto"/>
                <w:kern w:val="21"/>
                <w:sz w:val="24"/>
                <w:szCs w:val="24"/>
                <w:highlight w:val="none"/>
                <w:lang w:val="en-US" w:eastAsia="zh-CN" w:bidi="ar-SA"/>
              </w:rPr>
              <w:t>3</w:t>
            </w:r>
            <w:r>
              <w:rPr>
                <w:rFonts w:hint="eastAsia" w:ascii="Times New Roman" w:hAnsi="Times New Roman" w:eastAsia="宋体" w:cs="Times New Roman"/>
                <w:color w:val="auto"/>
                <w:kern w:val="21"/>
                <w:sz w:val="24"/>
                <w:szCs w:val="24"/>
                <w:highlight w:val="none"/>
                <w:lang w:val="en-US" w:eastAsia="zh-CN" w:bidi="ar-SA"/>
              </w:rPr>
              <w:t>）无组织废气治理措施可行性</w:t>
            </w:r>
          </w:p>
          <w:p w14:paraId="125FC4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cs="Times New Roman"/>
                <w:color w:val="auto"/>
                <w:kern w:val="21"/>
                <w:sz w:val="24"/>
                <w:szCs w:val="24"/>
                <w:highlight w:val="none"/>
                <w:lang w:val="en-US" w:eastAsia="zh-CN" w:bidi="ar-SA"/>
              </w:rPr>
            </w:pPr>
            <w:r>
              <w:rPr>
                <w:rFonts w:hint="eastAsia" w:ascii="Times New Roman" w:hAnsi="Times New Roman" w:eastAsia="宋体" w:cs="Times New Roman"/>
                <w:color w:val="auto"/>
                <w:kern w:val="21"/>
                <w:sz w:val="24"/>
                <w:szCs w:val="24"/>
                <w:highlight w:val="none"/>
                <w:lang w:val="en-US" w:eastAsia="zh-CN" w:bidi="ar-SA"/>
              </w:rPr>
              <w:t>本项目无组织废气主要为未被收集系统完全收集的有机废气。为减少无组织废气的扩散，建设单位通过优化厂房通风设计并增加局部排风装置，进一步提升废气的收集效率。部分设备采用局部负压方式对有机废气进行收集，剩余的无组织排放废气量较小，且排放浓度较低，通过车间新风系统排出厂房。经过上述改进措施，无组织废气的排放得到了有效控制，对周边环境影响较小。</w:t>
            </w:r>
          </w:p>
          <w:p w14:paraId="7012D96F">
            <w:pPr>
              <w:keepNext w:val="0"/>
              <w:keepLines w:val="0"/>
              <w:widowControl w:val="0"/>
              <w:suppressLineNumbers w:val="0"/>
              <w:spacing w:before="0" w:beforeAutospacing="0" w:after="0" w:afterAutospacing="0" w:line="360" w:lineRule="auto"/>
              <w:ind w:left="0" w:right="0" w:firstLine="480" w:firstLineChars="200"/>
              <w:jc w:val="both"/>
              <w:rPr>
                <w:rFonts w:hint="eastAsia" w:ascii="Times New Roman" w:hAnsi="Times New Roman" w:eastAsia="宋体" w:cs="Times New Roman"/>
                <w:color w:val="auto"/>
                <w:kern w:val="2"/>
                <w:sz w:val="24"/>
                <w:szCs w:val="24"/>
              </w:rPr>
            </w:pPr>
            <w:r>
              <w:rPr>
                <w:rFonts w:hint="eastAsia" w:ascii="宋体" w:hAnsi="宋体" w:eastAsia="宋体" w:cs="宋体"/>
                <w:color w:val="auto"/>
                <w:kern w:val="2"/>
                <w:sz w:val="24"/>
                <w:szCs w:val="24"/>
                <w:lang w:val="en-US" w:eastAsia="zh-CN" w:bidi="ar"/>
              </w:rPr>
              <w:t>（</w:t>
            </w:r>
            <w:r>
              <w:rPr>
                <w:rFonts w:hint="default" w:ascii="Times New Roman" w:hAnsi="Times New Roman" w:eastAsia="宋体" w:cs="Times New Roman"/>
                <w:color w:val="auto"/>
                <w:kern w:val="2"/>
                <w:sz w:val="24"/>
                <w:szCs w:val="24"/>
                <w:lang w:val="en-US" w:eastAsia="zh-CN" w:bidi="ar"/>
              </w:rPr>
              <w:t>5</w:t>
            </w:r>
            <w:r>
              <w:rPr>
                <w:rFonts w:hint="eastAsia" w:ascii="宋体" w:hAnsi="宋体" w:eastAsia="宋体" w:cs="宋体"/>
                <w:color w:val="auto"/>
                <w:kern w:val="2"/>
                <w:sz w:val="24"/>
                <w:szCs w:val="24"/>
                <w:lang w:val="en-US" w:eastAsia="zh-CN" w:bidi="ar"/>
              </w:rPr>
              <w:t>）卫生防护距离分析</w:t>
            </w:r>
          </w:p>
          <w:p w14:paraId="669D2844">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color w:val="auto"/>
                <w:kern w:val="2"/>
                <w:sz w:val="24"/>
                <w:szCs w:val="24"/>
                <w:lang w:val="en-US" w:eastAsia="zh-CN" w:bidi="ar"/>
              </w:rPr>
            </w:pPr>
            <w:r>
              <w:rPr>
                <w:rFonts w:hint="eastAsia" w:ascii="Times New Roman" w:hAnsi="Times New Roman" w:eastAsia="宋体" w:cs="宋体"/>
                <w:color w:val="auto"/>
                <w:kern w:val="2"/>
                <w:sz w:val="24"/>
                <w:szCs w:val="24"/>
                <w:lang w:val="en-US" w:eastAsia="zh-CN" w:bidi="ar"/>
              </w:rPr>
              <w:t>本项目无组织排放污染物为</w:t>
            </w:r>
            <w:r>
              <w:rPr>
                <w:rFonts w:hint="eastAsia" w:ascii="Times New Roman" w:hAnsi="Times New Roman" w:eastAsia="宋体" w:cs="Times New Roman"/>
                <w:color w:val="auto"/>
                <w:kern w:val="21"/>
                <w:sz w:val="24"/>
                <w:szCs w:val="24"/>
                <w:lang w:val="en-US" w:eastAsia="zh-CN" w:bidi="ar-SA"/>
              </w:rPr>
              <w:t>PVC注塑投拌料粉尘</w:t>
            </w:r>
            <w:r>
              <w:rPr>
                <w:rFonts w:hint="eastAsia" w:ascii="Times New Roman" w:hAnsi="Times New Roman" w:eastAsia="宋体" w:cs="宋体"/>
                <w:color w:val="auto"/>
                <w:kern w:val="2"/>
                <w:sz w:val="24"/>
                <w:szCs w:val="24"/>
                <w:lang w:val="en-US" w:eastAsia="zh-CN" w:bidi="ar"/>
              </w:rPr>
              <w:t>、</w:t>
            </w:r>
            <w:r>
              <w:rPr>
                <w:rFonts w:hint="eastAsia" w:ascii="Times New Roman" w:hAnsi="Times New Roman" w:eastAsia="宋体" w:cs="宋体"/>
                <w:color w:val="auto"/>
                <w:sz w:val="24"/>
                <w:szCs w:val="24"/>
                <w:lang w:eastAsia="zh-CN" w:bidi="ar"/>
              </w:rPr>
              <w:t>刷鞋头（打磨）</w:t>
            </w:r>
            <w:r>
              <w:rPr>
                <w:rFonts w:hint="eastAsia" w:ascii="Times New Roman" w:hAnsi="Times New Roman" w:eastAsia="宋体" w:cs="宋体"/>
                <w:color w:val="auto"/>
                <w:kern w:val="2"/>
                <w:sz w:val="24"/>
                <w:szCs w:val="24"/>
                <w:lang w:val="en-US" w:eastAsia="zh-CN" w:bidi="ar"/>
              </w:rPr>
              <w:t>产生的</w:t>
            </w:r>
            <w:r>
              <w:rPr>
                <w:rFonts w:hint="default" w:ascii="Times New Roman" w:hAnsi="Times New Roman" w:eastAsia="宋体" w:cs="Times New Roman"/>
                <w:color w:val="auto"/>
                <w:kern w:val="2"/>
                <w:sz w:val="24"/>
                <w:szCs w:val="24"/>
                <w:lang w:val="en-US" w:eastAsia="zh-CN" w:bidi="ar"/>
              </w:rPr>
              <w:t>TSP</w:t>
            </w:r>
            <w:r>
              <w:rPr>
                <w:rFonts w:hint="eastAsia" w:ascii="Times New Roman" w:hAnsi="Times New Roman" w:eastAsia="宋体" w:cs="宋体"/>
                <w:color w:val="auto"/>
                <w:kern w:val="2"/>
                <w:sz w:val="24"/>
                <w:szCs w:val="24"/>
                <w:lang w:val="en-US" w:eastAsia="zh-CN" w:bidi="ar"/>
              </w:rPr>
              <w:t>，PVC注塑产生的非甲烷总烃</w:t>
            </w:r>
            <w:r>
              <w:rPr>
                <w:rFonts w:hint="eastAsia" w:cs="宋体"/>
                <w:color w:val="auto"/>
                <w:kern w:val="2"/>
                <w:sz w:val="24"/>
                <w:szCs w:val="24"/>
                <w:lang w:val="en-US" w:eastAsia="zh-CN" w:bidi="ar"/>
              </w:rPr>
              <w:t>、HCl</w:t>
            </w:r>
            <w:r>
              <w:rPr>
                <w:rFonts w:hint="eastAsia" w:ascii="Times New Roman" w:hAnsi="Times New Roman" w:eastAsia="宋体" w:cs="Times New Roman"/>
                <w:color w:val="auto"/>
                <w:kern w:val="2"/>
                <w:sz w:val="24"/>
                <w:szCs w:val="24"/>
                <w:lang w:val="en-US" w:eastAsia="zh-CN" w:bidi="ar"/>
              </w:rPr>
              <w:t>，发泡、发泡脱模过程</w:t>
            </w:r>
            <w:r>
              <w:rPr>
                <w:rFonts w:hint="eastAsia" w:ascii="Times New Roman" w:hAnsi="Times New Roman" w:eastAsia="宋体" w:cs="宋体"/>
                <w:color w:val="auto"/>
                <w:kern w:val="2"/>
                <w:sz w:val="24"/>
                <w:szCs w:val="24"/>
                <w:lang w:val="en-US" w:eastAsia="zh-CN" w:bidi="ar"/>
              </w:rPr>
              <w:t>产生的非甲烷总烃</w:t>
            </w:r>
            <w:r>
              <w:rPr>
                <w:rFonts w:hint="eastAsia" w:ascii="Times New Roman" w:hAnsi="Times New Roman" w:eastAsia="宋体" w:cs="Times New Roman"/>
                <w:color w:val="auto"/>
                <w:kern w:val="2"/>
                <w:sz w:val="24"/>
                <w:szCs w:val="24"/>
                <w:lang w:val="en-US" w:eastAsia="zh-CN" w:bidi="ar"/>
              </w:rPr>
              <w:t>，</w:t>
            </w:r>
            <w:r>
              <w:rPr>
                <w:rFonts w:hint="eastAsia" w:ascii="宋体" w:hAnsi="宋体" w:eastAsia="宋体" w:cs="宋体"/>
                <w:color w:val="auto"/>
                <w:kern w:val="2"/>
                <w:sz w:val="24"/>
                <w:szCs w:val="24"/>
                <w:lang w:val="en-US" w:eastAsia="zh-CN" w:bidi="ar"/>
              </w:rPr>
              <w:t>表面处理、刷胶及烘干产生的</w:t>
            </w:r>
            <w:r>
              <w:rPr>
                <w:rFonts w:hint="eastAsia" w:ascii="Times New Roman" w:hAnsi="Times New Roman" w:eastAsia="宋体" w:cs="宋体"/>
                <w:color w:val="auto"/>
                <w:kern w:val="2"/>
                <w:sz w:val="24"/>
                <w:szCs w:val="24"/>
                <w:lang w:val="en-US" w:eastAsia="zh-CN" w:bidi="ar"/>
              </w:rPr>
              <w:t>非甲烷总烃</w:t>
            </w:r>
            <w:r>
              <w:rPr>
                <w:rFonts w:hint="eastAsia" w:ascii="Times New Roman" w:hAnsi="Times New Roman" w:eastAsia="宋体" w:cs="Times New Roman"/>
                <w:color w:val="auto"/>
                <w:kern w:val="2"/>
                <w:sz w:val="24"/>
                <w:szCs w:val="24"/>
                <w:lang w:val="en-US" w:eastAsia="zh-CN" w:bidi="ar"/>
              </w:rPr>
              <w:t>，</w:t>
            </w:r>
            <w:r>
              <w:rPr>
                <w:rFonts w:hint="default" w:ascii="Times New Roman" w:hAnsi="Times New Roman" w:eastAsia="宋体" w:cs="Times New Roman"/>
                <w:color w:val="auto"/>
                <w:kern w:val="21"/>
                <w:sz w:val="24"/>
                <w:szCs w:val="24"/>
                <w:highlight w:val="none"/>
                <w:u w:val="none"/>
                <w:lang w:val="en-US" w:eastAsia="zh-CN" w:bidi="ar-SA"/>
              </w:rPr>
              <w:t>丝网印花、台面胶及晾干</w:t>
            </w:r>
            <w:r>
              <w:rPr>
                <w:rFonts w:hint="eastAsia" w:ascii="宋体" w:hAnsi="宋体" w:eastAsia="宋体" w:cs="宋体"/>
                <w:color w:val="auto"/>
                <w:kern w:val="2"/>
                <w:sz w:val="24"/>
                <w:szCs w:val="24"/>
                <w:lang w:val="en-US" w:eastAsia="zh-CN" w:bidi="ar"/>
              </w:rPr>
              <w:t>产生的</w:t>
            </w:r>
            <w:r>
              <w:rPr>
                <w:rFonts w:hint="eastAsia" w:ascii="Times New Roman" w:hAnsi="Times New Roman" w:eastAsia="宋体" w:cs="宋体"/>
                <w:color w:val="auto"/>
                <w:kern w:val="2"/>
                <w:sz w:val="24"/>
                <w:szCs w:val="24"/>
                <w:lang w:val="en-US" w:eastAsia="zh-CN" w:bidi="ar"/>
              </w:rPr>
              <w:t>非甲烷总烃</w:t>
            </w:r>
            <w:r>
              <w:rPr>
                <w:rFonts w:hint="eastAsia" w:ascii="宋体" w:hAnsi="宋体" w:eastAsia="宋体" w:cs="宋体"/>
                <w:color w:val="auto"/>
                <w:kern w:val="2"/>
                <w:sz w:val="24"/>
                <w:szCs w:val="24"/>
                <w:lang w:val="en-US" w:eastAsia="zh-CN" w:bidi="ar"/>
              </w:rPr>
              <w:t>。根据《大气有害物质无组织排放卫生防护距离推导技术导则》（</w:t>
            </w:r>
            <w:r>
              <w:rPr>
                <w:rFonts w:hint="default" w:ascii="Times New Roman" w:hAnsi="Times New Roman" w:eastAsia="宋体" w:cs="Times New Roman"/>
                <w:color w:val="auto"/>
                <w:kern w:val="2"/>
                <w:sz w:val="24"/>
                <w:szCs w:val="24"/>
                <w:lang w:val="en-US" w:eastAsia="zh-CN" w:bidi="ar"/>
              </w:rPr>
              <w:t>GB/T39499-2020</w:t>
            </w:r>
            <w:r>
              <w:rPr>
                <w:rFonts w:hint="eastAsia" w:ascii="宋体" w:hAnsi="宋体" w:eastAsia="宋体" w:cs="宋体"/>
                <w:color w:val="auto"/>
                <w:kern w:val="2"/>
                <w:sz w:val="24"/>
                <w:szCs w:val="24"/>
                <w:lang w:val="en-US" w:eastAsia="zh-CN" w:bidi="ar"/>
              </w:rPr>
              <w:t>）规定，当目标企业无组织排放存在多种有毒有害污染物时，基于单个污染物的等标排放量计算结果，优先选择等标排放量最大的污染物为企业无组织排放的主要特征大气有害物质。当前两种污染物的等标排放量相差在</w:t>
            </w:r>
            <w:r>
              <w:rPr>
                <w:rFonts w:hint="default" w:ascii="Times New Roman" w:hAnsi="Times New Roman" w:eastAsia="宋体" w:cs="Times New Roman"/>
                <w:color w:val="auto"/>
                <w:kern w:val="2"/>
                <w:sz w:val="24"/>
                <w:szCs w:val="24"/>
                <w:lang w:val="en-US" w:eastAsia="zh-CN" w:bidi="ar"/>
              </w:rPr>
              <w:t>10%</w:t>
            </w:r>
            <w:r>
              <w:rPr>
                <w:rFonts w:hint="eastAsia" w:ascii="宋体" w:hAnsi="宋体" w:eastAsia="宋体" w:cs="宋体"/>
                <w:color w:val="auto"/>
                <w:kern w:val="2"/>
                <w:sz w:val="24"/>
                <w:szCs w:val="24"/>
                <w:lang w:val="en-US" w:eastAsia="zh-CN" w:bidi="ar"/>
              </w:rPr>
              <w:t>以内时，需要同时选择这两种特征大气有害物质分别计算卫生防护距离初值。无组织排放污染源污染物等标计算结果见表</w:t>
            </w:r>
            <w:r>
              <w:rPr>
                <w:rFonts w:hint="default" w:ascii="Times New Roman" w:hAnsi="Times New Roman" w:eastAsia="宋体" w:cs="Times New Roman"/>
                <w:color w:val="auto"/>
                <w:kern w:val="2"/>
                <w:sz w:val="24"/>
                <w:szCs w:val="24"/>
                <w:lang w:val="en-US" w:eastAsia="zh-CN" w:bidi="ar"/>
              </w:rPr>
              <w:t>4-</w:t>
            </w:r>
            <w:r>
              <w:rPr>
                <w:rFonts w:hint="eastAsia" w:cs="Times New Roman"/>
                <w:color w:val="auto"/>
                <w:kern w:val="2"/>
                <w:sz w:val="24"/>
                <w:szCs w:val="24"/>
                <w:lang w:val="en-US" w:eastAsia="zh-CN" w:bidi="ar"/>
              </w:rPr>
              <w:t>4</w:t>
            </w:r>
            <w:r>
              <w:rPr>
                <w:rFonts w:hint="eastAsia" w:ascii="宋体" w:hAnsi="宋体" w:eastAsia="宋体" w:cs="宋体"/>
                <w:color w:val="auto"/>
                <w:kern w:val="2"/>
                <w:sz w:val="24"/>
                <w:szCs w:val="24"/>
                <w:lang w:val="en-US" w:eastAsia="zh-CN" w:bidi="ar"/>
              </w:rPr>
              <w:t>。</w:t>
            </w:r>
          </w:p>
          <w:p w14:paraId="29503BE5">
            <w:pPr>
              <w:pStyle w:val="118"/>
              <w:keepNext w:val="0"/>
              <w:keepLines w:val="0"/>
              <w:widowControl w:val="0"/>
              <w:suppressLineNumbers w:val="0"/>
              <w:autoSpaceDE w:val="0"/>
              <w:autoSpaceDN/>
              <w:spacing w:before="0" w:beforeAutospacing="0" w:after="0" w:afterAutospacing="0"/>
              <w:ind w:left="0" w:right="0"/>
              <w:rPr>
                <w:rFonts w:hint="default" w:ascii="Times New Roman" w:hAnsi="Times New Roman" w:eastAsia="宋体" w:cs="Times New Roman"/>
                <w:b/>
                <w:bCs w:val="0"/>
                <w:color w:val="auto"/>
                <w:spacing w:val="4"/>
                <w:kern w:val="18"/>
                <w:sz w:val="21"/>
                <w:szCs w:val="21"/>
              </w:rPr>
            </w:pPr>
            <w:r>
              <w:rPr>
                <w:rFonts w:hint="eastAsia" w:ascii="宋体" w:hAnsi="宋体" w:eastAsia="宋体" w:cs="宋体"/>
                <w:b/>
                <w:bCs w:val="0"/>
                <w:color w:val="auto"/>
                <w:spacing w:val="4"/>
                <w:kern w:val="18"/>
                <w:sz w:val="21"/>
                <w:szCs w:val="21"/>
              </w:rPr>
              <w:t>表</w:t>
            </w:r>
            <w:r>
              <w:rPr>
                <w:rFonts w:hint="default" w:ascii="Times New Roman" w:hAnsi="Times New Roman" w:eastAsia="宋体" w:cs="Times New Roman"/>
                <w:b/>
                <w:bCs w:val="0"/>
                <w:color w:val="auto"/>
                <w:spacing w:val="4"/>
                <w:kern w:val="18"/>
                <w:sz w:val="21"/>
                <w:szCs w:val="21"/>
              </w:rPr>
              <w:t>4-</w:t>
            </w:r>
            <w:r>
              <w:rPr>
                <w:rFonts w:hint="eastAsia" w:cs="Times New Roman"/>
                <w:b/>
                <w:bCs w:val="0"/>
                <w:color w:val="auto"/>
                <w:spacing w:val="4"/>
                <w:kern w:val="18"/>
                <w:sz w:val="21"/>
                <w:szCs w:val="21"/>
                <w:lang w:val="en-US" w:eastAsia="zh-CN"/>
              </w:rPr>
              <w:t>4</w:t>
            </w:r>
            <w:r>
              <w:rPr>
                <w:rFonts w:hint="default" w:ascii="Times New Roman" w:hAnsi="Times New Roman" w:eastAsia="宋体" w:cs="Times New Roman"/>
                <w:b/>
                <w:bCs w:val="0"/>
                <w:color w:val="auto"/>
                <w:spacing w:val="4"/>
                <w:kern w:val="18"/>
                <w:sz w:val="21"/>
                <w:szCs w:val="21"/>
              </w:rPr>
              <w:t xml:space="preserve"> </w:t>
            </w:r>
            <w:r>
              <w:rPr>
                <w:rFonts w:hint="eastAsia" w:cs="Times New Roman"/>
                <w:b/>
                <w:bCs w:val="0"/>
                <w:color w:val="auto"/>
                <w:spacing w:val="4"/>
                <w:kern w:val="18"/>
                <w:sz w:val="21"/>
                <w:szCs w:val="21"/>
                <w:lang w:val="en-US" w:eastAsia="zh-CN"/>
              </w:rPr>
              <w:t xml:space="preserve"> </w:t>
            </w:r>
            <w:r>
              <w:rPr>
                <w:rFonts w:hint="eastAsia" w:ascii="宋体" w:hAnsi="宋体" w:eastAsia="宋体" w:cs="宋体"/>
                <w:b/>
                <w:bCs w:val="0"/>
                <w:color w:val="auto"/>
                <w:spacing w:val="4"/>
                <w:kern w:val="18"/>
                <w:sz w:val="21"/>
                <w:szCs w:val="21"/>
              </w:rPr>
              <w:t>等标负荷法计算结果表</w:t>
            </w:r>
          </w:p>
          <w:tbl>
            <w:tblPr>
              <w:tblStyle w:val="26"/>
              <w:tblpPr w:leftFromText="180" w:rightFromText="180" w:vertAnchor="text" w:horzAnchor="page" w:tblpX="96" w:tblpY="383"/>
              <w:tblOverlap w:val="never"/>
              <w:tblW w:w="4997"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671"/>
              <w:gridCol w:w="672"/>
              <w:gridCol w:w="917"/>
              <w:gridCol w:w="1238"/>
              <w:gridCol w:w="1284"/>
              <w:gridCol w:w="1069"/>
              <w:gridCol w:w="596"/>
              <w:gridCol w:w="886"/>
              <w:gridCol w:w="1526"/>
            </w:tblGrid>
            <w:tr w14:paraId="15EB630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61" w:hRule="atLeast"/>
              </w:trPr>
              <w:tc>
                <w:tcPr>
                  <w:tcW w:w="1343" w:type="dxa"/>
                  <w:gridSpan w:val="2"/>
                  <w:tcBorders>
                    <w:tl2br w:val="nil"/>
                    <w:tr2bl w:val="nil"/>
                  </w:tcBorders>
                  <w:shd w:val="clear" w:color="auto" w:fill="auto"/>
                  <w:vAlign w:val="center"/>
                </w:tcPr>
                <w:p w14:paraId="6F596406">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eastAsia" w:ascii="Times New Roman" w:hAnsi="Times New Roman" w:eastAsia="宋体" w:cs="Times New Roman"/>
                      <w:b/>
                      <w:bCs/>
                      <w:color w:val="auto"/>
                      <w:kern w:val="2"/>
                      <w:sz w:val="21"/>
                      <w:szCs w:val="21"/>
                    </w:rPr>
                  </w:pPr>
                  <w:r>
                    <w:rPr>
                      <w:rFonts w:hint="eastAsia" w:ascii="宋体" w:hAnsi="宋体" w:eastAsia="宋体" w:cs="宋体"/>
                      <w:b/>
                      <w:bCs/>
                      <w:color w:val="auto"/>
                      <w:kern w:val="2"/>
                      <w:sz w:val="21"/>
                      <w:szCs w:val="21"/>
                      <w:lang w:val="en-US" w:eastAsia="zh-CN" w:bidi="ar"/>
                    </w:rPr>
                    <w:t>污染源位置</w:t>
                  </w:r>
                </w:p>
              </w:tc>
              <w:tc>
                <w:tcPr>
                  <w:tcW w:w="917" w:type="dxa"/>
                  <w:tcBorders>
                    <w:tl2br w:val="nil"/>
                    <w:tr2bl w:val="nil"/>
                  </w:tcBorders>
                  <w:shd w:val="clear" w:color="auto" w:fill="auto"/>
                  <w:vAlign w:val="center"/>
                </w:tcPr>
                <w:p w14:paraId="3058B592">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eastAsia" w:ascii="Times New Roman" w:hAnsi="Times New Roman" w:eastAsia="宋体" w:cs="Times New Roman"/>
                      <w:b/>
                      <w:bCs/>
                      <w:color w:val="auto"/>
                      <w:kern w:val="2"/>
                      <w:sz w:val="21"/>
                      <w:szCs w:val="21"/>
                    </w:rPr>
                  </w:pPr>
                  <w:r>
                    <w:rPr>
                      <w:rFonts w:hint="eastAsia" w:ascii="宋体" w:hAnsi="宋体" w:eastAsia="宋体" w:cs="宋体"/>
                      <w:b/>
                      <w:bCs/>
                      <w:color w:val="auto"/>
                      <w:kern w:val="2"/>
                      <w:sz w:val="21"/>
                      <w:szCs w:val="21"/>
                      <w:lang w:val="en-US" w:eastAsia="zh-CN" w:bidi="ar"/>
                    </w:rPr>
                    <w:t>污染物名称</w:t>
                  </w:r>
                </w:p>
              </w:tc>
              <w:tc>
                <w:tcPr>
                  <w:tcW w:w="1238" w:type="dxa"/>
                  <w:tcBorders>
                    <w:tl2br w:val="nil"/>
                    <w:tr2bl w:val="nil"/>
                  </w:tcBorders>
                  <w:shd w:val="clear" w:color="auto" w:fill="auto"/>
                  <w:vAlign w:val="center"/>
                </w:tcPr>
                <w:p w14:paraId="3959F8D6">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eastAsia" w:ascii="Times New Roman" w:hAnsi="Times New Roman" w:eastAsia="宋体" w:cs="Times New Roman"/>
                      <w:b/>
                      <w:bCs/>
                      <w:color w:val="auto"/>
                      <w:kern w:val="2"/>
                      <w:sz w:val="21"/>
                      <w:szCs w:val="21"/>
                    </w:rPr>
                  </w:pPr>
                  <w:r>
                    <w:rPr>
                      <w:rFonts w:hint="eastAsia" w:ascii="宋体" w:hAnsi="宋体" w:eastAsia="宋体" w:cs="宋体"/>
                      <w:b/>
                      <w:bCs/>
                      <w:color w:val="auto"/>
                      <w:kern w:val="2"/>
                      <w:sz w:val="21"/>
                      <w:szCs w:val="21"/>
                      <w:lang w:val="en-US" w:eastAsia="zh-CN" w:bidi="ar"/>
                    </w:rPr>
                    <w:t>污染物源强</w:t>
                  </w:r>
                  <w:r>
                    <w:rPr>
                      <w:rFonts w:hint="default" w:ascii="Times New Roman" w:hAnsi="Times New Roman" w:eastAsia="宋体" w:cs="Times New Roman"/>
                      <w:b/>
                      <w:bCs/>
                      <w:color w:val="auto"/>
                      <w:kern w:val="2"/>
                      <w:sz w:val="21"/>
                      <w:szCs w:val="21"/>
                      <w:lang w:val="en-US" w:eastAsia="zh-CN" w:bidi="ar"/>
                    </w:rPr>
                    <w:t>Qc</w:t>
                  </w:r>
                  <w:r>
                    <w:rPr>
                      <w:rFonts w:hint="eastAsia" w:ascii="宋体" w:hAnsi="宋体" w:eastAsia="宋体" w:cs="宋体"/>
                      <w:b/>
                      <w:bCs/>
                      <w:color w:val="auto"/>
                      <w:kern w:val="2"/>
                      <w:sz w:val="21"/>
                      <w:szCs w:val="21"/>
                      <w:lang w:val="en-US" w:eastAsia="zh-CN" w:bidi="ar"/>
                    </w:rPr>
                    <w:t>（</w:t>
                  </w:r>
                  <w:r>
                    <w:rPr>
                      <w:rFonts w:hint="default" w:ascii="Times New Roman" w:hAnsi="Times New Roman" w:eastAsia="宋体" w:cs="Times New Roman"/>
                      <w:b/>
                      <w:bCs/>
                      <w:color w:val="auto"/>
                      <w:kern w:val="2"/>
                      <w:sz w:val="21"/>
                      <w:szCs w:val="21"/>
                      <w:lang w:val="en-US" w:eastAsia="zh-CN" w:bidi="ar"/>
                    </w:rPr>
                    <w:t>kg/h</w:t>
                  </w:r>
                  <w:r>
                    <w:rPr>
                      <w:rFonts w:hint="eastAsia" w:ascii="宋体" w:hAnsi="宋体" w:eastAsia="宋体" w:cs="宋体"/>
                      <w:b/>
                      <w:bCs/>
                      <w:color w:val="auto"/>
                      <w:kern w:val="2"/>
                      <w:sz w:val="21"/>
                      <w:szCs w:val="21"/>
                      <w:lang w:val="en-US" w:eastAsia="zh-CN" w:bidi="ar"/>
                    </w:rPr>
                    <w:t>）</w:t>
                  </w:r>
                </w:p>
              </w:tc>
              <w:tc>
                <w:tcPr>
                  <w:tcW w:w="1284" w:type="dxa"/>
                  <w:tcBorders>
                    <w:tl2br w:val="nil"/>
                    <w:tr2bl w:val="nil"/>
                  </w:tcBorders>
                  <w:shd w:val="clear" w:color="auto" w:fill="auto"/>
                  <w:vAlign w:val="center"/>
                </w:tcPr>
                <w:p w14:paraId="37E880B7">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eastAsia" w:ascii="Times New Roman" w:hAnsi="Times New Roman" w:eastAsia="宋体" w:cs="Times New Roman"/>
                      <w:b/>
                      <w:bCs/>
                      <w:color w:val="auto"/>
                      <w:kern w:val="2"/>
                      <w:sz w:val="21"/>
                      <w:szCs w:val="21"/>
                    </w:rPr>
                  </w:pPr>
                  <w:r>
                    <w:rPr>
                      <w:rFonts w:hint="eastAsia" w:ascii="宋体" w:hAnsi="宋体" w:eastAsia="宋体" w:cs="宋体"/>
                      <w:b/>
                      <w:bCs/>
                      <w:color w:val="auto"/>
                      <w:kern w:val="2"/>
                      <w:sz w:val="21"/>
                      <w:szCs w:val="21"/>
                      <w:lang w:val="en-US" w:eastAsia="zh-CN" w:bidi="ar"/>
                    </w:rPr>
                    <w:t>评价标准</w:t>
                  </w:r>
                  <w:r>
                    <w:rPr>
                      <w:rFonts w:hint="default" w:ascii="Times New Roman" w:hAnsi="Times New Roman" w:eastAsia="宋体" w:cs="Times New Roman"/>
                      <w:b/>
                      <w:bCs/>
                      <w:color w:val="auto"/>
                      <w:kern w:val="2"/>
                      <w:sz w:val="21"/>
                      <w:szCs w:val="21"/>
                      <w:lang w:val="en-US" w:eastAsia="zh-CN" w:bidi="ar"/>
                    </w:rPr>
                    <w:t>Cm</w:t>
                  </w:r>
                  <w:r>
                    <w:rPr>
                      <w:rFonts w:hint="eastAsia" w:ascii="宋体" w:hAnsi="宋体" w:eastAsia="宋体" w:cs="宋体"/>
                      <w:b/>
                      <w:bCs/>
                      <w:color w:val="auto"/>
                      <w:kern w:val="2"/>
                      <w:sz w:val="21"/>
                      <w:szCs w:val="21"/>
                      <w:lang w:val="en-US" w:eastAsia="zh-CN" w:bidi="ar"/>
                    </w:rPr>
                    <w:t>（</w:t>
                  </w:r>
                  <w:r>
                    <w:rPr>
                      <w:rFonts w:hint="default" w:ascii="Times New Roman" w:hAnsi="Times New Roman" w:eastAsia="宋体" w:cs="Times New Roman"/>
                      <w:b/>
                      <w:bCs/>
                      <w:color w:val="auto"/>
                      <w:kern w:val="2"/>
                      <w:sz w:val="21"/>
                      <w:szCs w:val="21"/>
                      <w:lang w:val="en-US" w:eastAsia="zh-CN" w:bidi="ar"/>
                    </w:rPr>
                    <w:t>mg/m</w:t>
                  </w:r>
                  <w:r>
                    <w:rPr>
                      <w:rFonts w:hint="default" w:ascii="Times New Roman" w:hAnsi="Times New Roman" w:eastAsia="宋体" w:cs="Times New Roman"/>
                      <w:b/>
                      <w:bCs/>
                      <w:color w:val="auto"/>
                      <w:kern w:val="2"/>
                      <w:sz w:val="21"/>
                      <w:szCs w:val="21"/>
                      <w:vertAlign w:val="superscript"/>
                      <w:lang w:val="en-US" w:eastAsia="zh-CN" w:bidi="ar"/>
                    </w:rPr>
                    <w:t>3</w:t>
                  </w:r>
                  <w:r>
                    <w:rPr>
                      <w:rFonts w:hint="eastAsia" w:ascii="宋体" w:hAnsi="宋体" w:eastAsia="宋体" w:cs="宋体"/>
                      <w:b/>
                      <w:bCs/>
                      <w:color w:val="auto"/>
                      <w:kern w:val="2"/>
                      <w:sz w:val="21"/>
                      <w:szCs w:val="21"/>
                      <w:lang w:val="en-US" w:eastAsia="zh-CN" w:bidi="ar"/>
                    </w:rPr>
                    <w:t>）</w:t>
                  </w:r>
                </w:p>
              </w:tc>
              <w:tc>
                <w:tcPr>
                  <w:tcW w:w="1069" w:type="dxa"/>
                  <w:tcBorders>
                    <w:tl2br w:val="nil"/>
                    <w:tr2bl w:val="nil"/>
                  </w:tcBorders>
                  <w:shd w:val="clear" w:color="auto" w:fill="auto"/>
                  <w:vAlign w:val="center"/>
                </w:tcPr>
                <w:p w14:paraId="71D99F39">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eastAsia" w:ascii="Times New Roman" w:hAnsi="Times New Roman" w:eastAsia="宋体" w:cs="Times New Roman"/>
                      <w:b/>
                      <w:bCs/>
                      <w:color w:val="auto"/>
                      <w:kern w:val="2"/>
                      <w:sz w:val="21"/>
                      <w:szCs w:val="21"/>
                    </w:rPr>
                  </w:pPr>
                  <w:r>
                    <w:rPr>
                      <w:rFonts w:hint="eastAsia" w:ascii="宋体" w:hAnsi="宋体" w:eastAsia="宋体" w:cs="宋体"/>
                      <w:b/>
                      <w:bCs/>
                      <w:color w:val="auto"/>
                      <w:kern w:val="2"/>
                      <w:sz w:val="21"/>
                      <w:szCs w:val="21"/>
                      <w:lang w:val="en-US" w:eastAsia="zh-CN" w:bidi="ar"/>
                    </w:rPr>
                    <w:t>等标排放负荷</w:t>
                  </w:r>
                  <w:r>
                    <w:rPr>
                      <w:rFonts w:hint="default" w:ascii="Times New Roman" w:hAnsi="Times New Roman" w:eastAsia="宋体" w:cs="Times New Roman"/>
                      <w:b/>
                      <w:bCs/>
                      <w:color w:val="auto"/>
                      <w:kern w:val="2"/>
                      <w:sz w:val="21"/>
                      <w:szCs w:val="21"/>
                      <w:lang w:val="en-US" w:eastAsia="zh-CN" w:bidi="ar"/>
                    </w:rPr>
                    <w:t>Qc/Cm</w:t>
                  </w:r>
                </w:p>
              </w:tc>
              <w:tc>
                <w:tcPr>
                  <w:tcW w:w="596" w:type="dxa"/>
                  <w:tcBorders>
                    <w:tl2br w:val="nil"/>
                    <w:tr2bl w:val="nil"/>
                  </w:tcBorders>
                  <w:shd w:val="clear" w:color="auto" w:fill="auto"/>
                  <w:vAlign w:val="center"/>
                </w:tcPr>
                <w:p w14:paraId="3AE7BE58">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eastAsia" w:ascii="Times New Roman" w:hAnsi="Times New Roman" w:eastAsia="宋体" w:cs="Times New Roman"/>
                      <w:b/>
                      <w:bCs/>
                      <w:color w:val="auto"/>
                      <w:kern w:val="2"/>
                      <w:sz w:val="21"/>
                      <w:szCs w:val="21"/>
                    </w:rPr>
                  </w:pPr>
                  <w:r>
                    <w:rPr>
                      <w:rFonts w:hint="eastAsia" w:ascii="宋体" w:hAnsi="宋体" w:eastAsia="宋体" w:cs="宋体"/>
                      <w:b/>
                      <w:bCs/>
                      <w:color w:val="auto"/>
                      <w:kern w:val="2"/>
                      <w:sz w:val="21"/>
                      <w:szCs w:val="21"/>
                      <w:lang w:val="en-US" w:eastAsia="zh-CN" w:bidi="ar"/>
                    </w:rPr>
                    <w:t>排名</w:t>
                  </w:r>
                </w:p>
              </w:tc>
              <w:tc>
                <w:tcPr>
                  <w:tcW w:w="886" w:type="dxa"/>
                  <w:tcBorders>
                    <w:tl2br w:val="nil"/>
                    <w:tr2bl w:val="nil"/>
                  </w:tcBorders>
                  <w:shd w:val="clear" w:color="auto" w:fill="auto"/>
                  <w:vAlign w:val="center"/>
                </w:tcPr>
                <w:p w14:paraId="3615DE4B">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eastAsia" w:ascii="Times New Roman" w:hAnsi="Times New Roman" w:eastAsia="宋体" w:cs="Times New Roman"/>
                      <w:b/>
                      <w:bCs/>
                      <w:color w:val="auto"/>
                      <w:kern w:val="2"/>
                      <w:sz w:val="21"/>
                      <w:szCs w:val="21"/>
                    </w:rPr>
                  </w:pPr>
                  <w:r>
                    <w:rPr>
                      <w:rFonts w:hint="eastAsia" w:ascii="宋体" w:hAnsi="宋体" w:eastAsia="宋体" w:cs="宋体"/>
                      <w:b/>
                      <w:bCs/>
                      <w:color w:val="auto"/>
                      <w:kern w:val="2"/>
                      <w:sz w:val="21"/>
                      <w:szCs w:val="21"/>
                      <w:lang w:val="en-US" w:eastAsia="zh-CN" w:bidi="ar"/>
                    </w:rPr>
                    <w:t>是否参与计算</w:t>
                  </w:r>
                </w:p>
              </w:tc>
              <w:tc>
                <w:tcPr>
                  <w:tcW w:w="1526" w:type="dxa"/>
                  <w:tcBorders>
                    <w:tl2br w:val="nil"/>
                    <w:tr2bl w:val="nil"/>
                  </w:tcBorders>
                  <w:shd w:val="clear" w:color="auto" w:fill="auto"/>
                  <w:vAlign w:val="center"/>
                </w:tcPr>
                <w:p w14:paraId="347A2395">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eastAsia" w:ascii="Times New Roman" w:hAnsi="Times New Roman" w:eastAsia="宋体" w:cs="Times New Roman"/>
                      <w:b/>
                      <w:bCs/>
                      <w:color w:val="auto"/>
                      <w:kern w:val="2"/>
                      <w:sz w:val="21"/>
                      <w:szCs w:val="21"/>
                    </w:rPr>
                  </w:pPr>
                  <w:r>
                    <w:rPr>
                      <w:rFonts w:hint="eastAsia" w:ascii="宋体" w:hAnsi="宋体" w:eastAsia="宋体" w:cs="宋体"/>
                      <w:b/>
                      <w:bCs/>
                      <w:color w:val="auto"/>
                      <w:kern w:val="2"/>
                      <w:sz w:val="21"/>
                      <w:szCs w:val="21"/>
                      <w:lang w:val="en-US" w:eastAsia="zh-CN" w:bidi="ar"/>
                    </w:rPr>
                    <w:t>备注</w:t>
                  </w:r>
                </w:p>
              </w:tc>
            </w:tr>
            <w:tr w14:paraId="10C5EE9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5" w:hRule="atLeast"/>
              </w:trPr>
              <w:tc>
                <w:tcPr>
                  <w:tcW w:w="671" w:type="dxa"/>
                  <w:vMerge w:val="restart"/>
                  <w:tcBorders>
                    <w:tl2br w:val="nil"/>
                    <w:tr2bl w:val="nil"/>
                  </w:tcBorders>
                  <w:shd w:val="clear" w:color="auto" w:fill="auto"/>
                  <w:vAlign w:val="center"/>
                </w:tcPr>
                <w:p w14:paraId="61CD83F9">
                  <w:pPr>
                    <w:keepNext w:val="0"/>
                    <w:keepLines w:val="0"/>
                    <w:pageBreakBefore w:val="0"/>
                    <w:suppressLineNumbers w:val="0"/>
                    <w:kinsoku/>
                    <w:wordWrap/>
                    <w:overflowPunct/>
                    <w:topLinePunct w:val="0"/>
                    <w:autoSpaceDN/>
                    <w:bidi w:val="0"/>
                    <w:adjustRightInd/>
                    <w:snapToGrid/>
                    <w:spacing w:before="0" w:beforeAutospacing="0" w:after="0" w:afterAutospacing="0" w:line="240" w:lineRule="auto"/>
                    <w:ind w:left="0" w:right="0"/>
                    <w:rPr>
                      <w:rFonts w:hint="default" w:ascii="Times New Roman" w:hAnsi="Times New Roman" w:eastAsia="宋体" w:cs="Times New Roman"/>
                      <w:color w:val="auto"/>
                      <w:sz w:val="20"/>
                      <w:szCs w:val="20"/>
                      <w:lang w:val="en-US" w:eastAsia="zh-CN"/>
                    </w:rPr>
                  </w:pPr>
                  <w:r>
                    <w:rPr>
                      <w:rFonts w:hint="eastAsia" w:cs="Times New Roman"/>
                      <w:color w:val="auto"/>
                      <w:sz w:val="20"/>
                      <w:szCs w:val="20"/>
                      <w:lang w:val="en-US" w:eastAsia="zh-CN"/>
                    </w:rPr>
                    <w:t>生产车间</w:t>
                  </w:r>
                </w:p>
              </w:tc>
              <w:tc>
                <w:tcPr>
                  <w:tcW w:w="672" w:type="dxa"/>
                  <w:vMerge w:val="restart"/>
                  <w:tcBorders>
                    <w:tl2br w:val="nil"/>
                    <w:tr2bl w:val="nil"/>
                  </w:tcBorders>
                  <w:shd w:val="clear" w:color="auto" w:fill="auto"/>
                  <w:vAlign w:val="center"/>
                </w:tcPr>
                <w:p w14:paraId="3BC7ADA6">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lang w:val="en-US" w:eastAsia="zh-CN" w:bidi="ar"/>
                    </w:rPr>
                  </w:pPr>
                  <w:r>
                    <w:rPr>
                      <w:rFonts w:hint="default" w:ascii="Times New Roman" w:hAnsi="Times New Roman" w:eastAsia="宋体" w:cs="Times New Roman"/>
                      <w:color w:val="auto"/>
                      <w:kern w:val="2"/>
                      <w:sz w:val="21"/>
                      <w:szCs w:val="21"/>
                      <w:lang w:val="en-US" w:eastAsia="zh-CN" w:bidi="ar"/>
                    </w:rPr>
                    <w:t>注塑鞋底制造线</w:t>
                  </w:r>
                </w:p>
              </w:tc>
              <w:tc>
                <w:tcPr>
                  <w:tcW w:w="917" w:type="dxa"/>
                  <w:tcBorders>
                    <w:tl2br w:val="nil"/>
                    <w:tr2bl w:val="nil"/>
                  </w:tcBorders>
                  <w:shd w:val="clear" w:color="auto" w:fill="auto"/>
                  <w:vAlign w:val="center"/>
                </w:tcPr>
                <w:p w14:paraId="747E3EB0">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lang w:val="en-US" w:eastAsia="zh-CN" w:bidi="ar"/>
                    </w:rPr>
                  </w:pPr>
                  <w:r>
                    <w:rPr>
                      <w:rFonts w:hint="default" w:ascii="Times New Roman" w:hAnsi="Times New Roman" w:eastAsia="宋体" w:cs="Times New Roman"/>
                      <w:color w:val="auto"/>
                      <w:kern w:val="2"/>
                      <w:sz w:val="21"/>
                      <w:szCs w:val="21"/>
                      <w:lang w:val="en-US" w:eastAsia="zh-CN" w:bidi="ar"/>
                    </w:rPr>
                    <w:t>TSP</w:t>
                  </w:r>
                </w:p>
              </w:tc>
              <w:tc>
                <w:tcPr>
                  <w:tcW w:w="1238" w:type="dxa"/>
                  <w:tcBorders>
                    <w:tl2br w:val="nil"/>
                    <w:tr2bl w:val="nil"/>
                  </w:tcBorders>
                  <w:shd w:val="clear" w:color="auto" w:fill="auto"/>
                  <w:vAlign w:val="center"/>
                </w:tcPr>
                <w:p w14:paraId="4DD323E2">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lang w:val="en-US" w:eastAsia="zh-CN" w:bidi="ar"/>
                    </w:rPr>
                  </w:pPr>
                  <w:r>
                    <w:rPr>
                      <w:rFonts w:hint="eastAsia" w:ascii="Times New Roman" w:hAnsi="Times New Roman" w:cs="Times New Roman"/>
                      <w:color w:val="auto"/>
                      <w:kern w:val="2"/>
                      <w:sz w:val="21"/>
                      <w:szCs w:val="21"/>
                      <w:lang w:val="en-US" w:eastAsia="zh-CN" w:bidi="ar"/>
                    </w:rPr>
                    <w:t>0.217</w:t>
                  </w:r>
                </w:p>
              </w:tc>
              <w:tc>
                <w:tcPr>
                  <w:tcW w:w="1284" w:type="dxa"/>
                  <w:tcBorders>
                    <w:tl2br w:val="nil"/>
                    <w:tr2bl w:val="nil"/>
                  </w:tcBorders>
                  <w:shd w:val="clear" w:color="auto" w:fill="auto"/>
                  <w:vAlign w:val="center"/>
                </w:tcPr>
                <w:p w14:paraId="5FF0DF78">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lang w:val="en-US" w:eastAsia="zh-CN" w:bidi="ar"/>
                    </w:rPr>
                  </w:pPr>
                  <w:r>
                    <w:rPr>
                      <w:rFonts w:hint="default" w:ascii="Times New Roman" w:hAnsi="Times New Roman" w:eastAsia="宋体" w:cs="Times New Roman"/>
                      <w:color w:val="auto"/>
                      <w:kern w:val="2"/>
                      <w:sz w:val="21"/>
                      <w:szCs w:val="21"/>
                      <w:lang w:val="en-US" w:eastAsia="zh-CN" w:bidi="ar"/>
                    </w:rPr>
                    <w:t>0.9</w:t>
                  </w:r>
                </w:p>
              </w:tc>
              <w:tc>
                <w:tcPr>
                  <w:tcW w:w="1069" w:type="dxa"/>
                  <w:tcBorders>
                    <w:tl2br w:val="nil"/>
                    <w:tr2bl w:val="nil"/>
                  </w:tcBorders>
                  <w:shd w:val="clear" w:color="auto" w:fill="auto"/>
                  <w:vAlign w:val="center"/>
                </w:tcPr>
                <w:p w14:paraId="68E0B299">
                  <w:pPr>
                    <w:keepNext w:val="0"/>
                    <w:keepLines w:val="0"/>
                    <w:pageBreakBefore w:val="0"/>
                    <w:widowControl/>
                    <w:suppressLineNumbers w:val="0"/>
                    <w:kinsoku/>
                    <w:wordWrap/>
                    <w:overflowPunct/>
                    <w:topLinePunct w:val="0"/>
                    <w:autoSpaceDE w:val="0"/>
                    <w:autoSpaceDN/>
                    <w:bidi w:val="0"/>
                    <w:adjustRightInd/>
                    <w:snapToGrid/>
                    <w:spacing w:before="0" w:beforeAutospacing="0" w:after="0" w:afterAutospacing="0" w:line="240" w:lineRule="auto"/>
                    <w:ind w:left="0" w:leftChars="0" w:right="0" w:firstLine="0" w:firstLineChars="0"/>
                    <w:jc w:val="center"/>
                    <w:textAlignment w:val="center"/>
                    <w:rPr>
                      <w:rFonts w:hint="default" w:ascii="Times New Roman" w:hAnsi="Times New Roman"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0.241</w:t>
                  </w:r>
                </w:p>
              </w:tc>
              <w:tc>
                <w:tcPr>
                  <w:tcW w:w="596" w:type="dxa"/>
                  <w:tcBorders>
                    <w:tl2br w:val="nil"/>
                    <w:tr2bl w:val="nil"/>
                  </w:tcBorders>
                  <w:shd w:val="clear" w:color="auto" w:fill="auto"/>
                  <w:vAlign w:val="center"/>
                </w:tcPr>
                <w:p w14:paraId="5E7755F9">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lang w:val="en-US" w:eastAsia="zh-CN" w:bidi="ar"/>
                    </w:rPr>
                  </w:pPr>
                  <w:r>
                    <w:rPr>
                      <w:rFonts w:hint="eastAsia" w:ascii="Times New Roman" w:hAnsi="Times New Roman" w:cs="Times New Roman"/>
                      <w:color w:val="auto"/>
                      <w:kern w:val="2"/>
                      <w:sz w:val="21"/>
                      <w:szCs w:val="21"/>
                      <w:lang w:val="en-US" w:eastAsia="zh-CN" w:bidi="ar"/>
                    </w:rPr>
                    <w:t>1</w:t>
                  </w:r>
                </w:p>
              </w:tc>
              <w:tc>
                <w:tcPr>
                  <w:tcW w:w="886" w:type="dxa"/>
                  <w:tcBorders>
                    <w:tl2br w:val="nil"/>
                    <w:tr2bl w:val="nil"/>
                  </w:tcBorders>
                  <w:shd w:val="clear" w:color="auto" w:fill="auto"/>
                  <w:vAlign w:val="center"/>
                </w:tcPr>
                <w:p w14:paraId="55FAB729">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lang w:val="en-US" w:eastAsia="zh-CN" w:bidi="ar"/>
                    </w:rPr>
                  </w:pPr>
                  <w:r>
                    <w:rPr>
                      <w:rFonts w:hint="eastAsia" w:ascii="Times New Roman" w:hAnsi="Times New Roman" w:cs="Times New Roman"/>
                      <w:color w:val="auto"/>
                      <w:kern w:val="2"/>
                      <w:sz w:val="21"/>
                      <w:szCs w:val="21"/>
                      <w:lang w:val="en-US" w:eastAsia="zh-CN" w:bidi="ar"/>
                    </w:rPr>
                    <w:t>是</w:t>
                  </w:r>
                </w:p>
              </w:tc>
              <w:tc>
                <w:tcPr>
                  <w:tcW w:w="1526" w:type="dxa"/>
                  <w:vMerge w:val="restart"/>
                  <w:tcBorders>
                    <w:tl2br w:val="nil"/>
                    <w:tr2bl w:val="nil"/>
                  </w:tcBorders>
                  <w:shd w:val="clear" w:color="auto" w:fill="auto"/>
                  <w:vAlign w:val="center"/>
                </w:tcPr>
                <w:p w14:paraId="159F870C">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lang w:val="en-US" w:eastAsia="zh-CN" w:bidi="ar"/>
                    </w:rPr>
                  </w:pPr>
                  <w:r>
                    <w:rPr>
                      <w:rFonts w:hint="eastAsia" w:ascii="宋体" w:hAnsi="宋体" w:eastAsia="宋体" w:cs="宋体"/>
                      <w:color w:val="auto"/>
                      <w:kern w:val="2"/>
                      <w:sz w:val="21"/>
                      <w:szCs w:val="21"/>
                      <w:lang w:val="en-US" w:eastAsia="zh-CN" w:bidi="ar"/>
                    </w:rPr>
                    <w:t>等标差值大于</w:t>
                  </w:r>
                  <w:r>
                    <w:rPr>
                      <w:rFonts w:hint="default" w:ascii="Times New Roman" w:hAnsi="Times New Roman" w:eastAsia="宋体" w:cs="Times New Roman"/>
                      <w:color w:val="auto"/>
                      <w:kern w:val="2"/>
                      <w:sz w:val="21"/>
                      <w:szCs w:val="21"/>
                      <w:lang w:val="en-US" w:eastAsia="zh-CN" w:bidi="ar"/>
                    </w:rPr>
                    <w:t>10%</w:t>
                  </w:r>
                </w:p>
              </w:tc>
            </w:tr>
            <w:tr w14:paraId="438E845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95" w:hRule="atLeast"/>
              </w:trPr>
              <w:tc>
                <w:tcPr>
                  <w:tcW w:w="671" w:type="dxa"/>
                  <w:vMerge w:val="continue"/>
                  <w:tcBorders>
                    <w:tl2br w:val="nil"/>
                    <w:tr2bl w:val="nil"/>
                  </w:tcBorders>
                  <w:shd w:val="clear" w:color="auto" w:fill="auto"/>
                  <w:vAlign w:val="center"/>
                </w:tcPr>
                <w:p w14:paraId="45C8622C">
                  <w:pPr>
                    <w:keepNext w:val="0"/>
                    <w:keepLines w:val="0"/>
                    <w:pageBreakBefore w:val="0"/>
                    <w:suppressLineNumbers w:val="0"/>
                    <w:kinsoku/>
                    <w:wordWrap/>
                    <w:overflowPunct/>
                    <w:topLinePunct w:val="0"/>
                    <w:autoSpaceDN/>
                    <w:bidi w:val="0"/>
                    <w:adjustRightInd/>
                    <w:snapToGrid/>
                    <w:spacing w:before="0" w:beforeAutospacing="0" w:after="0" w:afterAutospacing="0" w:line="240" w:lineRule="auto"/>
                    <w:ind w:left="0" w:right="0"/>
                    <w:rPr>
                      <w:rFonts w:hint="default" w:ascii="Times New Roman" w:hAnsi="Times New Roman" w:cs="Times New Roman"/>
                      <w:color w:val="auto"/>
                      <w:sz w:val="20"/>
                      <w:szCs w:val="20"/>
                    </w:rPr>
                  </w:pPr>
                </w:p>
              </w:tc>
              <w:tc>
                <w:tcPr>
                  <w:tcW w:w="672" w:type="dxa"/>
                  <w:vMerge w:val="continue"/>
                  <w:tcBorders>
                    <w:tl2br w:val="nil"/>
                    <w:tr2bl w:val="nil"/>
                  </w:tcBorders>
                  <w:shd w:val="clear" w:color="auto" w:fill="auto"/>
                  <w:vAlign w:val="center"/>
                </w:tcPr>
                <w:p w14:paraId="1BFB4845">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lang w:val="en-US" w:eastAsia="zh-CN" w:bidi="ar"/>
                    </w:rPr>
                  </w:pPr>
                </w:p>
              </w:tc>
              <w:tc>
                <w:tcPr>
                  <w:tcW w:w="917" w:type="dxa"/>
                  <w:tcBorders>
                    <w:tl2br w:val="nil"/>
                    <w:tr2bl w:val="nil"/>
                  </w:tcBorders>
                  <w:shd w:val="clear" w:color="auto" w:fill="auto"/>
                  <w:vAlign w:val="center"/>
                </w:tcPr>
                <w:p w14:paraId="4FCE0490">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lang w:val="en-US" w:eastAsia="zh-CN" w:bidi="ar"/>
                    </w:rPr>
                  </w:pPr>
                  <w:r>
                    <w:rPr>
                      <w:rFonts w:hint="default" w:ascii="Times New Roman" w:hAnsi="Times New Roman" w:eastAsia="宋体" w:cs="Times New Roman"/>
                      <w:color w:val="auto"/>
                      <w:kern w:val="2"/>
                      <w:sz w:val="21"/>
                      <w:szCs w:val="21"/>
                      <w:lang w:val="en-US" w:eastAsia="zh-CN" w:bidi="ar"/>
                    </w:rPr>
                    <w:t>非甲烷总烃</w:t>
                  </w:r>
                </w:p>
              </w:tc>
              <w:tc>
                <w:tcPr>
                  <w:tcW w:w="1238" w:type="dxa"/>
                  <w:tcBorders>
                    <w:tl2br w:val="nil"/>
                    <w:tr2bl w:val="nil"/>
                  </w:tcBorders>
                  <w:shd w:val="clear" w:color="auto" w:fill="auto"/>
                  <w:vAlign w:val="center"/>
                </w:tcPr>
                <w:p w14:paraId="1502AA33">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lang w:val="en-US" w:eastAsia="zh-CN" w:bidi="ar"/>
                    </w:rPr>
                  </w:pPr>
                  <w:r>
                    <w:rPr>
                      <w:rFonts w:hint="eastAsia" w:ascii="Times New Roman" w:hAnsi="Times New Roman" w:cs="Times New Roman"/>
                      <w:color w:val="auto"/>
                      <w:kern w:val="2"/>
                      <w:sz w:val="21"/>
                      <w:szCs w:val="21"/>
                      <w:lang w:val="en-US" w:eastAsia="zh-CN" w:bidi="ar"/>
                    </w:rPr>
                    <w:t>0.086</w:t>
                  </w:r>
                </w:p>
              </w:tc>
              <w:tc>
                <w:tcPr>
                  <w:tcW w:w="1284" w:type="dxa"/>
                  <w:tcBorders>
                    <w:tl2br w:val="nil"/>
                    <w:tr2bl w:val="nil"/>
                  </w:tcBorders>
                  <w:shd w:val="clear" w:color="auto" w:fill="auto"/>
                  <w:vAlign w:val="center"/>
                </w:tcPr>
                <w:p w14:paraId="7500F274">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lang w:val="en-US" w:eastAsia="zh-CN" w:bidi="ar"/>
                    </w:rPr>
                  </w:pPr>
                  <w:r>
                    <w:rPr>
                      <w:rFonts w:hint="eastAsia" w:ascii="Times New Roman" w:hAnsi="Times New Roman" w:cs="Times New Roman"/>
                      <w:color w:val="auto"/>
                      <w:kern w:val="2"/>
                      <w:sz w:val="21"/>
                      <w:szCs w:val="21"/>
                      <w:lang w:val="en-US" w:eastAsia="zh-CN" w:bidi="ar"/>
                    </w:rPr>
                    <w:t>2.0</w:t>
                  </w:r>
                </w:p>
              </w:tc>
              <w:tc>
                <w:tcPr>
                  <w:tcW w:w="1069" w:type="dxa"/>
                  <w:tcBorders>
                    <w:tl2br w:val="nil"/>
                    <w:tr2bl w:val="nil"/>
                  </w:tcBorders>
                  <w:shd w:val="clear" w:color="auto" w:fill="auto"/>
                  <w:vAlign w:val="center"/>
                </w:tcPr>
                <w:p w14:paraId="3158F132">
                  <w:pPr>
                    <w:keepNext w:val="0"/>
                    <w:keepLines w:val="0"/>
                    <w:pageBreakBefore w:val="0"/>
                    <w:widowControl/>
                    <w:suppressLineNumbers w:val="0"/>
                    <w:kinsoku/>
                    <w:wordWrap/>
                    <w:overflowPunct/>
                    <w:topLinePunct w:val="0"/>
                    <w:autoSpaceDE w:val="0"/>
                    <w:autoSpaceDN/>
                    <w:bidi w:val="0"/>
                    <w:adjustRightInd/>
                    <w:snapToGrid/>
                    <w:spacing w:before="0" w:beforeAutospacing="0" w:after="0" w:afterAutospacing="0" w:line="240" w:lineRule="auto"/>
                    <w:ind w:left="0" w:leftChars="0" w:right="0" w:firstLine="0" w:firstLineChars="0"/>
                    <w:jc w:val="center"/>
                    <w:textAlignment w:val="center"/>
                    <w:rPr>
                      <w:rFonts w:hint="default" w:ascii="Times New Roman" w:hAnsi="Times New Roman"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0.043</w:t>
                  </w:r>
                </w:p>
              </w:tc>
              <w:tc>
                <w:tcPr>
                  <w:tcW w:w="596" w:type="dxa"/>
                  <w:tcBorders>
                    <w:tl2br w:val="nil"/>
                    <w:tr2bl w:val="nil"/>
                  </w:tcBorders>
                  <w:shd w:val="clear" w:color="auto" w:fill="auto"/>
                  <w:vAlign w:val="center"/>
                </w:tcPr>
                <w:p w14:paraId="05DCBCAF">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lang w:val="en-US" w:eastAsia="zh-CN" w:bidi="ar"/>
                    </w:rPr>
                  </w:pPr>
                  <w:r>
                    <w:rPr>
                      <w:rFonts w:hint="eastAsia" w:ascii="Times New Roman" w:hAnsi="Times New Roman" w:cs="Times New Roman"/>
                      <w:color w:val="auto"/>
                      <w:kern w:val="2"/>
                      <w:sz w:val="21"/>
                      <w:szCs w:val="21"/>
                      <w:lang w:val="en-US" w:eastAsia="zh-CN" w:bidi="ar"/>
                    </w:rPr>
                    <w:t>2</w:t>
                  </w:r>
                </w:p>
              </w:tc>
              <w:tc>
                <w:tcPr>
                  <w:tcW w:w="886" w:type="dxa"/>
                  <w:tcBorders>
                    <w:tl2br w:val="nil"/>
                    <w:tr2bl w:val="nil"/>
                  </w:tcBorders>
                  <w:shd w:val="clear" w:color="auto" w:fill="auto"/>
                  <w:vAlign w:val="center"/>
                </w:tcPr>
                <w:p w14:paraId="3D95936A">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lang w:val="en-US" w:eastAsia="zh-CN" w:bidi="ar"/>
                    </w:rPr>
                  </w:pPr>
                  <w:r>
                    <w:rPr>
                      <w:rFonts w:hint="eastAsia" w:ascii="Times New Roman" w:hAnsi="Times New Roman" w:cs="Times New Roman"/>
                      <w:color w:val="auto"/>
                      <w:kern w:val="2"/>
                      <w:sz w:val="21"/>
                      <w:szCs w:val="21"/>
                      <w:lang w:val="en-US" w:eastAsia="zh-CN" w:bidi="ar"/>
                    </w:rPr>
                    <w:t>否</w:t>
                  </w:r>
                </w:p>
              </w:tc>
              <w:tc>
                <w:tcPr>
                  <w:tcW w:w="1526" w:type="dxa"/>
                  <w:vMerge w:val="continue"/>
                  <w:tcBorders>
                    <w:tl2br w:val="nil"/>
                    <w:tr2bl w:val="nil"/>
                  </w:tcBorders>
                  <w:shd w:val="clear" w:color="auto" w:fill="auto"/>
                  <w:vAlign w:val="center"/>
                </w:tcPr>
                <w:p w14:paraId="25E9B142">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lang w:val="en-US" w:eastAsia="zh-CN" w:bidi="ar"/>
                    </w:rPr>
                  </w:pPr>
                </w:p>
              </w:tc>
            </w:tr>
            <w:tr w14:paraId="4759AB7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5" w:hRule="atLeast"/>
              </w:trPr>
              <w:tc>
                <w:tcPr>
                  <w:tcW w:w="671" w:type="dxa"/>
                  <w:vMerge w:val="continue"/>
                  <w:tcBorders>
                    <w:tl2br w:val="nil"/>
                    <w:tr2bl w:val="nil"/>
                  </w:tcBorders>
                  <w:shd w:val="clear" w:color="auto" w:fill="auto"/>
                  <w:vAlign w:val="center"/>
                </w:tcPr>
                <w:p w14:paraId="44C29C3A">
                  <w:pPr>
                    <w:keepNext w:val="0"/>
                    <w:keepLines w:val="0"/>
                    <w:pageBreakBefore w:val="0"/>
                    <w:suppressLineNumbers w:val="0"/>
                    <w:kinsoku/>
                    <w:wordWrap/>
                    <w:overflowPunct/>
                    <w:topLinePunct w:val="0"/>
                    <w:autoSpaceDN/>
                    <w:bidi w:val="0"/>
                    <w:adjustRightInd/>
                    <w:snapToGrid/>
                    <w:spacing w:before="0" w:beforeAutospacing="0" w:after="0" w:afterAutospacing="0" w:line="240" w:lineRule="auto"/>
                    <w:ind w:left="0" w:right="0"/>
                    <w:rPr>
                      <w:rFonts w:hint="default" w:ascii="Times New Roman" w:hAnsi="Times New Roman" w:cs="Times New Roman"/>
                      <w:color w:val="auto"/>
                      <w:sz w:val="20"/>
                      <w:szCs w:val="20"/>
                    </w:rPr>
                  </w:pPr>
                </w:p>
              </w:tc>
              <w:tc>
                <w:tcPr>
                  <w:tcW w:w="672" w:type="dxa"/>
                  <w:vMerge w:val="continue"/>
                  <w:tcBorders>
                    <w:tl2br w:val="nil"/>
                    <w:tr2bl w:val="nil"/>
                  </w:tcBorders>
                  <w:shd w:val="clear" w:color="auto" w:fill="auto"/>
                  <w:vAlign w:val="center"/>
                </w:tcPr>
                <w:p w14:paraId="6924D935">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lang w:val="en-US" w:eastAsia="zh-CN" w:bidi="ar"/>
                    </w:rPr>
                  </w:pPr>
                </w:p>
              </w:tc>
              <w:tc>
                <w:tcPr>
                  <w:tcW w:w="917" w:type="dxa"/>
                  <w:tcBorders>
                    <w:tl2br w:val="nil"/>
                    <w:tr2bl w:val="nil"/>
                  </w:tcBorders>
                  <w:shd w:val="clear" w:color="auto" w:fill="auto"/>
                  <w:vAlign w:val="center"/>
                </w:tcPr>
                <w:p w14:paraId="2EA26612">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lang w:val="en-US" w:eastAsia="zh-CN" w:bidi="ar"/>
                    </w:rPr>
                  </w:pPr>
                  <w:r>
                    <w:rPr>
                      <w:rFonts w:hint="eastAsia" w:ascii="Times New Roman" w:hAnsi="Times New Roman" w:cs="Times New Roman"/>
                      <w:color w:val="auto"/>
                      <w:kern w:val="2"/>
                      <w:sz w:val="21"/>
                      <w:szCs w:val="21"/>
                      <w:lang w:val="en-US" w:eastAsia="zh-CN" w:bidi="ar"/>
                    </w:rPr>
                    <w:t>HCl</w:t>
                  </w:r>
                </w:p>
              </w:tc>
              <w:tc>
                <w:tcPr>
                  <w:tcW w:w="1238" w:type="dxa"/>
                  <w:tcBorders>
                    <w:tl2br w:val="nil"/>
                    <w:tr2bl w:val="nil"/>
                  </w:tcBorders>
                  <w:shd w:val="clear" w:color="auto" w:fill="auto"/>
                  <w:vAlign w:val="center"/>
                </w:tcPr>
                <w:p w14:paraId="654BA07F">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lang w:val="en-US" w:eastAsia="zh-CN" w:bidi="ar"/>
                    </w:rPr>
                  </w:pPr>
                  <w:r>
                    <w:rPr>
                      <w:rFonts w:hint="eastAsia" w:ascii="Times New Roman" w:hAnsi="Times New Roman" w:cs="Times New Roman"/>
                      <w:color w:val="auto"/>
                      <w:kern w:val="2"/>
                      <w:sz w:val="21"/>
                      <w:szCs w:val="21"/>
                      <w:lang w:val="en-US" w:eastAsia="zh-CN" w:bidi="ar"/>
                    </w:rPr>
                    <w:t>0.0005</w:t>
                  </w:r>
                </w:p>
              </w:tc>
              <w:tc>
                <w:tcPr>
                  <w:tcW w:w="1284" w:type="dxa"/>
                  <w:tcBorders>
                    <w:tl2br w:val="nil"/>
                    <w:tr2bl w:val="nil"/>
                  </w:tcBorders>
                  <w:shd w:val="clear" w:color="auto" w:fill="auto"/>
                  <w:vAlign w:val="center"/>
                </w:tcPr>
                <w:p w14:paraId="5E7BD4AE">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lang w:val="en-US" w:eastAsia="zh-CN" w:bidi="ar"/>
                    </w:rPr>
                  </w:pPr>
                  <w:r>
                    <w:rPr>
                      <w:rFonts w:hint="eastAsia" w:ascii="Times New Roman" w:hAnsi="Times New Roman" w:cs="Times New Roman"/>
                      <w:color w:val="auto"/>
                      <w:kern w:val="2"/>
                      <w:sz w:val="21"/>
                      <w:szCs w:val="21"/>
                      <w:lang w:val="en-US" w:eastAsia="zh-CN" w:bidi="ar"/>
                    </w:rPr>
                    <w:t>0.2</w:t>
                  </w:r>
                </w:p>
              </w:tc>
              <w:tc>
                <w:tcPr>
                  <w:tcW w:w="1069" w:type="dxa"/>
                  <w:tcBorders>
                    <w:tl2br w:val="nil"/>
                    <w:tr2bl w:val="nil"/>
                  </w:tcBorders>
                  <w:shd w:val="clear" w:color="auto" w:fill="auto"/>
                  <w:vAlign w:val="center"/>
                </w:tcPr>
                <w:p w14:paraId="1F36F4EB">
                  <w:pPr>
                    <w:keepNext w:val="0"/>
                    <w:keepLines w:val="0"/>
                    <w:pageBreakBefore w:val="0"/>
                    <w:widowControl/>
                    <w:suppressLineNumbers w:val="0"/>
                    <w:kinsoku/>
                    <w:wordWrap/>
                    <w:overflowPunct/>
                    <w:topLinePunct w:val="0"/>
                    <w:autoSpaceDE w:val="0"/>
                    <w:autoSpaceDN/>
                    <w:bidi w:val="0"/>
                    <w:adjustRightInd/>
                    <w:snapToGrid/>
                    <w:spacing w:before="0" w:beforeAutospacing="0" w:after="0" w:afterAutospacing="0" w:line="240" w:lineRule="auto"/>
                    <w:ind w:left="0" w:leftChars="0" w:right="0" w:firstLine="0" w:firstLineChars="0"/>
                    <w:jc w:val="center"/>
                    <w:textAlignment w:val="center"/>
                    <w:rPr>
                      <w:rFonts w:hint="default" w:ascii="Times New Roman" w:hAnsi="Times New Roman"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0.0025</w:t>
                  </w:r>
                </w:p>
              </w:tc>
              <w:tc>
                <w:tcPr>
                  <w:tcW w:w="596" w:type="dxa"/>
                  <w:tcBorders>
                    <w:tl2br w:val="nil"/>
                    <w:tr2bl w:val="nil"/>
                  </w:tcBorders>
                  <w:shd w:val="clear" w:color="auto" w:fill="auto"/>
                  <w:vAlign w:val="center"/>
                </w:tcPr>
                <w:p w14:paraId="0088C57E">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lang w:val="en-US" w:eastAsia="zh-CN" w:bidi="ar"/>
                    </w:rPr>
                  </w:pPr>
                  <w:r>
                    <w:rPr>
                      <w:rFonts w:hint="eastAsia" w:ascii="Times New Roman" w:hAnsi="Times New Roman" w:cs="Times New Roman"/>
                      <w:color w:val="auto"/>
                      <w:kern w:val="2"/>
                      <w:sz w:val="21"/>
                      <w:szCs w:val="21"/>
                      <w:lang w:val="en-US" w:eastAsia="zh-CN" w:bidi="ar"/>
                    </w:rPr>
                    <w:t>3</w:t>
                  </w:r>
                </w:p>
              </w:tc>
              <w:tc>
                <w:tcPr>
                  <w:tcW w:w="886" w:type="dxa"/>
                  <w:tcBorders>
                    <w:tl2br w:val="nil"/>
                    <w:tr2bl w:val="nil"/>
                  </w:tcBorders>
                  <w:shd w:val="clear" w:color="auto" w:fill="auto"/>
                  <w:vAlign w:val="center"/>
                </w:tcPr>
                <w:p w14:paraId="6E4174A3">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lang w:val="en-US" w:eastAsia="zh-CN" w:bidi="ar"/>
                    </w:rPr>
                  </w:pPr>
                  <w:r>
                    <w:rPr>
                      <w:rFonts w:hint="eastAsia" w:ascii="Times New Roman" w:hAnsi="Times New Roman" w:cs="Times New Roman"/>
                      <w:color w:val="auto"/>
                      <w:kern w:val="2"/>
                      <w:sz w:val="21"/>
                      <w:szCs w:val="21"/>
                      <w:lang w:val="en-US" w:eastAsia="zh-CN" w:bidi="ar"/>
                    </w:rPr>
                    <w:t>否</w:t>
                  </w:r>
                </w:p>
              </w:tc>
              <w:tc>
                <w:tcPr>
                  <w:tcW w:w="1526" w:type="dxa"/>
                  <w:vMerge w:val="continue"/>
                  <w:tcBorders>
                    <w:tl2br w:val="nil"/>
                    <w:tr2bl w:val="nil"/>
                  </w:tcBorders>
                  <w:shd w:val="clear" w:color="auto" w:fill="auto"/>
                  <w:vAlign w:val="center"/>
                </w:tcPr>
                <w:p w14:paraId="6D5B2ECA">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lang w:val="en-US" w:eastAsia="zh-CN" w:bidi="ar"/>
                    </w:rPr>
                  </w:pPr>
                </w:p>
              </w:tc>
            </w:tr>
            <w:tr w14:paraId="15841D6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16" w:hRule="atLeast"/>
              </w:trPr>
              <w:tc>
                <w:tcPr>
                  <w:tcW w:w="671" w:type="dxa"/>
                  <w:vMerge w:val="continue"/>
                  <w:tcBorders>
                    <w:tl2br w:val="nil"/>
                    <w:tr2bl w:val="nil"/>
                  </w:tcBorders>
                  <w:shd w:val="clear" w:color="auto" w:fill="auto"/>
                  <w:vAlign w:val="center"/>
                </w:tcPr>
                <w:p w14:paraId="7FD80C64">
                  <w:pPr>
                    <w:keepNext w:val="0"/>
                    <w:keepLines w:val="0"/>
                    <w:pageBreakBefore w:val="0"/>
                    <w:suppressLineNumbers w:val="0"/>
                    <w:kinsoku/>
                    <w:wordWrap/>
                    <w:overflowPunct/>
                    <w:topLinePunct w:val="0"/>
                    <w:autoSpaceDN/>
                    <w:bidi w:val="0"/>
                    <w:adjustRightInd/>
                    <w:snapToGrid/>
                    <w:spacing w:before="0" w:beforeAutospacing="0" w:after="0" w:afterAutospacing="0" w:line="240" w:lineRule="auto"/>
                    <w:ind w:left="0" w:right="0"/>
                    <w:rPr>
                      <w:rFonts w:hint="default" w:ascii="Times New Roman" w:hAnsi="Times New Roman" w:cs="Times New Roman"/>
                      <w:color w:val="auto"/>
                      <w:sz w:val="20"/>
                      <w:szCs w:val="20"/>
                    </w:rPr>
                  </w:pPr>
                </w:p>
              </w:tc>
              <w:tc>
                <w:tcPr>
                  <w:tcW w:w="672" w:type="dxa"/>
                  <w:tcBorders>
                    <w:tl2br w:val="nil"/>
                    <w:tr2bl w:val="nil"/>
                  </w:tcBorders>
                  <w:shd w:val="clear" w:color="auto" w:fill="auto"/>
                  <w:vAlign w:val="center"/>
                </w:tcPr>
                <w:p w14:paraId="3542E94E">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lang w:val="en-US" w:eastAsia="zh-CN" w:bidi="ar"/>
                    </w:rPr>
                  </w:pPr>
                  <w:r>
                    <w:rPr>
                      <w:rFonts w:hint="eastAsia" w:ascii="Times New Roman" w:hAnsi="Times New Roman" w:cs="Times New Roman"/>
                      <w:color w:val="auto"/>
                      <w:kern w:val="2"/>
                      <w:sz w:val="21"/>
                      <w:szCs w:val="21"/>
                      <w:lang w:val="en-US" w:eastAsia="zh-CN" w:bidi="ar"/>
                    </w:rPr>
                    <w:t>鞋垫</w:t>
                  </w:r>
                  <w:r>
                    <w:rPr>
                      <w:rFonts w:hint="default" w:ascii="Times New Roman" w:hAnsi="Times New Roman" w:eastAsia="宋体" w:cs="Times New Roman"/>
                      <w:color w:val="auto"/>
                      <w:kern w:val="2"/>
                      <w:sz w:val="21"/>
                      <w:szCs w:val="21"/>
                      <w:lang w:val="en-US" w:eastAsia="zh-CN" w:bidi="ar"/>
                    </w:rPr>
                    <w:t>制造线</w:t>
                  </w:r>
                </w:p>
              </w:tc>
              <w:tc>
                <w:tcPr>
                  <w:tcW w:w="917" w:type="dxa"/>
                  <w:tcBorders>
                    <w:tl2br w:val="nil"/>
                    <w:tr2bl w:val="nil"/>
                  </w:tcBorders>
                  <w:shd w:val="clear" w:color="auto" w:fill="auto"/>
                  <w:vAlign w:val="center"/>
                </w:tcPr>
                <w:p w14:paraId="329D0B3E">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lang w:val="en-US" w:eastAsia="zh-CN" w:bidi="ar"/>
                    </w:rPr>
                  </w:pPr>
                  <w:r>
                    <w:rPr>
                      <w:rFonts w:hint="default" w:ascii="Times New Roman" w:hAnsi="Times New Roman" w:eastAsia="宋体" w:cs="Times New Roman"/>
                      <w:color w:val="auto"/>
                      <w:kern w:val="2"/>
                      <w:sz w:val="21"/>
                      <w:szCs w:val="21"/>
                      <w:lang w:val="en-US" w:eastAsia="zh-CN" w:bidi="ar"/>
                    </w:rPr>
                    <w:t>非甲烷总烃</w:t>
                  </w:r>
                </w:p>
              </w:tc>
              <w:tc>
                <w:tcPr>
                  <w:tcW w:w="1238" w:type="dxa"/>
                  <w:tcBorders>
                    <w:tl2br w:val="nil"/>
                    <w:tr2bl w:val="nil"/>
                  </w:tcBorders>
                  <w:shd w:val="clear" w:color="auto" w:fill="auto"/>
                  <w:vAlign w:val="center"/>
                </w:tcPr>
                <w:p w14:paraId="181DC0C5">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lang w:val="en-US" w:eastAsia="zh-CN" w:bidi="ar"/>
                    </w:rPr>
                  </w:pPr>
                  <w:r>
                    <w:rPr>
                      <w:rFonts w:hint="eastAsia" w:ascii="Times New Roman" w:hAnsi="Times New Roman" w:cs="Times New Roman"/>
                      <w:color w:val="auto"/>
                      <w:kern w:val="2"/>
                      <w:sz w:val="21"/>
                      <w:szCs w:val="21"/>
                      <w:highlight w:val="none"/>
                      <w:lang w:val="en-US" w:eastAsia="zh-CN" w:bidi="ar"/>
                    </w:rPr>
                    <w:t>0.046</w:t>
                  </w:r>
                </w:p>
              </w:tc>
              <w:tc>
                <w:tcPr>
                  <w:tcW w:w="1284" w:type="dxa"/>
                  <w:tcBorders>
                    <w:tl2br w:val="nil"/>
                    <w:tr2bl w:val="nil"/>
                  </w:tcBorders>
                  <w:shd w:val="clear" w:color="auto" w:fill="auto"/>
                  <w:vAlign w:val="center"/>
                </w:tcPr>
                <w:p w14:paraId="58A60BAC">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lang w:val="en-US" w:eastAsia="zh-CN" w:bidi="ar"/>
                    </w:rPr>
                  </w:pPr>
                  <w:r>
                    <w:rPr>
                      <w:rFonts w:hint="eastAsia" w:ascii="Times New Roman" w:hAnsi="Times New Roman" w:cs="Times New Roman"/>
                      <w:color w:val="auto"/>
                      <w:kern w:val="2"/>
                      <w:sz w:val="21"/>
                      <w:szCs w:val="21"/>
                      <w:lang w:val="en-US" w:eastAsia="zh-CN" w:bidi="ar"/>
                    </w:rPr>
                    <w:t>2.0</w:t>
                  </w:r>
                </w:p>
              </w:tc>
              <w:tc>
                <w:tcPr>
                  <w:tcW w:w="1069" w:type="dxa"/>
                  <w:tcBorders>
                    <w:tl2br w:val="nil"/>
                    <w:tr2bl w:val="nil"/>
                  </w:tcBorders>
                  <w:shd w:val="clear" w:color="auto" w:fill="auto"/>
                  <w:vAlign w:val="center"/>
                </w:tcPr>
                <w:p w14:paraId="6D9BF8F9">
                  <w:pPr>
                    <w:keepNext w:val="0"/>
                    <w:keepLines w:val="0"/>
                    <w:pageBreakBefore w:val="0"/>
                    <w:widowControl/>
                    <w:suppressLineNumbers w:val="0"/>
                    <w:kinsoku/>
                    <w:wordWrap/>
                    <w:overflowPunct/>
                    <w:topLinePunct w:val="0"/>
                    <w:autoSpaceDE w:val="0"/>
                    <w:autoSpaceDN/>
                    <w:bidi w:val="0"/>
                    <w:adjustRightInd/>
                    <w:snapToGrid/>
                    <w:spacing w:before="0" w:beforeAutospacing="0" w:after="0" w:afterAutospacing="0" w:line="240" w:lineRule="auto"/>
                    <w:ind w:left="0" w:leftChars="0" w:right="0" w:firstLine="0" w:firstLineChars="0"/>
                    <w:jc w:val="center"/>
                    <w:textAlignment w:val="center"/>
                    <w:rPr>
                      <w:rFonts w:hint="default" w:ascii="Times New Roman" w:hAnsi="Times New Roman" w:eastAsia="宋体" w:cs="Times New Roman"/>
                      <w:color w:val="auto"/>
                      <w:kern w:val="2"/>
                      <w:sz w:val="21"/>
                      <w:szCs w:val="21"/>
                      <w:lang w:val="en-US" w:eastAsia="zh-CN" w:bidi="ar"/>
                    </w:rPr>
                  </w:pPr>
                  <w:r>
                    <w:rPr>
                      <w:rFonts w:hint="eastAsia" w:cs="Times New Roman"/>
                      <w:color w:val="auto"/>
                      <w:kern w:val="2"/>
                      <w:sz w:val="21"/>
                      <w:szCs w:val="21"/>
                      <w:lang w:val="en-US" w:eastAsia="zh-CN" w:bidi="ar"/>
                    </w:rPr>
                    <w:t>0.023</w:t>
                  </w:r>
                </w:p>
              </w:tc>
              <w:tc>
                <w:tcPr>
                  <w:tcW w:w="596" w:type="dxa"/>
                  <w:tcBorders>
                    <w:tl2br w:val="nil"/>
                    <w:tr2bl w:val="nil"/>
                  </w:tcBorders>
                  <w:shd w:val="clear" w:color="auto" w:fill="auto"/>
                  <w:vAlign w:val="center"/>
                </w:tcPr>
                <w:p w14:paraId="53037477">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
                    </w:rPr>
                  </w:pPr>
                  <w:r>
                    <w:rPr>
                      <w:rFonts w:hint="default" w:ascii="Times New Roman" w:hAnsi="Times New Roman" w:eastAsia="宋体" w:cs="Times New Roman"/>
                      <w:color w:val="auto"/>
                      <w:kern w:val="2"/>
                      <w:sz w:val="21"/>
                      <w:szCs w:val="21"/>
                      <w:lang w:val="en-US" w:eastAsia="zh-CN" w:bidi="ar"/>
                    </w:rPr>
                    <w:t>/</w:t>
                  </w:r>
                </w:p>
              </w:tc>
              <w:tc>
                <w:tcPr>
                  <w:tcW w:w="886" w:type="dxa"/>
                  <w:tcBorders>
                    <w:tl2br w:val="nil"/>
                    <w:tr2bl w:val="nil"/>
                  </w:tcBorders>
                  <w:shd w:val="clear" w:color="auto" w:fill="auto"/>
                  <w:vAlign w:val="center"/>
                </w:tcPr>
                <w:p w14:paraId="4C3D1450">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
                    </w:rPr>
                  </w:pPr>
                  <w:r>
                    <w:rPr>
                      <w:rFonts w:hint="default" w:ascii="Times New Roman" w:hAnsi="Times New Roman" w:eastAsia="宋体" w:cs="Times New Roman"/>
                      <w:color w:val="auto"/>
                      <w:kern w:val="2"/>
                      <w:sz w:val="21"/>
                      <w:szCs w:val="21"/>
                      <w:lang w:val="en-US" w:eastAsia="zh-CN" w:bidi="ar"/>
                    </w:rPr>
                    <w:t>/</w:t>
                  </w:r>
                </w:p>
              </w:tc>
              <w:tc>
                <w:tcPr>
                  <w:tcW w:w="1526" w:type="dxa"/>
                  <w:tcBorders>
                    <w:tl2br w:val="nil"/>
                    <w:tr2bl w:val="nil"/>
                  </w:tcBorders>
                  <w:shd w:val="clear" w:color="auto" w:fill="auto"/>
                  <w:vAlign w:val="center"/>
                </w:tcPr>
                <w:p w14:paraId="549B3094">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lang w:val="en-US" w:eastAsia="zh-CN" w:bidi="ar"/>
                    </w:rPr>
                  </w:pPr>
                </w:p>
              </w:tc>
            </w:tr>
            <w:tr w14:paraId="7EF18DC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5" w:hRule="atLeast"/>
              </w:trPr>
              <w:tc>
                <w:tcPr>
                  <w:tcW w:w="671" w:type="dxa"/>
                  <w:vMerge w:val="continue"/>
                  <w:tcBorders>
                    <w:tl2br w:val="nil"/>
                    <w:tr2bl w:val="nil"/>
                  </w:tcBorders>
                  <w:shd w:val="clear" w:color="auto" w:fill="auto"/>
                  <w:vAlign w:val="center"/>
                </w:tcPr>
                <w:p w14:paraId="201444F7">
                  <w:pPr>
                    <w:keepNext w:val="0"/>
                    <w:keepLines w:val="0"/>
                    <w:pageBreakBefore w:val="0"/>
                    <w:suppressLineNumbers w:val="0"/>
                    <w:kinsoku/>
                    <w:wordWrap/>
                    <w:overflowPunct/>
                    <w:topLinePunct w:val="0"/>
                    <w:autoSpaceDN/>
                    <w:bidi w:val="0"/>
                    <w:adjustRightInd/>
                    <w:snapToGrid/>
                    <w:spacing w:before="0" w:beforeAutospacing="0" w:after="0" w:afterAutospacing="0" w:line="240" w:lineRule="auto"/>
                    <w:ind w:left="0" w:right="0"/>
                    <w:rPr>
                      <w:rFonts w:hint="default" w:ascii="Times New Roman" w:hAnsi="Times New Roman" w:cs="Times New Roman"/>
                      <w:color w:val="auto"/>
                      <w:sz w:val="20"/>
                      <w:szCs w:val="20"/>
                    </w:rPr>
                  </w:pPr>
                </w:p>
              </w:tc>
              <w:tc>
                <w:tcPr>
                  <w:tcW w:w="672" w:type="dxa"/>
                  <w:vMerge w:val="restart"/>
                  <w:tcBorders>
                    <w:tl2br w:val="nil"/>
                    <w:tr2bl w:val="nil"/>
                  </w:tcBorders>
                  <w:shd w:val="clear" w:color="auto" w:fill="auto"/>
                  <w:vAlign w:val="center"/>
                </w:tcPr>
                <w:p w14:paraId="31D066EC">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lang w:val="en-US" w:eastAsia="zh-CN"/>
                    </w:rPr>
                  </w:pPr>
                  <w:r>
                    <w:rPr>
                      <w:rFonts w:hint="eastAsia" w:ascii="Times New Roman" w:hAnsi="Times New Roman" w:cs="Times New Roman"/>
                      <w:color w:val="auto"/>
                      <w:kern w:val="2"/>
                      <w:sz w:val="21"/>
                      <w:szCs w:val="21"/>
                      <w:lang w:val="en-US" w:eastAsia="zh-CN"/>
                    </w:rPr>
                    <w:t>注塑鞋生产线</w:t>
                  </w:r>
                </w:p>
              </w:tc>
              <w:tc>
                <w:tcPr>
                  <w:tcW w:w="917" w:type="dxa"/>
                  <w:tcBorders>
                    <w:tl2br w:val="nil"/>
                    <w:tr2bl w:val="nil"/>
                  </w:tcBorders>
                  <w:shd w:val="clear" w:color="auto" w:fill="auto"/>
                  <w:vAlign w:val="center"/>
                </w:tcPr>
                <w:p w14:paraId="61FCFE54">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eastAsia"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非甲烷总烃</w:t>
                  </w:r>
                </w:p>
              </w:tc>
              <w:tc>
                <w:tcPr>
                  <w:tcW w:w="1238" w:type="dxa"/>
                  <w:tcBorders>
                    <w:tl2br w:val="nil"/>
                    <w:tr2bl w:val="nil"/>
                  </w:tcBorders>
                  <w:shd w:val="clear" w:color="auto" w:fill="auto"/>
                  <w:vAlign w:val="center"/>
                </w:tcPr>
                <w:p w14:paraId="43AE58ED">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lang w:val="en-US" w:eastAsia="zh-CN"/>
                    </w:rPr>
                  </w:pPr>
                  <w:r>
                    <w:rPr>
                      <w:rFonts w:hint="eastAsia" w:ascii="Times New Roman" w:hAnsi="Times New Roman" w:cs="Times New Roman"/>
                      <w:color w:val="auto"/>
                      <w:kern w:val="2"/>
                      <w:sz w:val="21"/>
                      <w:szCs w:val="21"/>
                      <w:lang w:val="en-US" w:eastAsia="zh-CN"/>
                    </w:rPr>
                    <w:t>0.276</w:t>
                  </w:r>
                </w:p>
              </w:tc>
              <w:tc>
                <w:tcPr>
                  <w:tcW w:w="1284" w:type="dxa"/>
                  <w:tcBorders>
                    <w:tl2br w:val="nil"/>
                    <w:tr2bl w:val="nil"/>
                  </w:tcBorders>
                  <w:shd w:val="clear" w:color="auto" w:fill="auto"/>
                  <w:vAlign w:val="center"/>
                </w:tcPr>
                <w:p w14:paraId="78CAD5A7">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eastAsia" w:ascii="Times New Roman" w:hAnsi="Times New Roman" w:cs="Times New Roman"/>
                      <w:color w:val="auto"/>
                      <w:kern w:val="2"/>
                      <w:sz w:val="21"/>
                      <w:szCs w:val="21"/>
                      <w:lang w:val="en-US" w:eastAsia="zh-CN" w:bidi="ar"/>
                    </w:rPr>
                    <w:t>2.0</w:t>
                  </w:r>
                </w:p>
              </w:tc>
              <w:tc>
                <w:tcPr>
                  <w:tcW w:w="1069" w:type="dxa"/>
                  <w:tcBorders>
                    <w:tl2br w:val="nil"/>
                    <w:tr2bl w:val="nil"/>
                  </w:tcBorders>
                  <w:shd w:val="clear" w:color="auto" w:fill="auto"/>
                  <w:vAlign w:val="center"/>
                </w:tcPr>
                <w:p w14:paraId="2F0C4C5D">
                  <w:pPr>
                    <w:keepNext w:val="0"/>
                    <w:keepLines w:val="0"/>
                    <w:pageBreakBefore w:val="0"/>
                    <w:widowControl/>
                    <w:suppressLineNumbers w:val="0"/>
                    <w:kinsoku/>
                    <w:wordWrap/>
                    <w:overflowPunct/>
                    <w:topLinePunct w:val="0"/>
                    <w:autoSpaceDE w:val="0"/>
                    <w:autoSpaceDN/>
                    <w:bidi w:val="0"/>
                    <w:adjustRightInd/>
                    <w:snapToGrid/>
                    <w:spacing w:before="0" w:beforeAutospacing="0" w:after="0" w:afterAutospacing="0" w:line="240" w:lineRule="auto"/>
                    <w:ind w:left="0" w:leftChars="0" w:right="0" w:firstLine="0" w:firstLineChars="0"/>
                    <w:jc w:val="center"/>
                    <w:textAlignment w:val="center"/>
                    <w:rPr>
                      <w:rFonts w:hint="default" w:ascii="Times New Roman" w:hAnsi="Times New Roman" w:eastAsia="宋体" w:cs="Times New Roman"/>
                      <w:color w:val="auto"/>
                      <w:kern w:val="2"/>
                      <w:sz w:val="21"/>
                      <w:szCs w:val="21"/>
                      <w:lang w:val="en-US" w:eastAsia="zh-CN"/>
                    </w:rPr>
                  </w:pPr>
                  <w:r>
                    <w:rPr>
                      <w:rFonts w:hint="eastAsia" w:cs="Times New Roman"/>
                      <w:color w:val="auto"/>
                      <w:kern w:val="2"/>
                      <w:sz w:val="21"/>
                      <w:szCs w:val="21"/>
                      <w:lang w:val="en-US" w:eastAsia="zh-CN"/>
                    </w:rPr>
                    <w:t>0.138</w:t>
                  </w:r>
                </w:p>
              </w:tc>
              <w:tc>
                <w:tcPr>
                  <w:tcW w:w="596" w:type="dxa"/>
                  <w:tcBorders>
                    <w:tl2br w:val="nil"/>
                    <w:tr2bl w:val="nil"/>
                  </w:tcBorders>
                  <w:shd w:val="clear" w:color="auto" w:fill="auto"/>
                  <w:vAlign w:val="center"/>
                </w:tcPr>
                <w:p w14:paraId="0C62E3EB">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eastAsia" w:ascii="Times New Roman" w:hAnsi="Times New Roman" w:eastAsia="宋体" w:cs="Times New Roman"/>
                      <w:color w:val="auto"/>
                      <w:kern w:val="2"/>
                      <w:sz w:val="21"/>
                      <w:szCs w:val="21"/>
                      <w:lang w:val="en-US" w:eastAsia="zh-CN"/>
                    </w:rPr>
                  </w:pPr>
                  <w:r>
                    <w:rPr>
                      <w:rFonts w:hint="eastAsia" w:ascii="Times New Roman" w:hAnsi="Times New Roman" w:cs="Times New Roman"/>
                      <w:color w:val="auto"/>
                      <w:kern w:val="2"/>
                      <w:sz w:val="21"/>
                      <w:szCs w:val="21"/>
                      <w:lang w:val="en-US" w:eastAsia="zh-CN"/>
                    </w:rPr>
                    <w:t>2</w:t>
                  </w:r>
                </w:p>
              </w:tc>
              <w:tc>
                <w:tcPr>
                  <w:tcW w:w="886" w:type="dxa"/>
                  <w:tcBorders>
                    <w:tl2br w:val="nil"/>
                    <w:tr2bl w:val="nil"/>
                  </w:tcBorders>
                  <w:shd w:val="clear" w:color="auto" w:fill="auto"/>
                  <w:vAlign w:val="center"/>
                </w:tcPr>
                <w:p w14:paraId="0AB07AB5">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eastAsia" w:ascii="Times New Roman" w:hAnsi="Times New Roman" w:cs="Times New Roman"/>
                      <w:color w:val="auto"/>
                      <w:kern w:val="2"/>
                      <w:sz w:val="21"/>
                      <w:szCs w:val="21"/>
                      <w:lang w:val="en-US" w:eastAsia="zh-CN" w:bidi="ar"/>
                    </w:rPr>
                    <w:t>否</w:t>
                  </w:r>
                </w:p>
              </w:tc>
              <w:tc>
                <w:tcPr>
                  <w:tcW w:w="1526" w:type="dxa"/>
                  <w:vMerge w:val="restart"/>
                  <w:tcBorders>
                    <w:tl2br w:val="nil"/>
                    <w:tr2bl w:val="nil"/>
                  </w:tcBorders>
                  <w:shd w:val="clear" w:color="auto" w:fill="auto"/>
                  <w:vAlign w:val="center"/>
                </w:tcPr>
                <w:p w14:paraId="49270F97">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eastAsia" w:ascii="宋体" w:hAnsi="宋体" w:eastAsia="宋体" w:cs="宋体"/>
                      <w:color w:val="auto"/>
                      <w:kern w:val="2"/>
                      <w:sz w:val="21"/>
                      <w:szCs w:val="21"/>
                      <w:lang w:val="en-US" w:eastAsia="zh-CN" w:bidi="ar"/>
                    </w:rPr>
                    <w:t>等标差值大于</w:t>
                  </w:r>
                  <w:r>
                    <w:rPr>
                      <w:rFonts w:hint="default" w:ascii="Times New Roman" w:hAnsi="Times New Roman" w:eastAsia="宋体" w:cs="Times New Roman"/>
                      <w:color w:val="auto"/>
                      <w:kern w:val="2"/>
                      <w:sz w:val="21"/>
                      <w:szCs w:val="21"/>
                      <w:lang w:val="en-US" w:eastAsia="zh-CN" w:bidi="ar"/>
                    </w:rPr>
                    <w:t>10%</w:t>
                  </w:r>
                </w:p>
              </w:tc>
            </w:tr>
            <w:tr w14:paraId="49C8E9B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95" w:hRule="atLeast"/>
              </w:trPr>
              <w:tc>
                <w:tcPr>
                  <w:tcW w:w="671" w:type="dxa"/>
                  <w:vMerge w:val="continue"/>
                  <w:tcBorders>
                    <w:tl2br w:val="nil"/>
                    <w:tr2bl w:val="nil"/>
                  </w:tcBorders>
                  <w:shd w:val="clear" w:color="auto" w:fill="auto"/>
                  <w:vAlign w:val="center"/>
                </w:tcPr>
                <w:p w14:paraId="2FB56D0B">
                  <w:pPr>
                    <w:keepNext w:val="0"/>
                    <w:keepLines w:val="0"/>
                    <w:pageBreakBefore w:val="0"/>
                    <w:suppressLineNumbers w:val="0"/>
                    <w:kinsoku/>
                    <w:wordWrap/>
                    <w:overflowPunct/>
                    <w:topLinePunct w:val="0"/>
                    <w:autoSpaceDN/>
                    <w:bidi w:val="0"/>
                    <w:adjustRightInd/>
                    <w:snapToGrid/>
                    <w:spacing w:before="0" w:beforeAutospacing="0" w:after="0" w:afterAutospacing="0" w:line="240" w:lineRule="auto"/>
                    <w:ind w:left="0" w:right="0"/>
                    <w:rPr>
                      <w:rFonts w:hint="default" w:ascii="Times New Roman" w:hAnsi="Times New Roman" w:cs="Times New Roman"/>
                      <w:color w:val="auto"/>
                      <w:sz w:val="20"/>
                      <w:szCs w:val="20"/>
                    </w:rPr>
                  </w:pPr>
                </w:p>
              </w:tc>
              <w:tc>
                <w:tcPr>
                  <w:tcW w:w="672" w:type="dxa"/>
                  <w:vMerge w:val="continue"/>
                  <w:tcBorders>
                    <w:tl2br w:val="nil"/>
                    <w:tr2bl w:val="nil"/>
                  </w:tcBorders>
                  <w:shd w:val="clear" w:color="auto" w:fill="auto"/>
                  <w:vAlign w:val="center"/>
                </w:tcPr>
                <w:p w14:paraId="5C1CF692">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eastAsia" w:ascii="Times New Roman" w:hAnsi="Times New Roman" w:cs="Times New Roman"/>
                      <w:color w:val="auto"/>
                      <w:kern w:val="2"/>
                      <w:sz w:val="21"/>
                      <w:szCs w:val="21"/>
                      <w:lang w:val="en-US" w:eastAsia="zh-CN"/>
                    </w:rPr>
                  </w:pPr>
                </w:p>
              </w:tc>
              <w:tc>
                <w:tcPr>
                  <w:tcW w:w="917" w:type="dxa"/>
                  <w:tcBorders>
                    <w:tl2br w:val="nil"/>
                    <w:tr2bl w:val="nil"/>
                  </w:tcBorders>
                  <w:shd w:val="clear" w:color="auto" w:fill="auto"/>
                  <w:vAlign w:val="center"/>
                </w:tcPr>
                <w:p w14:paraId="5BDD0C66">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lang w:val="en-US" w:eastAsia="zh-CN" w:bidi="ar"/>
                    </w:rPr>
                  </w:pPr>
                  <w:r>
                    <w:rPr>
                      <w:rFonts w:hint="default" w:ascii="Times New Roman" w:hAnsi="Times New Roman" w:eastAsia="宋体" w:cs="Times New Roman"/>
                      <w:color w:val="auto"/>
                      <w:kern w:val="2"/>
                      <w:sz w:val="21"/>
                      <w:szCs w:val="21"/>
                      <w:lang w:val="en-US" w:eastAsia="zh-CN" w:bidi="ar"/>
                    </w:rPr>
                    <w:t>TSP</w:t>
                  </w:r>
                </w:p>
              </w:tc>
              <w:tc>
                <w:tcPr>
                  <w:tcW w:w="1238" w:type="dxa"/>
                  <w:tcBorders>
                    <w:tl2br w:val="nil"/>
                    <w:tr2bl w:val="nil"/>
                  </w:tcBorders>
                  <w:shd w:val="clear" w:color="auto" w:fill="auto"/>
                  <w:vAlign w:val="center"/>
                </w:tcPr>
                <w:p w14:paraId="2B52EA5B">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lang w:val="en-US" w:eastAsia="zh-CN"/>
                    </w:rPr>
                  </w:pPr>
                  <w:r>
                    <w:rPr>
                      <w:rFonts w:hint="eastAsia" w:ascii="Times New Roman" w:hAnsi="Times New Roman" w:cs="Times New Roman"/>
                      <w:color w:val="auto"/>
                      <w:kern w:val="2"/>
                      <w:sz w:val="21"/>
                      <w:szCs w:val="21"/>
                      <w:lang w:val="en-US" w:eastAsia="zh-CN"/>
                    </w:rPr>
                    <w:t>0.162</w:t>
                  </w:r>
                </w:p>
              </w:tc>
              <w:tc>
                <w:tcPr>
                  <w:tcW w:w="1284" w:type="dxa"/>
                  <w:tcBorders>
                    <w:tl2br w:val="nil"/>
                    <w:tr2bl w:val="nil"/>
                  </w:tcBorders>
                  <w:shd w:val="clear" w:color="auto" w:fill="auto"/>
                  <w:vAlign w:val="center"/>
                </w:tcPr>
                <w:p w14:paraId="226D4B79">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0.9</w:t>
                  </w:r>
                </w:p>
              </w:tc>
              <w:tc>
                <w:tcPr>
                  <w:tcW w:w="1069" w:type="dxa"/>
                  <w:tcBorders>
                    <w:tl2br w:val="nil"/>
                    <w:tr2bl w:val="nil"/>
                  </w:tcBorders>
                  <w:shd w:val="clear" w:color="auto" w:fill="auto"/>
                  <w:vAlign w:val="center"/>
                </w:tcPr>
                <w:p w14:paraId="36824E36">
                  <w:pPr>
                    <w:keepNext w:val="0"/>
                    <w:keepLines w:val="0"/>
                    <w:pageBreakBefore w:val="0"/>
                    <w:widowControl/>
                    <w:suppressLineNumbers w:val="0"/>
                    <w:kinsoku/>
                    <w:wordWrap/>
                    <w:overflowPunct/>
                    <w:topLinePunct w:val="0"/>
                    <w:autoSpaceDE w:val="0"/>
                    <w:autoSpaceDN/>
                    <w:bidi w:val="0"/>
                    <w:adjustRightInd/>
                    <w:snapToGrid/>
                    <w:spacing w:before="0" w:beforeAutospacing="0" w:after="0" w:afterAutospacing="0" w:line="240" w:lineRule="auto"/>
                    <w:ind w:left="0" w:leftChars="0" w:right="0" w:firstLine="0" w:firstLineChars="0"/>
                    <w:jc w:val="center"/>
                    <w:textAlignment w:val="center"/>
                    <w:rPr>
                      <w:rFonts w:hint="default" w:ascii="Times New Roman" w:hAnsi="Times New Roman" w:eastAsia="宋体" w:cs="Times New Roman"/>
                      <w:color w:val="auto"/>
                      <w:kern w:val="2"/>
                      <w:sz w:val="21"/>
                      <w:szCs w:val="21"/>
                      <w:lang w:val="en-US" w:eastAsia="zh-CN"/>
                    </w:rPr>
                  </w:pPr>
                  <w:r>
                    <w:rPr>
                      <w:rFonts w:hint="eastAsia" w:cs="Times New Roman"/>
                      <w:color w:val="auto"/>
                      <w:kern w:val="2"/>
                      <w:sz w:val="21"/>
                      <w:szCs w:val="21"/>
                      <w:lang w:val="en-US" w:eastAsia="zh-CN"/>
                    </w:rPr>
                    <w:t>0.18</w:t>
                  </w:r>
                </w:p>
              </w:tc>
              <w:tc>
                <w:tcPr>
                  <w:tcW w:w="596" w:type="dxa"/>
                  <w:tcBorders>
                    <w:tl2br w:val="nil"/>
                    <w:tr2bl w:val="nil"/>
                  </w:tcBorders>
                  <w:shd w:val="clear" w:color="auto" w:fill="auto"/>
                  <w:vAlign w:val="center"/>
                </w:tcPr>
                <w:p w14:paraId="09099F66">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lang w:val="en-US" w:eastAsia="zh-CN" w:bidi="ar"/>
                    </w:rPr>
                  </w:pPr>
                  <w:r>
                    <w:rPr>
                      <w:rFonts w:hint="eastAsia" w:ascii="Times New Roman" w:hAnsi="Times New Roman" w:cs="Times New Roman"/>
                      <w:color w:val="auto"/>
                      <w:kern w:val="2"/>
                      <w:sz w:val="21"/>
                      <w:szCs w:val="21"/>
                      <w:lang w:val="en-US" w:eastAsia="zh-CN" w:bidi="ar"/>
                    </w:rPr>
                    <w:t>1</w:t>
                  </w:r>
                </w:p>
              </w:tc>
              <w:tc>
                <w:tcPr>
                  <w:tcW w:w="886" w:type="dxa"/>
                  <w:tcBorders>
                    <w:tl2br w:val="nil"/>
                    <w:tr2bl w:val="nil"/>
                  </w:tcBorders>
                  <w:shd w:val="clear" w:color="auto" w:fill="auto"/>
                  <w:vAlign w:val="center"/>
                </w:tcPr>
                <w:p w14:paraId="2D9B1E30">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lang w:val="en-US" w:eastAsia="zh-CN" w:bidi="ar"/>
                    </w:rPr>
                  </w:pPr>
                  <w:r>
                    <w:rPr>
                      <w:rFonts w:hint="eastAsia" w:ascii="Times New Roman" w:hAnsi="Times New Roman" w:cs="Times New Roman"/>
                      <w:color w:val="auto"/>
                      <w:kern w:val="2"/>
                      <w:sz w:val="21"/>
                      <w:szCs w:val="21"/>
                      <w:lang w:val="en-US" w:eastAsia="zh-CN" w:bidi="ar"/>
                    </w:rPr>
                    <w:t>是</w:t>
                  </w:r>
                </w:p>
              </w:tc>
              <w:tc>
                <w:tcPr>
                  <w:tcW w:w="1526" w:type="dxa"/>
                  <w:vMerge w:val="continue"/>
                  <w:tcBorders>
                    <w:tl2br w:val="nil"/>
                    <w:tr2bl w:val="nil"/>
                  </w:tcBorders>
                  <w:shd w:val="clear" w:color="auto" w:fill="auto"/>
                  <w:vAlign w:val="center"/>
                </w:tcPr>
                <w:p w14:paraId="35D446A6">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lang w:val="en-US" w:eastAsia="zh-CN" w:bidi="ar"/>
                    </w:rPr>
                  </w:pPr>
                </w:p>
              </w:tc>
            </w:tr>
            <w:tr w14:paraId="79EC2C0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95" w:hRule="atLeast"/>
              </w:trPr>
              <w:tc>
                <w:tcPr>
                  <w:tcW w:w="671" w:type="dxa"/>
                  <w:vMerge w:val="continue"/>
                  <w:tcBorders>
                    <w:tl2br w:val="nil"/>
                    <w:tr2bl w:val="nil"/>
                  </w:tcBorders>
                  <w:shd w:val="clear" w:color="auto" w:fill="auto"/>
                  <w:vAlign w:val="center"/>
                </w:tcPr>
                <w:p w14:paraId="64861C7A">
                  <w:pPr>
                    <w:keepNext w:val="0"/>
                    <w:keepLines w:val="0"/>
                    <w:pageBreakBefore w:val="0"/>
                    <w:suppressLineNumbers w:val="0"/>
                    <w:kinsoku/>
                    <w:wordWrap/>
                    <w:overflowPunct/>
                    <w:topLinePunct w:val="0"/>
                    <w:autoSpaceDN/>
                    <w:bidi w:val="0"/>
                    <w:adjustRightInd/>
                    <w:snapToGrid/>
                    <w:spacing w:before="0" w:beforeAutospacing="0" w:after="0" w:afterAutospacing="0" w:line="240" w:lineRule="auto"/>
                    <w:ind w:left="0" w:right="0"/>
                    <w:rPr>
                      <w:rFonts w:hint="default" w:ascii="Times New Roman" w:hAnsi="Times New Roman" w:cs="Times New Roman"/>
                      <w:color w:val="auto"/>
                      <w:sz w:val="20"/>
                      <w:szCs w:val="20"/>
                    </w:rPr>
                  </w:pPr>
                </w:p>
              </w:tc>
              <w:tc>
                <w:tcPr>
                  <w:tcW w:w="672" w:type="dxa"/>
                  <w:vMerge w:val="restart"/>
                  <w:tcBorders>
                    <w:tl2br w:val="nil"/>
                    <w:tr2bl w:val="nil"/>
                  </w:tcBorders>
                  <w:shd w:val="clear" w:color="auto" w:fill="auto"/>
                  <w:vAlign w:val="center"/>
                </w:tcPr>
                <w:p w14:paraId="0C6D843D">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default" w:ascii="Times New Roman" w:hAnsi="Times New Roman" w:cs="Times New Roman"/>
                      <w:color w:val="auto"/>
                      <w:kern w:val="2"/>
                      <w:sz w:val="21"/>
                      <w:szCs w:val="21"/>
                      <w:lang w:val="en-US" w:eastAsia="zh-CN"/>
                    </w:rPr>
                  </w:pPr>
                  <w:r>
                    <w:rPr>
                      <w:rFonts w:hint="eastAsia" w:ascii="Times New Roman" w:hAnsi="Times New Roman" w:cs="Times New Roman"/>
                      <w:color w:val="auto"/>
                      <w:kern w:val="2"/>
                      <w:sz w:val="21"/>
                      <w:szCs w:val="21"/>
                      <w:lang w:val="en-US" w:eastAsia="zh-CN"/>
                    </w:rPr>
                    <w:t>高跟鞋生产线</w:t>
                  </w:r>
                </w:p>
              </w:tc>
              <w:tc>
                <w:tcPr>
                  <w:tcW w:w="917" w:type="dxa"/>
                  <w:tcBorders>
                    <w:tl2br w:val="nil"/>
                    <w:tr2bl w:val="nil"/>
                  </w:tcBorders>
                  <w:shd w:val="clear" w:color="auto" w:fill="auto"/>
                  <w:vAlign w:val="center"/>
                </w:tcPr>
                <w:p w14:paraId="77FA5327">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eastAsia"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非甲烷总烃</w:t>
                  </w:r>
                </w:p>
              </w:tc>
              <w:tc>
                <w:tcPr>
                  <w:tcW w:w="1238" w:type="dxa"/>
                  <w:tcBorders>
                    <w:tl2br w:val="nil"/>
                    <w:tr2bl w:val="nil"/>
                  </w:tcBorders>
                  <w:shd w:val="clear" w:color="auto" w:fill="auto"/>
                  <w:vAlign w:val="center"/>
                </w:tcPr>
                <w:p w14:paraId="351D09AD">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rPr>
                  </w:pPr>
                  <w:r>
                    <w:rPr>
                      <w:rFonts w:hint="eastAsia" w:ascii="Times New Roman" w:hAnsi="Times New Roman" w:cs="Times New Roman"/>
                      <w:color w:val="auto"/>
                      <w:kern w:val="2"/>
                      <w:sz w:val="21"/>
                      <w:szCs w:val="21"/>
                      <w:lang w:val="en-US" w:eastAsia="zh-CN"/>
                    </w:rPr>
                    <w:t>0.276</w:t>
                  </w:r>
                </w:p>
              </w:tc>
              <w:tc>
                <w:tcPr>
                  <w:tcW w:w="1284" w:type="dxa"/>
                  <w:tcBorders>
                    <w:tl2br w:val="nil"/>
                    <w:tr2bl w:val="nil"/>
                  </w:tcBorders>
                  <w:shd w:val="clear" w:color="auto" w:fill="auto"/>
                  <w:vAlign w:val="center"/>
                </w:tcPr>
                <w:p w14:paraId="6259163D">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rPr>
                  </w:pPr>
                  <w:r>
                    <w:rPr>
                      <w:rFonts w:hint="eastAsia" w:ascii="Times New Roman" w:hAnsi="Times New Roman" w:cs="Times New Roman"/>
                      <w:color w:val="auto"/>
                      <w:kern w:val="2"/>
                      <w:sz w:val="21"/>
                      <w:szCs w:val="21"/>
                      <w:lang w:val="en-US" w:eastAsia="zh-CN" w:bidi="ar"/>
                    </w:rPr>
                    <w:t>2.0</w:t>
                  </w:r>
                </w:p>
              </w:tc>
              <w:tc>
                <w:tcPr>
                  <w:tcW w:w="1069" w:type="dxa"/>
                  <w:tcBorders>
                    <w:tl2br w:val="nil"/>
                    <w:tr2bl w:val="nil"/>
                  </w:tcBorders>
                  <w:shd w:val="clear" w:color="auto" w:fill="auto"/>
                  <w:vAlign w:val="center"/>
                </w:tcPr>
                <w:p w14:paraId="5FFA0F78">
                  <w:pPr>
                    <w:keepNext w:val="0"/>
                    <w:keepLines w:val="0"/>
                    <w:pageBreakBefore w:val="0"/>
                    <w:widowControl/>
                    <w:suppressLineNumbers w:val="0"/>
                    <w:kinsoku/>
                    <w:wordWrap/>
                    <w:overflowPunct/>
                    <w:topLinePunct w:val="0"/>
                    <w:autoSpaceDE w:val="0"/>
                    <w:autoSpaceDN/>
                    <w:bidi w:val="0"/>
                    <w:adjustRightInd/>
                    <w:snapToGrid/>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rPr>
                    <w:t>0.11</w:t>
                  </w:r>
                </w:p>
              </w:tc>
              <w:tc>
                <w:tcPr>
                  <w:tcW w:w="596" w:type="dxa"/>
                  <w:tcBorders>
                    <w:tl2br w:val="nil"/>
                    <w:tr2bl w:val="nil"/>
                  </w:tcBorders>
                  <w:shd w:val="clear" w:color="auto" w:fill="auto"/>
                  <w:vAlign w:val="center"/>
                </w:tcPr>
                <w:p w14:paraId="45C92CBC">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cs="Times New Roman"/>
                      <w:color w:val="auto"/>
                      <w:kern w:val="2"/>
                      <w:sz w:val="21"/>
                      <w:szCs w:val="21"/>
                      <w:lang w:val="en-US" w:eastAsia="zh-CN"/>
                    </w:rPr>
                    <w:t>2</w:t>
                  </w:r>
                </w:p>
              </w:tc>
              <w:tc>
                <w:tcPr>
                  <w:tcW w:w="886" w:type="dxa"/>
                  <w:tcBorders>
                    <w:tl2br w:val="nil"/>
                    <w:tr2bl w:val="nil"/>
                  </w:tcBorders>
                  <w:shd w:val="clear" w:color="auto" w:fill="auto"/>
                  <w:vAlign w:val="center"/>
                </w:tcPr>
                <w:p w14:paraId="1808E45D">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
                    </w:rPr>
                    <w:t>否</w:t>
                  </w:r>
                </w:p>
              </w:tc>
              <w:tc>
                <w:tcPr>
                  <w:tcW w:w="1526" w:type="dxa"/>
                  <w:vMerge w:val="restart"/>
                  <w:tcBorders>
                    <w:tl2br w:val="nil"/>
                    <w:tr2bl w:val="nil"/>
                  </w:tcBorders>
                  <w:shd w:val="clear" w:color="auto" w:fill="auto"/>
                  <w:vAlign w:val="center"/>
                </w:tcPr>
                <w:p w14:paraId="4FBB79BB">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lang w:val="en-US" w:eastAsia="zh-CN" w:bidi="ar"/>
                    </w:rPr>
                  </w:pPr>
                  <w:r>
                    <w:rPr>
                      <w:rFonts w:hint="eastAsia" w:ascii="宋体" w:hAnsi="宋体" w:eastAsia="宋体" w:cs="宋体"/>
                      <w:color w:val="auto"/>
                      <w:kern w:val="2"/>
                      <w:sz w:val="21"/>
                      <w:szCs w:val="21"/>
                      <w:lang w:val="en-US" w:eastAsia="zh-CN" w:bidi="ar"/>
                    </w:rPr>
                    <w:t>等标差值大于</w:t>
                  </w:r>
                  <w:r>
                    <w:rPr>
                      <w:rFonts w:hint="default" w:ascii="Times New Roman" w:hAnsi="Times New Roman" w:eastAsia="宋体" w:cs="Times New Roman"/>
                      <w:color w:val="auto"/>
                      <w:kern w:val="2"/>
                      <w:sz w:val="21"/>
                      <w:szCs w:val="21"/>
                      <w:lang w:val="en-US" w:eastAsia="zh-CN" w:bidi="ar"/>
                    </w:rPr>
                    <w:t>10%</w:t>
                  </w:r>
                </w:p>
              </w:tc>
            </w:tr>
            <w:tr w14:paraId="74B0449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95" w:hRule="atLeast"/>
              </w:trPr>
              <w:tc>
                <w:tcPr>
                  <w:tcW w:w="671" w:type="dxa"/>
                  <w:vMerge w:val="continue"/>
                  <w:tcBorders>
                    <w:tl2br w:val="nil"/>
                    <w:tr2bl w:val="nil"/>
                  </w:tcBorders>
                  <w:shd w:val="clear" w:color="auto" w:fill="auto"/>
                  <w:vAlign w:val="center"/>
                </w:tcPr>
                <w:p w14:paraId="4B1BB600">
                  <w:pPr>
                    <w:keepNext w:val="0"/>
                    <w:keepLines w:val="0"/>
                    <w:pageBreakBefore w:val="0"/>
                    <w:suppressLineNumbers w:val="0"/>
                    <w:kinsoku/>
                    <w:wordWrap/>
                    <w:overflowPunct/>
                    <w:topLinePunct w:val="0"/>
                    <w:autoSpaceDN/>
                    <w:bidi w:val="0"/>
                    <w:adjustRightInd/>
                    <w:snapToGrid/>
                    <w:spacing w:before="0" w:beforeAutospacing="0" w:after="0" w:afterAutospacing="0" w:line="240" w:lineRule="auto"/>
                    <w:ind w:left="0" w:right="0"/>
                    <w:rPr>
                      <w:rFonts w:hint="default" w:ascii="Times New Roman" w:hAnsi="Times New Roman" w:cs="Times New Roman"/>
                      <w:color w:val="auto"/>
                      <w:sz w:val="20"/>
                      <w:szCs w:val="20"/>
                    </w:rPr>
                  </w:pPr>
                </w:p>
              </w:tc>
              <w:tc>
                <w:tcPr>
                  <w:tcW w:w="672" w:type="dxa"/>
                  <w:vMerge w:val="continue"/>
                  <w:tcBorders>
                    <w:tl2br w:val="nil"/>
                    <w:tr2bl w:val="nil"/>
                  </w:tcBorders>
                  <w:shd w:val="clear" w:color="auto" w:fill="auto"/>
                  <w:vAlign w:val="center"/>
                </w:tcPr>
                <w:p w14:paraId="2626EC12">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eastAsia" w:ascii="Times New Roman" w:hAnsi="Times New Roman" w:cs="Times New Roman"/>
                      <w:color w:val="auto"/>
                      <w:kern w:val="2"/>
                      <w:sz w:val="21"/>
                      <w:szCs w:val="21"/>
                      <w:lang w:val="en-US" w:eastAsia="zh-CN"/>
                    </w:rPr>
                  </w:pPr>
                </w:p>
              </w:tc>
              <w:tc>
                <w:tcPr>
                  <w:tcW w:w="917" w:type="dxa"/>
                  <w:tcBorders>
                    <w:tl2br w:val="nil"/>
                    <w:tr2bl w:val="nil"/>
                  </w:tcBorders>
                  <w:shd w:val="clear" w:color="auto" w:fill="auto"/>
                  <w:vAlign w:val="center"/>
                </w:tcPr>
                <w:p w14:paraId="71AE1821">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lang w:val="en-US" w:eastAsia="zh-CN" w:bidi="ar"/>
                    </w:rPr>
                  </w:pPr>
                  <w:r>
                    <w:rPr>
                      <w:rFonts w:hint="default" w:ascii="Times New Roman" w:hAnsi="Times New Roman" w:eastAsia="宋体" w:cs="Times New Roman"/>
                      <w:color w:val="auto"/>
                      <w:kern w:val="2"/>
                      <w:sz w:val="21"/>
                      <w:szCs w:val="21"/>
                      <w:lang w:val="en-US" w:eastAsia="zh-CN" w:bidi="ar"/>
                    </w:rPr>
                    <w:t>TSP</w:t>
                  </w:r>
                </w:p>
              </w:tc>
              <w:tc>
                <w:tcPr>
                  <w:tcW w:w="1238" w:type="dxa"/>
                  <w:tcBorders>
                    <w:tl2br w:val="nil"/>
                    <w:tr2bl w:val="nil"/>
                  </w:tcBorders>
                  <w:shd w:val="clear" w:color="auto" w:fill="auto"/>
                  <w:vAlign w:val="center"/>
                </w:tcPr>
                <w:p w14:paraId="165D9FA2">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rPr>
                  </w:pPr>
                  <w:r>
                    <w:rPr>
                      <w:rFonts w:hint="eastAsia" w:ascii="Times New Roman" w:hAnsi="Times New Roman" w:cs="Times New Roman"/>
                      <w:color w:val="auto"/>
                      <w:kern w:val="2"/>
                      <w:sz w:val="21"/>
                      <w:szCs w:val="21"/>
                      <w:lang w:val="en-US" w:eastAsia="zh-CN"/>
                    </w:rPr>
                    <w:t>0.162</w:t>
                  </w:r>
                </w:p>
              </w:tc>
              <w:tc>
                <w:tcPr>
                  <w:tcW w:w="1284" w:type="dxa"/>
                  <w:tcBorders>
                    <w:tl2br w:val="nil"/>
                    <w:tr2bl w:val="nil"/>
                  </w:tcBorders>
                  <w:shd w:val="clear" w:color="auto" w:fill="auto"/>
                  <w:vAlign w:val="center"/>
                </w:tcPr>
                <w:p w14:paraId="10FA4365">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0.9</w:t>
                  </w:r>
                </w:p>
              </w:tc>
              <w:tc>
                <w:tcPr>
                  <w:tcW w:w="1069" w:type="dxa"/>
                  <w:tcBorders>
                    <w:tl2br w:val="nil"/>
                    <w:tr2bl w:val="nil"/>
                  </w:tcBorders>
                  <w:shd w:val="clear" w:color="auto" w:fill="auto"/>
                  <w:vAlign w:val="center"/>
                </w:tcPr>
                <w:p w14:paraId="2B41CCE2">
                  <w:pPr>
                    <w:keepNext w:val="0"/>
                    <w:keepLines w:val="0"/>
                    <w:pageBreakBefore w:val="0"/>
                    <w:widowControl/>
                    <w:suppressLineNumbers w:val="0"/>
                    <w:kinsoku/>
                    <w:wordWrap/>
                    <w:overflowPunct/>
                    <w:topLinePunct w:val="0"/>
                    <w:autoSpaceDE w:val="0"/>
                    <w:autoSpaceDN/>
                    <w:bidi w:val="0"/>
                    <w:adjustRightInd/>
                    <w:snapToGrid/>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rPr>
                    <w:t>0.18</w:t>
                  </w:r>
                </w:p>
              </w:tc>
              <w:tc>
                <w:tcPr>
                  <w:tcW w:w="596" w:type="dxa"/>
                  <w:tcBorders>
                    <w:tl2br w:val="nil"/>
                    <w:tr2bl w:val="nil"/>
                  </w:tcBorders>
                  <w:shd w:val="clear" w:color="auto" w:fill="auto"/>
                  <w:vAlign w:val="center"/>
                </w:tcPr>
                <w:p w14:paraId="418FCA8C">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
                    </w:rPr>
                  </w:pPr>
                  <w:r>
                    <w:rPr>
                      <w:rFonts w:hint="eastAsia" w:ascii="Times New Roman" w:hAnsi="Times New Roman" w:cs="Times New Roman"/>
                      <w:color w:val="auto"/>
                      <w:kern w:val="2"/>
                      <w:sz w:val="21"/>
                      <w:szCs w:val="21"/>
                      <w:lang w:val="en-US" w:eastAsia="zh-CN" w:bidi="ar"/>
                    </w:rPr>
                    <w:t>1</w:t>
                  </w:r>
                </w:p>
              </w:tc>
              <w:tc>
                <w:tcPr>
                  <w:tcW w:w="886" w:type="dxa"/>
                  <w:tcBorders>
                    <w:tl2br w:val="nil"/>
                    <w:tr2bl w:val="nil"/>
                  </w:tcBorders>
                  <w:shd w:val="clear" w:color="auto" w:fill="auto"/>
                  <w:vAlign w:val="center"/>
                </w:tcPr>
                <w:p w14:paraId="7D6E4FC6">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
                    </w:rPr>
                  </w:pPr>
                  <w:r>
                    <w:rPr>
                      <w:rFonts w:hint="eastAsia" w:ascii="Times New Roman" w:hAnsi="Times New Roman" w:cs="Times New Roman"/>
                      <w:color w:val="auto"/>
                      <w:kern w:val="2"/>
                      <w:sz w:val="21"/>
                      <w:szCs w:val="21"/>
                      <w:lang w:val="en-US" w:eastAsia="zh-CN" w:bidi="ar"/>
                    </w:rPr>
                    <w:t>是</w:t>
                  </w:r>
                </w:p>
              </w:tc>
              <w:tc>
                <w:tcPr>
                  <w:tcW w:w="1526" w:type="dxa"/>
                  <w:vMerge w:val="continue"/>
                  <w:tcBorders>
                    <w:tl2br w:val="nil"/>
                    <w:tr2bl w:val="nil"/>
                  </w:tcBorders>
                  <w:shd w:val="clear" w:color="auto" w:fill="auto"/>
                  <w:vAlign w:val="center"/>
                </w:tcPr>
                <w:p w14:paraId="23FC900C">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lang w:val="en-US" w:eastAsia="zh-CN" w:bidi="ar"/>
                    </w:rPr>
                  </w:pPr>
                </w:p>
              </w:tc>
            </w:tr>
            <w:tr w14:paraId="71A9EC9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5" w:hRule="atLeast"/>
              </w:trPr>
              <w:tc>
                <w:tcPr>
                  <w:tcW w:w="671" w:type="dxa"/>
                  <w:vMerge w:val="continue"/>
                  <w:tcBorders>
                    <w:tl2br w:val="nil"/>
                    <w:tr2bl w:val="nil"/>
                  </w:tcBorders>
                  <w:shd w:val="clear" w:color="auto" w:fill="auto"/>
                  <w:vAlign w:val="center"/>
                </w:tcPr>
                <w:p w14:paraId="58861131">
                  <w:pPr>
                    <w:keepNext w:val="0"/>
                    <w:keepLines w:val="0"/>
                    <w:pageBreakBefore w:val="0"/>
                    <w:suppressLineNumbers w:val="0"/>
                    <w:kinsoku/>
                    <w:wordWrap/>
                    <w:overflowPunct/>
                    <w:topLinePunct w:val="0"/>
                    <w:autoSpaceDN/>
                    <w:bidi w:val="0"/>
                    <w:adjustRightInd/>
                    <w:snapToGrid/>
                    <w:spacing w:before="0" w:beforeAutospacing="0" w:after="0" w:afterAutospacing="0" w:line="240" w:lineRule="auto"/>
                    <w:ind w:left="0" w:right="0"/>
                    <w:rPr>
                      <w:rFonts w:hint="default" w:ascii="Times New Roman" w:hAnsi="Times New Roman" w:cs="Times New Roman"/>
                      <w:color w:val="auto"/>
                      <w:sz w:val="20"/>
                      <w:szCs w:val="20"/>
                    </w:rPr>
                  </w:pPr>
                </w:p>
              </w:tc>
              <w:tc>
                <w:tcPr>
                  <w:tcW w:w="672" w:type="dxa"/>
                  <w:vMerge w:val="restart"/>
                  <w:tcBorders>
                    <w:tl2br w:val="nil"/>
                    <w:tr2bl w:val="nil"/>
                  </w:tcBorders>
                  <w:shd w:val="clear" w:color="auto" w:fill="auto"/>
                  <w:vAlign w:val="center"/>
                </w:tcPr>
                <w:p w14:paraId="019DA33A">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皮鞋生产线</w:t>
                  </w:r>
                </w:p>
              </w:tc>
              <w:tc>
                <w:tcPr>
                  <w:tcW w:w="917" w:type="dxa"/>
                  <w:tcBorders>
                    <w:tl2br w:val="nil"/>
                    <w:tr2bl w:val="nil"/>
                  </w:tcBorders>
                  <w:shd w:val="clear" w:color="auto" w:fill="auto"/>
                  <w:vAlign w:val="center"/>
                </w:tcPr>
                <w:p w14:paraId="7748468D">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
                    </w:rPr>
                    <w:t>非甲烷总烃</w:t>
                  </w:r>
                </w:p>
              </w:tc>
              <w:tc>
                <w:tcPr>
                  <w:tcW w:w="1238" w:type="dxa"/>
                  <w:tcBorders>
                    <w:tl2br w:val="nil"/>
                    <w:tr2bl w:val="nil"/>
                  </w:tcBorders>
                  <w:shd w:val="clear" w:color="auto" w:fill="auto"/>
                  <w:vAlign w:val="center"/>
                </w:tcPr>
                <w:p w14:paraId="6DB8C047">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cs="Times New Roman"/>
                      <w:color w:val="auto"/>
                      <w:kern w:val="2"/>
                      <w:sz w:val="21"/>
                      <w:szCs w:val="21"/>
                      <w:lang w:val="en-US" w:eastAsia="zh-CN"/>
                    </w:rPr>
                    <w:t>0.276</w:t>
                  </w:r>
                </w:p>
              </w:tc>
              <w:tc>
                <w:tcPr>
                  <w:tcW w:w="1284" w:type="dxa"/>
                  <w:tcBorders>
                    <w:tl2br w:val="nil"/>
                    <w:tr2bl w:val="nil"/>
                  </w:tcBorders>
                  <w:shd w:val="clear" w:color="auto" w:fill="auto"/>
                  <w:vAlign w:val="center"/>
                </w:tcPr>
                <w:p w14:paraId="6420D06A">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
                    </w:rPr>
                    <w:t>2.0</w:t>
                  </w:r>
                </w:p>
              </w:tc>
              <w:tc>
                <w:tcPr>
                  <w:tcW w:w="1069" w:type="dxa"/>
                  <w:tcBorders>
                    <w:tl2br w:val="nil"/>
                    <w:tr2bl w:val="nil"/>
                  </w:tcBorders>
                  <w:shd w:val="clear" w:color="auto" w:fill="auto"/>
                  <w:vAlign w:val="center"/>
                </w:tcPr>
                <w:p w14:paraId="416325A3">
                  <w:pPr>
                    <w:keepNext w:val="0"/>
                    <w:keepLines w:val="0"/>
                    <w:pageBreakBefore w:val="0"/>
                    <w:widowControl/>
                    <w:suppressLineNumbers w:val="0"/>
                    <w:kinsoku/>
                    <w:wordWrap/>
                    <w:overflowPunct/>
                    <w:topLinePunct w:val="0"/>
                    <w:autoSpaceDE w:val="0"/>
                    <w:autoSpaceDN/>
                    <w:bidi w:val="0"/>
                    <w:adjustRightInd/>
                    <w:snapToGrid/>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rPr>
                    <w:t>0.11</w:t>
                  </w:r>
                </w:p>
              </w:tc>
              <w:tc>
                <w:tcPr>
                  <w:tcW w:w="596" w:type="dxa"/>
                  <w:tcBorders>
                    <w:tl2br w:val="nil"/>
                    <w:tr2bl w:val="nil"/>
                  </w:tcBorders>
                  <w:shd w:val="clear" w:color="auto" w:fill="auto"/>
                  <w:vAlign w:val="center"/>
                </w:tcPr>
                <w:p w14:paraId="161279DA">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cs="Times New Roman"/>
                      <w:color w:val="auto"/>
                      <w:kern w:val="2"/>
                      <w:sz w:val="21"/>
                      <w:szCs w:val="21"/>
                      <w:lang w:val="en-US" w:eastAsia="zh-CN"/>
                    </w:rPr>
                    <w:t>2</w:t>
                  </w:r>
                </w:p>
              </w:tc>
              <w:tc>
                <w:tcPr>
                  <w:tcW w:w="886" w:type="dxa"/>
                  <w:tcBorders>
                    <w:tl2br w:val="nil"/>
                    <w:tr2bl w:val="nil"/>
                  </w:tcBorders>
                  <w:shd w:val="clear" w:color="auto" w:fill="auto"/>
                  <w:vAlign w:val="center"/>
                </w:tcPr>
                <w:p w14:paraId="028180A5">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
                    </w:rPr>
                    <w:t>否</w:t>
                  </w:r>
                </w:p>
              </w:tc>
              <w:tc>
                <w:tcPr>
                  <w:tcW w:w="1526" w:type="dxa"/>
                  <w:vMerge w:val="restart"/>
                  <w:tcBorders>
                    <w:tl2br w:val="nil"/>
                    <w:tr2bl w:val="nil"/>
                  </w:tcBorders>
                  <w:shd w:val="clear" w:color="auto" w:fill="auto"/>
                  <w:vAlign w:val="center"/>
                </w:tcPr>
                <w:p w14:paraId="3209D934">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eastAsia" w:ascii="宋体" w:hAnsi="宋体" w:eastAsia="宋体" w:cs="宋体"/>
                      <w:color w:val="auto"/>
                      <w:kern w:val="2"/>
                      <w:sz w:val="21"/>
                      <w:szCs w:val="21"/>
                      <w:lang w:val="en-US" w:eastAsia="zh-CN" w:bidi="ar"/>
                    </w:rPr>
                    <w:t>等标差值大于</w:t>
                  </w:r>
                  <w:r>
                    <w:rPr>
                      <w:rFonts w:hint="default" w:ascii="Times New Roman" w:hAnsi="Times New Roman" w:eastAsia="宋体" w:cs="Times New Roman"/>
                      <w:color w:val="auto"/>
                      <w:kern w:val="2"/>
                      <w:sz w:val="21"/>
                      <w:szCs w:val="21"/>
                      <w:lang w:val="en-US" w:eastAsia="zh-CN" w:bidi="ar"/>
                    </w:rPr>
                    <w:t>10%</w:t>
                  </w:r>
                </w:p>
              </w:tc>
            </w:tr>
            <w:tr w14:paraId="2C008FD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5" w:hRule="atLeast"/>
              </w:trPr>
              <w:tc>
                <w:tcPr>
                  <w:tcW w:w="671" w:type="dxa"/>
                  <w:vMerge w:val="continue"/>
                  <w:tcBorders>
                    <w:tl2br w:val="nil"/>
                    <w:tr2bl w:val="nil"/>
                  </w:tcBorders>
                  <w:shd w:val="clear" w:color="auto" w:fill="auto"/>
                  <w:vAlign w:val="center"/>
                </w:tcPr>
                <w:p w14:paraId="5DA3379D">
                  <w:pPr>
                    <w:keepNext w:val="0"/>
                    <w:keepLines w:val="0"/>
                    <w:pageBreakBefore w:val="0"/>
                    <w:suppressLineNumbers w:val="0"/>
                    <w:kinsoku/>
                    <w:wordWrap/>
                    <w:overflowPunct/>
                    <w:topLinePunct w:val="0"/>
                    <w:autoSpaceDN/>
                    <w:bidi w:val="0"/>
                    <w:adjustRightInd/>
                    <w:snapToGrid/>
                    <w:spacing w:before="0" w:beforeAutospacing="0" w:after="0" w:afterAutospacing="0" w:line="240" w:lineRule="auto"/>
                    <w:ind w:left="0" w:right="0"/>
                    <w:rPr>
                      <w:rFonts w:hint="default" w:ascii="Times New Roman" w:hAnsi="Times New Roman" w:cs="Times New Roman"/>
                      <w:color w:val="auto"/>
                      <w:sz w:val="20"/>
                      <w:szCs w:val="20"/>
                    </w:rPr>
                  </w:pPr>
                </w:p>
              </w:tc>
              <w:tc>
                <w:tcPr>
                  <w:tcW w:w="672" w:type="dxa"/>
                  <w:vMerge w:val="continue"/>
                  <w:tcBorders>
                    <w:tl2br w:val="nil"/>
                    <w:tr2bl w:val="nil"/>
                  </w:tcBorders>
                  <w:shd w:val="clear" w:color="auto" w:fill="auto"/>
                  <w:vAlign w:val="center"/>
                </w:tcPr>
                <w:p w14:paraId="2C206E03">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rPr>
                      <w:rFonts w:hint="eastAsia" w:ascii="Times New Roman" w:hAnsi="Times New Roman" w:cs="Times New Roman"/>
                      <w:color w:val="auto"/>
                      <w:kern w:val="2"/>
                      <w:sz w:val="21"/>
                      <w:szCs w:val="21"/>
                      <w:lang w:val="en-US" w:eastAsia="zh-CN" w:bidi="ar-SA"/>
                    </w:rPr>
                  </w:pPr>
                </w:p>
              </w:tc>
              <w:tc>
                <w:tcPr>
                  <w:tcW w:w="917" w:type="dxa"/>
                  <w:tcBorders>
                    <w:tl2br w:val="nil"/>
                    <w:tr2bl w:val="nil"/>
                  </w:tcBorders>
                  <w:shd w:val="clear" w:color="auto" w:fill="auto"/>
                  <w:vAlign w:val="center"/>
                </w:tcPr>
                <w:p w14:paraId="70AB75BB">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
                    </w:rPr>
                  </w:pPr>
                  <w:r>
                    <w:rPr>
                      <w:rFonts w:hint="default" w:ascii="Times New Roman" w:hAnsi="Times New Roman" w:eastAsia="宋体" w:cs="Times New Roman"/>
                      <w:color w:val="auto"/>
                      <w:kern w:val="2"/>
                      <w:sz w:val="21"/>
                      <w:szCs w:val="21"/>
                      <w:lang w:val="en-US" w:eastAsia="zh-CN" w:bidi="ar"/>
                    </w:rPr>
                    <w:t>TSP</w:t>
                  </w:r>
                </w:p>
              </w:tc>
              <w:tc>
                <w:tcPr>
                  <w:tcW w:w="1238" w:type="dxa"/>
                  <w:tcBorders>
                    <w:tl2br w:val="nil"/>
                    <w:tr2bl w:val="nil"/>
                  </w:tcBorders>
                  <w:shd w:val="clear" w:color="auto" w:fill="auto"/>
                  <w:vAlign w:val="center"/>
                </w:tcPr>
                <w:p w14:paraId="364B5D79">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cs="Times New Roman"/>
                      <w:color w:val="auto"/>
                      <w:kern w:val="2"/>
                      <w:sz w:val="21"/>
                      <w:szCs w:val="21"/>
                      <w:lang w:val="en-US" w:eastAsia="zh-CN"/>
                    </w:rPr>
                    <w:t>0.162</w:t>
                  </w:r>
                </w:p>
              </w:tc>
              <w:tc>
                <w:tcPr>
                  <w:tcW w:w="1284" w:type="dxa"/>
                  <w:tcBorders>
                    <w:tl2br w:val="nil"/>
                    <w:tr2bl w:val="nil"/>
                  </w:tcBorders>
                  <w:shd w:val="clear" w:color="auto" w:fill="auto"/>
                  <w:vAlign w:val="center"/>
                </w:tcPr>
                <w:p w14:paraId="234B8230">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
                    </w:rPr>
                    <w:t>0.9</w:t>
                  </w:r>
                </w:p>
              </w:tc>
              <w:tc>
                <w:tcPr>
                  <w:tcW w:w="1069" w:type="dxa"/>
                  <w:tcBorders>
                    <w:tl2br w:val="nil"/>
                    <w:tr2bl w:val="nil"/>
                  </w:tcBorders>
                  <w:shd w:val="clear" w:color="auto" w:fill="auto"/>
                  <w:vAlign w:val="center"/>
                </w:tcPr>
                <w:p w14:paraId="18653638">
                  <w:pPr>
                    <w:keepNext w:val="0"/>
                    <w:keepLines w:val="0"/>
                    <w:pageBreakBefore w:val="0"/>
                    <w:widowControl/>
                    <w:suppressLineNumbers w:val="0"/>
                    <w:kinsoku/>
                    <w:wordWrap/>
                    <w:overflowPunct/>
                    <w:topLinePunct w:val="0"/>
                    <w:autoSpaceDE w:val="0"/>
                    <w:autoSpaceDN/>
                    <w:bidi w:val="0"/>
                    <w:adjustRightInd/>
                    <w:snapToGrid/>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rPr>
                    <w:t>0.18</w:t>
                  </w:r>
                </w:p>
              </w:tc>
              <w:tc>
                <w:tcPr>
                  <w:tcW w:w="596" w:type="dxa"/>
                  <w:tcBorders>
                    <w:tl2br w:val="nil"/>
                    <w:tr2bl w:val="nil"/>
                  </w:tcBorders>
                  <w:shd w:val="clear" w:color="auto" w:fill="auto"/>
                  <w:vAlign w:val="center"/>
                </w:tcPr>
                <w:p w14:paraId="479D6866">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
                    </w:rPr>
                  </w:pPr>
                  <w:r>
                    <w:rPr>
                      <w:rFonts w:hint="eastAsia" w:ascii="Times New Roman" w:hAnsi="Times New Roman" w:cs="Times New Roman"/>
                      <w:color w:val="auto"/>
                      <w:kern w:val="2"/>
                      <w:sz w:val="21"/>
                      <w:szCs w:val="21"/>
                      <w:lang w:val="en-US" w:eastAsia="zh-CN" w:bidi="ar"/>
                    </w:rPr>
                    <w:t>1</w:t>
                  </w:r>
                </w:p>
              </w:tc>
              <w:tc>
                <w:tcPr>
                  <w:tcW w:w="886" w:type="dxa"/>
                  <w:tcBorders>
                    <w:tl2br w:val="nil"/>
                    <w:tr2bl w:val="nil"/>
                  </w:tcBorders>
                  <w:shd w:val="clear" w:color="auto" w:fill="auto"/>
                  <w:vAlign w:val="center"/>
                </w:tcPr>
                <w:p w14:paraId="134E0B7F">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
                    </w:rPr>
                  </w:pPr>
                  <w:r>
                    <w:rPr>
                      <w:rFonts w:hint="eastAsia" w:ascii="Times New Roman" w:hAnsi="Times New Roman" w:cs="Times New Roman"/>
                      <w:color w:val="auto"/>
                      <w:kern w:val="2"/>
                      <w:sz w:val="21"/>
                      <w:szCs w:val="21"/>
                      <w:lang w:val="en-US" w:eastAsia="zh-CN" w:bidi="ar"/>
                    </w:rPr>
                    <w:t>是</w:t>
                  </w:r>
                </w:p>
              </w:tc>
              <w:tc>
                <w:tcPr>
                  <w:tcW w:w="1526" w:type="dxa"/>
                  <w:vMerge w:val="continue"/>
                  <w:tcBorders>
                    <w:tl2br w:val="nil"/>
                    <w:tr2bl w:val="nil"/>
                  </w:tcBorders>
                  <w:shd w:val="clear" w:color="auto" w:fill="auto"/>
                  <w:vAlign w:val="center"/>
                </w:tcPr>
                <w:p w14:paraId="63AE332F">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p>
              </w:tc>
            </w:tr>
            <w:tr w14:paraId="21E2C4B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95" w:hRule="atLeast"/>
              </w:trPr>
              <w:tc>
                <w:tcPr>
                  <w:tcW w:w="671" w:type="dxa"/>
                  <w:vMerge w:val="continue"/>
                  <w:tcBorders>
                    <w:tl2br w:val="nil"/>
                    <w:tr2bl w:val="nil"/>
                  </w:tcBorders>
                  <w:shd w:val="clear" w:color="auto" w:fill="auto"/>
                  <w:vAlign w:val="center"/>
                </w:tcPr>
                <w:p w14:paraId="62FE5851">
                  <w:pPr>
                    <w:keepNext w:val="0"/>
                    <w:keepLines w:val="0"/>
                    <w:pageBreakBefore w:val="0"/>
                    <w:suppressLineNumbers w:val="0"/>
                    <w:kinsoku/>
                    <w:wordWrap/>
                    <w:overflowPunct/>
                    <w:topLinePunct w:val="0"/>
                    <w:autoSpaceDN/>
                    <w:bidi w:val="0"/>
                    <w:adjustRightInd/>
                    <w:snapToGrid/>
                    <w:spacing w:before="0" w:beforeAutospacing="0" w:after="0" w:afterAutospacing="0" w:line="240" w:lineRule="auto"/>
                    <w:ind w:left="0" w:right="0"/>
                    <w:rPr>
                      <w:rFonts w:hint="default" w:ascii="Times New Roman" w:hAnsi="Times New Roman" w:cs="Times New Roman"/>
                      <w:color w:val="auto"/>
                      <w:sz w:val="20"/>
                      <w:szCs w:val="20"/>
                    </w:rPr>
                  </w:pPr>
                </w:p>
              </w:tc>
              <w:tc>
                <w:tcPr>
                  <w:tcW w:w="672" w:type="dxa"/>
                  <w:tcBorders>
                    <w:tl2br w:val="nil"/>
                    <w:tr2bl w:val="nil"/>
                  </w:tcBorders>
                  <w:shd w:val="clear" w:color="auto" w:fill="auto"/>
                  <w:vAlign w:val="center"/>
                </w:tcPr>
                <w:p w14:paraId="7BB42064">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rPr>
                    <w:t>丝网印花</w:t>
                  </w:r>
                  <w:r>
                    <w:rPr>
                      <w:rFonts w:hint="eastAsia" w:ascii="Times New Roman" w:hAnsi="Times New Roman" w:eastAsia="宋体" w:cs="Times New Roman"/>
                      <w:color w:val="auto"/>
                      <w:kern w:val="2"/>
                      <w:sz w:val="21"/>
                      <w:szCs w:val="21"/>
                      <w:lang w:val="en-US" w:eastAsia="zh-CN"/>
                    </w:rPr>
                    <w:t>区</w:t>
                  </w:r>
                </w:p>
              </w:tc>
              <w:tc>
                <w:tcPr>
                  <w:tcW w:w="917" w:type="dxa"/>
                  <w:tcBorders>
                    <w:tl2br w:val="nil"/>
                    <w:tr2bl w:val="nil"/>
                  </w:tcBorders>
                  <w:shd w:val="clear" w:color="auto" w:fill="auto"/>
                  <w:vAlign w:val="center"/>
                </w:tcPr>
                <w:p w14:paraId="6B5EFE4B">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宋体" w:hAnsi="宋体" w:eastAsia="宋体" w:cs="宋体"/>
                      <w:color w:val="auto"/>
                      <w:kern w:val="2"/>
                      <w:sz w:val="21"/>
                      <w:szCs w:val="21"/>
                      <w:lang w:val="en-US" w:eastAsia="zh-CN" w:bidi="ar"/>
                    </w:rPr>
                    <w:t>非甲烷总烃</w:t>
                  </w:r>
                </w:p>
              </w:tc>
              <w:tc>
                <w:tcPr>
                  <w:tcW w:w="1238" w:type="dxa"/>
                  <w:tcBorders>
                    <w:tl2br w:val="nil"/>
                    <w:tr2bl w:val="nil"/>
                  </w:tcBorders>
                  <w:shd w:val="clear" w:color="auto" w:fill="auto"/>
                  <w:vAlign w:val="center"/>
                </w:tcPr>
                <w:p w14:paraId="4AF24853">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
                    </w:rPr>
                    <w:t>0.001</w:t>
                  </w:r>
                </w:p>
              </w:tc>
              <w:tc>
                <w:tcPr>
                  <w:tcW w:w="1284" w:type="dxa"/>
                  <w:tcBorders>
                    <w:tl2br w:val="nil"/>
                    <w:tr2bl w:val="nil"/>
                  </w:tcBorders>
                  <w:shd w:val="clear" w:color="auto" w:fill="auto"/>
                  <w:vAlign w:val="center"/>
                </w:tcPr>
                <w:p w14:paraId="4DC9FF56">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
                    </w:rPr>
                    <w:t>2.0</w:t>
                  </w:r>
                </w:p>
              </w:tc>
              <w:tc>
                <w:tcPr>
                  <w:tcW w:w="1069" w:type="dxa"/>
                  <w:tcBorders>
                    <w:tl2br w:val="nil"/>
                    <w:tr2bl w:val="nil"/>
                  </w:tcBorders>
                  <w:shd w:val="clear" w:color="auto" w:fill="auto"/>
                  <w:vAlign w:val="center"/>
                </w:tcPr>
                <w:p w14:paraId="5931CDFD">
                  <w:pPr>
                    <w:keepNext w:val="0"/>
                    <w:keepLines w:val="0"/>
                    <w:pageBreakBefore w:val="0"/>
                    <w:widowControl/>
                    <w:suppressLineNumbers w:val="0"/>
                    <w:kinsoku/>
                    <w:wordWrap/>
                    <w:overflowPunct/>
                    <w:topLinePunct w:val="0"/>
                    <w:autoSpaceDE w:val="0"/>
                    <w:autoSpaceDN/>
                    <w:bidi w:val="0"/>
                    <w:adjustRightInd/>
                    <w:snapToGrid/>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
                    </w:rPr>
                    <w:t>0.0005</w:t>
                  </w:r>
                </w:p>
              </w:tc>
              <w:tc>
                <w:tcPr>
                  <w:tcW w:w="596" w:type="dxa"/>
                  <w:tcBorders>
                    <w:tl2br w:val="nil"/>
                    <w:tr2bl w:val="nil"/>
                  </w:tcBorders>
                  <w:shd w:val="clear" w:color="auto" w:fill="auto"/>
                  <w:vAlign w:val="center"/>
                </w:tcPr>
                <w:p w14:paraId="4F95597D">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
                    </w:rPr>
                    <w:t>/</w:t>
                  </w:r>
                </w:p>
              </w:tc>
              <w:tc>
                <w:tcPr>
                  <w:tcW w:w="886" w:type="dxa"/>
                  <w:tcBorders>
                    <w:tl2br w:val="nil"/>
                    <w:tr2bl w:val="nil"/>
                  </w:tcBorders>
                  <w:shd w:val="clear" w:color="auto" w:fill="auto"/>
                  <w:vAlign w:val="center"/>
                </w:tcPr>
                <w:p w14:paraId="494AE13B">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
                    </w:rPr>
                    <w:t>/</w:t>
                  </w:r>
                </w:p>
              </w:tc>
              <w:tc>
                <w:tcPr>
                  <w:tcW w:w="1526" w:type="dxa"/>
                  <w:tcBorders>
                    <w:tl2br w:val="nil"/>
                    <w:tr2bl w:val="nil"/>
                  </w:tcBorders>
                  <w:shd w:val="clear" w:color="auto" w:fill="auto"/>
                  <w:vAlign w:val="center"/>
                </w:tcPr>
                <w:p w14:paraId="7E5C5C8C">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p>
              </w:tc>
            </w:tr>
          </w:tbl>
          <w:p w14:paraId="7B44A3AB">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eastAsia="宋体" w:cs="Times New Roman"/>
                <w:color w:val="auto"/>
                <w:kern w:val="2"/>
                <w:sz w:val="24"/>
                <w:szCs w:val="24"/>
              </w:rPr>
            </w:pPr>
            <w:r>
              <w:rPr>
                <w:rFonts w:hint="eastAsia" w:ascii="宋体" w:hAnsi="宋体" w:eastAsia="宋体" w:cs="宋体"/>
                <w:color w:val="auto"/>
                <w:kern w:val="2"/>
                <w:sz w:val="24"/>
                <w:szCs w:val="24"/>
                <w:lang w:val="en-US" w:eastAsia="zh-CN" w:bidi="ar"/>
              </w:rPr>
              <w:t>本项目基于单个污染物的等标排放量计算结果，优先选择等标排放量大的无组织排放的主要特征大气有害物质计算卫生防护距离初值来确定卫生防护距离终值，因此本次评价针对生产厂房产生的</w:t>
            </w:r>
            <w:r>
              <w:rPr>
                <w:rFonts w:hint="default" w:ascii="Times New Roman" w:hAnsi="Times New Roman" w:eastAsia="宋体" w:cs="Times New Roman"/>
                <w:color w:val="auto"/>
                <w:kern w:val="2"/>
                <w:sz w:val="24"/>
                <w:szCs w:val="24"/>
                <w:lang w:val="en-US" w:eastAsia="zh-CN" w:bidi="ar"/>
              </w:rPr>
              <w:t>TSP</w:t>
            </w:r>
            <w:r>
              <w:rPr>
                <w:rFonts w:hint="eastAsia" w:ascii="宋体" w:hAnsi="宋体" w:eastAsia="宋体" w:cs="宋体"/>
                <w:color w:val="auto"/>
                <w:kern w:val="2"/>
                <w:sz w:val="24"/>
                <w:szCs w:val="24"/>
                <w:lang w:val="en-US" w:eastAsia="zh-CN" w:bidi="ar"/>
              </w:rPr>
              <w:t>、非甲烷总烃卫生防护距离进行计算，可由下式计算：</w:t>
            </w:r>
          </w:p>
          <w:p w14:paraId="0664CCAA">
            <w:pPr>
              <w:pStyle w:val="119"/>
              <w:keepNext w:val="0"/>
              <w:keepLines w:val="0"/>
              <w:widowControl w:val="0"/>
              <w:suppressLineNumbers w:val="0"/>
              <w:adjustRightInd w:val="0"/>
              <w:spacing w:before="0" w:beforeAutospacing="0" w:after="0" w:afterAutospacing="0"/>
              <w:ind w:left="0" w:right="0"/>
              <w:jc w:val="center"/>
              <w:rPr>
                <w:rFonts w:hint="default" w:ascii="Times New Roman" w:hAnsi="Times New Roman" w:eastAsia="宋体" w:cs="Times New Roman"/>
                <w:color w:val="auto"/>
                <w:kern w:val="2"/>
                <w:sz w:val="24"/>
                <w:szCs w:val="24"/>
              </w:rPr>
            </w:pPr>
            <w:r>
              <w:rPr>
                <w:color w:val="auto"/>
              </w:rPr>
              <w:drawing>
                <wp:inline distT="0" distB="0" distL="114300" distR="114300">
                  <wp:extent cx="1809750" cy="409575"/>
                  <wp:effectExtent l="0" t="0" r="3810" b="1905"/>
                  <wp:docPr id="282"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图片 6" descr="IMG_256"/>
                          <pic:cNvPicPr>
                            <a:picLocks noChangeAspect="1"/>
                          </pic:cNvPicPr>
                        </pic:nvPicPr>
                        <pic:blipFill>
                          <a:blip r:embed="rId16"/>
                          <a:stretch>
                            <a:fillRect/>
                          </a:stretch>
                        </pic:blipFill>
                        <pic:spPr>
                          <a:xfrm>
                            <a:off x="0" y="0"/>
                            <a:ext cx="1809750" cy="409575"/>
                          </a:xfrm>
                          <a:prstGeom prst="rect">
                            <a:avLst/>
                          </a:prstGeom>
                          <a:noFill/>
                          <a:ln w="9525">
                            <a:noFill/>
                          </a:ln>
                        </pic:spPr>
                      </pic:pic>
                    </a:graphicData>
                  </a:graphic>
                </wp:inline>
              </w:drawing>
            </w:r>
            <w:r>
              <w:rPr>
                <w:rFonts w:hint="default" w:ascii="Times New Roman" w:hAnsi="Times New Roman" w:eastAsia="宋体" w:cs="Times New Roman"/>
                <w:color w:val="auto"/>
                <w:kern w:val="2"/>
                <w:sz w:val="24"/>
                <w:szCs w:val="24"/>
              </w:rPr>
              <w:t xml:space="preserve"> </w:t>
            </w:r>
          </w:p>
          <w:p w14:paraId="3929A26E">
            <w:pPr>
              <w:pStyle w:val="119"/>
              <w:keepNext w:val="0"/>
              <w:keepLines w:val="0"/>
              <w:widowControl w:val="0"/>
              <w:suppressLineNumbers w:val="0"/>
              <w:adjustRightInd w:val="0"/>
              <w:spacing w:before="0" w:beforeAutospacing="0" w:after="0" w:afterAutospacing="0"/>
              <w:ind w:left="0" w:right="0"/>
              <w:jc w:val="left"/>
              <w:rPr>
                <w:rFonts w:hint="default" w:ascii="Times New Roman" w:hAnsi="Times New Roman" w:eastAsia="宋体" w:cs="Times New Roman"/>
                <w:color w:val="auto"/>
                <w:kern w:val="2"/>
                <w:sz w:val="24"/>
                <w:szCs w:val="24"/>
              </w:rPr>
            </w:pPr>
            <w:r>
              <w:rPr>
                <w:rFonts w:hint="eastAsia" w:ascii="宋体" w:hAnsi="宋体" w:eastAsia="宋体" w:cs="宋体"/>
                <w:color w:val="auto"/>
                <w:kern w:val="2"/>
                <w:sz w:val="24"/>
                <w:szCs w:val="24"/>
              </w:rPr>
              <w:t>式中：</w:t>
            </w:r>
            <w:r>
              <w:rPr>
                <w:rFonts w:hint="default" w:ascii="Times New Roman" w:hAnsi="Times New Roman" w:eastAsia="宋体" w:cs="Times New Roman"/>
                <w:color w:val="auto"/>
                <w:kern w:val="2"/>
                <w:sz w:val="24"/>
                <w:szCs w:val="24"/>
              </w:rPr>
              <w:t>A</w:t>
            </w:r>
            <w:r>
              <w:rPr>
                <w:rFonts w:hint="eastAsia" w:ascii="宋体" w:hAnsi="宋体" w:eastAsia="宋体" w:cs="宋体"/>
                <w:color w:val="auto"/>
                <w:kern w:val="2"/>
                <w:sz w:val="24"/>
                <w:szCs w:val="24"/>
              </w:rPr>
              <w:t>、</w:t>
            </w:r>
            <w:r>
              <w:rPr>
                <w:rFonts w:hint="default" w:ascii="Times New Roman" w:hAnsi="Times New Roman" w:eastAsia="宋体" w:cs="Times New Roman"/>
                <w:color w:val="auto"/>
                <w:kern w:val="2"/>
                <w:sz w:val="24"/>
                <w:szCs w:val="24"/>
              </w:rPr>
              <w:t>B</w:t>
            </w:r>
            <w:r>
              <w:rPr>
                <w:rFonts w:hint="eastAsia" w:ascii="宋体" w:hAnsi="宋体" w:eastAsia="宋体" w:cs="宋体"/>
                <w:color w:val="auto"/>
                <w:kern w:val="2"/>
                <w:sz w:val="24"/>
                <w:szCs w:val="24"/>
              </w:rPr>
              <w:t>、</w:t>
            </w:r>
            <w:r>
              <w:rPr>
                <w:rFonts w:hint="default" w:ascii="Times New Roman" w:hAnsi="Times New Roman" w:eastAsia="宋体" w:cs="Times New Roman"/>
                <w:color w:val="auto"/>
                <w:kern w:val="2"/>
                <w:sz w:val="24"/>
                <w:szCs w:val="24"/>
              </w:rPr>
              <w:t>C</w:t>
            </w:r>
            <w:r>
              <w:rPr>
                <w:rFonts w:hint="eastAsia" w:ascii="宋体" w:hAnsi="宋体" w:eastAsia="宋体" w:cs="宋体"/>
                <w:color w:val="auto"/>
                <w:kern w:val="2"/>
                <w:sz w:val="24"/>
                <w:szCs w:val="24"/>
              </w:rPr>
              <w:t>、</w:t>
            </w:r>
            <w:r>
              <w:rPr>
                <w:rFonts w:hint="default" w:ascii="Times New Roman" w:hAnsi="Times New Roman" w:eastAsia="宋体" w:cs="Times New Roman"/>
                <w:color w:val="auto"/>
                <w:kern w:val="2"/>
                <w:sz w:val="24"/>
                <w:szCs w:val="24"/>
              </w:rPr>
              <w:t>D——</w:t>
            </w:r>
            <w:r>
              <w:rPr>
                <w:rFonts w:hint="eastAsia" w:ascii="宋体" w:hAnsi="宋体" w:eastAsia="宋体" w:cs="宋体"/>
                <w:color w:val="auto"/>
                <w:kern w:val="2"/>
                <w:sz w:val="24"/>
                <w:szCs w:val="24"/>
              </w:rPr>
              <w:t>卫生防护距离计算系数；</w:t>
            </w:r>
          </w:p>
          <w:p w14:paraId="1270A12E">
            <w:pPr>
              <w:pStyle w:val="119"/>
              <w:keepNext w:val="0"/>
              <w:keepLines w:val="0"/>
              <w:widowControl w:val="0"/>
              <w:suppressLineNumbers w:val="0"/>
              <w:adjustRightInd w:val="0"/>
              <w:spacing w:before="0" w:beforeAutospacing="0" w:after="0" w:afterAutospacing="0"/>
              <w:ind w:left="0" w:right="0"/>
              <w:jc w:val="left"/>
              <w:rPr>
                <w:rFonts w:hint="default" w:ascii="Times New Roman" w:hAnsi="Times New Roman" w:eastAsia="宋体" w:cs="Times New Roman"/>
                <w:color w:val="auto"/>
                <w:kern w:val="2"/>
                <w:sz w:val="24"/>
                <w:szCs w:val="24"/>
              </w:rPr>
            </w:pPr>
            <w:r>
              <w:rPr>
                <w:rFonts w:hint="default" w:ascii="Times New Roman" w:hAnsi="Times New Roman" w:eastAsia="宋体" w:cs="Times New Roman"/>
                <w:color w:val="auto"/>
                <w:kern w:val="2"/>
                <w:sz w:val="24"/>
                <w:szCs w:val="24"/>
              </w:rPr>
              <w:t>Cn——</w:t>
            </w:r>
            <w:r>
              <w:rPr>
                <w:rFonts w:hint="eastAsia" w:ascii="宋体" w:hAnsi="宋体" w:eastAsia="宋体" w:cs="宋体"/>
                <w:color w:val="auto"/>
                <w:kern w:val="2"/>
                <w:sz w:val="24"/>
                <w:szCs w:val="24"/>
              </w:rPr>
              <w:t>《环境空气质量标准》浓度限值，</w:t>
            </w:r>
            <w:r>
              <w:rPr>
                <w:rFonts w:hint="default" w:ascii="Times New Roman" w:hAnsi="Times New Roman" w:eastAsia="宋体" w:cs="Times New Roman"/>
                <w:color w:val="auto"/>
                <w:kern w:val="2"/>
                <w:sz w:val="24"/>
                <w:szCs w:val="24"/>
              </w:rPr>
              <w:t>mg/Nm</w:t>
            </w:r>
            <w:r>
              <w:rPr>
                <w:rFonts w:hint="default" w:ascii="Times New Roman" w:hAnsi="Times New Roman" w:eastAsia="宋体" w:cs="Times New Roman"/>
                <w:color w:val="auto"/>
                <w:kern w:val="2"/>
                <w:sz w:val="24"/>
                <w:szCs w:val="24"/>
                <w:vertAlign w:val="superscript"/>
              </w:rPr>
              <w:t>3</w:t>
            </w:r>
            <w:r>
              <w:rPr>
                <w:rFonts w:hint="eastAsia" w:ascii="宋体" w:hAnsi="宋体" w:eastAsia="宋体" w:cs="宋体"/>
                <w:color w:val="auto"/>
                <w:kern w:val="2"/>
                <w:sz w:val="24"/>
                <w:szCs w:val="24"/>
              </w:rPr>
              <w:t>；</w:t>
            </w:r>
          </w:p>
          <w:p w14:paraId="1B7FFCD7">
            <w:pPr>
              <w:pStyle w:val="119"/>
              <w:keepNext w:val="0"/>
              <w:keepLines w:val="0"/>
              <w:widowControl w:val="0"/>
              <w:suppressLineNumbers w:val="0"/>
              <w:adjustRightInd w:val="0"/>
              <w:spacing w:before="0" w:beforeAutospacing="0" w:after="0" w:afterAutospacing="0"/>
              <w:ind w:left="0" w:right="0"/>
              <w:jc w:val="left"/>
              <w:rPr>
                <w:rFonts w:hint="default" w:ascii="Times New Roman" w:hAnsi="Times New Roman" w:eastAsia="宋体" w:cs="Times New Roman"/>
                <w:color w:val="auto"/>
                <w:kern w:val="2"/>
                <w:sz w:val="24"/>
                <w:szCs w:val="24"/>
              </w:rPr>
            </w:pPr>
            <w:r>
              <w:rPr>
                <w:rFonts w:hint="default" w:ascii="Times New Roman" w:hAnsi="Times New Roman" w:eastAsia="宋体" w:cs="Times New Roman"/>
                <w:color w:val="auto"/>
                <w:kern w:val="2"/>
                <w:sz w:val="24"/>
                <w:szCs w:val="24"/>
              </w:rPr>
              <w:t>Qc——</w:t>
            </w:r>
            <w:r>
              <w:rPr>
                <w:rFonts w:hint="eastAsia" w:ascii="宋体" w:hAnsi="宋体" w:eastAsia="宋体" w:cs="宋体"/>
                <w:color w:val="auto"/>
                <w:kern w:val="2"/>
                <w:sz w:val="24"/>
                <w:szCs w:val="24"/>
              </w:rPr>
              <w:t>工业企业有害气体无组织排放量可以达到的控制水平，</w:t>
            </w:r>
            <w:r>
              <w:rPr>
                <w:rFonts w:hint="default" w:ascii="Times New Roman" w:hAnsi="Times New Roman" w:eastAsia="宋体" w:cs="Times New Roman"/>
                <w:color w:val="auto"/>
                <w:kern w:val="2"/>
                <w:sz w:val="24"/>
                <w:szCs w:val="24"/>
              </w:rPr>
              <w:t>kg/h</w:t>
            </w:r>
            <w:r>
              <w:rPr>
                <w:rFonts w:hint="eastAsia" w:ascii="宋体" w:hAnsi="宋体" w:eastAsia="宋体" w:cs="宋体"/>
                <w:color w:val="auto"/>
                <w:kern w:val="2"/>
                <w:sz w:val="24"/>
                <w:szCs w:val="24"/>
              </w:rPr>
              <w:t>；</w:t>
            </w:r>
          </w:p>
          <w:p w14:paraId="5BE17020">
            <w:pPr>
              <w:pStyle w:val="119"/>
              <w:keepNext w:val="0"/>
              <w:keepLines w:val="0"/>
              <w:widowControl w:val="0"/>
              <w:suppressLineNumbers w:val="0"/>
              <w:adjustRightInd w:val="0"/>
              <w:spacing w:before="0" w:beforeAutospacing="0" w:after="0" w:afterAutospacing="0"/>
              <w:ind w:left="0" w:right="0"/>
              <w:jc w:val="left"/>
              <w:rPr>
                <w:rFonts w:hint="default" w:ascii="Times New Roman" w:hAnsi="Times New Roman" w:eastAsia="宋体" w:cs="Times New Roman"/>
                <w:color w:val="auto"/>
                <w:kern w:val="2"/>
                <w:sz w:val="24"/>
                <w:szCs w:val="24"/>
              </w:rPr>
            </w:pPr>
            <w:r>
              <w:rPr>
                <w:rFonts w:hint="default" w:ascii="Times New Roman" w:hAnsi="Times New Roman" w:eastAsia="宋体" w:cs="Times New Roman"/>
                <w:color w:val="auto"/>
                <w:kern w:val="2"/>
                <w:sz w:val="24"/>
                <w:szCs w:val="24"/>
              </w:rPr>
              <w:t>γ——</w:t>
            </w:r>
            <w:r>
              <w:rPr>
                <w:rFonts w:hint="eastAsia" w:ascii="宋体" w:hAnsi="宋体" w:eastAsia="宋体" w:cs="宋体"/>
                <w:color w:val="auto"/>
                <w:kern w:val="2"/>
                <w:sz w:val="24"/>
                <w:szCs w:val="24"/>
              </w:rPr>
              <w:t>无组织排放源的等效半径，</w:t>
            </w:r>
            <w:r>
              <w:rPr>
                <w:color w:val="auto"/>
              </w:rPr>
              <w:drawing>
                <wp:inline distT="0" distB="0" distL="114300" distR="114300">
                  <wp:extent cx="504825" cy="266700"/>
                  <wp:effectExtent l="0" t="0" r="13335" b="7620"/>
                  <wp:docPr id="283" name="图片 7"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图片 7" descr="IMG_257"/>
                          <pic:cNvPicPr>
                            <a:picLocks noChangeAspect="1"/>
                          </pic:cNvPicPr>
                        </pic:nvPicPr>
                        <pic:blipFill>
                          <a:blip r:embed="rId17"/>
                          <a:stretch>
                            <a:fillRect/>
                          </a:stretch>
                        </pic:blipFill>
                        <pic:spPr>
                          <a:xfrm>
                            <a:off x="0" y="0"/>
                            <a:ext cx="504825" cy="266700"/>
                          </a:xfrm>
                          <a:prstGeom prst="rect">
                            <a:avLst/>
                          </a:prstGeom>
                          <a:noFill/>
                          <a:ln w="9525">
                            <a:noFill/>
                          </a:ln>
                        </pic:spPr>
                      </pic:pic>
                    </a:graphicData>
                  </a:graphic>
                </wp:inline>
              </w:drawing>
            </w:r>
            <w:r>
              <w:rPr>
                <w:rFonts w:hint="eastAsia" w:ascii="宋体" w:hAnsi="宋体" w:eastAsia="宋体" w:cs="宋体"/>
                <w:color w:val="auto"/>
                <w:kern w:val="2"/>
                <w:sz w:val="24"/>
                <w:szCs w:val="24"/>
              </w:rPr>
              <w:t>，</w:t>
            </w:r>
            <w:r>
              <w:rPr>
                <w:rFonts w:hint="default" w:ascii="Times New Roman" w:hAnsi="Times New Roman" w:eastAsia="宋体" w:cs="Times New Roman"/>
                <w:color w:val="auto"/>
                <w:kern w:val="2"/>
                <w:sz w:val="24"/>
                <w:szCs w:val="24"/>
              </w:rPr>
              <w:t>m</w:t>
            </w:r>
            <w:r>
              <w:rPr>
                <w:rFonts w:hint="eastAsia" w:ascii="宋体" w:hAnsi="宋体" w:eastAsia="宋体" w:cs="宋体"/>
                <w:color w:val="auto"/>
                <w:kern w:val="2"/>
                <w:sz w:val="24"/>
                <w:szCs w:val="24"/>
              </w:rPr>
              <w:t>；</w:t>
            </w:r>
          </w:p>
          <w:p w14:paraId="4C1CA6AF">
            <w:pPr>
              <w:pStyle w:val="119"/>
              <w:keepNext w:val="0"/>
              <w:keepLines w:val="0"/>
              <w:widowControl w:val="0"/>
              <w:suppressLineNumbers w:val="0"/>
              <w:adjustRightInd w:val="0"/>
              <w:spacing w:before="0" w:beforeAutospacing="0" w:after="0" w:afterAutospacing="0"/>
              <w:ind w:left="0" w:right="0"/>
              <w:jc w:val="left"/>
              <w:rPr>
                <w:rFonts w:hint="default" w:ascii="Times New Roman" w:hAnsi="Times New Roman" w:eastAsia="宋体" w:cs="Times New Roman"/>
                <w:color w:val="auto"/>
                <w:kern w:val="2"/>
                <w:sz w:val="24"/>
                <w:szCs w:val="24"/>
              </w:rPr>
            </w:pPr>
            <w:r>
              <w:rPr>
                <w:rFonts w:hint="default" w:ascii="Times New Roman" w:hAnsi="Times New Roman" w:eastAsia="宋体" w:cs="Times New Roman"/>
                <w:color w:val="auto"/>
                <w:kern w:val="2"/>
                <w:sz w:val="24"/>
                <w:szCs w:val="24"/>
              </w:rPr>
              <w:t>L——</w:t>
            </w:r>
            <w:r>
              <w:rPr>
                <w:rFonts w:hint="eastAsia" w:ascii="宋体" w:hAnsi="宋体" w:eastAsia="宋体" w:cs="宋体"/>
                <w:color w:val="auto"/>
                <w:kern w:val="2"/>
                <w:sz w:val="24"/>
                <w:szCs w:val="24"/>
              </w:rPr>
              <w:t>安全卫生防护距离，</w:t>
            </w:r>
            <w:r>
              <w:rPr>
                <w:rFonts w:hint="default" w:ascii="Times New Roman" w:hAnsi="Times New Roman" w:eastAsia="宋体" w:cs="Times New Roman"/>
                <w:color w:val="auto"/>
                <w:kern w:val="2"/>
                <w:sz w:val="24"/>
                <w:szCs w:val="24"/>
              </w:rPr>
              <w:t>m</w:t>
            </w:r>
            <w:r>
              <w:rPr>
                <w:rFonts w:hint="eastAsia" w:ascii="宋体" w:hAnsi="宋体" w:eastAsia="宋体" w:cs="宋体"/>
                <w:color w:val="auto"/>
                <w:kern w:val="2"/>
                <w:sz w:val="24"/>
                <w:szCs w:val="24"/>
              </w:rPr>
              <w:t>。</w:t>
            </w:r>
          </w:p>
          <w:p w14:paraId="20CD14F7">
            <w:pPr>
              <w:keepNext w:val="0"/>
              <w:keepLines w:val="0"/>
              <w:widowControl w:val="0"/>
              <w:suppressLineNumbers w:val="0"/>
              <w:autoSpaceDE w:val="0"/>
              <w:autoSpaceDN/>
              <w:spacing w:before="0" w:beforeAutospacing="0" w:after="0" w:afterAutospacing="0" w:line="360" w:lineRule="auto"/>
              <w:ind w:left="0" w:right="0" w:firstLine="480" w:firstLineChars="200"/>
              <w:jc w:val="both"/>
              <w:rPr>
                <w:rFonts w:hint="default" w:ascii="Times New Roman" w:hAnsi="Times New Roman" w:eastAsia="宋体" w:cs="Times New Roman"/>
                <w:b/>
                <w:bCs w:val="0"/>
                <w:color w:val="auto"/>
                <w:kern w:val="2"/>
                <w:sz w:val="24"/>
                <w:szCs w:val="24"/>
              </w:rPr>
            </w:pPr>
            <w:r>
              <w:rPr>
                <w:rFonts w:hint="eastAsia" w:ascii="宋体" w:hAnsi="宋体" w:eastAsia="宋体" w:cs="宋体"/>
                <w:color w:val="auto"/>
                <w:kern w:val="2"/>
                <w:sz w:val="24"/>
                <w:szCs w:val="24"/>
                <w:lang w:val="en-US" w:eastAsia="zh-CN" w:bidi="ar"/>
              </w:rPr>
              <w:t>项目所在地长期平均风速为</w:t>
            </w:r>
            <w:r>
              <w:rPr>
                <w:rFonts w:hint="default" w:ascii="Times New Roman" w:hAnsi="Times New Roman" w:eastAsia="宋体" w:cs="Times New Roman"/>
                <w:color w:val="auto"/>
                <w:kern w:val="2"/>
                <w:sz w:val="24"/>
                <w:szCs w:val="24"/>
                <w:lang w:val="en-US" w:eastAsia="zh-CN" w:bidi="ar"/>
              </w:rPr>
              <w:t>1.8m/s</w:t>
            </w:r>
            <w:r>
              <w:rPr>
                <w:rFonts w:hint="eastAsia" w:ascii="宋体" w:hAnsi="宋体" w:eastAsia="宋体" w:cs="宋体"/>
                <w:color w:val="auto"/>
                <w:kern w:val="2"/>
                <w:sz w:val="24"/>
                <w:szCs w:val="24"/>
                <w:lang w:val="en-US" w:eastAsia="zh-CN" w:bidi="ar"/>
              </w:rPr>
              <w:t>，</w:t>
            </w:r>
            <w:r>
              <w:rPr>
                <w:rFonts w:hint="default" w:ascii="Times New Roman" w:hAnsi="Times New Roman" w:eastAsia="宋体" w:cs="Times New Roman"/>
                <w:color w:val="auto"/>
                <w:kern w:val="2"/>
                <w:sz w:val="24"/>
                <w:szCs w:val="24"/>
                <w:lang w:val="en-US" w:eastAsia="zh-CN" w:bidi="ar"/>
              </w:rPr>
              <w:t>A</w:t>
            </w:r>
            <w:r>
              <w:rPr>
                <w:rFonts w:hint="eastAsia" w:ascii="宋体" w:hAnsi="宋体" w:eastAsia="宋体" w:cs="宋体"/>
                <w:color w:val="auto"/>
                <w:kern w:val="2"/>
                <w:sz w:val="24"/>
                <w:szCs w:val="24"/>
                <w:lang w:val="en-US" w:eastAsia="zh-CN" w:bidi="ar"/>
              </w:rPr>
              <w:t>、</w:t>
            </w:r>
            <w:r>
              <w:rPr>
                <w:rFonts w:hint="default" w:ascii="Times New Roman" w:hAnsi="Times New Roman" w:eastAsia="宋体" w:cs="Times New Roman"/>
                <w:color w:val="auto"/>
                <w:kern w:val="2"/>
                <w:sz w:val="24"/>
                <w:szCs w:val="24"/>
                <w:lang w:val="en-US" w:eastAsia="zh-CN" w:bidi="ar"/>
              </w:rPr>
              <w:t>B</w:t>
            </w:r>
            <w:r>
              <w:rPr>
                <w:rFonts w:hint="eastAsia" w:ascii="宋体" w:hAnsi="宋体" w:eastAsia="宋体" w:cs="宋体"/>
                <w:color w:val="auto"/>
                <w:kern w:val="2"/>
                <w:sz w:val="24"/>
                <w:szCs w:val="24"/>
                <w:lang w:val="en-US" w:eastAsia="zh-CN" w:bidi="ar"/>
              </w:rPr>
              <w:t>、</w:t>
            </w:r>
            <w:r>
              <w:rPr>
                <w:rFonts w:hint="default" w:ascii="Times New Roman" w:hAnsi="Times New Roman" w:eastAsia="宋体" w:cs="Times New Roman"/>
                <w:color w:val="auto"/>
                <w:kern w:val="2"/>
                <w:sz w:val="24"/>
                <w:szCs w:val="24"/>
                <w:lang w:val="en-US" w:eastAsia="zh-CN" w:bidi="ar"/>
              </w:rPr>
              <w:t>C</w:t>
            </w:r>
            <w:r>
              <w:rPr>
                <w:rFonts w:hint="eastAsia" w:ascii="宋体" w:hAnsi="宋体" w:eastAsia="宋体" w:cs="宋体"/>
                <w:color w:val="auto"/>
                <w:kern w:val="2"/>
                <w:sz w:val="24"/>
                <w:szCs w:val="24"/>
                <w:lang w:val="en-US" w:eastAsia="zh-CN" w:bidi="ar"/>
              </w:rPr>
              <w:t>、</w:t>
            </w:r>
            <w:r>
              <w:rPr>
                <w:rFonts w:hint="default" w:ascii="Times New Roman" w:hAnsi="Times New Roman" w:eastAsia="宋体" w:cs="Times New Roman"/>
                <w:color w:val="auto"/>
                <w:kern w:val="2"/>
                <w:sz w:val="24"/>
                <w:szCs w:val="24"/>
                <w:lang w:val="en-US" w:eastAsia="zh-CN" w:bidi="ar"/>
              </w:rPr>
              <w:t>D</w:t>
            </w:r>
            <w:r>
              <w:rPr>
                <w:rFonts w:hint="eastAsia" w:ascii="宋体" w:hAnsi="宋体" w:eastAsia="宋体" w:cs="宋体"/>
                <w:color w:val="auto"/>
                <w:kern w:val="2"/>
                <w:sz w:val="24"/>
                <w:szCs w:val="24"/>
                <w:lang w:val="en-US" w:eastAsia="zh-CN" w:bidi="ar"/>
              </w:rPr>
              <w:t>值的选取见表</w:t>
            </w:r>
            <w:r>
              <w:rPr>
                <w:rFonts w:hint="default" w:ascii="Times New Roman" w:hAnsi="Times New Roman" w:eastAsia="宋体" w:cs="Times New Roman"/>
                <w:color w:val="auto"/>
                <w:kern w:val="2"/>
                <w:sz w:val="24"/>
                <w:szCs w:val="24"/>
                <w:lang w:val="en-US" w:eastAsia="zh-CN" w:bidi="ar"/>
              </w:rPr>
              <w:t>4-</w:t>
            </w:r>
            <w:r>
              <w:rPr>
                <w:rFonts w:hint="eastAsia" w:cs="Times New Roman"/>
                <w:color w:val="auto"/>
                <w:kern w:val="2"/>
                <w:sz w:val="24"/>
                <w:szCs w:val="24"/>
                <w:lang w:val="en-US" w:eastAsia="zh-CN" w:bidi="ar"/>
              </w:rPr>
              <w:t>5</w:t>
            </w:r>
            <w:r>
              <w:rPr>
                <w:rFonts w:hint="eastAsia" w:ascii="宋体" w:hAnsi="宋体" w:eastAsia="宋体" w:cs="宋体"/>
                <w:color w:val="auto"/>
                <w:kern w:val="2"/>
                <w:sz w:val="24"/>
                <w:szCs w:val="24"/>
                <w:lang w:val="en-US" w:eastAsia="zh-CN" w:bidi="ar"/>
              </w:rPr>
              <w:t>。</w:t>
            </w:r>
          </w:p>
          <w:p w14:paraId="5F2D0C6E">
            <w:pPr>
              <w:keepNext w:val="0"/>
              <w:keepLines w:val="0"/>
              <w:widowControl w:val="0"/>
              <w:suppressLineNumbers w:val="0"/>
              <w:spacing w:before="0" w:beforeAutospacing="0" w:after="0" w:afterAutospacing="0" w:line="360" w:lineRule="auto"/>
              <w:ind w:left="0" w:right="0" w:firstLine="422" w:firstLineChars="200"/>
              <w:jc w:val="center"/>
              <w:rPr>
                <w:rFonts w:hint="default" w:ascii="Times New Roman" w:hAnsi="Times New Roman" w:eastAsia="宋体" w:cs="Times New Roman"/>
                <w:b/>
                <w:bCs w:val="0"/>
                <w:color w:val="auto"/>
                <w:kern w:val="2"/>
                <w:sz w:val="21"/>
                <w:szCs w:val="21"/>
              </w:rPr>
            </w:pPr>
            <w:r>
              <w:rPr>
                <w:rFonts w:hint="eastAsia" w:ascii="宋体" w:hAnsi="宋体" w:eastAsia="宋体" w:cs="宋体"/>
                <w:b/>
                <w:bCs w:val="0"/>
                <w:color w:val="auto"/>
                <w:kern w:val="2"/>
                <w:sz w:val="21"/>
                <w:szCs w:val="21"/>
                <w:lang w:val="en-US" w:eastAsia="zh-CN" w:bidi="ar"/>
              </w:rPr>
              <w:t>表</w:t>
            </w:r>
            <w:r>
              <w:rPr>
                <w:rFonts w:hint="default" w:ascii="Times New Roman" w:hAnsi="Times New Roman" w:eastAsia="宋体" w:cs="Times New Roman"/>
                <w:b/>
                <w:bCs/>
                <w:color w:val="auto"/>
                <w:kern w:val="2"/>
                <w:sz w:val="21"/>
                <w:szCs w:val="21"/>
                <w:lang w:val="en-US" w:eastAsia="zh-CN" w:bidi="ar"/>
              </w:rPr>
              <w:t>4-</w:t>
            </w:r>
            <w:r>
              <w:rPr>
                <w:rFonts w:hint="eastAsia" w:cs="Times New Roman"/>
                <w:b/>
                <w:bCs/>
                <w:color w:val="auto"/>
                <w:kern w:val="2"/>
                <w:sz w:val="21"/>
                <w:szCs w:val="21"/>
                <w:lang w:val="en-US" w:eastAsia="zh-CN" w:bidi="ar"/>
              </w:rPr>
              <w:t>5</w:t>
            </w:r>
            <w:r>
              <w:rPr>
                <w:rFonts w:hint="default" w:ascii="Times New Roman" w:hAnsi="Times New Roman" w:eastAsia="宋体" w:cs="Times New Roman"/>
                <w:b/>
                <w:bCs/>
                <w:color w:val="auto"/>
                <w:kern w:val="2"/>
                <w:sz w:val="21"/>
                <w:szCs w:val="21"/>
                <w:lang w:val="en-US" w:eastAsia="zh-CN" w:bidi="ar"/>
              </w:rPr>
              <w:t xml:space="preserve"> </w:t>
            </w:r>
            <w:r>
              <w:rPr>
                <w:rFonts w:hint="eastAsia" w:ascii="Times New Roman" w:hAnsi="Times New Roman" w:eastAsia="宋体" w:cs="Times New Roman"/>
                <w:b/>
                <w:bCs/>
                <w:color w:val="auto"/>
                <w:kern w:val="2"/>
                <w:sz w:val="21"/>
                <w:szCs w:val="21"/>
                <w:lang w:val="en-US" w:eastAsia="zh-CN" w:bidi="ar"/>
              </w:rPr>
              <w:t xml:space="preserve"> </w:t>
            </w:r>
            <w:r>
              <w:rPr>
                <w:rFonts w:hint="eastAsia" w:ascii="宋体" w:hAnsi="宋体" w:eastAsia="宋体" w:cs="宋体"/>
                <w:b/>
                <w:bCs w:val="0"/>
                <w:color w:val="auto"/>
                <w:kern w:val="2"/>
                <w:sz w:val="21"/>
                <w:szCs w:val="21"/>
                <w:lang w:val="en-US" w:eastAsia="zh-CN" w:bidi="ar"/>
              </w:rPr>
              <w:t>卫生防护距离计算系数</w:t>
            </w:r>
          </w:p>
          <w:tbl>
            <w:tblPr>
              <w:tblStyle w:val="26"/>
              <w:tblW w:w="8737" w:type="dxa"/>
              <w:jc w:val="center"/>
              <w:tblBorders>
                <w:top w:val="single" w:color="auto" w:sz="12" w:space="0"/>
                <w:left w:val="none" w:color="auto" w:sz="6" w:space="0"/>
                <w:bottom w:val="single" w:color="auto" w:sz="12" w:space="0"/>
                <w:right w:val="none" w:color="auto" w:sz="6"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576"/>
              <w:gridCol w:w="1243"/>
              <w:gridCol w:w="567"/>
              <w:gridCol w:w="761"/>
              <w:gridCol w:w="906"/>
              <w:gridCol w:w="649"/>
              <w:gridCol w:w="667"/>
              <w:gridCol w:w="567"/>
              <w:gridCol w:w="700"/>
              <w:gridCol w:w="700"/>
              <w:gridCol w:w="1401"/>
            </w:tblGrid>
            <w:tr w14:paraId="0EEBD07F">
              <w:tblPrEx>
                <w:tblBorders>
                  <w:top w:val="single" w:color="auto" w:sz="12" w:space="0"/>
                  <w:left w:val="none" w:color="auto" w:sz="6" w:space="0"/>
                  <w:bottom w:val="single" w:color="auto" w:sz="12" w:space="0"/>
                  <w:right w:val="none" w:color="auto" w:sz="6" w:space="0"/>
                  <w:insideH w:val="single" w:color="auto" w:sz="4" w:space="0"/>
                  <w:insideV w:val="single" w:color="auto" w:sz="4" w:space="0"/>
                </w:tblBorders>
                <w:shd w:val="clear" w:color="auto" w:fill="auto"/>
                <w:tblCellMar>
                  <w:top w:w="0" w:type="dxa"/>
                  <w:left w:w="108" w:type="dxa"/>
                  <w:bottom w:w="0" w:type="dxa"/>
                  <w:right w:w="108" w:type="dxa"/>
                </w:tblCellMar>
              </w:tblPrEx>
              <w:trPr>
                <w:cantSplit/>
                <w:trHeight w:val="23" w:hRule="atLeast"/>
                <w:jc w:val="center"/>
              </w:trPr>
              <w:tc>
                <w:tcPr>
                  <w:tcW w:w="576" w:type="dxa"/>
                  <w:vMerge w:val="restart"/>
                  <w:tcBorders>
                    <w:top w:val="single" w:color="auto" w:sz="12" w:space="0"/>
                    <w:left w:val="nil"/>
                    <w:bottom w:val="single" w:color="auto" w:sz="4" w:space="0"/>
                    <w:right w:val="single" w:color="auto" w:sz="4" w:space="0"/>
                  </w:tcBorders>
                  <w:shd w:val="clear" w:color="auto" w:fill="auto"/>
                  <w:vAlign w:val="center"/>
                </w:tcPr>
                <w:p w14:paraId="6D598C67">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b/>
                      <w:bCs/>
                      <w:color w:val="auto"/>
                      <w:kern w:val="2"/>
                      <w:sz w:val="21"/>
                      <w:szCs w:val="21"/>
                    </w:rPr>
                  </w:pPr>
                  <w:r>
                    <w:rPr>
                      <w:rFonts w:hint="eastAsia" w:ascii="宋体" w:hAnsi="宋体" w:eastAsia="宋体" w:cs="宋体"/>
                      <w:b/>
                      <w:bCs/>
                      <w:color w:val="auto"/>
                      <w:kern w:val="2"/>
                      <w:sz w:val="21"/>
                      <w:szCs w:val="21"/>
                      <w:lang w:val="en-US" w:eastAsia="zh-CN" w:bidi="ar"/>
                    </w:rPr>
                    <w:t>计</w:t>
                  </w:r>
                </w:p>
                <w:p w14:paraId="70F82C89">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b/>
                      <w:bCs/>
                      <w:color w:val="auto"/>
                      <w:kern w:val="2"/>
                      <w:sz w:val="21"/>
                      <w:szCs w:val="21"/>
                    </w:rPr>
                  </w:pPr>
                  <w:r>
                    <w:rPr>
                      <w:rFonts w:hint="eastAsia" w:ascii="宋体" w:hAnsi="宋体" w:eastAsia="宋体" w:cs="宋体"/>
                      <w:b/>
                      <w:bCs/>
                      <w:color w:val="auto"/>
                      <w:kern w:val="2"/>
                      <w:sz w:val="21"/>
                      <w:szCs w:val="21"/>
                      <w:lang w:val="en-US" w:eastAsia="zh-CN" w:bidi="ar"/>
                    </w:rPr>
                    <w:t>算</w:t>
                  </w:r>
                </w:p>
                <w:p w14:paraId="36738359">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b/>
                      <w:bCs/>
                      <w:color w:val="auto"/>
                      <w:kern w:val="2"/>
                      <w:sz w:val="21"/>
                      <w:szCs w:val="21"/>
                    </w:rPr>
                  </w:pPr>
                  <w:r>
                    <w:rPr>
                      <w:rFonts w:hint="eastAsia" w:ascii="宋体" w:hAnsi="宋体" w:eastAsia="宋体" w:cs="宋体"/>
                      <w:b/>
                      <w:bCs/>
                      <w:color w:val="auto"/>
                      <w:kern w:val="2"/>
                      <w:sz w:val="21"/>
                      <w:szCs w:val="21"/>
                      <w:lang w:val="en-US" w:eastAsia="zh-CN" w:bidi="ar"/>
                    </w:rPr>
                    <w:t>系</w:t>
                  </w:r>
                </w:p>
                <w:p w14:paraId="7BEE2B49">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b/>
                      <w:bCs/>
                      <w:color w:val="auto"/>
                      <w:kern w:val="2"/>
                      <w:sz w:val="21"/>
                      <w:szCs w:val="21"/>
                    </w:rPr>
                  </w:pPr>
                  <w:r>
                    <w:rPr>
                      <w:rFonts w:hint="eastAsia" w:ascii="宋体" w:hAnsi="宋体" w:eastAsia="宋体" w:cs="宋体"/>
                      <w:b/>
                      <w:bCs/>
                      <w:color w:val="auto"/>
                      <w:kern w:val="2"/>
                      <w:sz w:val="21"/>
                      <w:szCs w:val="21"/>
                      <w:lang w:val="en-US" w:eastAsia="zh-CN" w:bidi="ar"/>
                    </w:rPr>
                    <w:t>数</w:t>
                  </w:r>
                </w:p>
              </w:tc>
              <w:tc>
                <w:tcPr>
                  <w:tcW w:w="1243" w:type="dxa"/>
                  <w:vMerge w:val="restart"/>
                  <w:tcBorders>
                    <w:top w:val="single" w:color="auto" w:sz="12" w:space="0"/>
                    <w:left w:val="single" w:color="auto" w:sz="4" w:space="0"/>
                    <w:bottom w:val="single" w:color="auto" w:sz="4" w:space="0"/>
                    <w:right w:val="single" w:color="auto" w:sz="4" w:space="0"/>
                  </w:tcBorders>
                  <w:shd w:val="clear" w:color="auto" w:fill="auto"/>
                  <w:vAlign w:val="center"/>
                </w:tcPr>
                <w:p w14:paraId="7F8C7BE4">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b/>
                      <w:bCs/>
                      <w:color w:val="auto"/>
                      <w:kern w:val="2"/>
                      <w:sz w:val="21"/>
                      <w:szCs w:val="21"/>
                    </w:rPr>
                  </w:pPr>
                  <w:r>
                    <w:rPr>
                      <w:rFonts w:hint="default" w:ascii="Times New Roman" w:hAnsi="Times New Roman" w:eastAsia="宋体" w:cs="Times New Roman"/>
                      <w:b/>
                      <w:bCs/>
                      <w:color w:val="auto"/>
                      <w:kern w:val="2"/>
                      <w:sz w:val="21"/>
                      <w:szCs w:val="21"/>
                      <w:lang w:val="en-US" w:eastAsia="zh-CN" w:bidi="ar"/>
                    </w:rPr>
                    <w:t>5</w:t>
                  </w:r>
                  <w:r>
                    <w:rPr>
                      <w:rFonts w:hint="eastAsia" w:ascii="宋体" w:hAnsi="宋体" w:eastAsia="宋体" w:cs="宋体"/>
                      <w:b/>
                      <w:bCs/>
                      <w:color w:val="auto"/>
                      <w:kern w:val="2"/>
                      <w:sz w:val="21"/>
                      <w:szCs w:val="21"/>
                      <w:lang w:val="en-US" w:eastAsia="zh-CN" w:bidi="ar"/>
                    </w:rPr>
                    <w:t>年平均风速</w:t>
                  </w:r>
                </w:p>
                <w:p w14:paraId="24CF34A2">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b/>
                      <w:bCs/>
                      <w:color w:val="auto"/>
                      <w:kern w:val="2"/>
                      <w:sz w:val="21"/>
                      <w:szCs w:val="21"/>
                    </w:rPr>
                  </w:pPr>
                  <w:r>
                    <w:rPr>
                      <w:rFonts w:hint="default" w:ascii="Times New Roman" w:hAnsi="Times New Roman" w:eastAsia="宋体" w:cs="Times New Roman"/>
                      <w:b/>
                      <w:bCs/>
                      <w:color w:val="auto"/>
                      <w:kern w:val="2"/>
                      <w:sz w:val="21"/>
                      <w:szCs w:val="21"/>
                      <w:lang w:val="en-US" w:eastAsia="zh-CN" w:bidi="ar"/>
                    </w:rPr>
                    <w:t>m/s</w:t>
                  </w:r>
                </w:p>
              </w:tc>
              <w:tc>
                <w:tcPr>
                  <w:tcW w:w="6918" w:type="dxa"/>
                  <w:gridSpan w:val="9"/>
                  <w:tcBorders>
                    <w:top w:val="single" w:color="auto" w:sz="12" w:space="0"/>
                    <w:left w:val="single" w:color="auto" w:sz="4" w:space="0"/>
                    <w:bottom w:val="single" w:color="auto" w:sz="4" w:space="0"/>
                    <w:right w:val="nil"/>
                  </w:tcBorders>
                  <w:shd w:val="clear" w:color="auto" w:fill="auto"/>
                  <w:vAlign w:val="center"/>
                </w:tcPr>
                <w:p w14:paraId="37F4CC40">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b/>
                      <w:bCs/>
                      <w:color w:val="auto"/>
                      <w:kern w:val="2"/>
                      <w:sz w:val="21"/>
                      <w:szCs w:val="21"/>
                    </w:rPr>
                  </w:pPr>
                  <w:r>
                    <w:rPr>
                      <w:rFonts w:hint="eastAsia" w:ascii="宋体" w:hAnsi="宋体" w:eastAsia="宋体" w:cs="宋体"/>
                      <w:b/>
                      <w:bCs/>
                      <w:color w:val="auto"/>
                      <w:kern w:val="2"/>
                      <w:sz w:val="21"/>
                      <w:szCs w:val="21"/>
                      <w:lang w:val="en-US" w:eastAsia="zh-CN" w:bidi="ar"/>
                    </w:rPr>
                    <w:t>卫生防护距离</w:t>
                  </w:r>
                  <w:r>
                    <w:rPr>
                      <w:rFonts w:hint="default" w:ascii="Times New Roman" w:hAnsi="Times New Roman" w:eastAsia="宋体" w:cs="Times New Roman"/>
                      <w:b/>
                      <w:bCs/>
                      <w:color w:val="auto"/>
                      <w:kern w:val="2"/>
                      <w:sz w:val="21"/>
                      <w:szCs w:val="21"/>
                      <w:lang w:val="en-US" w:eastAsia="zh-CN" w:bidi="ar"/>
                    </w:rPr>
                    <w:t>L</w:t>
                  </w:r>
                  <w:r>
                    <w:rPr>
                      <w:rFonts w:hint="eastAsia" w:ascii="宋体" w:hAnsi="宋体" w:eastAsia="宋体" w:cs="宋体"/>
                      <w:b/>
                      <w:bCs/>
                      <w:color w:val="auto"/>
                      <w:kern w:val="2"/>
                      <w:sz w:val="21"/>
                      <w:szCs w:val="21"/>
                      <w:lang w:val="en-US" w:eastAsia="zh-CN" w:bidi="ar"/>
                    </w:rPr>
                    <w:t>，</w:t>
                  </w:r>
                  <w:r>
                    <w:rPr>
                      <w:rFonts w:hint="default" w:ascii="Times New Roman" w:hAnsi="Times New Roman" w:eastAsia="宋体" w:cs="Times New Roman"/>
                      <w:b/>
                      <w:bCs/>
                      <w:color w:val="auto"/>
                      <w:kern w:val="2"/>
                      <w:sz w:val="21"/>
                      <w:szCs w:val="21"/>
                      <w:lang w:val="en-US" w:eastAsia="zh-CN" w:bidi="ar"/>
                    </w:rPr>
                    <w:t>m</w:t>
                  </w:r>
                </w:p>
              </w:tc>
            </w:tr>
            <w:tr w14:paraId="391E4521">
              <w:tblPrEx>
                <w:tblBorders>
                  <w:top w:val="single" w:color="auto" w:sz="12" w:space="0"/>
                  <w:left w:val="none" w:color="auto" w:sz="6" w:space="0"/>
                  <w:bottom w:val="single" w:color="auto" w:sz="12" w:space="0"/>
                  <w:right w:val="none" w:color="auto" w:sz="6" w:space="0"/>
                  <w:insideH w:val="single" w:color="auto" w:sz="4" w:space="0"/>
                  <w:insideV w:val="single" w:color="auto" w:sz="4" w:space="0"/>
                </w:tblBorders>
                <w:shd w:val="clear" w:color="auto" w:fill="auto"/>
                <w:tblCellMar>
                  <w:top w:w="0" w:type="dxa"/>
                  <w:left w:w="108" w:type="dxa"/>
                  <w:bottom w:w="0" w:type="dxa"/>
                  <w:right w:w="108" w:type="dxa"/>
                </w:tblCellMar>
              </w:tblPrEx>
              <w:trPr>
                <w:cantSplit/>
                <w:trHeight w:val="23" w:hRule="atLeast"/>
                <w:jc w:val="center"/>
              </w:trPr>
              <w:tc>
                <w:tcPr>
                  <w:tcW w:w="576" w:type="dxa"/>
                  <w:vMerge w:val="continue"/>
                  <w:tcBorders>
                    <w:top w:val="single" w:color="auto" w:sz="12" w:space="0"/>
                    <w:left w:val="nil"/>
                    <w:bottom w:val="single" w:color="auto" w:sz="4" w:space="0"/>
                    <w:right w:val="single" w:color="auto" w:sz="4" w:space="0"/>
                  </w:tcBorders>
                  <w:shd w:val="clear" w:color="auto" w:fill="auto"/>
                  <w:vAlign w:val="center"/>
                </w:tcPr>
                <w:p w14:paraId="1F2A75AA">
                  <w:pPr>
                    <w:keepNext w:val="0"/>
                    <w:keepLines w:val="0"/>
                    <w:suppressLineNumbers w:val="0"/>
                    <w:spacing w:before="0" w:beforeAutospacing="0" w:after="0" w:afterAutospacing="0"/>
                    <w:ind w:left="0" w:right="0"/>
                    <w:rPr>
                      <w:rFonts w:hint="default" w:ascii="Times New Roman" w:hAnsi="Times New Roman" w:cs="Times New Roman"/>
                      <w:color w:val="auto"/>
                      <w:sz w:val="20"/>
                      <w:szCs w:val="20"/>
                    </w:rPr>
                  </w:pPr>
                </w:p>
              </w:tc>
              <w:tc>
                <w:tcPr>
                  <w:tcW w:w="1243" w:type="dxa"/>
                  <w:vMerge w:val="continue"/>
                  <w:tcBorders>
                    <w:top w:val="single" w:color="auto" w:sz="12" w:space="0"/>
                    <w:left w:val="single" w:color="auto" w:sz="4" w:space="0"/>
                    <w:bottom w:val="single" w:color="auto" w:sz="4" w:space="0"/>
                    <w:right w:val="single" w:color="auto" w:sz="4" w:space="0"/>
                  </w:tcBorders>
                  <w:shd w:val="clear" w:color="auto" w:fill="auto"/>
                  <w:vAlign w:val="center"/>
                </w:tcPr>
                <w:p w14:paraId="26F3A090">
                  <w:pPr>
                    <w:keepNext w:val="0"/>
                    <w:keepLines w:val="0"/>
                    <w:suppressLineNumbers w:val="0"/>
                    <w:spacing w:before="0" w:beforeAutospacing="0" w:after="0" w:afterAutospacing="0"/>
                    <w:ind w:left="0" w:right="0"/>
                    <w:rPr>
                      <w:rFonts w:hint="default" w:ascii="Times New Roman" w:hAnsi="Times New Roman" w:cs="Times New Roman"/>
                      <w:color w:val="auto"/>
                      <w:sz w:val="20"/>
                      <w:szCs w:val="20"/>
                    </w:rPr>
                  </w:pPr>
                </w:p>
              </w:tc>
              <w:tc>
                <w:tcPr>
                  <w:tcW w:w="2234" w:type="dxa"/>
                  <w:gridSpan w:val="3"/>
                  <w:tcBorders>
                    <w:top w:val="single" w:color="auto" w:sz="4" w:space="0"/>
                    <w:left w:val="single" w:color="auto" w:sz="4" w:space="0"/>
                    <w:bottom w:val="single" w:color="auto" w:sz="4" w:space="0"/>
                    <w:right w:val="single" w:color="auto" w:sz="4" w:space="0"/>
                  </w:tcBorders>
                  <w:shd w:val="clear" w:color="auto" w:fill="auto"/>
                  <w:vAlign w:val="center"/>
                </w:tcPr>
                <w:p w14:paraId="463240AF">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b/>
                      <w:bCs/>
                      <w:color w:val="auto"/>
                      <w:kern w:val="2"/>
                      <w:sz w:val="21"/>
                      <w:szCs w:val="21"/>
                    </w:rPr>
                  </w:pPr>
                  <w:r>
                    <w:rPr>
                      <w:rFonts w:hint="default" w:ascii="Times New Roman" w:hAnsi="Times New Roman" w:eastAsia="宋体" w:cs="Times New Roman"/>
                      <w:b/>
                      <w:bCs/>
                      <w:color w:val="auto"/>
                      <w:kern w:val="2"/>
                      <w:sz w:val="21"/>
                      <w:szCs w:val="21"/>
                      <w:lang w:val="en-US" w:eastAsia="zh-CN" w:bidi="ar"/>
                    </w:rPr>
                    <w:t>L≤1000</w:t>
                  </w:r>
                </w:p>
              </w:tc>
              <w:tc>
                <w:tcPr>
                  <w:tcW w:w="1883" w:type="dxa"/>
                  <w:gridSpan w:val="3"/>
                  <w:tcBorders>
                    <w:top w:val="single" w:color="auto" w:sz="4" w:space="0"/>
                    <w:left w:val="single" w:color="auto" w:sz="4" w:space="0"/>
                    <w:bottom w:val="single" w:color="auto" w:sz="4" w:space="0"/>
                    <w:right w:val="single" w:color="auto" w:sz="4" w:space="0"/>
                  </w:tcBorders>
                  <w:shd w:val="clear" w:color="auto" w:fill="auto"/>
                  <w:vAlign w:val="center"/>
                </w:tcPr>
                <w:p w14:paraId="1558AC48">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b/>
                      <w:bCs/>
                      <w:color w:val="auto"/>
                      <w:kern w:val="2"/>
                      <w:sz w:val="21"/>
                      <w:szCs w:val="21"/>
                    </w:rPr>
                  </w:pPr>
                  <w:r>
                    <w:rPr>
                      <w:rFonts w:hint="default" w:ascii="Times New Roman" w:hAnsi="Times New Roman" w:eastAsia="宋体" w:cs="Times New Roman"/>
                      <w:b/>
                      <w:bCs/>
                      <w:color w:val="auto"/>
                      <w:kern w:val="2"/>
                      <w:sz w:val="21"/>
                      <w:szCs w:val="21"/>
                      <w:lang w:val="en-US" w:eastAsia="zh-CN" w:bidi="ar"/>
                    </w:rPr>
                    <w:t>1000&lt;L≤2000</w:t>
                  </w:r>
                </w:p>
              </w:tc>
              <w:tc>
                <w:tcPr>
                  <w:tcW w:w="2801" w:type="dxa"/>
                  <w:gridSpan w:val="3"/>
                  <w:tcBorders>
                    <w:top w:val="single" w:color="auto" w:sz="4" w:space="0"/>
                    <w:left w:val="single" w:color="auto" w:sz="4" w:space="0"/>
                    <w:bottom w:val="single" w:color="auto" w:sz="4" w:space="0"/>
                    <w:right w:val="nil"/>
                  </w:tcBorders>
                  <w:shd w:val="clear" w:color="auto" w:fill="auto"/>
                  <w:vAlign w:val="center"/>
                </w:tcPr>
                <w:p w14:paraId="34B6F2DD">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b/>
                      <w:bCs/>
                      <w:color w:val="auto"/>
                      <w:kern w:val="2"/>
                      <w:sz w:val="21"/>
                      <w:szCs w:val="21"/>
                    </w:rPr>
                  </w:pPr>
                  <w:r>
                    <w:rPr>
                      <w:rFonts w:hint="default" w:ascii="Times New Roman" w:hAnsi="Times New Roman" w:eastAsia="宋体" w:cs="Times New Roman"/>
                      <w:b/>
                      <w:bCs/>
                      <w:color w:val="auto"/>
                      <w:kern w:val="2"/>
                      <w:sz w:val="21"/>
                      <w:szCs w:val="21"/>
                      <w:lang w:val="en-US" w:eastAsia="zh-CN" w:bidi="ar"/>
                    </w:rPr>
                    <w:t>L&gt;2000</w:t>
                  </w:r>
                </w:p>
              </w:tc>
            </w:tr>
            <w:tr w14:paraId="2BCB77A5">
              <w:tblPrEx>
                <w:tblBorders>
                  <w:top w:val="single" w:color="auto" w:sz="12" w:space="0"/>
                  <w:left w:val="none" w:color="auto" w:sz="6" w:space="0"/>
                  <w:bottom w:val="single" w:color="auto" w:sz="12" w:space="0"/>
                  <w:right w:val="none" w:color="auto" w:sz="6" w:space="0"/>
                  <w:insideH w:val="single" w:color="auto" w:sz="4" w:space="0"/>
                  <w:insideV w:val="single" w:color="auto" w:sz="4" w:space="0"/>
                </w:tblBorders>
                <w:shd w:val="clear" w:color="auto" w:fill="auto"/>
              </w:tblPrEx>
              <w:trPr>
                <w:cantSplit/>
                <w:trHeight w:val="23" w:hRule="atLeast"/>
                <w:jc w:val="center"/>
              </w:trPr>
              <w:tc>
                <w:tcPr>
                  <w:tcW w:w="576" w:type="dxa"/>
                  <w:vMerge w:val="continue"/>
                  <w:tcBorders>
                    <w:top w:val="single" w:color="auto" w:sz="12" w:space="0"/>
                    <w:left w:val="nil"/>
                    <w:bottom w:val="single" w:color="auto" w:sz="4" w:space="0"/>
                    <w:right w:val="single" w:color="auto" w:sz="4" w:space="0"/>
                  </w:tcBorders>
                  <w:shd w:val="clear" w:color="auto" w:fill="auto"/>
                  <w:vAlign w:val="center"/>
                </w:tcPr>
                <w:p w14:paraId="41524451">
                  <w:pPr>
                    <w:keepNext w:val="0"/>
                    <w:keepLines w:val="0"/>
                    <w:suppressLineNumbers w:val="0"/>
                    <w:spacing w:before="0" w:beforeAutospacing="0" w:after="0" w:afterAutospacing="0"/>
                    <w:ind w:left="0" w:right="0"/>
                    <w:rPr>
                      <w:rFonts w:hint="default" w:ascii="Times New Roman" w:hAnsi="Times New Roman" w:cs="Times New Roman"/>
                      <w:color w:val="auto"/>
                      <w:sz w:val="20"/>
                      <w:szCs w:val="20"/>
                    </w:rPr>
                  </w:pPr>
                </w:p>
              </w:tc>
              <w:tc>
                <w:tcPr>
                  <w:tcW w:w="1243" w:type="dxa"/>
                  <w:vMerge w:val="continue"/>
                  <w:tcBorders>
                    <w:top w:val="single" w:color="auto" w:sz="12" w:space="0"/>
                    <w:left w:val="single" w:color="auto" w:sz="4" w:space="0"/>
                    <w:bottom w:val="single" w:color="auto" w:sz="4" w:space="0"/>
                    <w:right w:val="single" w:color="auto" w:sz="4" w:space="0"/>
                  </w:tcBorders>
                  <w:shd w:val="clear" w:color="auto" w:fill="auto"/>
                  <w:vAlign w:val="center"/>
                </w:tcPr>
                <w:p w14:paraId="4E94421F">
                  <w:pPr>
                    <w:keepNext w:val="0"/>
                    <w:keepLines w:val="0"/>
                    <w:suppressLineNumbers w:val="0"/>
                    <w:spacing w:before="0" w:beforeAutospacing="0" w:after="0" w:afterAutospacing="0"/>
                    <w:ind w:left="0" w:right="0"/>
                    <w:rPr>
                      <w:rFonts w:hint="default" w:ascii="Times New Roman" w:hAnsi="Times New Roman" w:cs="Times New Roman"/>
                      <w:color w:val="auto"/>
                      <w:sz w:val="20"/>
                      <w:szCs w:val="20"/>
                    </w:rPr>
                  </w:pPr>
                </w:p>
              </w:tc>
              <w:tc>
                <w:tcPr>
                  <w:tcW w:w="6918" w:type="dxa"/>
                  <w:gridSpan w:val="9"/>
                  <w:tcBorders>
                    <w:top w:val="single" w:color="auto" w:sz="4" w:space="0"/>
                    <w:left w:val="single" w:color="auto" w:sz="4" w:space="0"/>
                    <w:bottom w:val="single" w:color="auto" w:sz="4" w:space="0"/>
                    <w:right w:val="nil"/>
                  </w:tcBorders>
                  <w:shd w:val="clear" w:color="auto" w:fill="auto"/>
                  <w:vAlign w:val="center"/>
                </w:tcPr>
                <w:p w14:paraId="262FD160">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b/>
                      <w:bCs/>
                      <w:color w:val="auto"/>
                      <w:kern w:val="2"/>
                      <w:sz w:val="21"/>
                      <w:szCs w:val="21"/>
                    </w:rPr>
                  </w:pPr>
                  <w:r>
                    <w:rPr>
                      <w:rFonts w:hint="eastAsia" w:ascii="宋体" w:hAnsi="宋体" w:eastAsia="宋体" w:cs="宋体"/>
                      <w:b/>
                      <w:bCs/>
                      <w:color w:val="auto"/>
                      <w:kern w:val="2"/>
                      <w:sz w:val="21"/>
                      <w:szCs w:val="21"/>
                      <w:lang w:val="en-US" w:eastAsia="zh-CN" w:bidi="ar"/>
                    </w:rPr>
                    <w:t>工业大气污染源构成类别</w:t>
                  </w:r>
                </w:p>
              </w:tc>
            </w:tr>
            <w:tr w14:paraId="694ECBAB">
              <w:tblPrEx>
                <w:tblBorders>
                  <w:top w:val="single" w:color="auto" w:sz="12" w:space="0"/>
                  <w:left w:val="none" w:color="auto" w:sz="6" w:space="0"/>
                  <w:bottom w:val="single" w:color="auto" w:sz="12" w:space="0"/>
                  <w:right w:val="none" w:color="auto" w:sz="6" w:space="0"/>
                  <w:insideH w:val="single" w:color="auto" w:sz="4" w:space="0"/>
                  <w:insideV w:val="single" w:color="auto" w:sz="4" w:space="0"/>
                </w:tblBorders>
                <w:shd w:val="clear" w:color="auto" w:fill="auto"/>
                <w:tblCellMar>
                  <w:top w:w="0" w:type="dxa"/>
                  <w:left w:w="108" w:type="dxa"/>
                  <w:bottom w:w="0" w:type="dxa"/>
                  <w:right w:w="108" w:type="dxa"/>
                </w:tblCellMar>
              </w:tblPrEx>
              <w:trPr>
                <w:cantSplit/>
                <w:trHeight w:val="23" w:hRule="atLeast"/>
                <w:jc w:val="center"/>
              </w:trPr>
              <w:tc>
                <w:tcPr>
                  <w:tcW w:w="576" w:type="dxa"/>
                  <w:vMerge w:val="continue"/>
                  <w:tcBorders>
                    <w:top w:val="single" w:color="auto" w:sz="12" w:space="0"/>
                    <w:left w:val="nil"/>
                    <w:bottom w:val="single" w:color="auto" w:sz="4" w:space="0"/>
                    <w:right w:val="single" w:color="auto" w:sz="4" w:space="0"/>
                  </w:tcBorders>
                  <w:shd w:val="clear" w:color="auto" w:fill="auto"/>
                  <w:vAlign w:val="center"/>
                </w:tcPr>
                <w:p w14:paraId="04445248">
                  <w:pPr>
                    <w:keepNext w:val="0"/>
                    <w:keepLines w:val="0"/>
                    <w:suppressLineNumbers w:val="0"/>
                    <w:spacing w:before="0" w:beforeAutospacing="0" w:after="0" w:afterAutospacing="0"/>
                    <w:ind w:left="0" w:right="0"/>
                    <w:rPr>
                      <w:rFonts w:hint="default" w:ascii="Times New Roman" w:hAnsi="Times New Roman" w:cs="Times New Roman"/>
                      <w:color w:val="auto"/>
                      <w:sz w:val="20"/>
                      <w:szCs w:val="20"/>
                    </w:rPr>
                  </w:pPr>
                </w:p>
              </w:tc>
              <w:tc>
                <w:tcPr>
                  <w:tcW w:w="1243" w:type="dxa"/>
                  <w:vMerge w:val="continue"/>
                  <w:tcBorders>
                    <w:top w:val="single" w:color="auto" w:sz="12" w:space="0"/>
                    <w:left w:val="single" w:color="auto" w:sz="4" w:space="0"/>
                    <w:bottom w:val="single" w:color="auto" w:sz="4" w:space="0"/>
                    <w:right w:val="single" w:color="auto" w:sz="4" w:space="0"/>
                  </w:tcBorders>
                  <w:shd w:val="clear" w:color="auto" w:fill="auto"/>
                  <w:vAlign w:val="center"/>
                </w:tcPr>
                <w:p w14:paraId="4E44F737">
                  <w:pPr>
                    <w:keepNext w:val="0"/>
                    <w:keepLines w:val="0"/>
                    <w:suppressLineNumbers w:val="0"/>
                    <w:spacing w:before="0" w:beforeAutospacing="0" w:after="0" w:afterAutospacing="0"/>
                    <w:ind w:left="0" w:right="0"/>
                    <w:rPr>
                      <w:rFonts w:hint="default" w:ascii="Times New Roman" w:hAnsi="Times New Roman" w:cs="Times New Roman"/>
                      <w:color w:val="auto"/>
                      <w:sz w:val="20"/>
                      <w:szCs w:val="20"/>
                    </w:rPr>
                  </w:pPr>
                </w:p>
              </w:tc>
              <w:tc>
                <w:tcPr>
                  <w:tcW w:w="567" w:type="dxa"/>
                  <w:tcBorders>
                    <w:top w:val="single" w:color="auto" w:sz="4" w:space="0"/>
                    <w:left w:val="single" w:color="auto" w:sz="4" w:space="0"/>
                    <w:bottom w:val="single" w:color="auto" w:sz="4" w:space="0"/>
                    <w:right w:val="single" w:color="auto" w:sz="4" w:space="0"/>
                  </w:tcBorders>
                  <w:shd w:val="clear" w:color="auto" w:fill="auto"/>
                  <w:vAlign w:val="center"/>
                </w:tcPr>
                <w:p w14:paraId="51DEFA78">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b/>
                      <w:bCs/>
                      <w:color w:val="auto"/>
                      <w:kern w:val="2"/>
                      <w:sz w:val="21"/>
                      <w:szCs w:val="21"/>
                    </w:rPr>
                  </w:pPr>
                  <w:r>
                    <w:rPr>
                      <w:rFonts w:hint="default" w:ascii="Times New Roman" w:hAnsi="Times New Roman" w:eastAsia="宋体" w:cs="Times New Roman"/>
                      <w:b/>
                      <w:bCs/>
                      <w:color w:val="auto"/>
                      <w:kern w:val="2"/>
                      <w:sz w:val="21"/>
                      <w:szCs w:val="21"/>
                      <w:lang w:val="en-US" w:eastAsia="zh-CN" w:bidi="ar"/>
                    </w:rPr>
                    <w:t>Ⅰ</w:t>
                  </w:r>
                </w:p>
              </w:tc>
              <w:tc>
                <w:tcPr>
                  <w:tcW w:w="761" w:type="dxa"/>
                  <w:tcBorders>
                    <w:top w:val="single" w:color="auto" w:sz="4" w:space="0"/>
                    <w:left w:val="single" w:color="auto" w:sz="4" w:space="0"/>
                    <w:bottom w:val="single" w:color="auto" w:sz="4" w:space="0"/>
                    <w:right w:val="single" w:color="auto" w:sz="4" w:space="0"/>
                  </w:tcBorders>
                  <w:shd w:val="clear" w:color="auto" w:fill="auto"/>
                  <w:vAlign w:val="center"/>
                </w:tcPr>
                <w:p w14:paraId="2CC431A9">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b/>
                      <w:bCs/>
                      <w:color w:val="auto"/>
                      <w:kern w:val="2"/>
                      <w:sz w:val="21"/>
                      <w:szCs w:val="21"/>
                    </w:rPr>
                  </w:pPr>
                  <w:r>
                    <w:rPr>
                      <w:rFonts w:hint="default" w:ascii="Times New Roman" w:hAnsi="Times New Roman" w:eastAsia="宋体" w:cs="Times New Roman"/>
                      <w:b/>
                      <w:bCs/>
                      <w:color w:val="auto"/>
                      <w:kern w:val="2"/>
                      <w:sz w:val="21"/>
                      <w:szCs w:val="21"/>
                      <w:lang w:val="en-US" w:eastAsia="zh-CN" w:bidi="ar"/>
                    </w:rPr>
                    <w:t>Ⅱ</w:t>
                  </w:r>
                </w:p>
              </w:tc>
              <w:tc>
                <w:tcPr>
                  <w:tcW w:w="906" w:type="dxa"/>
                  <w:tcBorders>
                    <w:top w:val="single" w:color="auto" w:sz="4" w:space="0"/>
                    <w:left w:val="single" w:color="auto" w:sz="4" w:space="0"/>
                    <w:bottom w:val="single" w:color="auto" w:sz="4" w:space="0"/>
                    <w:right w:val="single" w:color="auto" w:sz="4" w:space="0"/>
                  </w:tcBorders>
                  <w:shd w:val="clear" w:color="auto" w:fill="auto"/>
                  <w:vAlign w:val="center"/>
                </w:tcPr>
                <w:p w14:paraId="5C326B55">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b/>
                      <w:bCs/>
                      <w:color w:val="auto"/>
                      <w:kern w:val="2"/>
                      <w:sz w:val="21"/>
                      <w:szCs w:val="21"/>
                    </w:rPr>
                  </w:pPr>
                  <w:r>
                    <w:rPr>
                      <w:rFonts w:hint="default" w:ascii="Times New Roman" w:hAnsi="Times New Roman" w:eastAsia="宋体" w:cs="Times New Roman"/>
                      <w:b/>
                      <w:bCs/>
                      <w:color w:val="auto"/>
                      <w:kern w:val="2"/>
                      <w:sz w:val="21"/>
                      <w:szCs w:val="21"/>
                      <w:lang w:val="en-US" w:eastAsia="zh-CN" w:bidi="ar"/>
                    </w:rPr>
                    <w:t>Ⅲ</w:t>
                  </w:r>
                </w:p>
              </w:tc>
              <w:tc>
                <w:tcPr>
                  <w:tcW w:w="649" w:type="dxa"/>
                  <w:tcBorders>
                    <w:top w:val="single" w:color="auto" w:sz="4" w:space="0"/>
                    <w:left w:val="single" w:color="auto" w:sz="4" w:space="0"/>
                    <w:bottom w:val="single" w:color="auto" w:sz="4" w:space="0"/>
                    <w:right w:val="single" w:color="auto" w:sz="4" w:space="0"/>
                  </w:tcBorders>
                  <w:shd w:val="clear" w:color="auto" w:fill="auto"/>
                  <w:vAlign w:val="center"/>
                </w:tcPr>
                <w:p w14:paraId="436A74F1">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b/>
                      <w:bCs/>
                      <w:color w:val="auto"/>
                      <w:kern w:val="2"/>
                      <w:sz w:val="21"/>
                      <w:szCs w:val="21"/>
                    </w:rPr>
                  </w:pPr>
                  <w:r>
                    <w:rPr>
                      <w:rFonts w:hint="default" w:ascii="Times New Roman" w:hAnsi="Times New Roman" w:eastAsia="宋体" w:cs="Times New Roman"/>
                      <w:b/>
                      <w:bCs/>
                      <w:color w:val="auto"/>
                      <w:kern w:val="2"/>
                      <w:sz w:val="21"/>
                      <w:szCs w:val="21"/>
                      <w:lang w:val="en-US" w:eastAsia="zh-CN" w:bidi="ar"/>
                    </w:rPr>
                    <w:t>Ⅰ</w:t>
                  </w:r>
                </w:p>
              </w:tc>
              <w:tc>
                <w:tcPr>
                  <w:tcW w:w="667" w:type="dxa"/>
                  <w:tcBorders>
                    <w:top w:val="single" w:color="auto" w:sz="4" w:space="0"/>
                    <w:left w:val="single" w:color="auto" w:sz="4" w:space="0"/>
                    <w:bottom w:val="single" w:color="auto" w:sz="4" w:space="0"/>
                    <w:right w:val="single" w:color="auto" w:sz="4" w:space="0"/>
                  </w:tcBorders>
                  <w:shd w:val="clear" w:color="auto" w:fill="auto"/>
                  <w:vAlign w:val="center"/>
                </w:tcPr>
                <w:p w14:paraId="1FBC0443">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b/>
                      <w:bCs/>
                      <w:color w:val="auto"/>
                      <w:kern w:val="2"/>
                      <w:sz w:val="21"/>
                      <w:szCs w:val="21"/>
                    </w:rPr>
                  </w:pPr>
                  <w:r>
                    <w:rPr>
                      <w:rFonts w:hint="default" w:ascii="Times New Roman" w:hAnsi="Times New Roman" w:eastAsia="宋体" w:cs="Times New Roman"/>
                      <w:b/>
                      <w:bCs/>
                      <w:color w:val="auto"/>
                      <w:kern w:val="2"/>
                      <w:sz w:val="21"/>
                      <w:szCs w:val="21"/>
                      <w:lang w:val="en-US" w:eastAsia="zh-CN" w:bidi="ar"/>
                    </w:rPr>
                    <w:t>Ⅱ</w:t>
                  </w:r>
                </w:p>
              </w:tc>
              <w:tc>
                <w:tcPr>
                  <w:tcW w:w="567" w:type="dxa"/>
                  <w:tcBorders>
                    <w:top w:val="single" w:color="auto" w:sz="4" w:space="0"/>
                    <w:left w:val="single" w:color="auto" w:sz="4" w:space="0"/>
                    <w:bottom w:val="single" w:color="auto" w:sz="4" w:space="0"/>
                    <w:right w:val="single" w:color="auto" w:sz="4" w:space="0"/>
                  </w:tcBorders>
                  <w:shd w:val="clear" w:color="auto" w:fill="auto"/>
                  <w:vAlign w:val="center"/>
                </w:tcPr>
                <w:p w14:paraId="67E1A251">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b/>
                      <w:bCs/>
                      <w:color w:val="auto"/>
                      <w:kern w:val="2"/>
                      <w:sz w:val="21"/>
                      <w:szCs w:val="21"/>
                    </w:rPr>
                  </w:pPr>
                  <w:r>
                    <w:rPr>
                      <w:rFonts w:hint="default" w:ascii="Times New Roman" w:hAnsi="Times New Roman" w:eastAsia="宋体" w:cs="Times New Roman"/>
                      <w:b/>
                      <w:bCs/>
                      <w:color w:val="auto"/>
                      <w:kern w:val="2"/>
                      <w:sz w:val="21"/>
                      <w:szCs w:val="21"/>
                      <w:lang w:val="en-US" w:eastAsia="zh-CN" w:bidi="ar"/>
                    </w:rPr>
                    <w:t>Ⅲ</w:t>
                  </w:r>
                </w:p>
              </w:tc>
              <w:tc>
                <w:tcPr>
                  <w:tcW w:w="700" w:type="dxa"/>
                  <w:tcBorders>
                    <w:top w:val="single" w:color="auto" w:sz="4" w:space="0"/>
                    <w:left w:val="single" w:color="auto" w:sz="4" w:space="0"/>
                    <w:bottom w:val="single" w:color="auto" w:sz="4" w:space="0"/>
                    <w:right w:val="single" w:color="auto" w:sz="4" w:space="0"/>
                  </w:tcBorders>
                  <w:shd w:val="clear" w:color="auto" w:fill="auto"/>
                  <w:vAlign w:val="center"/>
                </w:tcPr>
                <w:p w14:paraId="733FEBD7">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b/>
                      <w:bCs/>
                      <w:color w:val="auto"/>
                      <w:kern w:val="2"/>
                      <w:sz w:val="21"/>
                      <w:szCs w:val="21"/>
                    </w:rPr>
                  </w:pPr>
                  <w:r>
                    <w:rPr>
                      <w:rFonts w:hint="default" w:ascii="Times New Roman" w:hAnsi="Times New Roman" w:eastAsia="宋体" w:cs="Times New Roman"/>
                      <w:b/>
                      <w:bCs/>
                      <w:color w:val="auto"/>
                      <w:kern w:val="2"/>
                      <w:sz w:val="21"/>
                      <w:szCs w:val="21"/>
                      <w:lang w:val="en-US" w:eastAsia="zh-CN" w:bidi="ar"/>
                    </w:rPr>
                    <w:t>Ⅰ</w:t>
                  </w:r>
                </w:p>
              </w:tc>
              <w:tc>
                <w:tcPr>
                  <w:tcW w:w="700" w:type="dxa"/>
                  <w:tcBorders>
                    <w:top w:val="single" w:color="auto" w:sz="4" w:space="0"/>
                    <w:left w:val="single" w:color="auto" w:sz="4" w:space="0"/>
                    <w:bottom w:val="single" w:color="auto" w:sz="4" w:space="0"/>
                    <w:right w:val="single" w:color="auto" w:sz="4" w:space="0"/>
                  </w:tcBorders>
                  <w:shd w:val="clear" w:color="auto" w:fill="auto"/>
                  <w:vAlign w:val="center"/>
                </w:tcPr>
                <w:p w14:paraId="55BDE348">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b/>
                      <w:bCs/>
                      <w:color w:val="auto"/>
                      <w:kern w:val="2"/>
                      <w:sz w:val="21"/>
                      <w:szCs w:val="21"/>
                    </w:rPr>
                  </w:pPr>
                  <w:r>
                    <w:rPr>
                      <w:rFonts w:hint="default" w:ascii="Times New Roman" w:hAnsi="Times New Roman" w:eastAsia="宋体" w:cs="Times New Roman"/>
                      <w:b/>
                      <w:bCs/>
                      <w:color w:val="auto"/>
                      <w:kern w:val="2"/>
                      <w:sz w:val="21"/>
                      <w:szCs w:val="21"/>
                      <w:lang w:val="en-US" w:eastAsia="zh-CN" w:bidi="ar"/>
                    </w:rPr>
                    <w:t>Ⅱ</w:t>
                  </w:r>
                </w:p>
              </w:tc>
              <w:tc>
                <w:tcPr>
                  <w:tcW w:w="1401" w:type="dxa"/>
                  <w:tcBorders>
                    <w:top w:val="single" w:color="auto" w:sz="4" w:space="0"/>
                    <w:left w:val="single" w:color="auto" w:sz="4" w:space="0"/>
                    <w:bottom w:val="single" w:color="auto" w:sz="4" w:space="0"/>
                    <w:right w:val="nil"/>
                  </w:tcBorders>
                  <w:shd w:val="clear" w:color="auto" w:fill="auto"/>
                  <w:vAlign w:val="center"/>
                </w:tcPr>
                <w:p w14:paraId="66670DA3">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b/>
                      <w:bCs/>
                      <w:color w:val="auto"/>
                      <w:kern w:val="2"/>
                      <w:sz w:val="21"/>
                      <w:szCs w:val="21"/>
                    </w:rPr>
                  </w:pPr>
                  <w:r>
                    <w:rPr>
                      <w:rFonts w:hint="default" w:ascii="Times New Roman" w:hAnsi="Times New Roman" w:eastAsia="宋体" w:cs="Times New Roman"/>
                      <w:b/>
                      <w:bCs/>
                      <w:color w:val="auto"/>
                      <w:kern w:val="2"/>
                      <w:sz w:val="21"/>
                      <w:szCs w:val="21"/>
                      <w:lang w:val="en-US" w:eastAsia="zh-CN" w:bidi="ar"/>
                    </w:rPr>
                    <w:t>Ⅲ</w:t>
                  </w:r>
                </w:p>
              </w:tc>
            </w:tr>
            <w:tr w14:paraId="747ED3EA">
              <w:tblPrEx>
                <w:tblBorders>
                  <w:top w:val="single" w:color="auto" w:sz="12" w:space="0"/>
                  <w:left w:val="none" w:color="auto" w:sz="6" w:space="0"/>
                  <w:bottom w:val="single" w:color="auto" w:sz="12" w:space="0"/>
                  <w:right w:val="none" w:color="auto" w:sz="6"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576" w:type="dxa"/>
                  <w:vMerge w:val="restart"/>
                  <w:tcBorders>
                    <w:top w:val="single" w:color="auto" w:sz="4" w:space="0"/>
                    <w:left w:val="nil"/>
                    <w:bottom w:val="single" w:color="auto" w:sz="4" w:space="0"/>
                    <w:right w:val="single" w:color="auto" w:sz="4" w:space="0"/>
                  </w:tcBorders>
                  <w:shd w:val="clear" w:color="auto" w:fill="auto"/>
                  <w:vAlign w:val="center"/>
                </w:tcPr>
                <w:p w14:paraId="3D885A0E">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A</w:t>
                  </w:r>
                </w:p>
              </w:tc>
              <w:tc>
                <w:tcPr>
                  <w:tcW w:w="1243" w:type="dxa"/>
                  <w:tcBorders>
                    <w:top w:val="single" w:color="auto" w:sz="4" w:space="0"/>
                    <w:left w:val="single" w:color="auto" w:sz="4" w:space="0"/>
                    <w:bottom w:val="single" w:color="auto" w:sz="4" w:space="0"/>
                    <w:right w:val="single" w:color="auto" w:sz="4" w:space="0"/>
                  </w:tcBorders>
                  <w:shd w:val="clear" w:color="auto" w:fill="auto"/>
                  <w:vAlign w:val="center"/>
                </w:tcPr>
                <w:p w14:paraId="3A91B864">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&lt;2</w:t>
                  </w:r>
                </w:p>
              </w:tc>
              <w:tc>
                <w:tcPr>
                  <w:tcW w:w="567" w:type="dxa"/>
                  <w:tcBorders>
                    <w:top w:val="single" w:color="auto" w:sz="4" w:space="0"/>
                    <w:left w:val="single" w:color="auto" w:sz="4" w:space="0"/>
                    <w:bottom w:val="single" w:color="auto" w:sz="4" w:space="0"/>
                    <w:right w:val="single" w:color="auto" w:sz="4" w:space="0"/>
                  </w:tcBorders>
                  <w:shd w:val="clear" w:color="auto" w:fill="auto"/>
                  <w:vAlign w:val="center"/>
                </w:tcPr>
                <w:p w14:paraId="48AFEB56">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400</w:t>
                  </w:r>
                </w:p>
              </w:tc>
              <w:tc>
                <w:tcPr>
                  <w:tcW w:w="761" w:type="dxa"/>
                  <w:tcBorders>
                    <w:top w:val="single" w:color="auto" w:sz="4" w:space="0"/>
                    <w:left w:val="single" w:color="auto" w:sz="4" w:space="0"/>
                    <w:bottom w:val="single" w:color="auto" w:sz="4" w:space="0"/>
                    <w:right w:val="single" w:color="auto" w:sz="4" w:space="0"/>
                  </w:tcBorders>
                  <w:shd w:val="clear" w:color="auto" w:fill="auto"/>
                  <w:vAlign w:val="center"/>
                </w:tcPr>
                <w:p w14:paraId="080EBF00">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400</w:t>
                  </w:r>
                </w:p>
              </w:tc>
              <w:tc>
                <w:tcPr>
                  <w:tcW w:w="906" w:type="dxa"/>
                  <w:tcBorders>
                    <w:top w:val="single" w:color="auto" w:sz="4" w:space="0"/>
                    <w:left w:val="single" w:color="auto" w:sz="4" w:space="0"/>
                    <w:bottom w:val="single" w:color="auto" w:sz="4" w:space="0"/>
                    <w:right w:val="single" w:color="auto" w:sz="4" w:space="0"/>
                  </w:tcBorders>
                  <w:shd w:val="clear" w:color="auto" w:fill="auto"/>
                  <w:vAlign w:val="center"/>
                </w:tcPr>
                <w:p w14:paraId="0EB11C70">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400</w:t>
                  </w:r>
                </w:p>
              </w:tc>
              <w:tc>
                <w:tcPr>
                  <w:tcW w:w="649" w:type="dxa"/>
                  <w:tcBorders>
                    <w:top w:val="single" w:color="auto" w:sz="4" w:space="0"/>
                    <w:left w:val="single" w:color="auto" w:sz="4" w:space="0"/>
                    <w:bottom w:val="single" w:color="auto" w:sz="4" w:space="0"/>
                    <w:right w:val="single" w:color="auto" w:sz="4" w:space="0"/>
                  </w:tcBorders>
                  <w:shd w:val="clear" w:color="auto" w:fill="auto"/>
                  <w:vAlign w:val="center"/>
                </w:tcPr>
                <w:p w14:paraId="1BABF85D">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400</w:t>
                  </w:r>
                </w:p>
              </w:tc>
              <w:tc>
                <w:tcPr>
                  <w:tcW w:w="667" w:type="dxa"/>
                  <w:tcBorders>
                    <w:top w:val="single" w:color="auto" w:sz="4" w:space="0"/>
                    <w:left w:val="single" w:color="auto" w:sz="4" w:space="0"/>
                    <w:bottom w:val="single" w:color="auto" w:sz="4" w:space="0"/>
                    <w:right w:val="single" w:color="auto" w:sz="4" w:space="0"/>
                  </w:tcBorders>
                  <w:shd w:val="clear" w:color="auto" w:fill="auto"/>
                  <w:vAlign w:val="center"/>
                </w:tcPr>
                <w:p w14:paraId="3ACAE342">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400</w:t>
                  </w:r>
                </w:p>
              </w:tc>
              <w:tc>
                <w:tcPr>
                  <w:tcW w:w="567" w:type="dxa"/>
                  <w:tcBorders>
                    <w:top w:val="single" w:color="auto" w:sz="4" w:space="0"/>
                    <w:left w:val="single" w:color="auto" w:sz="4" w:space="0"/>
                    <w:bottom w:val="single" w:color="auto" w:sz="4" w:space="0"/>
                    <w:right w:val="single" w:color="auto" w:sz="4" w:space="0"/>
                  </w:tcBorders>
                  <w:shd w:val="clear" w:color="auto" w:fill="auto"/>
                  <w:vAlign w:val="center"/>
                </w:tcPr>
                <w:p w14:paraId="5E92E6C0">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400</w:t>
                  </w:r>
                </w:p>
              </w:tc>
              <w:tc>
                <w:tcPr>
                  <w:tcW w:w="700" w:type="dxa"/>
                  <w:tcBorders>
                    <w:top w:val="single" w:color="auto" w:sz="4" w:space="0"/>
                    <w:left w:val="single" w:color="auto" w:sz="4" w:space="0"/>
                    <w:bottom w:val="single" w:color="auto" w:sz="4" w:space="0"/>
                    <w:right w:val="single" w:color="auto" w:sz="4" w:space="0"/>
                  </w:tcBorders>
                  <w:shd w:val="clear" w:color="auto" w:fill="auto"/>
                  <w:vAlign w:val="center"/>
                </w:tcPr>
                <w:p w14:paraId="693F12C0">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80</w:t>
                  </w:r>
                </w:p>
              </w:tc>
              <w:tc>
                <w:tcPr>
                  <w:tcW w:w="700" w:type="dxa"/>
                  <w:tcBorders>
                    <w:top w:val="single" w:color="auto" w:sz="4" w:space="0"/>
                    <w:left w:val="single" w:color="auto" w:sz="4" w:space="0"/>
                    <w:bottom w:val="single" w:color="auto" w:sz="4" w:space="0"/>
                    <w:right w:val="single" w:color="auto" w:sz="4" w:space="0"/>
                  </w:tcBorders>
                  <w:shd w:val="clear" w:color="auto" w:fill="auto"/>
                  <w:vAlign w:val="center"/>
                </w:tcPr>
                <w:p w14:paraId="605164E3">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80</w:t>
                  </w:r>
                </w:p>
              </w:tc>
              <w:tc>
                <w:tcPr>
                  <w:tcW w:w="1401" w:type="dxa"/>
                  <w:tcBorders>
                    <w:top w:val="single" w:color="auto" w:sz="4" w:space="0"/>
                    <w:left w:val="single" w:color="auto" w:sz="4" w:space="0"/>
                    <w:bottom w:val="single" w:color="auto" w:sz="4" w:space="0"/>
                    <w:right w:val="nil"/>
                  </w:tcBorders>
                  <w:shd w:val="clear" w:color="auto" w:fill="auto"/>
                  <w:vAlign w:val="center"/>
                </w:tcPr>
                <w:p w14:paraId="79CD302D">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80</w:t>
                  </w:r>
                </w:p>
              </w:tc>
            </w:tr>
            <w:tr w14:paraId="1FFEADDB">
              <w:tblPrEx>
                <w:tblBorders>
                  <w:top w:val="single" w:color="auto" w:sz="12" w:space="0"/>
                  <w:left w:val="none" w:color="auto" w:sz="6" w:space="0"/>
                  <w:bottom w:val="single" w:color="auto" w:sz="12" w:space="0"/>
                  <w:right w:val="none" w:color="auto" w:sz="6"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576" w:type="dxa"/>
                  <w:vMerge w:val="continue"/>
                  <w:tcBorders>
                    <w:top w:val="single" w:color="auto" w:sz="4" w:space="0"/>
                    <w:left w:val="nil"/>
                    <w:bottom w:val="single" w:color="auto" w:sz="4" w:space="0"/>
                    <w:right w:val="single" w:color="auto" w:sz="4" w:space="0"/>
                  </w:tcBorders>
                  <w:shd w:val="clear" w:color="auto" w:fill="auto"/>
                  <w:vAlign w:val="center"/>
                </w:tcPr>
                <w:p w14:paraId="1F89A214">
                  <w:pPr>
                    <w:keepNext w:val="0"/>
                    <w:keepLines w:val="0"/>
                    <w:suppressLineNumbers w:val="0"/>
                    <w:spacing w:before="0" w:beforeAutospacing="0" w:after="0" w:afterAutospacing="0"/>
                    <w:ind w:left="0" w:right="0"/>
                    <w:rPr>
                      <w:rFonts w:hint="default" w:ascii="Times New Roman" w:hAnsi="Times New Roman" w:cs="Times New Roman"/>
                      <w:color w:val="auto"/>
                      <w:sz w:val="20"/>
                      <w:szCs w:val="20"/>
                    </w:rPr>
                  </w:pPr>
                </w:p>
              </w:tc>
              <w:tc>
                <w:tcPr>
                  <w:tcW w:w="1243" w:type="dxa"/>
                  <w:tcBorders>
                    <w:top w:val="single" w:color="auto" w:sz="4" w:space="0"/>
                    <w:left w:val="single" w:color="auto" w:sz="4" w:space="0"/>
                    <w:bottom w:val="single" w:color="auto" w:sz="4" w:space="0"/>
                    <w:right w:val="single" w:color="auto" w:sz="4" w:space="0"/>
                  </w:tcBorders>
                  <w:shd w:val="clear" w:color="auto" w:fill="auto"/>
                  <w:vAlign w:val="center"/>
                </w:tcPr>
                <w:p w14:paraId="391B029A">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2~4</w:t>
                  </w:r>
                </w:p>
              </w:tc>
              <w:tc>
                <w:tcPr>
                  <w:tcW w:w="567" w:type="dxa"/>
                  <w:tcBorders>
                    <w:top w:val="single" w:color="auto" w:sz="4" w:space="0"/>
                    <w:left w:val="single" w:color="auto" w:sz="4" w:space="0"/>
                    <w:bottom w:val="single" w:color="auto" w:sz="4" w:space="0"/>
                    <w:right w:val="single" w:color="auto" w:sz="4" w:space="0"/>
                  </w:tcBorders>
                  <w:shd w:val="clear" w:color="auto" w:fill="auto"/>
                  <w:vAlign w:val="center"/>
                </w:tcPr>
                <w:p w14:paraId="082D789F">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700</w:t>
                  </w:r>
                </w:p>
              </w:tc>
              <w:tc>
                <w:tcPr>
                  <w:tcW w:w="761" w:type="dxa"/>
                  <w:tcBorders>
                    <w:top w:val="single" w:color="auto" w:sz="4" w:space="0"/>
                    <w:left w:val="single" w:color="auto" w:sz="4" w:space="0"/>
                    <w:bottom w:val="single" w:color="auto" w:sz="4" w:space="0"/>
                    <w:right w:val="single" w:color="auto" w:sz="4" w:space="0"/>
                  </w:tcBorders>
                  <w:shd w:val="clear" w:color="auto" w:fill="auto"/>
                  <w:vAlign w:val="center"/>
                </w:tcPr>
                <w:p w14:paraId="17D4375D">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470</w:t>
                  </w:r>
                </w:p>
              </w:tc>
              <w:tc>
                <w:tcPr>
                  <w:tcW w:w="906" w:type="dxa"/>
                  <w:tcBorders>
                    <w:top w:val="single" w:color="auto" w:sz="4" w:space="0"/>
                    <w:left w:val="single" w:color="auto" w:sz="4" w:space="0"/>
                    <w:bottom w:val="single" w:color="auto" w:sz="4" w:space="0"/>
                    <w:right w:val="single" w:color="auto" w:sz="4" w:space="0"/>
                  </w:tcBorders>
                  <w:shd w:val="clear" w:color="auto" w:fill="auto"/>
                  <w:vAlign w:val="center"/>
                </w:tcPr>
                <w:p w14:paraId="2C4A327B">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350</w:t>
                  </w:r>
                </w:p>
              </w:tc>
              <w:tc>
                <w:tcPr>
                  <w:tcW w:w="649" w:type="dxa"/>
                  <w:tcBorders>
                    <w:top w:val="single" w:color="auto" w:sz="4" w:space="0"/>
                    <w:left w:val="single" w:color="auto" w:sz="4" w:space="0"/>
                    <w:bottom w:val="single" w:color="auto" w:sz="4" w:space="0"/>
                    <w:right w:val="single" w:color="auto" w:sz="4" w:space="0"/>
                  </w:tcBorders>
                  <w:shd w:val="clear" w:color="auto" w:fill="auto"/>
                  <w:vAlign w:val="center"/>
                </w:tcPr>
                <w:p w14:paraId="33027AF2">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700</w:t>
                  </w:r>
                </w:p>
              </w:tc>
              <w:tc>
                <w:tcPr>
                  <w:tcW w:w="667" w:type="dxa"/>
                  <w:tcBorders>
                    <w:top w:val="single" w:color="auto" w:sz="4" w:space="0"/>
                    <w:left w:val="single" w:color="auto" w:sz="4" w:space="0"/>
                    <w:bottom w:val="single" w:color="auto" w:sz="4" w:space="0"/>
                    <w:right w:val="single" w:color="auto" w:sz="4" w:space="0"/>
                  </w:tcBorders>
                  <w:shd w:val="clear" w:color="auto" w:fill="auto"/>
                  <w:vAlign w:val="center"/>
                </w:tcPr>
                <w:p w14:paraId="528A8F59">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470</w:t>
                  </w:r>
                </w:p>
              </w:tc>
              <w:tc>
                <w:tcPr>
                  <w:tcW w:w="567" w:type="dxa"/>
                  <w:tcBorders>
                    <w:top w:val="single" w:color="auto" w:sz="4" w:space="0"/>
                    <w:left w:val="single" w:color="auto" w:sz="4" w:space="0"/>
                    <w:bottom w:val="single" w:color="auto" w:sz="4" w:space="0"/>
                    <w:right w:val="single" w:color="auto" w:sz="4" w:space="0"/>
                  </w:tcBorders>
                  <w:shd w:val="clear" w:color="auto" w:fill="auto"/>
                  <w:vAlign w:val="center"/>
                </w:tcPr>
                <w:p w14:paraId="508AEC15">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350</w:t>
                  </w:r>
                </w:p>
              </w:tc>
              <w:tc>
                <w:tcPr>
                  <w:tcW w:w="700" w:type="dxa"/>
                  <w:tcBorders>
                    <w:top w:val="single" w:color="auto" w:sz="4" w:space="0"/>
                    <w:left w:val="single" w:color="auto" w:sz="4" w:space="0"/>
                    <w:bottom w:val="single" w:color="auto" w:sz="4" w:space="0"/>
                    <w:right w:val="single" w:color="auto" w:sz="4" w:space="0"/>
                  </w:tcBorders>
                  <w:shd w:val="clear" w:color="auto" w:fill="auto"/>
                  <w:vAlign w:val="center"/>
                </w:tcPr>
                <w:p w14:paraId="41C78149">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380</w:t>
                  </w:r>
                </w:p>
              </w:tc>
              <w:tc>
                <w:tcPr>
                  <w:tcW w:w="700" w:type="dxa"/>
                  <w:tcBorders>
                    <w:top w:val="single" w:color="auto" w:sz="4" w:space="0"/>
                    <w:left w:val="single" w:color="auto" w:sz="4" w:space="0"/>
                    <w:bottom w:val="single" w:color="auto" w:sz="4" w:space="0"/>
                    <w:right w:val="single" w:color="auto" w:sz="4" w:space="0"/>
                  </w:tcBorders>
                  <w:shd w:val="clear" w:color="auto" w:fill="auto"/>
                  <w:vAlign w:val="center"/>
                </w:tcPr>
                <w:p w14:paraId="52481C42">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250</w:t>
                  </w:r>
                </w:p>
              </w:tc>
              <w:tc>
                <w:tcPr>
                  <w:tcW w:w="1401" w:type="dxa"/>
                  <w:tcBorders>
                    <w:top w:val="single" w:color="auto" w:sz="4" w:space="0"/>
                    <w:left w:val="single" w:color="auto" w:sz="4" w:space="0"/>
                    <w:bottom w:val="single" w:color="auto" w:sz="4" w:space="0"/>
                    <w:right w:val="nil"/>
                  </w:tcBorders>
                  <w:shd w:val="clear" w:color="auto" w:fill="auto"/>
                  <w:vAlign w:val="center"/>
                </w:tcPr>
                <w:p w14:paraId="6D155659">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190</w:t>
                  </w:r>
                </w:p>
              </w:tc>
            </w:tr>
            <w:tr w14:paraId="2830BAEC">
              <w:tblPrEx>
                <w:tblBorders>
                  <w:top w:val="single" w:color="auto" w:sz="12" w:space="0"/>
                  <w:left w:val="none" w:color="auto" w:sz="6" w:space="0"/>
                  <w:bottom w:val="single" w:color="auto" w:sz="12" w:space="0"/>
                  <w:right w:val="none" w:color="auto" w:sz="6" w:space="0"/>
                  <w:insideH w:val="single" w:color="auto" w:sz="4" w:space="0"/>
                  <w:insideV w:val="single" w:color="auto" w:sz="4" w:space="0"/>
                </w:tblBorders>
                <w:shd w:val="clear" w:color="auto" w:fill="auto"/>
                <w:tblCellMar>
                  <w:top w:w="0" w:type="dxa"/>
                  <w:left w:w="108" w:type="dxa"/>
                  <w:bottom w:w="0" w:type="dxa"/>
                  <w:right w:w="108" w:type="dxa"/>
                </w:tblCellMar>
              </w:tblPrEx>
              <w:trPr>
                <w:cantSplit/>
                <w:trHeight w:val="23" w:hRule="atLeast"/>
                <w:jc w:val="center"/>
              </w:trPr>
              <w:tc>
                <w:tcPr>
                  <w:tcW w:w="576" w:type="dxa"/>
                  <w:vMerge w:val="continue"/>
                  <w:tcBorders>
                    <w:top w:val="single" w:color="auto" w:sz="4" w:space="0"/>
                    <w:left w:val="nil"/>
                    <w:bottom w:val="single" w:color="auto" w:sz="4" w:space="0"/>
                    <w:right w:val="single" w:color="auto" w:sz="4" w:space="0"/>
                  </w:tcBorders>
                  <w:shd w:val="clear" w:color="auto" w:fill="auto"/>
                  <w:vAlign w:val="center"/>
                </w:tcPr>
                <w:p w14:paraId="78271126">
                  <w:pPr>
                    <w:keepNext w:val="0"/>
                    <w:keepLines w:val="0"/>
                    <w:suppressLineNumbers w:val="0"/>
                    <w:spacing w:before="0" w:beforeAutospacing="0" w:after="0" w:afterAutospacing="0"/>
                    <w:ind w:left="0" w:right="0"/>
                    <w:rPr>
                      <w:rFonts w:hint="default" w:ascii="Times New Roman" w:hAnsi="Times New Roman" w:cs="Times New Roman"/>
                      <w:color w:val="auto"/>
                      <w:sz w:val="20"/>
                      <w:szCs w:val="20"/>
                    </w:rPr>
                  </w:pPr>
                </w:p>
              </w:tc>
              <w:tc>
                <w:tcPr>
                  <w:tcW w:w="1243" w:type="dxa"/>
                  <w:tcBorders>
                    <w:top w:val="single" w:color="auto" w:sz="4" w:space="0"/>
                    <w:left w:val="single" w:color="auto" w:sz="4" w:space="0"/>
                    <w:bottom w:val="single" w:color="auto" w:sz="4" w:space="0"/>
                    <w:right w:val="single" w:color="auto" w:sz="4" w:space="0"/>
                  </w:tcBorders>
                  <w:shd w:val="clear" w:color="auto" w:fill="auto"/>
                  <w:vAlign w:val="center"/>
                </w:tcPr>
                <w:p w14:paraId="6D7CC64A">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&gt;4</w:t>
                  </w:r>
                </w:p>
              </w:tc>
              <w:tc>
                <w:tcPr>
                  <w:tcW w:w="567" w:type="dxa"/>
                  <w:tcBorders>
                    <w:top w:val="single" w:color="auto" w:sz="4" w:space="0"/>
                    <w:left w:val="single" w:color="auto" w:sz="4" w:space="0"/>
                    <w:bottom w:val="single" w:color="auto" w:sz="4" w:space="0"/>
                    <w:right w:val="single" w:color="auto" w:sz="4" w:space="0"/>
                  </w:tcBorders>
                  <w:shd w:val="clear" w:color="auto" w:fill="auto"/>
                  <w:vAlign w:val="center"/>
                </w:tcPr>
                <w:p w14:paraId="44BC625C">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530</w:t>
                  </w:r>
                </w:p>
              </w:tc>
              <w:tc>
                <w:tcPr>
                  <w:tcW w:w="761" w:type="dxa"/>
                  <w:tcBorders>
                    <w:top w:val="single" w:color="auto" w:sz="4" w:space="0"/>
                    <w:left w:val="single" w:color="auto" w:sz="4" w:space="0"/>
                    <w:bottom w:val="single" w:color="auto" w:sz="4" w:space="0"/>
                    <w:right w:val="single" w:color="auto" w:sz="4" w:space="0"/>
                  </w:tcBorders>
                  <w:shd w:val="clear" w:color="auto" w:fill="auto"/>
                  <w:vAlign w:val="center"/>
                </w:tcPr>
                <w:p w14:paraId="2D9D486D">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350</w:t>
                  </w:r>
                </w:p>
              </w:tc>
              <w:tc>
                <w:tcPr>
                  <w:tcW w:w="906" w:type="dxa"/>
                  <w:tcBorders>
                    <w:top w:val="single" w:color="auto" w:sz="4" w:space="0"/>
                    <w:left w:val="single" w:color="auto" w:sz="4" w:space="0"/>
                    <w:bottom w:val="single" w:color="auto" w:sz="4" w:space="0"/>
                    <w:right w:val="single" w:color="auto" w:sz="4" w:space="0"/>
                  </w:tcBorders>
                  <w:shd w:val="clear" w:color="auto" w:fill="auto"/>
                  <w:vAlign w:val="center"/>
                </w:tcPr>
                <w:p w14:paraId="67FCE55F">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260</w:t>
                  </w:r>
                </w:p>
              </w:tc>
              <w:tc>
                <w:tcPr>
                  <w:tcW w:w="649" w:type="dxa"/>
                  <w:tcBorders>
                    <w:top w:val="single" w:color="auto" w:sz="4" w:space="0"/>
                    <w:left w:val="single" w:color="auto" w:sz="4" w:space="0"/>
                    <w:bottom w:val="single" w:color="auto" w:sz="4" w:space="0"/>
                    <w:right w:val="single" w:color="auto" w:sz="4" w:space="0"/>
                  </w:tcBorders>
                  <w:shd w:val="clear" w:color="auto" w:fill="auto"/>
                  <w:vAlign w:val="center"/>
                </w:tcPr>
                <w:p w14:paraId="6767159F">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530</w:t>
                  </w:r>
                </w:p>
              </w:tc>
              <w:tc>
                <w:tcPr>
                  <w:tcW w:w="667" w:type="dxa"/>
                  <w:tcBorders>
                    <w:top w:val="single" w:color="auto" w:sz="4" w:space="0"/>
                    <w:left w:val="single" w:color="auto" w:sz="4" w:space="0"/>
                    <w:bottom w:val="single" w:color="auto" w:sz="4" w:space="0"/>
                    <w:right w:val="single" w:color="auto" w:sz="4" w:space="0"/>
                  </w:tcBorders>
                  <w:shd w:val="clear" w:color="auto" w:fill="auto"/>
                  <w:vAlign w:val="center"/>
                </w:tcPr>
                <w:p w14:paraId="6111DA1F">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350</w:t>
                  </w:r>
                </w:p>
              </w:tc>
              <w:tc>
                <w:tcPr>
                  <w:tcW w:w="567" w:type="dxa"/>
                  <w:tcBorders>
                    <w:top w:val="single" w:color="auto" w:sz="4" w:space="0"/>
                    <w:left w:val="single" w:color="auto" w:sz="4" w:space="0"/>
                    <w:bottom w:val="single" w:color="auto" w:sz="4" w:space="0"/>
                    <w:right w:val="single" w:color="auto" w:sz="4" w:space="0"/>
                  </w:tcBorders>
                  <w:shd w:val="clear" w:color="auto" w:fill="auto"/>
                  <w:vAlign w:val="center"/>
                </w:tcPr>
                <w:p w14:paraId="002E9FC0">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260</w:t>
                  </w:r>
                </w:p>
              </w:tc>
              <w:tc>
                <w:tcPr>
                  <w:tcW w:w="700" w:type="dxa"/>
                  <w:tcBorders>
                    <w:top w:val="single" w:color="auto" w:sz="4" w:space="0"/>
                    <w:left w:val="single" w:color="auto" w:sz="4" w:space="0"/>
                    <w:bottom w:val="single" w:color="auto" w:sz="4" w:space="0"/>
                    <w:right w:val="single" w:color="auto" w:sz="4" w:space="0"/>
                  </w:tcBorders>
                  <w:shd w:val="clear" w:color="auto" w:fill="auto"/>
                  <w:vAlign w:val="center"/>
                </w:tcPr>
                <w:p w14:paraId="13F3F818">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290</w:t>
                  </w:r>
                </w:p>
              </w:tc>
              <w:tc>
                <w:tcPr>
                  <w:tcW w:w="700" w:type="dxa"/>
                  <w:tcBorders>
                    <w:top w:val="single" w:color="auto" w:sz="4" w:space="0"/>
                    <w:left w:val="single" w:color="auto" w:sz="4" w:space="0"/>
                    <w:bottom w:val="single" w:color="auto" w:sz="4" w:space="0"/>
                    <w:right w:val="single" w:color="auto" w:sz="4" w:space="0"/>
                  </w:tcBorders>
                  <w:shd w:val="clear" w:color="auto" w:fill="auto"/>
                  <w:vAlign w:val="center"/>
                </w:tcPr>
                <w:p w14:paraId="29CC1848">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190</w:t>
                  </w:r>
                </w:p>
              </w:tc>
              <w:tc>
                <w:tcPr>
                  <w:tcW w:w="1401" w:type="dxa"/>
                  <w:tcBorders>
                    <w:top w:val="single" w:color="auto" w:sz="4" w:space="0"/>
                    <w:left w:val="single" w:color="auto" w:sz="4" w:space="0"/>
                    <w:bottom w:val="single" w:color="auto" w:sz="4" w:space="0"/>
                    <w:right w:val="nil"/>
                  </w:tcBorders>
                  <w:shd w:val="clear" w:color="auto" w:fill="auto"/>
                  <w:vAlign w:val="center"/>
                </w:tcPr>
                <w:p w14:paraId="0D9FDA9A">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140</w:t>
                  </w:r>
                </w:p>
              </w:tc>
            </w:tr>
            <w:tr w14:paraId="3A87F9D8">
              <w:tblPrEx>
                <w:tblBorders>
                  <w:top w:val="single" w:color="auto" w:sz="12" w:space="0"/>
                  <w:left w:val="none" w:color="auto" w:sz="6" w:space="0"/>
                  <w:bottom w:val="single" w:color="auto" w:sz="12" w:space="0"/>
                  <w:right w:val="none" w:color="auto" w:sz="6"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576" w:type="dxa"/>
                  <w:vMerge w:val="restart"/>
                  <w:tcBorders>
                    <w:top w:val="single" w:color="auto" w:sz="4" w:space="0"/>
                    <w:left w:val="nil"/>
                    <w:bottom w:val="single" w:color="auto" w:sz="4" w:space="0"/>
                    <w:right w:val="single" w:color="auto" w:sz="4" w:space="0"/>
                  </w:tcBorders>
                  <w:shd w:val="clear" w:color="auto" w:fill="auto"/>
                  <w:vAlign w:val="center"/>
                </w:tcPr>
                <w:p w14:paraId="64457D7C">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B</w:t>
                  </w:r>
                </w:p>
              </w:tc>
              <w:tc>
                <w:tcPr>
                  <w:tcW w:w="1243" w:type="dxa"/>
                  <w:tcBorders>
                    <w:top w:val="single" w:color="auto" w:sz="4" w:space="0"/>
                    <w:left w:val="single" w:color="auto" w:sz="4" w:space="0"/>
                    <w:bottom w:val="single" w:color="auto" w:sz="4" w:space="0"/>
                    <w:right w:val="single" w:color="auto" w:sz="4" w:space="0"/>
                  </w:tcBorders>
                  <w:shd w:val="clear" w:color="auto" w:fill="auto"/>
                  <w:vAlign w:val="center"/>
                </w:tcPr>
                <w:p w14:paraId="75183F9F">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&lt;2</w:t>
                  </w:r>
                </w:p>
              </w:tc>
              <w:tc>
                <w:tcPr>
                  <w:tcW w:w="2234" w:type="dxa"/>
                  <w:gridSpan w:val="3"/>
                  <w:tcBorders>
                    <w:top w:val="single" w:color="auto" w:sz="4" w:space="0"/>
                    <w:left w:val="single" w:color="auto" w:sz="4" w:space="0"/>
                    <w:bottom w:val="single" w:color="auto" w:sz="4" w:space="0"/>
                    <w:right w:val="single" w:color="auto" w:sz="4" w:space="0"/>
                  </w:tcBorders>
                  <w:shd w:val="clear" w:color="auto" w:fill="auto"/>
                  <w:vAlign w:val="center"/>
                </w:tcPr>
                <w:p w14:paraId="492B2019">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0.01</w:t>
                  </w:r>
                </w:p>
              </w:tc>
              <w:tc>
                <w:tcPr>
                  <w:tcW w:w="1883" w:type="dxa"/>
                  <w:gridSpan w:val="3"/>
                  <w:tcBorders>
                    <w:top w:val="single" w:color="auto" w:sz="4" w:space="0"/>
                    <w:left w:val="single" w:color="auto" w:sz="4" w:space="0"/>
                    <w:bottom w:val="single" w:color="auto" w:sz="4" w:space="0"/>
                    <w:right w:val="single" w:color="auto" w:sz="4" w:space="0"/>
                  </w:tcBorders>
                  <w:shd w:val="clear" w:color="auto" w:fill="auto"/>
                  <w:vAlign w:val="center"/>
                </w:tcPr>
                <w:p w14:paraId="578921C0">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0.015</w:t>
                  </w:r>
                </w:p>
              </w:tc>
              <w:tc>
                <w:tcPr>
                  <w:tcW w:w="2801" w:type="dxa"/>
                  <w:gridSpan w:val="3"/>
                  <w:tcBorders>
                    <w:top w:val="single" w:color="auto" w:sz="4" w:space="0"/>
                    <w:left w:val="single" w:color="auto" w:sz="4" w:space="0"/>
                    <w:bottom w:val="single" w:color="auto" w:sz="4" w:space="0"/>
                    <w:right w:val="nil"/>
                  </w:tcBorders>
                  <w:shd w:val="clear" w:color="auto" w:fill="auto"/>
                  <w:vAlign w:val="center"/>
                </w:tcPr>
                <w:p w14:paraId="2E9F4E14">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0.015</w:t>
                  </w:r>
                </w:p>
              </w:tc>
            </w:tr>
            <w:tr w14:paraId="45117F7D">
              <w:tblPrEx>
                <w:tblBorders>
                  <w:top w:val="single" w:color="auto" w:sz="12" w:space="0"/>
                  <w:left w:val="none" w:color="auto" w:sz="6" w:space="0"/>
                  <w:bottom w:val="single" w:color="auto" w:sz="12" w:space="0"/>
                  <w:right w:val="none" w:color="auto" w:sz="6" w:space="0"/>
                  <w:insideH w:val="single" w:color="auto" w:sz="4" w:space="0"/>
                  <w:insideV w:val="single" w:color="auto" w:sz="4" w:space="0"/>
                </w:tblBorders>
                <w:shd w:val="clear" w:color="auto" w:fill="auto"/>
                <w:tblCellMar>
                  <w:top w:w="0" w:type="dxa"/>
                  <w:left w:w="108" w:type="dxa"/>
                  <w:bottom w:w="0" w:type="dxa"/>
                  <w:right w:w="108" w:type="dxa"/>
                </w:tblCellMar>
              </w:tblPrEx>
              <w:trPr>
                <w:cantSplit/>
                <w:trHeight w:val="23" w:hRule="atLeast"/>
                <w:jc w:val="center"/>
              </w:trPr>
              <w:tc>
                <w:tcPr>
                  <w:tcW w:w="576" w:type="dxa"/>
                  <w:vMerge w:val="continue"/>
                  <w:tcBorders>
                    <w:top w:val="single" w:color="auto" w:sz="4" w:space="0"/>
                    <w:left w:val="nil"/>
                    <w:bottom w:val="single" w:color="auto" w:sz="4" w:space="0"/>
                    <w:right w:val="single" w:color="auto" w:sz="4" w:space="0"/>
                  </w:tcBorders>
                  <w:shd w:val="clear" w:color="auto" w:fill="auto"/>
                  <w:vAlign w:val="center"/>
                </w:tcPr>
                <w:p w14:paraId="41AD8DFB">
                  <w:pPr>
                    <w:keepNext w:val="0"/>
                    <w:keepLines w:val="0"/>
                    <w:suppressLineNumbers w:val="0"/>
                    <w:spacing w:before="0" w:beforeAutospacing="0" w:after="0" w:afterAutospacing="0"/>
                    <w:ind w:left="0" w:right="0"/>
                    <w:rPr>
                      <w:rFonts w:hint="default" w:ascii="Times New Roman" w:hAnsi="Times New Roman" w:cs="Times New Roman"/>
                      <w:color w:val="auto"/>
                      <w:sz w:val="20"/>
                      <w:szCs w:val="20"/>
                    </w:rPr>
                  </w:pPr>
                </w:p>
              </w:tc>
              <w:tc>
                <w:tcPr>
                  <w:tcW w:w="1243" w:type="dxa"/>
                  <w:tcBorders>
                    <w:top w:val="single" w:color="auto" w:sz="4" w:space="0"/>
                    <w:left w:val="single" w:color="auto" w:sz="4" w:space="0"/>
                    <w:bottom w:val="single" w:color="auto" w:sz="4" w:space="0"/>
                    <w:right w:val="single" w:color="auto" w:sz="4" w:space="0"/>
                  </w:tcBorders>
                  <w:shd w:val="clear" w:color="auto" w:fill="auto"/>
                  <w:vAlign w:val="center"/>
                </w:tcPr>
                <w:p w14:paraId="17CB87F7">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&gt;2</w:t>
                  </w:r>
                </w:p>
              </w:tc>
              <w:tc>
                <w:tcPr>
                  <w:tcW w:w="2234" w:type="dxa"/>
                  <w:gridSpan w:val="3"/>
                  <w:tcBorders>
                    <w:top w:val="single" w:color="auto" w:sz="4" w:space="0"/>
                    <w:left w:val="single" w:color="auto" w:sz="4" w:space="0"/>
                    <w:bottom w:val="single" w:color="auto" w:sz="4" w:space="0"/>
                    <w:right w:val="single" w:color="auto" w:sz="4" w:space="0"/>
                  </w:tcBorders>
                  <w:shd w:val="clear" w:color="auto" w:fill="auto"/>
                  <w:vAlign w:val="center"/>
                </w:tcPr>
                <w:p w14:paraId="314BBE98">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0.021</w:t>
                  </w:r>
                </w:p>
              </w:tc>
              <w:tc>
                <w:tcPr>
                  <w:tcW w:w="1883" w:type="dxa"/>
                  <w:gridSpan w:val="3"/>
                  <w:tcBorders>
                    <w:top w:val="single" w:color="auto" w:sz="4" w:space="0"/>
                    <w:left w:val="single" w:color="auto" w:sz="4" w:space="0"/>
                    <w:bottom w:val="single" w:color="auto" w:sz="4" w:space="0"/>
                    <w:right w:val="single" w:color="auto" w:sz="4" w:space="0"/>
                  </w:tcBorders>
                  <w:shd w:val="clear" w:color="auto" w:fill="auto"/>
                  <w:vAlign w:val="center"/>
                </w:tcPr>
                <w:p w14:paraId="783E1049">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0.036</w:t>
                  </w:r>
                </w:p>
              </w:tc>
              <w:tc>
                <w:tcPr>
                  <w:tcW w:w="2801" w:type="dxa"/>
                  <w:gridSpan w:val="3"/>
                  <w:tcBorders>
                    <w:top w:val="single" w:color="auto" w:sz="4" w:space="0"/>
                    <w:left w:val="single" w:color="auto" w:sz="4" w:space="0"/>
                    <w:bottom w:val="single" w:color="auto" w:sz="4" w:space="0"/>
                    <w:right w:val="nil"/>
                  </w:tcBorders>
                  <w:shd w:val="clear" w:color="auto" w:fill="auto"/>
                  <w:vAlign w:val="center"/>
                </w:tcPr>
                <w:p w14:paraId="1D27E692">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0.036</w:t>
                  </w:r>
                </w:p>
              </w:tc>
            </w:tr>
            <w:tr w14:paraId="15451C30">
              <w:tblPrEx>
                <w:tblBorders>
                  <w:top w:val="single" w:color="auto" w:sz="12" w:space="0"/>
                  <w:left w:val="none" w:color="auto" w:sz="6" w:space="0"/>
                  <w:bottom w:val="single" w:color="auto" w:sz="12" w:space="0"/>
                  <w:right w:val="none" w:color="auto" w:sz="6" w:space="0"/>
                  <w:insideH w:val="single" w:color="auto" w:sz="4" w:space="0"/>
                  <w:insideV w:val="single" w:color="auto" w:sz="4" w:space="0"/>
                </w:tblBorders>
                <w:shd w:val="clear" w:color="auto" w:fill="auto"/>
                <w:tblCellMar>
                  <w:top w:w="0" w:type="dxa"/>
                  <w:left w:w="108" w:type="dxa"/>
                  <w:bottom w:w="0" w:type="dxa"/>
                  <w:right w:w="108" w:type="dxa"/>
                </w:tblCellMar>
              </w:tblPrEx>
              <w:trPr>
                <w:cantSplit/>
                <w:trHeight w:val="23" w:hRule="atLeast"/>
                <w:jc w:val="center"/>
              </w:trPr>
              <w:tc>
                <w:tcPr>
                  <w:tcW w:w="576" w:type="dxa"/>
                  <w:vMerge w:val="restart"/>
                  <w:tcBorders>
                    <w:top w:val="single" w:color="auto" w:sz="4" w:space="0"/>
                    <w:left w:val="nil"/>
                    <w:bottom w:val="single" w:color="auto" w:sz="4" w:space="0"/>
                    <w:right w:val="single" w:color="auto" w:sz="4" w:space="0"/>
                  </w:tcBorders>
                  <w:shd w:val="clear" w:color="auto" w:fill="auto"/>
                  <w:vAlign w:val="center"/>
                </w:tcPr>
                <w:p w14:paraId="60DA4027">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C</w:t>
                  </w:r>
                </w:p>
              </w:tc>
              <w:tc>
                <w:tcPr>
                  <w:tcW w:w="1243" w:type="dxa"/>
                  <w:tcBorders>
                    <w:top w:val="single" w:color="auto" w:sz="4" w:space="0"/>
                    <w:left w:val="single" w:color="auto" w:sz="4" w:space="0"/>
                    <w:bottom w:val="single" w:color="auto" w:sz="4" w:space="0"/>
                    <w:right w:val="single" w:color="auto" w:sz="4" w:space="0"/>
                  </w:tcBorders>
                  <w:shd w:val="clear" w:color="auto" w:fill="auto"/>
                  <w:vAlign w:val="center"/>
                </w:tcPr>
                <w:p w14:paraId="590856A8">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&lt;2</w:t>
                  </w:r>
                </w:p>
              </w:tc>
              <w:tc>
                <w:tcPr>
                  <w:tcW w:w="2234" w:type="dxa"/>
                  <w:gridSpan w:val="3"/>
                  <w:tcBorders>
                    <w:top w:val="single" w:color="auto" w:sz="4" w:space="0"/>
                    <w:left w:val="single" w:color="auto" w:sz="4" w:space="0"/>
                    <w:bottom w:val="single" w:color="auto" w:sz="4" w:space="0"/>
                    <w:right w:val="single" w:color="auto" w:sz="4" w:space="0"/>
                  </w:tcBorders>
                  <w:shd w:val="clear" w:color="auto" w:fill="auto"/>
                  <w:vAlign w:val="center"/>
                </w:tcPr>
                <w:p w14:paraId="414082FF">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1.85</w:t>
                  </w:r>
                </w:p>
              </w:tc>
              <w:tc>
                <w:tcPr>
                  <w:tcW w:w="1883" w:type="dxa"/>
                  <w:gridSpan w:val="3"/>
                  <w:tcBorders>
                    <w:top w:val="single" w:color="auto" w:sz="4" w:space="0"/>
                    <w:left w:val="single" w:color="auto" w:sz="4" w:space="0"/>
                    <w:bottom w:val="single" w:color="auto" w:sz="4" w:space="0"/>
                    <w:right w:val="single" w:color="auto" w:sz="4" w:space="0"/>
                  </w:tcBorders>
                  <w:shd w:val="clear" w:color="auto" w:fill="auto"/>
                  <w:vAlign w:val="center"/>
                </w:tcPr>
                <w:p w14:paraId="57CF373B">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1.79</w:t>
                  </w:r>
                </w:p>
              </w:tc>
              <w:tc>
                <w:tcPr>
                  <w:tcW w:w="2801" w:type="dxa"/>
                  <w:gridSpan w:val="3"/>
                  <w:tcBorders>
                    <w:top w:val="single" w:color="auto" w:sz="4" w:space="0"/>
                    <w:left w:val="single" w:color="auto" w:sz="4" w:space="0"/>
                    <w:bottom w:val="single" w:color="auto" w:sz="4" w:space="0"/>
                    <w:right w:val="nil"/>
                  </w:tcBorders>
                  <w:shd w:val="clear" w:color="auto" w:fill="auto"/>
                  <w:vAlign w:val="center"/>
                </w:tcPr>
                <w:p w14:paraId="19E23B30">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1.79</w:t>
                  </w:r>
                </w:p>
              </w:tc>
            </w:tr>
            <w:tr w14:paraId="63BC3BFE">
              <w:tblPrEx>
                <w:tblBorders>
                  <w:top w:val="single" w:color="auto" w:sz="12" w:space="0"/>
                  <w:left w:val="none" w:color="auto" w:sz="6" w:space="0"/>
                  <w:bottom w:val="single" w:color="auto" w:sz="12" w:space="0"/>
                  <w:right w:val="none" w:color="auto" w:sz="6" w:space="0"/>
                  <w:insideH w:val="single" w:color="auto" w:sz="4" w:space="0"/>
                  <w:insideV w:val="single" w:color="auto" w:sz="4" w:space="0"/>
                </w:tblBorders>
                <w:shd w:val="clear" w:color="auto" w:fill="auto"/>
                <w:tblCellMar>
                  <w:top w:w="0" w:type="dxa"/>
                  <w:left w:w="108" w:type="dxa"/>
                  <w:bottom w:w="0" w:type="dxa"/>
                  <w:right w:w="108" w:type="dxa"/>
                </w:tblCellMar>
              </w:tblPrEx>
              <w:trPr>
                <w:cantSplit/>
                <w:trHeight w:val="23" w:hRule="atLeast"/>
                <w:jc w:val="center"/>
              </w:trPr>
              <w:tc>
                <w:tcPr>
                  <w:tcW w:w="576" w:type="dxa"/>
                  <w:vMerge w:val="continue"/>
                  <w:tcBorders>
                    <w:top w:val="single" w:color="auto" w:sz="4" w:space="0"/>
                    <w:left w:val="nil"/>
                    <w:bottom w:val="single" w:color="auto" w:sz="4" w:space="0"/>
                    <w:right w:val="single" w:color="auto" w:sz="4" w:space="0"/>
                  </w:tcBorders>
                  <w:shd w:val="clear" w:color="auto" w:fill="auto"/>
                  <w:vAlign w:val="center"/>
                </w:tcPr>
                <w:p w14:paraId="07C63534">
                  <w:pPr>
                    <w:keepNext w:val="0"/>
                    <w:keepLines w:val="0"/>
                    <w:suppressLineNumbers w:val="0"/>
                    <w:spacing w:before="0" w:beforeAutospacing="0" w:after="0" w:afterAutospacing="0"/>
                    <w:ind w:left="0" w:right="0"/>
                    <w:rPr>
                      <w:rFonts w:hint="default" w:ascii="Times New Roman" w:hAnsi="Times New Roman" w:cs="Times New Roman"/>
                      <w:color w:val="auto"/>
                      <w:sz w:val="20"/>
                      <w:szCs w:val="20"/>
                    </w:rPr>
                  </w:pPr>
                </w:p>
              </w:tc>
              <w:tc>
                <w:tcPr>
                  <w:tcW w:w="1243" w:type="dxa"/>
                  <w:tcBorders>
                    <w:top w:val="single" w:color="auto" w:sz="4" w:space="0"/>
                    <w:left w:val="single" w:color="auto" w:sz="4" w:space="0"/>
                    <w:bottom w:val="single" w:color="auto" w:sz="4" w:space="0"/>
                    <w:right w:val="single" w:color="auto" w:sz="4" w:space="0"/>
                  </w:tcBorders>
                  <w:shd w:val="clear" w:color="auto" w:fill="auto"/>
                  <w:vAlign w:val="center"/>
                </w:tcPr>
                <w:p w14:paraId="611AFFC3">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&gt;2</w:t>
                  </w:r>
                </w:p>
              </w:tc>
              <w:tc>
                <w:tcPr>
                  <w:tcW w:w="2234" w:type="dxa"/>
                  <w:gridSpan w:val="3"/>
                  <w:tcBorders>
                    <w:top w:val="single" w:color="auto" w:sz="4" w:space="0"/>
                    <w:left w:val="single" w:color="auto" w:sz="4" w:space="0"/>
                    <w:bottom w:val="single" w:color="auto" w:sz="4" w:space="0"/>
                    <w:right w:val="single" w:color="auto" w:sz="4" w:space="0"/>
                  </w:tcBorders>
                  <w:shd w:val="clear" w:color="auto" w:fill="auto"/>
                  <w:vAlign w:val="center"/>
                </w:tcPr>
                <w:p w14:paraId="4697D868">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1.85</w:t>
                  </w:r>
                </w:p>
              </w:tc>
              <w:tc>
                <w:tcPr>
                  <w:tcW w:w="1883" w:type="dxa"/>
                  <w:gridSpan w:val="3"/>
                  <w:tcBorders>
                    <w:top w:val="single" w:color="auto" w:sz="4" w:space="0"/>
                    <w:left w:val="single" w:color="auto" w:sz="4" w:space="0"/>
                    <w:bottom w:val="single" w:color="auto" w:sz="4" w:space="0"/>
                    <w:right w:val="single" w:color="auto" w:sz="4" w:space="0"/>
                  </w:tcBorders>
                  <w:shd w:val="clear" w:color="auto" w:fill="auto"/>
                  <w:vAlign w:val="center"/>
                </w:tcPr>
                <w:p w14:paraId="48F7E959">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1.77</w:t>
                  </w:r>
                </w:p>
              </w:tc>
              <w:tc>
                <w:tcPr>
                  <w:tcW w:w="2801" w:type="dxa"/>
                  <w:gridSpan w:val="3"/>
                  <w:tcBorders>
                    <w:top w:val="single" w:color="auto" w:sz="4" w:space="0"/>
                    <w:left w:val="single" w:color="auto" w:sz="4" w:space="0"/>
                    <w:bottom w:val="single" w:color="auto" w:sz="4" w:space="0"/>
                    <w:right w:val="nil"/>
                  </w:tcBorders>
                  <w:shd w:val="clear" w:color="auto" w:fill="auto"/>
                  <w:vAlign w:val="center"/>
                </w:tcPr>
                <w:p w14:paraId="267E79AD">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1.77</w:t>
                  </w:r>
                </w:p>
              </w:tc>
            </w:tr>
            <w:tr w14:paraId="7D6A613D">
              <w:tblPrEx>
                <w:tblBorders>
                  <w:top w:val="single" w:color="auto" w:sz="12" w:space="0"/>
                  <w:left w:val="none" w:color="auto" w:sz="6" w:space="0"/>
                  <w:bottom w:val="single" w:color="auto" w:sz="12" w:space="0"/>
                  <w:right w:val="none" w:color="auto" w:sz="6" w:space="0"/>
                  <w:insideH w:val="single" w:color="auto" w:sz="4" w:space="0"/>
                  <w:insideV w:val="single" w:color="auto" w:sz="4" w:space="0"/>
                </w:tblBorders>
                <w:shd w:val="clear" w:color="auto" w:fill="auto"/>
                <w:tblCellMar>
                  <w:top w:w="0" w:type="dxa"/>
                  <w:left w:w="108" w:type="dxa"/>
                  <w:bottom w:w="0" w:type="dxa"/>
                  <w:right w:w="108" w:type="dxa"/>
                </w:tblCellMar>
              </w:tblPrEx>
              <w:trPr>
                <w:cantSplit/>
                <w:trHeight w:val="23" w:hRule="atLeast"/>
                <w:jc w:val="center"/>
              </w:trPr>
              <w:tc>
                <w:tcPr>
                  <w:tcW w:w="576" w:type="dxa"/>
                  <w:vMerge w:val="restart"/>
                  <w:tcBorders>
                    <w:top w:val="single" w:color="auto" w:sz="4" w:space="0"/>
                    <w:left w:val="nil"/>
                    <w:bottom w:val="single" w:color="auto" w:sz="4" w:space="0"/>
                    <w:right w:val="single" w:color="auto" w:sz="4" w:space="0"/>
                  </w:tcBorders>
                  <w:shd w:val="clear" w:color="auto" w:fill="auto"/>
                  <w:vAlign w:val="center"/>
                </w:tcPr>
                <w:p w14:paraId="1B4E5AB5">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D</w:t>
                  </w:r>
                </w:p>
              </w:tc>
              <w:tc>
                <w:tcPr>
                  <w:tcW w:w="1243" w:type="dxa"/>
                  <w:tcBorders>
                    <w:top w:val="single" w:color="auto" w:sz="4" w:space="0"/>
                    <w:left w:val="single" w:color="auto" w:sz="4" w:space="0"/>
                    <w:bottom w:val="single" w:color="auto" w:sz="4" w:space="0"/>
                    <w:right w:val="single" w:color="auto" w:sz="4" w:space="0"/>
                  </w:tcBorders>
                  <w:shd w:val="clear" w:color="auto" w:fill="auto"/>
                  <w:vAlign w:val="center"/>
                </w:tcPr>
                <w:p w14:paraId="36CDEBA6">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&lt;2</w:t>
                  </w:r>
                </w:p>
              </w:tc>
              <w:tc>
                <w:tcPr>
                  <w:tcW w:w="2234" w:type="dxa"/>
                  <w:gridSpan w:val="3"/>
                  <w:tcBorders>
                    <w:top w:val="single" w:color="auto" w:sz="4" w:space="0"/>
                    <w:left w:val="single" w:color="auto" w:sz="4" w:space="0"/>
                    <w:bottom w:val="single" w:color="auto" w:sz="4" w:space="0"/>
                    <w:right w:val="single" w:color="auto" w:sz="4" w:space="0"/>
                  </w:tcBorders>
                  <w:shd w:val="clear" w:color="auto" w:fill="auto"/>
                  <w:vAlign w:val="center"/>
                </w:tcPr>
                <w:p w14:paraId="499880D0">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0.78</w:t>
                  </w:r>
                </w:p>
              </w:tc>
              <w:tc>
                <w:tcPr>
                  <w:tcW w:w="1883" w:type="dxa"/>
                  <w:gridSpan w:val="3"/>
                  <w:tcBorders>
                    <w:top w:val="single" w:color="auto" w:sz="4" w:space="0"/>
                    <w:left w:val="single" w:color="auto" w:sz="4" w:space="0"/>
                    <w:bottom w:val="single" w:color="auto" w:sz="4" w:space="0"/>
                    <w:right w:val="single" w:color="auto" w:sz="4" w:space="0"/>
                  </w:tcBorders>
                  <w:shd w:val="clear" w:color="auto" w:fill="auto"/>
                  <w:vAlign w:val="center"/>
                </w:tcPr>
                <w:p w14:paraId="67FE31AC">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0.78</w:t>
                  </w:r>
                </w:p>
              </w:tc>
              <w:tc>
                <w:tcPr>
                  <w:tcW w:w="2801" w:type="dxa"/>
                  <w:gridSpan w:val="3"/>
                  <w:tcBorders>
                    <w:top w:val="single" w:color="auto" w:sz="4" w:space="0"/>
                    <w:left w:val="single" w:color="auto" w:sz="4" w:space="0"/>
                    <w:bottom w:val="single" w:color="auto" w:sz="4" w:space="0"/>
                    <w:right w:val="nil"/>
                  </w:tcBorders>
                  <w:shd w:val="clear" w:color="auto" w:fill="auto"/>
                  <w:vAlign w:val="center"/>
                </w:tcPr>
                <w:p w14:paraId="3BA58A1D">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0.57</w:t>
                  </w:r>
                </w:p>
              </w:tc>
            </w:tr>
            <w:tr w14:paraId="7029D4EA">
              <w:tblPrEx>
                <w:tblBorders>
                  <w:top w:val="single" w:color="auto" w:sz="12" w:space="0"/>
                  <w:left w:val="none" w:color="auto" w:sz="6" w:space="0"/>
                  <w:bottom w:val="single" w:color="auto" w:sz="12" w:space="0"/>
                  <w:right w:val="none" w:color="auto" w:sz="6" w:space="0"/>
                  <w:insideH w:val="single" w:color="auto" w:sz="4" w:space="0"/>
                  <w:insideV w:val="single" w:color="auto" w:sz="4" w:space="0"/>
                </w:tblBorders>
                <w:shd w:val="clear" w:color="auto" w:fill="auto"/>
                <w:tblCellMar>
                  <w:top w:w="0" w:type="dxa"/>
                  <w:left w:w="108" w:type="dxa"/>
                  <w:bottom w:w="0" w:type="dxa"/>
                  <w:right w:w="108" w:type="dxa"/>
                </w:tblCellMar>
              </w:tblPrEx>
              <w:trPr>
                <w:cantSplit/>
                <w:trHeight w:val="23" w:hRule="atLeast"/>
                <w:jc w:val="center"/>
              </w:trPr>
              <w:tc>
                <w:tcPr>
                  <w:tcW w:w="576" w:type="dxa"/>
                  <w:vMerge w:val="continue"/>
                  <w:tcBorders>
                    <w:top w:val="single" w:color="auto" w:sz="4" w:space="0"/>
                    <w:left w:val="nil"/>
                    <w:bottom w:val="single" w:color="auto" w:sz="4" w:space="0"/>
                    <w:right w:val="single" w:color="auto" w:sz="4" w:space="0"/>
                  </w:tcBorders>
                  <w:shd w:val="clear" w:color="auto" w:fill="auto"/>
                  <w:vAlign w:val="center"/>
                </w:tcPr>
                <w:p w14:paraId="0220AB5D">
                  <w:pPr>
                    <w:keepNext w:val="0"/>
                    <w:keepLines w:val="0"/>
                    <w:suppressLineNumbers w:val="0"/>
                    <w:spacing w:before="0" w:beforeAutospacing="0" w:after="0" w:afterAutospacing="0"/>
                    <w:ind w:left="0" w:right="0"/>
                    <w:rPr>
                      <w:rFonts w:hint="default" w:ascii="Times New Roman" w:hAnsi="Times New Roman" w:cs="Times New Roman"/>
                      <w:color w:val="auto"/>
                      <w:sz w:val="20"/>
                      <w:szCs w:val="20"/>
                    </w:rPr>
                  </w:pPr>
                </w:p>
              </w:tc>
              <w:tc>
                <w:tcPr>
                  <w:tcW w:w="1243" w:type="dxa"/>
                  <w:tcBorders>
                    <w:top w:val="single" w:color="auto" w:sz="4" w:space="0"/>
                    <w:left w:val="single" w:color="auto" w:sz="4" w:space="0"/>
                    <w:bottom w:val="single" w:color="auto" w:sz="12" w:space="0"/>
                    <w:right w:val="single" w:color="auto" w:sz="4" w:space="0"/>
                  </w:tcBorders>
                  <w:shd w:val="clear" w:color="auto" w:fill="auto"/>
                  <w:vAlign w:val="center"/>
                </w:tcPr>
                <w:p w14:paraId="37B1BB8D">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&gt;2</w:t>
                  </w:r>
                </w:p>
              </w:tc>
              <w:tc>
                <w:tcPr>
                  <w:tcW w:w="2234" w:type="dxa"/>
                  <w:gridSpan w:val="3"/>
                  <w:tcBorders>
                    <w:top w:val="single" w:color="auto" w:sz="4" w:space="0"/>
                    <w:left w:val="single" w:color="auto" w:sz="4" w:space="0"/>
                    <w:bottom w:val="single" w:color="auto" w:sz="12" w:space="0"/>
                    <w:right w:val="single" w:color="auto" w:sz="4" w:space="0"/>
                  </w:tcBorders>
                  <w:shd w:val="clear" w:color="auto" w:fill="auto"/>
                  <w:vAlign w:val="center"/>
                </w:tcPr>
                <w:p w14:paraId="6ADADC2D">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0.84</w:t>
                  </w:r>
                </w:p>
              </w:tc>
              <w:tc>
                <w:tcPr>
                  <w:tcW w:w="1883" w:type="dxa"/>
                  <w:gridSpan w:val="3"/>
                  <w:tcBorders>
                    <w:top w:val="single" w:color="auto" w:sz="4" w:space="0"/>
                    <w:left w:val="single" w:color="auto" w:sz="4" w:space="0"/>
                    <w:bottom w:val="single" w:color="auto" w:sz="12" w:space="0"/>
                    <w:right w:val="single" w:color="auto" w:sz="4" w:space="0"/>
                  </w:tcBorders>
                  <w:shd w:val="clear" w:color="auto" w:fill="auto"/>
                  <w:vAlign w:val="center"/>
                </w:tcPr>
                <w:p w14:paraId="5A112CD8">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0.84</w:t>
                  </w:r>
                </w:p>
              </w:tc>
              <w:tc>
                <w:tcPr>
                  <w:tcW w:w="2801" w:type="dxa"/>
                  <w:gridSpan w:val="3"/>
                  <w:tcBorders>
                    <w:top w:val="single" w:color="auto" w:sz="4" w:space="0"/>
                    <w:left w:val="single" w:color="auto" w:sz="4" w:space="0"/>
                    <w:bottom w:val="single" w:color="auto" w:sz="12" w:space="0"/>
                    <w:right w:val="nil"/>
                  </w:tcBorders>
                  <w:shd w:val="clear" w:color="auto" w:fill="auto"/>
                  <w:vAlign w:val="center"/>
                </w:tcPr>
                <w:p w14:paraId="35EC3A32">
                  <w:pPr>
                    <w:pStyle w:val="18"/>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0.76</w:t>
                  </w:r>
                </w:p>
              </w:tc>
            </w:tr>
          </w:tbl>
          <w:p w14:paraId="3CFC6B01">
            <w:pPr>
              <w:pStyle w:val="119"/>
              <w:keepNext w:val="0"/>
              <w:keepLines w:val="0"/>
              <w:widowControl w:val="0"/>
              <w:suppressLineNumbers w:val="0"/>
              <w:adjustRightInd w:val="0"/>
              <w:spacing w:before="0" w:beforeAutospacing="0" w:after="0" w:afterAutospacing="0"/>
              <w:ind w:left="0" w:right="0"/>
              <w:jc w:val="left"/>
              <w:rPr>
                <w:rFonts w:hint="default" w:ascii="Times New Roman" w:hAnsi="Times New Roman" w:eastAsia="宋体" w:cs="Times New Roman"/>
                <w:color w:val="auto"/>
                <w:kern w:val="2"/>
                <w:sz w:val="24"/>
                <w:szCs w:val="24"/>
              </w:rPr>
            </w:pPr>
            <w:r>
              <w:rPr>
                <w:rFonts w:hint="eastAsia" w:ascii="宋体" w:hAnsi="宋体" w:eastAsia="宋体" w:cs="宋体"/>
                <w:color w:val="auto"/>
                <w:kern w:val="2"/>
                <w:sz w:val="24"/>
                <w:szCs w:val="24"/>
              </w:rPr>
              <w:t>根据工程分析，本项目卫生防护距离计算见表</w:t>
            </w:r>
            <w:r>
              <w:rPr>
                <w:rFonts w:hint="default" w:ascii="Times New Roman" w:hAnsi="Times New Roman" w:eastAsia="宋体" w:cs="Times New Roman"/>
                <w:color w:val="auto"/>
                <w:kern w:val="2"/>
                <w:sz w:val="24"/>
                <w:szCs w:val="24"/>
              </w:rPr>
              <w:t>4-</w:t>
            </w:r>
            <w:r>
              <w:rPr>
                <w:rFonts w:hint="eastAsia" w:ascii="Times New Roman" w:hAnsi="Times New Roman" w:cs="Times New Roman"/>
                <w:color w:val="auto"/>
                <w:kern w:val="2"/>
                <w:sz w:val="24"/>
                <w:szCs w:val="24"/>
                <w:lang w:val="en-US" w:eastAsia="zh-CN"/>
              </w:rPr>
              <w:t>6</w:t>
            </w:r>
            <w:r>
              <w:rPr>
                <w:rFonts w:hint="eastAsia" w:ascii="宋体" w:hAnsi="宋体" w:eastAsia="宋体" w:cs="宋体"/>
                <w:color w:val="auto"/>
                <w:kern w:val="2"/>
                <w:sz w:val="24"/>
                <w:szCs w:val="24"/>
              </w:rPr>
              <w:t>。</w:t>
            </w:r>
          </w:p>
          <w:p w14:paraId="6D9BC5B8">
            <w:pPr>
              <w:keepNext w:val="0"/>
              <w:keepLines w:val="0"/>
              <w:widowControl w:val="0"/>
              <w:suppressLineNumbers w:val="0"/>
              <w:spacing w:before="0" w:beforeAutospacing="0" w:after="0" w:afterAutospacing="0" w:line="360" w:lineRule="auto"/>
              <w:ind w:left="0" w:right="0" w:firstLine="422" w:firstLineChars="200"/>
              <w:jc w:val="center"/>
              <w:rPr>
                <w:rFonts w:hint="default" w:ascii="Times New Roman" w:hAnsi="Times New Roman" w:eastAsia="宋体" w:cs="Times New Roman"/>
                <w:b/>
                <w:bCs/>
                <w:color w:val="auto"/>
                <w:kern w:val="2"/>
                <w:sz w:val="21"/>
                <w:szCs w:val="21"/>
              </w:rPr>
            </w:pPr>
            <w:r>
              <w:rPr>
                <w:rFonts w:hint="eastAsia" w:ascii="宋体" w:hAnsi="宋体" w:eastAsia="宋体" w:cs="宋体"/>
                <w:b/>
                <w:bCs/>
                <w:color w:val="auto"/>
                <w:kern w:val="2"/>
                <w:sz w:val="21"/>
                <w:szCs w:val="21"/>
                <w:lang w:val="en-US" w:eastAsia="zh-CN" w:bidi="ar"/>
              </w:rPr>
              <w:t>表</w:t>
            </w:r>
            <w:r>
              <w:rPr>
                <w:rFonts w:hint="default" w:ascii="Times New Roman" w:hAnsi="Times New Roman" w:eastAsia="宋体" w:cs="Times New Roman"/>
                <w:b/>
                <w:bCs/>
                <w:color w:val="auto"/>
                <w:kern w:val="2"/>
                <w:sz w:val="21"/>
                <w:szCs w:val="21"/>
                <w:lang w:val="en-US" w:eastAsia="zh-CN" w:bidi="ar"/>
              </w:rPr>
              <w:t>4-</w:t>
            </w:r>
            <w:r>
              <w:rPr>
                <w:rFonts w:hint="eastAsia" w:cs="Times New Roman"/>
                <w:b/>
                <w:bCs/>
                <w:color w:val="auto"/>
                <w:kern w:val="2"/>
                <w:sz w:val="21"/>
                <w:szCs w:val="21"/>
                <w:lang w:val="en-US" w:eastAsia="zh-CN" w:bidi="ar"/>
              </w:rPr>
              <w:t>6</w:t>
            </w:r>
            <w:r>
              <w:rPr>
                <w:rFonts w:hint="default" w:ascii="Times New Roman" w:hAnsi="Times New Roman" w:eastAsia="宋体" w:cs="Times New Roman"/>
                <w:b/>
                <w:bCs/>
                <w:color w:val="auto"/>
                <w:kern w:val="2"/>
                <w:sz w:val="21"/>
                <w:szCs w:val="21"/>
                <w:lang w:val="en-US" w:eastAsia="zh-CN" w:bidi="ar"/>
              </w:rPr>
              <w:t xml:space="preserve">  </w:t>
            </w:r>
            <w:r>
              <w:rPr>
                <w:rFonts w:hint="eastAsia" w:ascii="宋体" w:hAnsi="宋体" w:eastAsia="宋体" w:cs="宋体"/>
                <w:b/>
                <w:bCs/>
                <w:color w:val="auto"/>
                <w:kern w:val="2"/>
                <w:sz w:val="21"/>
                <w:szCs w:val="21"/>
                <w:lang w:val="en-US" w:eastAsia="zh-CN" w:bidi="ar"/>
              </w:rPr>
              <w:t>卫生防护距离计算结果</w:t>
            </w:r>
          </w:p>
          <w:tbl>
            <w:tblPr>
              <w:tblStyle w:val="26"/>
              <w:tblW w:w="0" w:type="auto"/>
              <w:jc w:val="center"/>
              <w:tblBorders>
                <w:top w:val="single" w:color="auto" w:sz="12" w:space="0"/>
                <w:left w:val="none" w:color="auto" w:sz="6" w:space="0"/>
                <w:bottom w:val="single" w:color="auto" w:sz="12" w:space="0"/>
                <w:right w:val="none" w:color="auto" w:sz="6"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1698"/>
              <w:gridCol w:w="1364"/>
              <w:gridCol w:w="1058"/>
              <w:gridCol w:w="1101"/>
              <w:gridCol w:w="1046"/>
              <w:gridCol w:w="839"/>
              <w:gridCol w:w="888"/>
              <w:gridCol w:w="870"/>
            </w:tblGrid>
            <w:tr w14:paraId="2C2D7691">
              <w:tblPrEx>
                <w:tblBorders>
                  <w:top w:val="single" w:color="auto" w:sz="12" w:space="0"/>
                  <w:left w:val="none" w:color="auto" w:sz="6" w:space="0"/>
                  <w:bottom w:val="single" w:color="auto" w:sz="12" w:space="0"/>
                  <w:right w:val="none" w:color="auto" w:sz="6"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698" w:type="dxa"/>
                  <w:vMerge w:val="restart"/>
                  <w:tcBorders>
                    <w:top w:val="single" w:color="auto" w:sz="12" w:space="0"/>
                    <w:left w:val="nil"/>
                    <w:bottom w:val="single" w:color="auto" w:sz="4" w:space="0"/>
                    <w:right w:val="single" w:color="auto" w:sz="4" w:space="0"/>
                  </w:tcBorders>
                  <w:shd w:val="clear" w:color="auto" w:fill="auto"/>
                  <w:vAlign w:val="center"/>
                </w:tcPr>
                <w:p w14:paraId="48E34B23">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21"/>
                      <w:szCs w:val="21"/>
                    </w:rPr>
                  </w:pPr>
                  <w:r>
                    <w:rPr>
                      <w:rFonts w:hint="eastAsia" w:ascii="宋体" w:hAnsi="宋体" w:eastAsia="宋体" w:cs="宋体"/>
                      <w:b/>
                      <w:bCs/>
                      <w:color w:val="auto"/>
                      <w:kern w:val="2"/>
                      <w:sz w:val="21"/>
                      <w:szCs w:val="21"/>
                      <w:lang w:val="en-US" w:eastAsia="zh-CN" w:bidi="ar"/>
                    </w:rPr>
                    <w:t>污染源位置</w:t>
                  </w:r>
                </w:p>
              </w:tc>
              <w:tc>
                <w:tcPr>
                  <w:tcW w:w="1364" w:type="dxa"/>
                  <w:vMerge w:val="restart"/>
                  <w:tcBorders>
                    <w:top w:val="single" w:color="auto" w:sz="12" w:space="0"/>
                    <w:left w:val="single" w:color="auto" w:sz="4" w:space="0"/>
                    <w:bottom w:val="single" w:color="auto" w:sz="4" w:space="0"/>
                    <w:right w:val="single" w:color="auto" w:sz="4" w:space="0"/>
                  </w:tcBorders>
                  <w:shd w:val="clear" w:color="auto" w:fill="auto"/>
                  <w:vAlign w:val="center"/>
                </w:tcPr>
                <w:p w14:paraId="25A9EA3C">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21"/>
                      <w:szCs w:val="21"/>
                    </w:rPr>
                  </w:pPr>
                  <w:r>
                    <w:rPr>
                      <w:rFonts w:hint="eastAsia" w:ascii="宋体" w:hAnsi="宋体" w:eastAsia="宋体" w:cs="宋体"/>
                      <w:b/>
                      <w:bCs/>
                      <w:color w:val="auto"/>
                      <w:kern w:val="2"/>
                      <w:sz w:val="21"/>
                      <w:szCs w:val="21"/>
                      <w:lang w:val="en-US" w:eastAsia="zh-CN" w:bidi="ar"/>
                    </w:rPr>
                    <w:t>污染物名称</w:t>
                  </w:r>
                </w:p>
              </w:tc>
              <w:tc>
                <w:tcPr>
                  <w:tcW w:w="1058" w:type="dxa"/>
                  <w:vMerge w:val="restart"/>
                  <w:tcBorders>
                    <w:top w:val="single" w:color="auto" w:sz="12" w:space="0"/>
                    <w:left w:val="single" w:color="auto" w:sz="4" w:space="0"/>
                    <w:bottom w:val="single" w:color="auto" w:sz="4" w:space="0"/>
                    <w:right w:val="single" w:color="auto" w:sz="4" w:space="0"/>
                  </w:tcBorders>
                  <w:shd w:val="clear" w:color="auto" w:fill="auto"/>
                  <w:vAlign w:val="center"/>
                </w:tcPr>
                <w:p w14:paraId="5AD58139">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21"/>
                      <w:szCs w:val="21"/>
                    </w:rPr>
                  </w:pPr>
                  <w:r>
                    <w:rPr>
                      <w:rFonts w:hint="eastAsia" w:ascii="宋体" w:hAnsi="宋体" w:eastAsia="宋体" w:cs="宋体"/>
                      <w:b/>
                      <w:bCs/>
                      <w:color w:val="auto"/>
                      <w:kern w:val="2"/>
                      <w:sz w:val="21"/>
                      <w:szCs w:val="21"/>
                      <w:lang w:val="en-US" w:eastAsia="zh-CN" w:bidi="ar"/>
                    </w:rPr>
                    <w:t>面源面积（</w:t>
                  </w:r>
                  <w:r>
                    <w:rPr>
                      <w:rFonts w:hint="default" w:ascii="Times New Roman" w:hAnsi="Times New Roman" w:eastAsia="宋体" w:cs="Times New Roman"/>
                      <w:b/>
                      <w:bCs/>
                      <w:color w:val="auto"/>
                      <w:kern w:val="2"/>
                      <w:sz w:val="21"/>
                      <w:szCs w:val="21"/>
                      <w:lang w:val="en-US" w:eastAsia="zh-CN" w:bidi="ar"/>
                    </w:rPr>
                    <w:t>m</w:t>
                  </w:r>
                  <w:r>
                    <w:rPr>
                      <w:rFonts w:hint="default" w:ascii="Times New Roman" w:hAnsi="Times New Roman" w:eastAsia="宋体" w:cs="Times New Roman"/>
                      <w:b/>
                      <w:bCs/>
                      <w:color w:val="auto"/>
                      <w:kern w:val="2"/>
                      <w:sz w:val="21"/>
                      <w:szCs w:val="21"/>
                      <w:vertAlign w:val="superscript"/>
                      <w:lang w:val="en-US" w:eastAsia="zh-CN" w:bidi="ar"/>
                    </w:rPr>
                    <w:t>2</w:t>
                  </w:r>
                  <w:r>
                    <w:rPr>
                      <w:rFonts w:hint="eastAsia" w:ascii="宋体" w:hAnsi="宋体" w:eastAsia="宋体" w:cs="宋体"/>
                      <w:b/>
                      <w:bCs/>
                      <w:color w:val="auto"/>
                      <w:kern w:val="2"/>
                      <w:sz w:val="21"/>
                      <w:szCs w:val="21"/>
                      <w:lang w:val="en-US" w:eastAsia="zh-CN" w:bidi="ar"/>
                    </w:rPr>
                    <w:t>）</w:t>
                  </w:r>
                </w:p>
              </w:tc>
              <w:tc>
                <w:tcPr>
                  <w:tcW w:w="1101" w:type="dxa"/>
                  <w:vMerge w:val="restart"/>
                  <w:tcBorders>
                    <w:top w:val="single" w:color="auto" w:sz="12" w:space="0"/>
                    <w:left w:val="single" w:color="auto" w:sz="4" w:space="0"/>
                    <w:bottom w:val="single" w:color="auto" w:sz="4" w:space="0"/>
                    <w:right w:val="single" w:color="auto" w:sz="4" w:space="0"/>
                  </w:tcBorders>
                  <w:shd w:val="clear" w:color="auto" w:fill="auto"/>
                  <w:vAlign w:val="center"/>
                </w:tcPr>
                <w:p w14:paraId="2D243F00">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21"/>
                      <w:szCs w:val="21"/>
                    </w:rPr>
                  </w:pPr>
                  <w:r>
                    <w:rPr>
                      <w:rFonts w:hint="eastAsia" w:ascii="宋体" w:hAnsi="宋体" w:eastAsia="宋体" w:cs="宋体"/>
                      <w:b/>
                      <w:bCs/>
                      <w:color w:val="auto"/>
                      <w:kern w:val="2"/>
                      <w:sz w:val="21"/>
                      <w:szCs w:val="21"/>
                      <w:lang w:val="en-US" w:eastAsia="zh-CN" w:bidi="ar"/>
                    </w:rPr>
                    <w:t>污染物源强</w:t>
                  </w:r>
                  <w:r>
                    <w:rPr>
                      <w:rFonts w:hint="default" w:ascii="Times New Roman" w:hAnsi="Times New Roman" w:eastAsia="宋体" w:cs="Times New Roman"/>
                      <w:b/>
                      <w:bCs/>
                      <w:color w:val="auto"/>
                      <w:kern w:val="2"/>
                      <w:sz w:val="21"/>
                      <w:szCs w:val="21"/>
                      <w:lang w:val="en-US" w:eastAsia="zh-CN" w:bidi="ar"/>
                    </w:rPr>
                    <w:t>kg/h</w:t>
                  </w:r>
                </w:p>
              </w:tc>
              <w:tc>
                <w:tcPr>
                  <w:tcW w:w="1046" w:type="dxa"/>
                  <w:vMerge w:val="restart"/>
                  <w:tcBorders>
                    <w:top w:val="single" w:color="auto" w:sz="12" w:space="0"/>
                    <w:left w:val="single" w:color="auto" w:sz="4" w:space="0"/>
                    <w:bottom w:val="single" w:color="auto" w:sz="4" w:space="0"/>
                    <w:right w:val="single" w:color="auto" w:sz="4" w:space="0"/>
                  </w:tcBorders>
                  <w:shd w:val="clear" w:color="auto" w:fill="auto"/>
                  <w:vAlign w:val="center"/>
                </w:tcPr>
                <w:p w14:paraId="26F3453D">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21"/>
                      <w:szCs w:val="21"/>
                    </w:rPr>
                  </w:pPr>
                  <w:r>
                    <w:rPr>
                      <w:rFonts w:hint="eastAsia" w:ascii="宋体" w:hAnsi="宋体" w:eastAsia="宋体" w:cs="宋体"/>
                      <w:b/>
                      <w:bCs/>
                      <w:color w:val="auto"/>
                      <w:kern w:val="2"/>
                      <w:sz w:val="21"/>
                      <w:szCs w:val="21"/>
                      <w:lang w:val="en-US" w:eastAsia="zh-CN" w:bidi="ar"/>
                    </w:rPr>
                    <w:t>评价标准</w:t>
                  </w:r>
                  <w:r>
                    <w:rPr>
                      <w:rFonts w:hint="default" w:ascii="Times New Roman" w:hAnsi="Times New Roman" w:eastAsia="宋体" w:cs="Times New Roman"/>
                      <w:b/>
                      <w:bCs/>
                      <w:color w:val="auto"/>
                      <w:kern w:val="2"/>
                      <w:sz w:val="21"/>
                      <w:szCs w:val="21"/>
                      <w:lang w:val="en-US" w:eastAsia="zh-CN" w:bidi="ar"/>
                    </w:rPr>
                    <w:t>mg/m</w:t>
                  </w:r>
                  <w:r>
                    <w:rPr>
                      <w:rFonts w:hint="default" w:ascii="Times New Roman" w:hAnsi="Times New Roman" w:eastAsia="宋体" w:cs="Times New Roman"/>
                      <w:b/>
                      <w:bCs/>
                      <w:color w:val="auto"/>
                      <w:kern w:val="2"/>
                      <w:sz w:val="21"/>
                      <w:szCs w:val="21"/>
                      <w:vertAlign w:val="superscript"/>
                      <w:lang w:val="en-US" w:eastAsia="zh-CN" w:bidi="ar"/>
                    </w:rPr>
                    <w:t>3</w:t>
                  </w:r>
                </w:p>
              </w:tc>
              <w:tc>
                <w:tcPr>
                  <w:tcW w:w="2597" w:type="dxa"/>
                  <w:gridSpan w:val="3"/>
                  <w:tcBorders>
                    <w:top w:val="single" w:color="auto" w:sz="12" w:space="0"/>
                    <w:left w:val="single" w:color="auto" w:sz="4" w:space="0"/>
                    <w:bottom w:val="single" w:color="auto" w:sz="4" w:space="0"/>
                    <w:right w:val="nil"/>
                  </w:tcBorders>
                  <w:shd w:val="clear" w:color="auto" w:fill="auto"/>
                  <w:vAlign w:val="center"/>
                </w:tcPr>
                <w:p w14:paraId="3E760CFE">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21"/>
                      <w:szCs w:val="21"/>
                    </w:rPr>
                  </w:pPr>
                  <w:r>
                    <w:rPr>
                      <w:rFonts w:hint="eastAsia" w:ascii="宋体" w:hAnsi="宋体" w:eastAsia="宋体" w:cs="宋体"/>
                      <w:b/>
                      <w:bCs/>
                      <w:color w:val="auto"/>
                      <w:kern w:val="2"/>
                      <w:sz w:val="21"/>
                      <w:szCs w:val="21"/>
                      <w:lang w:val="en-US" w:eastAsia="zh-CN" w:bidi="ar"/>
                    </w:rPr>
                    <w:t>卫生防护距离</w:t>
                  </w:r>
                  <w:r>
                    <w:rPr>
                      <w:rFonts w:hint="default" w:ascii="Times New Roman" w:hAnsi="Times New Roman" w:eastAsia="宋体" w:cs="Times New Roman"/>
                      <w:b/>
                      <w:bCs/>
                      <w:color w:val="auto"/>
                      <w:kern w:val="2"/>
                      <w:sz w:val="21"/>
                      <w:szCs w:val="21"/>
                      <w:lang w:val="en-US" w:eastAsia="zh-CN" w:bidi="ar"/>
                    </w:rPr>
                    <w:t>m</w:t>
                  </w:r>
                </w:p>
              </w:tc>
            </w:tr>
            <w:tr w14:paraId="65E1219F">
              <w:tblPrEx>
                <w:tblBorders>
                  <w:top w:val="single" w:color="auto" w:sz="12" w:space="0"/>
                  <w:left w:val="none" w:color="auto" w:sz="6" w:space="0"/>
                  <w:bottom w:val="single" w:color="auto" w:sz="12" w:space="0"/>
                  <w:right w:val="none" w:color="auto" w:sz="6"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3" w:hRule="atLeast"/>
                <w:jc w:val="center"/>
              </w:trPr>
              <w:tc>
                <w:tcPr>
                  <w:tcW w:w="1698" w:type="dxa"/>
                  <w:vMerge w:val="continue"/>
                  <w:tcBorders>
                    <w:top w:val="single" w:color="auto" w:sz="12" w:space="0"/>
                    <w:left w:val="nil"/>
                    <w:bottom w:val="single" w:color="auto" w:sz="4" w:space="0"/>
                    <w:right w:val="single" w:color="auto" w:sz="4" w:space="0"/>
                  </w:tcBorders>
                  <w:shd w:val="clear" w:color="auto" w:fill="auto"/>
                  <w:vAlign w:val="center"/>
                </w:tcPr>
                <w:p w14:paraId="0F63F44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textAlignment w:val="auto"/>
                    <w:rPr>
                      <w:rFonts w:hint="default" w:ascii="Times New Roman" w:hAnsi="Times New Roman" w:cs="Times New Roman"/>
                      <w:color w:val="auto"/>
                      <w:sz w:val="20"/>
                      <w:szCs w:val="20"/>
                    </w:rPr>
                  </w:pPr>
                </w:p>
              </w:tc>
              <w:tc>
                <w:tcPr>
                  <w:tcW w:w="1364" w:type="dxa"/>
                  <w:vMerge w:val="continue"/>
                  <w:tcBorders>
                    <w:top w:val="single" w:color="auto" w:sz="12" w:space="0"/>
                    <w:left w:val="single" w:color="auto" w:sz="4" w:space="0"/>
                    <w:bottom w:val="single" w:color="auto" w:sz="4" w:space="0"/>
                    <w:right w:val="single" w:color="auto" w:sz="4" w:space="0"/>
                  </w:tcBorders>
                  <w:shd w:val="clear" w:color="auto" w:fill="auto"/>
                  <w:vAlign w:val="center"/>
                </w:tcPr>
                <w:p w14:paraId="472125B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textAlignment w:val="auto"/>
                    <w:rPr>
                      <w:rFonts w:hint="default" w:ascii="Times New Roman" w:hAnsi="Times New Roman" w:cs="Times New Roman"/>
                      <w:color w:val="auto"/>
                      <w:sz w:val="20"/>
                      <w:szCs w:val="20"/>
                    </w:rPr>
                  </w:pPr>
                </w:p>
              </w:tc>
              <w:tc>
                <w:tcPr>
                  <w:tcW w:w="1058" w:type="dxa"/>
                  <w:vMerge w:val="continue"/>
                  <w:tcBorders>
                    <w:top w:val="single" w:color="auto" w:sz="12" w:space="0"/>
                    <w:left w:val="single" w:color="auto" w:sz="4" w:space="0"/>
                    <w:bottom w:val="single" w:color="auto" w:sz="4" w:space="0"/>
                    <w:right w:val="single" w:color="auto" w:sz="4" w:space="0"/>
                  </w:tcBorders>
                  <w:shd w:val="clear" w:color="auto" w:fill="auto"/>
                  <w:vAlign w:val="center"/>
                </w:tcPr>
                <w:p w14:paraId="5CAB8F8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textAlignment w:val="auto"/>
                    <w:rPr>
                      <w:rFonts w:hint="default" w:ascii="Times New Roman" w:hAnsi="Times New Roman" w:cs="Times New Roman"/>
                      <w:color w:val="auto"/>
                      <w:sz w:val="20"/>
                      <w:szCs w:val="20"/>
                    </w:rPr>
                  </w:pPr>
                </w:p>
              </w:tc>
              <w:tc>
                <w:tcPr>
                  <w:tcW w:w="1101" w:type="dxa"/>
                  <w:vMerge w:val="continue"/>
                  <w:tcBorders>
                    <w:top w:val="single" w:color="auto" w:sz="12" w:space="0"/>
                    <w:left w:val="single" w:color="auto" w:sz="4" w:space="0"/>
                    <w:bottom w:val="single" w:color="auto" w:sz="4" w:space="0"/>
                    <w:right w:val="single" w:color="auto" w:sz="4" w:space="0"/>
                  </w:tcBorders>
                  <w:shd w:val="clear" w:color="auto" w:fill="auto"/>
                  <w:vAlign w:val="center"/>
                </w:tcPr>
                <w:p w14:paraId="6B406C5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textAlignment w:val="auto"/>
                    <w:rPr>
                      <w:rFonts w:hint="default" w:ascii="Times New Roman" w:hAnsi="Times New Roman" w:cs="Times New Roman"/>
                      <w:color w:val="auto"/>
                      <w:sz w:val="20"/>
                      <w:szCs w:val="20"/>
                    </w:rPr>
                  </w:pPr>
                </w:p>
              </w:tc>
              <w:tc>
                <w:tcPr>
                  <w:tcW w:w="1046" w:type="dxa"/>
                  <w:vMerge w:val="continue"/>
                  <w:tcBorders>
                    <w:top w:val="single" w:color="auto" w:sz="12" w:space="0"/>
                    <w:left w:val="single" w:color="auto" w:sz="4" w:space="0"/>
                    <w:bottom w:val="single" w:color="auto" w:sz="4" w:space="0"/>
                    <w:right w:val="single" w:color="auto" w:sz="4" w:space="0"/>
                  </w:tcBorders>
                  <w:shd w:val="clear" w:color="auto" w:fill="auto"/>
                  <w:vAlign w:val="center"/>
                </w:tcPr>
                <w:p w14:paraId="494FD58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textAlignment w:val="auto"/>
                    <w:rPr>
                      <w:rFonts w:hint="default" w:ascii="Times New Roman" w:hAnsi="Times New Roman" w:cs="Times New Roman"/>
                      <w:color w:val="auto"/>
                      <w:sz w:val="20"/>
                      <w:szCs w:val="20"/>
                    </w:rPr>
                  </w:pPr>
                </w:p>
              </w:tc>
              <w:tc>
                <w:tcPr>
                  <w:tcW w:w="839" w:type="dxa"/>
                  <w:tcBorders>
                    <w:top w:val="single" w:color="auto" w:sz="4" w:space="0"/>
                    <w:left w:val="single" w:color="auto" w:sz="4" w:space="0"/>
                    <w:bottom w:val="single" w:color="auto" w:sz="4" w:space="0"/>
                    <w:right w:val="single" w:color="auto" w:sz="4" w:space="0"/>
                  </w:tcBorders>
                  <w:shd w:val="clear" w:color="auto" w:fill="auto"/>
                  <w:vAlign w:val="center"/>
                </w:tcPr>
                <w:p w14:paraId="1A5831ED">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21"/>
                      <w:szCs w:val="21"/>
                    </w:rPr>
                  </w:pPr>
                  <w:r>
                    <w:rPr>
                      <w:rFonts w:hint="eastAsia" w:ascii="宋体" w:hAnsi="宋体" w:eastAsia="宋体" w:cs="宋体"/>
                      <w:b/>
                      <w:bCs/>
                      <w:color w:val="auto"/>
                      <w:kern w:val="2"/>
                      <w:sz w:val="21"/>
                      <w:szCs w:val="21"/>
                      <w:lang w:val="en-US" w:eastAsia="zh-CN" w:bidi="ar"/>
                    </w:rPr>
                    <w:t>计算值</w:t>
                  </w:r>
                </w:p>
              </w:tc>
              <w:tc>
                <w:tcPr>
                  <w:tcW w:w="888" w:type="dxa"/>
                  <w:tcBorders>
                    <w:top w:val="single" w:color="auto" w:sz="4" w:space="0"/>
                    <w:left w:val="single" w:color="auto" w:sz="4" w:space="0"/>
                    <w:bottom w:val="single" w:color="auto" w:sz="4" w:space="0"/>
                    <w:right w:val="single" w:color="auto" w:sz="4" w:space="0"/>
                  </w:tcBorders>
                  <w:shd w:val="clear" w:color="auto" w:fill="auto"/>
                  <w:vAlign w:val="center"/>
                </w:tcPr>
                <w:p w14:paraId="23F99103">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21"/>
                      <w:szCs w:val="21"/>
                    </w:rPr>
                  </w:pPr>
                  <w:r>
                    <w:rPr>
                      <w:rFonts w:hint="eastAsia" w:ascii="宋体" w:hAnsi="宋体" w:eastAsia="宋体" w:cs="宋体"/>
                      <w:b/>
                      <w:bCs/>
                      <w:color w:val="auto"/>
                      <w:kern w:val="2"/>
                      <w:sz w:val="21"/>
                      <w:szCs w:val="21"/>
                      <w:lang w:val="en-US" w:eastAsia="zh-CN" w:bidi="ar"/>
                    </w:rPr>
                    <w:t>设定值</w:t>
                  </w:r>
                </w:p>
              </w:tc>
              <w:tc>
                <w:tcPr>
                  <w:tcW w:w="870" w:type="dxa"/>
                  <w:tcBorders>
                    <w:top w:val="single" w:color="auto" w:sz="4" w:space="0"/>
                    <w:left w:val="single" w:color="auto" w:sz="4" w:space="0"/>
                    <w:bottom w:val="single" w:color="auto" w:sz="4" w:space="0"/>
                    <w:right w:val="nil"/>
                  </w:tcBorders>
                  <w:shd w:val="clear" w:color="auto" w:fill="auto"/>
                  <w:vAlign w:val="center"/>
                </w:tcPr>
                <w:p w14:paraId="2C10CA6C">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21"/>
                      <w:szCs w:val="21"/>
                    </w:rPr>
                  </w:pPr>
                  <w:r>
                    <w:rPr>
                      <w:rFonts w:hint="eastAsia" w:ascii="宋体" w:hAnsi="宋体" w:eastAsia="宋体" w:cs="宋体"/>
                      <w:b/>
                      <w:bCs/>
                      <w:color w:val="auto"/>
                      <w:kern w:val="2"/>
                      <w:sz w:val="21"/>
                      <w:szCs w:val="21"/>
                      <w:lang w:val="en-US" w:eastAsia="zh-CN" w:bidi="ar"/>
                    </w:rPr>
                    <w:t>执行值</w:t>
                  </w:r>
                </w:p>
              </w:tc>
            </w:tr>
            <w:tr w14:paraId="7ABA464A">
              <w:tblPrEx>
                <w:tblBorders>
                  <w:top w:val="single" w:color="auto" w:sz="12" w:space="0"/>
                  <w:left w:val="none" w:color="auto" w:sz="6" w:space="0"/>
                  <w:bottom w:val="single" w:color="auto" w:sz="12" w:space="0"/>
                  <w:right w:val="none" w:color="auto" w:sz="6"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3" w:hRule="atLeast"/>
                <w:jc w:val="center"/>
              </w:trPr>
              <w:tc>
                <w:tcPr>
                  <w:tcW w:w="1698" w:type="dxa"/>
                  <w:tcBorders>
                    <w:top w:val="single" w:color="auto" w:sz="4" w:space="0"/>
                    <w:left w:val="nil"/>
                    <w:bottom w:val="single" w:color="auto" w:sz="4" w:space="0"/>
                    <w:right w:val="single" w:color="auto" w:sz="4" w:space="0"/>
                  </w:tcBorders>
                  <w:shd w:val="clear" w:color="auto" w:fill="auto"/>
                  <w:vAlign w:val="center"/>
                </w:tcPr>
                <w:p w14:paraId="78F269BD">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注塑鞋底制造线</w:t>
                  </w:r>
                </w:p>
              </w:tc>
              <w:tc>
                <w:tcPr>
                  <w:tcW w:w="1364" w:type="dxa"/>
                  <w:tcBorders>
                    <w:top w:val="single" w:color="auto" w:sz="4" w:space="0"/>
                    <w:left w:val="single" w:color="auto" w:sz="4" w:space="0"/>
                    <w:bottom w:val="single" w:color="auto" w:sz="4" w:space="0"/>
                    <w:right w:val="single" w:color="auto" w:sz="4" w:space="0"/>
                  </w:tcBorders>
                  <w:shd w:val="clear" w:color="auto" w:fill="auto"/>
                  <w:vAlign w:val="center"/>
                </w:tcPr>
                <w:p w14:paraId="241863D4">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kern w:val="2"/>
                      <w:sz w:val="21"/>
                      <w:szCs w:val="21"/>
                      <w:lang w:val="en-US" w:eastAsia="zh-CN"/>
                    </w:rPr>
                  </w:pPr>
                  <w:r>
                    <w:rPr>
                      <w:rFonts w:hint="eastAsia" w:ascii="Times New Roman" w:hAnsi="Times New Roman" w:cs="Times New Roman"/>
                      <w:color w:val="auto"/>
                      <w:kern w:val="2"/>
                      <w:sz w:val="21"/>
                      <w:szCs w:val="21"/>
                      <w:lang w:val="en-US" w:eastAsia="zh-CN"/>
                    </w:rPr>
                    <w:t>TSP</w:t>
                  </w:r>
                </w:p>
              </w:tc>
              <w:tc>
                <w:tcPr>
                  <w:tcW w:w="1058" w:type="dxa"/>
                  <w:tcBorders>
                    <w:top w:val="single" w:color="auto" w:sz="4" w:space="0"/>
                    <w:left w:val="single" w:color="auto" w:sz="4" w:space="0"/>
                    <w:bottom w:val="single" w:color="auto" w:sz="4" w:space="0"/>
                    <w:right w:val="single" w:color="auto" w:sz="4" w:space="0"/>
                  </w:tcBorders>
                  <w:shd w:val="clear" w:color="auto" w:fill="auto"/>
                  <w:vAlign w:val="center"/>
                </w:tcPr>
                <w:p w14:paraId="08CC90EB">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1"/>
                      <w:lang w:val="en-US" w:eastAsia="zh-CN"/>
                    </w:rPr>
                  </w:pPr>
                  <w:r>
                    <w:rPr>
                      <w:rFonts w:hint="eastAsia" w:ascii="Times New Roman" w:hAnsi="Times New Roman" w:cs="Times New Roman"/>
                      <w:color w:val="auto"/>
                      <w:kern w:val="2"/>
                      <w:sz w:val="21"/>
                      <w:szCs w:val="21"/>
                      <w:lang w:val="en-US" w:eastAsia="zh-CN"/>
                    </w:rPr>
                    <w:t>1000</w:t>
                  </w:r>
                </w:p>
              </w:tc>
              <w:tc>
                <w:tcPr>
                  <w:tcW w:w="1101" w:type="dxa"/>
                  <w:tcBorders>
                    <w:top w:val="single" w:color="auto" w:sz="4" w:space="0"/>
                    <w:left w:val="single" w:color="auto" w:sz="4" w:space="0"/>
                    <w:bottom w:val="single" w:color="auto" w:sz="4" w:space="0"/>
                    <w:right w:val="single" w:color="auto" w:sz="4" w:space="0"/>
                  </w:tcBorders>
                  <w:shd w:val="clear" w:color="auto" w:fill="auto"/>
                  <w:vAlign w:val="center"/>
                </w:tcPr>
                <w:p w14:paraId="08B37796">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rPr>
                  </w:pPr>
                  <w:r>
                    <w:rPr>
                      <w:rFonts w:hint="eastAsia" w:ascii="Times New Roman" w:hAnsi="Times New Roman" w:cs="Times New Roman"/>
                      <w:color w:val="auto"/>
                      <w:kern w:val="2"/>
                      <w:sz w:val="21"/>
                      <w:szCs w:val="21"/>
                      <w:lang w:val="en-US" w:eastAsia="zh-CN" w:bidi="ar"/>
                    </w:rPr>
                    <w:t>0.217</w:t>
                  </w:r>
                </w:p>
              </w:tc>
              <w:tc>
                <w:tcPr>
                  <w:tcW w:w="1046" w:type="dxa"/>
                  <w:tcBorders>
                    <w:top w:val="single" w:color="auto" w:sz="4" w:space="0"/>
                    <w:left w:val="single" w:color="auto" w:sz="4" w:space="0"/>
                    <w:bottom w:val="single" w:color="auto" w:sz="4" w:space="0"/>
                    <w:right w:val="single" w:color="auto" w:sz="4" w:space="0"/>
                  </w:tcBorders>
                  <w:shd w:val="clear" w:color="auto" w:fill="auto"/>
                  <w:vAlign w:val="center"/>
                </w:tcPr>
                <w:p w14:paraId="505A9CBB">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rPr>
                  </w:pPr>
                  <w:r>
                    <w:rPr>
                      <w:rFonts w:hint="eastAsia" w:ascii="Times New Roman" w:hAnsi="Times New Roman" w:cs="Times New Roman"/>
                      <w:color w:val="auto"/>
                      <w:kern w:val="2"/>
                      <w:sz w:val="21"/>
                      <w:szCs w:val="21"/>
                      <w:lang w:val="en-US" w:eastAsia="zh-CN"/>
                    </w:rPr>
                    <w:t>0.9</w:t>
                  </w:r>
                </w:p>
              </w:tc>
              <w:tc>
                <w:tcPr>
                  <w:tcW w:w="839" w:type="dxa"/>
                  <w:tcBorders>
                    <w:top w:val="single" w:color="auto" w:sz="4" w:space="0"/>
                    <w:left w:val="single" w:color="auto" w:sz="4" w:space="0"/>
                    <w:bottom w:val="single" w:color="auto" w:sz="4" w:space="0"/>
                    <w:right w:val="single" w:color="auto" w:sz="4" w:space="0"/>
                  </w:tcBorders>
                  <w:shd w:val="clear" w:color="auto" w:fill="auto"/>
                  <w:vAlign w:val="center"/>
                </w:tcPr>
                <w:p w14:paraId="2481022E">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1"/>
                      <w:lang w:val="en-US" w:eastAsia="zh-CN"/>
                    </w:rPr>
                  </w:pPr>
                  <w:r>
                    <w:rPr>
                      <w:rFonts w:hint="eastAsia" w:ascii="Times New Roman" w:hAnsi="Times New Roman" w:cs="Times New Roman"/>
                      <w:color w:val="auto"/>
                      <w:kern w:val="2"/>
                      <w:sz w:val="21"/>
                      <w:szCs w:val="21"/>
                      <w:lang w:val="en-US" w:eastAsia="zh-CN"/>
                    </w:rPr>
                    <w:t>20.708</w:t>
                  </w:r>
                </w:p>
              </w:tc>
              <w:tc>
                <w:tcPr>
                  <w:tcW w:w="888" w:type="dxa"/>
                  <w:tcBorders>
                    <w:top w:val="single" w:color="auto" w:sz="4" w:space="0"/>
                    <w:left w:val="single" w:color="auto" w:sz="4" w:space="0"/>
                    <w:bottom w:val="single" w:color="auto" w:sz="4" w:space="0"/>
                    <w:right w:val="single" w:color="auto" w:sz="4" w:space="0"/>
                  </w:tcBorders>
                  <w:shd w:val="clear" w:color="auto" w:fill="auto"/>
                  <w:vAlign w:val="center"/>
                </w:tcPr>
                <w:p w14:paraId="46FABBE6">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1"/>
                      <w:lang w:val="en-US" w:eastAsia="zh-CN"/>
                    </w:rPr>
                  </w:pPr>
                  <w:r>
                    <w:rPr>
                      <w:rFonts w:hint="eastAsia" w:ascii="Times New Roman" w:hAnsi="Times New Roman" w:cs="Times New Roman"/>
                      <w:color w:val="auto"/>
                      <w:kern w:val="2"/>
                      <w:sz w:val="21"/>
                      <w:szCs w:val="21"/>
                      <w:lang w:val="en-US" w:eastAsia="zh-CN"/>
                    </w:rPr>
                    <w:t>50</w:t>
                  </w:r>
                </w:p>
              </w:tc>
              <w:tc>
                <w:tcPr>
                  <w:tcW w:w="870" w:type="dxa"/>
                  <w:tcBorders>
                    <w:top w:val="single" w:color="auto" w:sz="4" w:space="0"/>
                    <w:left w:val="single" w:color="auto" w:sz="4" w:space="0"/>
                    <w:bottom w:val="single" w:color="auto" w:sz="4" w:space="0"/>
                    <w:right w:val="nil"/>
                  </w:tcBorders>
                  <w:shd w:val="clear" w:color="auto" w:fill="auto"/>
                  <w:vAlign w:val="center"/>
                </w:tcPr>
                <w:p w14:paraId="31F6A157">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1"/>
                      <w:lang w:val="en-US" w:eastAsia="zh-CN"/>
                    </w:rPr>
                  </w:pPr>
                  <w:r>
                    <w:rPr>
                      <w:rFonts w:hint="eastAsia" w:ascii="Times New Roman" w:hAnsi="Times New Roman" w:cs="Times New Roman"/>
                      <w:color w:val="auto"/>
                      <w:kern w:val="2"/>
                      <w:sz w:val="21"/>
                      <w:szCs w:val="21"/>
                      <w:lang w:val="en-US" w:eastAsia="zh-CN"/>
                    </w:rPr>
                    <w:t>50</w:t>
                  </w:r>
                </w:p>
              </w:tc>
            </w:tr>
            <w:tr w14:paraId="2BFCB635">
              <w:tblPrEx>
                <w:tblBorders>
                  <w:top w:val="single" w:color="auto" w:sz="12" w:space="0"/>
                  <w:left w:val="none" w:color="auto" w:sz="6" w:space="0"/>
                  <w:bottom w:val="single" w:color="auto" w:sz="12" w:space="0"/>
                  <w:right w:val="none" w:color="auto" w:sz="6"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3" w:hRule="atLeast"/>
                <w:jc w:val="center"/>
              </w:trPr>
              <w:tc>
                <w:tcPr>
                  <w:tcW w:w="1698" w:type="dxa"/>
                  <w:tcBorders>
                    <w:top w:val="single" w:color="auto" w:sz="4" w:space="0"/>
                    <w:left w:val="nil"/>
                    <w:bottom w:val="single" w:color="auto" w:sz="4" w:space="0"/>
                    <w:right w:val="single" w:color="auto" w:sz="4" w:space="0"/>
                  </w:tcBorders>
                  <w:shd w:val="clear" w:color="auto" w:fill="auto"/>
                  <w:vAlign w:val="center"/>
                </w:tcPr>
                <w:p w14:paraId="10BFA3D5">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rPr>
                  </w:pPr>
                  <w:r>
                    <w:rPr>
                      <w:rFonts w:hint="eastAsia" w:ascii="Times New Roman" w:hAnsi="Times New Roman" w:cs="Times New Roman"/>
                      <w:color w:val="auto"/>
                      <w:kern w:val="2"/>
                      <w:sz w:val="21"/>
                      <w:szCs w:val="21"/>
                      <w:lang w:val="en-US" w:eastAsia="zh-CN" w:bidi="ar"/>
                    </w:rPr>
                    <w:t>鞋垫</w:t>
                  </w:r>
                  <w:r>
                    <w:rPr>
                      <w:rFonts w:hint="default" w:ascii="Times New Roman" w:hAnsi="Times New Roman" w:eastAsia="宋体" w:cs="Times New Roman"/>
                      <w:color w:val="auto"/>
                      <w:kern w:val="2"/>
                      <w:sz w:val="21"/>
                      <w:szCs w:val="21"/>
                      <w:lang w:val="en-US" w:eastAsia="zh-CN" w:bidi="ar"/>
                    </w:rPr>
                    <w:t>制造线</w:t>
                  </w:r>
                </w:p>
              </w:tc>
              <w:tc>
                <w:tcPr>
                  <w:tcW w:w="1364" w:type="dxa"/>
                  <w:tcBorders>
                    <w:top w:val="single" w:color="auto" w:sz="4" w:space="0"/>
                    <w:left w:val="single" w:color="auto" w:sz="4" w:space="0"/>
                    <w:bottom w:val="single" w:color="auto" w:sz="4" w:space="0"/>
                    <w:right w:val="single" w:color="auto" w:sz="4" w:space="0"/>
                  </w:tcBorders>
                  <w:shd w:val="clear" w:color="auto" w:fill="auto"/>
                  <w:vAlign w:val="center"/>
                </w:tcPr>
                <w:p w14:paraId="5C83DA23">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非甲烷总烃</w:t>
                  </w:r>
                </w:p>
              </w:tc>
              <w:tc>
                <w:tcPr>
                  <w:tcW w:w="1058" w:type="dxa"/>
                  <w:tcBorders>
                    <w:top w:val="single" w:color="auto" w:sz="4" w:space="0"/>
                    <w:left w:val="single" w:color="auto" w:sz="4" w:space="0"/>
                    <w:bottom w:val="single" w:color="auto" w:sz="4" w:space="0"/>
                    <w:right w:val="single" w:color="auto" w:sz="4" w:space="0"/>
                  </w:tcBorders>
                  <w:shd w:val="clear" w:color="auto" w:fill="auto"/>
                  <w:vAlign w:val="center"/>
                </w:tcPr>
                <w:p w14:paraId="6612E5F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0"/>
                      <w:szCs w:val="20"/>
                      <w:lang w:val="en-US" w:eastAsia="zh-CN"/>
                    </w:rPr>
                  </w:pPr>
                  <w:r>
                    <w:rPr>
                      <w:rFonts w:hint="eastAsia" w:cs="Times New Roman"/>
                      <w:color w:val="auto"/>
                      <w:sz w:val="20"/>
                      <w:szCs w:val="20"/>
                      <w:lang w:val="en-US" w:eastAsia="zh-CN"/>
                    </w:rPr>
                    <w:t>500</w:t>
                  </w:r>
                </w:p>
              </w:tc>
              <w:tc>
                <w:tcPr>
                  <w:tcW w:w="1101" w:type="dxa"/>
                  <w:tcBorders>
                    <w:top w:val="single" w:color="auto" w:sz="4" w:space="0"/>
                    <w:left w:val="single" w:color="auto" w:sz="4" w:space="0"/>
                    <w:bottom w:val="single" w:color="auto" w:sz="4" w:space="0"/>
                    <w:right w:val="single" w:color="auto" w:sz="4" w:space="0"/>
                  </w:tcBorders>
                  <w:shd w:val="clear" w:color="auto" w:fill="auto"/>
                  <w:vAlign w:val="center"/>
                </w:tcPr>
                <w:p w14:paraId="425129B7">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rPr>
                  </w:pPr>
                  <w:r>
                    <w:rPr>
                      <w:rFonts w:hint="eastAsia" w:ascii="Times New Roman" w:hAnsi="Times New Roman" w:cs="Times New Roman"/>
                      <w:color w:val="auto"/>
                      <w:kern w:val="2"/>
                      <w:sz w:val="21"/>
                      <w:szCs w:val="21"/>
                      <w:lang w:val="en-US" w:eastAsia="zh-CN" w:bidi="ar"/>
                    </w:rPr>
                    <w:t>0.046</w:t>
                  </w:r>
                </w:p>
              </w:tc>
              <w:tc>
                <w:tcPr>
                  <w:tcW w:w="1046" w:type="dxa"/>
                  <w:tcBorders>
                    <w:top w:val="single" w:color="auto" w:sz="4" w:space="0"/>
                    <w:left w:val="single" w:color="auto" w:sz="4" w:space="0"/>
                    <w:bottom w:val="single" w:color="auto" w:sz="4" w:space="0"/>
                    <w:right w:val="single" w:color="auto" w:sz="4" w:space="0"/>
                  </w:tcBorders>
                  <w:shd w:val="clear" w:color="auto" w:fill="auto"/>
                  <w:vAlign w:val="center"/>
                </w:tcPr>
                <w:p w14:paraId="11A924FD">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rPr>
                  </w:pPr>
                  <w:r>
                    <w:rPr>
                      <w:rFonts w:hint="eastAsia" w:ascii="Times New Roman" w:hAnsi="Times New Roman" w:cs="Times New Roman"/>
                      <w:color w:val="auto"/>
                      <w:kern w:val="2"/>
                      <w:sz w:val="21"/>
                      <w:szCs w:val="21"/>
                      <w:lang w:val="en-US" w:eastAsia="zh-CN"/>
                    </w:rPr>
                    <w:t>2.0</w:t>
                  </w:r>
                </w:p>
              </w:tc>
              <w:tc>
                <w:tcPr>
                  <w:tcW w:w="839" w:type="dxa"/>
                  <w:tcBorders>
                    <w:top w:val="single" w:color="auto" w:sz="4" w:space="0"/>
                    <w:left w:val="single" w:color="auto" w:sz="4" w:space="0"/>
                    <w:bottom w:val="single" w:color="auto" w:sz="4" w:space="0"/>
                    <w:right w:val="single" w:color="auto" w:sz="4" w:space="0"/>
                  </w:tcBorders>
                  <w:shd w:val="clear" w:color="auto" w:fill="auto"/>
                  <w:vAlign w:val="center"/>
                </w:tcPr>
                <w:p w14:paraId="52DCBC22">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1"/>
                      <w:lang w:val="en-US" w:eastAsia="zh-CN"/>
                    </w:rPr>
                  </w:pPr>
                  <w:r>
                    <w:rPr>
                      <w:rFonts w:hint="eastAsia" w:ascii="Times New Roman" w:hAnsi="Times New Roman" w:cs="Times New Roman"/>
                      <w:color w:val="auto"/>
                      <w:kern w:val="2"/>
                      <w:sz w:val="21"/>
                      <w:szCs w:val="21"/>
                      <w:lang w:val="en-US" w:eastAsia="zh-CN"/>
                    </w:rPr>
                    <w:t>1.622</w:t>
                  </w:r>
                </w:p>
              </w:tc>
              <w:tc>
                <w:tcPr>
                  <w:tcW w:w="888" w:type="dxa"/>
                  <w:tcBorders>
                    <w:top w:val="single" w:color="auto" w:sz="4" w:space="0"/>
                    <w:left w:val="single" w:color="auto" w:sz="4" w:space="0"/>
                    <w:bottom w:val="single" w:color="auto" w:sz="4" w:space="0"/>
                    <w:right w:val="single" w:color="auto" w:sz="4" w:space="0"/>
                  </w:tcBorders>
                  <w:shd w:val="clear" w:color="auto" w:fill="auto"/>
                  <w:vAlign w:val="center"/>
                </w:tcPr>
                <w:p w14:paraId="4B89E58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1"/>
                      <w:lang w:val="en-US" w:eastAsia="zh-CN"/>
                    </w:rPr>
                  </w:pPr>
                  <w:r>
                    <w:rPr>
                      <w:rFonts w:hint="eastAsia" w:cs="Times New Roman"/>
                      <w:color w:val="auto"/>
                      <w:kern w:val="2"/>
                      <w:sz w:val="21"/>
                      <w:szCs w:val="21"/>
                      <w:lang w:val="en-US" w:eastAsia="zh-CN"/>
                    </w:rPr>
                    <w:t>50</w:t>
                  </w:r>
                </w:p>
              </w:tc>
              <w:tc>
                <w:tcPr>
                  <w:tcW w:w="870" w:type="dxa"/>
                  <w:tcBorders>
                    <w:top w:val="single" w:color="auto" w:sz="4" w:space="0"/>
                    <w:left w:val="single" w:color="auto" w:sz="4" w:space="0"/>
                    <w:bottom w:val="single" w:color="auto" w:sz="4" w:space="0"/>
                    <w:right w:val="nil"/>
                  </w:tcBorders>
                  <w:shd w:val="clear" w:color="auto" w:fill="auto"/>
                  <w:vAlign w:val="center"/>
                </w:tcPr>
                <w:p w14:paraId="39682EF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rPr>
                  </w:pPr>
                  <w:r>
                    <w:rPr>
                      <w:rFonts w:hint="eastAsia" w:cs="Times New Roman"/>
                      <w:color w:val="auto"/>
                      <w:kern w:val="2"/>
                      <w:sz w:val="21"/>
                      <w:szCs w:val="21"/>
                      <w:lang w:val="en-US" w:eastAsia="zh-CN"/>
                    </w:rPr>
                    <w:t>50</w:t>
                  </w:r>
                </w:p>
              </w:tc>
            </w:tr>
            <w:tr w14:paraId="5DABA255">
              <w:tblPrEx>
                <w:tblBorders>
                  <w:top w:val="single" w:color="auto" w:sz="12" w:space="0"/>
                  <w:left w:val="none" w:color="auto" w:sz="6" w:space="0"/>
                  <w:bottom w:val="single" w:color="auto" w:sz="12" w:space="0"/>
                  <w:right w:val="none" w:color="auto" w:sz="6"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3" w:hRule="atLeast"/>
                <w:jc w:val="center"/>
              </w:trPr>
              <w:tc>
                <w:tcPr>
                  <w:tcW w:w="1698" w:type="dxa"/>
                  <w:tcBorders>
                    <w:top w:val="single" w:color="auto" w:sz="4" w:space="0"/>
                    <w:left w:val="nil"/>
                    <w:bottom w:val="single" w:color="auto" w:sz="4" w:space="0"/>
                    <w:right w:val="single" w:color="auto" w:sz="4" w:space="0"/>
                  </w:tcBorders>
                  <w:shd w:val="clear" w:color="auto" w:fill="auto"/>
                  <w:vAlign w:val="center"/>
                </w:tcPr>
                <w:p w14:paraId="28DFE03E">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cs="Times New Roman"/>
                      <w:color w:val="auto"/>
                      <w:kern w:val="2"/>
                      <w:sz w:val="21"/>
                      <w:szCs w:val="21"/>
                      <w:lang w:val="en-US" w:eastAsia="zh-CN"/>
                    </w:rPr>
                    <w:t>注塑鞋生产线</w:t>
                  </w:r>
                </w:p>
              </w:tc>
              <w:tc>
                <w:tcPr>
                  <w:tcW w:w="1364" w:type="dxa"/>
                  <w:tcBorders>
                    <w:top w:val="single" w:color="auto" w:sz="4" w:space="0"/>
                    <w:left w:val="single" w:color="auto" w:sz="4" w:space="0"/>
                    <w:bottom w:val="single" w:color="auto" w:sz="4" w:space="0"/>
                    <w:right w:val="single" w:color="auto" w:sz="4" w:space="0"/>
                  </w:tcBorders>
                  <w:shd w:val="clear" w:color="auto" w:fill="auto"/>
                  <w:vAlign w:val="center"/>
                </w:tcPr>
                <w:p w14:paraId="510ECD9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1"/>
                    </w:rPr>
                  </w:pPr>
                  <w:r>
                    <w:rPr>
                      <w:rFonts w:hint="eastAsia" w:ascii="Times New Roman" w:hAnsi="Times New Roman" w:cs="Times New Roman"/>
                      <w:color w:val="auto"/>
                      <w:kern w:val="2"/>
                      <w:sz w:val="21"/>
                      <w:szCs w:val="21"/>
                      <w:lang w:val="en-US" w:eastAsia="zh-CN"/>
                    </w:rPr>
                    <w:t>TSP</w:t>
                  </w:r>
                </w:p>
              </w:tc>
              <w:tc>
                <w:tcPr>
                  <w:tcW w:w="1058" w:type="dxa"/>
                  <w:tcBorders>
                    <w:top w:val="single" w:color="auto" w:sz="4" w:space="0"/>
                    <w:left w:val="single" w:color="auto" w:sz="4" w:space="0"/>
                    <w:bottom w:val="single" w:color="auto" w:sz="4" w:space="0"/>
                    <w:right w:val="single" w:color="auto" w:sz="4" w:space="0"/>
                  </w:tcBorders>
                  <w:shd w:val="clear" w:color="auto" w:fill="auto"/>
                  <w:vAlign w:val="center"/>
                </w:tcPr>
                <w:p w14:paraId="21EA2A8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0"/>
                      <w:szCs w:val="20"/>
                      <w:lang w:val="en-US" w:eastAsia="zh-CN"/>
                    </w:rPr>
                  </w:pPr>
                  <w:r>
                    <w:rPr>
                      <w:rFonts w:hint="eastAsia" w:cs="Times New Roman"/>
                      <w:color w:val="auto"/>
                      <w:sz w:val="20"/>
                      <w:szCs w:val="20"/>
                      <w:lang w:val="en-US" w:eastAsia="zh-CN"/>
                    </w:rPr>
                    <w:t>1750</w:t>
                  </w:r>
                </w:p>
              </w:tc>
              <w:tc>
                <w:tcPr>
                  <w:tcW w:w="1101" w:type="dxa"/>
                  <w:tcBorders>
                    <w:top w:val="single" w:color="auto" w:sz="4" w:space="0"/>
                    <w:left w:val="single" w:color="auto" w:sz="4" w:space="0"/>
                    <w:bottom w:val="single" w:color="auto" w:sz="4" w:space="0"/>
                    <w:right w:val="single" w:color="auto" w:sz="4" w:space="0"/>
                  </w:tcBorders>
                  <w:shd w:val="clear" w:color="auto" w:fill="auto"/>
                  <w:vAlign w:val="center"/>
                </w:tcPr>
                <w:p w14:paraId="4E2FBC7E">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1"/>
                    </w:rPr>
                  </w:pPr>
                  <w:r>
                    <w:rPr>
                      <w:rFonts w:hint="eastAsia" w:ascii="Times New Roman" w:hAnsi="Times New Roman" w:cs="Times New Roman"/>
                      <w:color w:val="auto"/>
                      <w:kern w:val="2"/>
                      <w:sz w:val="21"/>
                      <w:szCs w:val="21"/>
                      <w:lang w:val="en-US" w:eastAsia="zh-CN"/>
                    </w:rPr>
                    <w:t>0.162</w:t>
                  </w:r>
                </w:p>
              </w:tc>
              <w:tc>
                <w:tcPr>
                  <w:tcW w:w="1046" w:type="dxa"/>
                  <w:tcBorders>
                    <w:top w:val="single" w:color="auto" w:sz="4" w:space="0"/>
                    <w:left w:val="single" w:color="auto" w:sz="4" w:space="0"/>
                    <w:bottom w:val="single" w:color="auto" w:sz="4" w:space="0"/>
                    <w:right w:val="single" w:color="auto" w:sz="4" w:space="0"/>
                  </w:tcBorders>
                  <w:shd w:val="clear" w:color="auto" w:fill="auto"/>
                  <w:vAlign w:val="center"/>
                </w:tcPr>
                <w:p w14:paraId="62FDA16C">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rPr>
                  </w:pPr>
                  <w:r>
                    <w:rPr>
                      <w:rFonts w:hint="eastAsia" w:ascii="Times New Roman" w:hAnsi="Times New Roman" w:cs="Times New Roman"/>
                      <w:color w:val="auto"/>
                      <w:kern w:val="2"/>
                      <w:sz w:val="21"/>
                      <w:szCs w:val="21"/>
                      <w:lang w:val="en-US" w:eastAsia="zh-CN"/>
                    </w:rPr>
                    <w:t>0.9</w:t>
                  </w:r>
                </w:p>
              </w:tc>
              <w:tc>
                <w:tcPr>
                  <w:tcW w:w="839" w:type="dxa"/>
                  <w:tcBorders>
                    <w:top w:val="single" w:color="auto" w:sz="4" w:space="0"/>
                    <w:left w:val="single" w:color="auto" w:sz="4" w:space="0"/>
                    <w:bottom w:val="single" w:color="auto" w:sz="4" w:space="0"/>
                    <w:right w:val="single" w:color="auto" w:sz="4" w:space="0"/>
                  </w:tcBorders>
                  <w:shd w:val="clear" w:color="auto" w:fill="auto"/>
                  <w:vAlign w:val="center"/>
                </w:tcPr>
                <w:p w14:paraId="10A02D9B">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1"/>
                      <w:lang w:val="en-US" w:eastAsia="zh-CN"/>
                    </w:rPr>
                  </w:pPr>
                  <w:r>
                    <w:rPr>
                      <w:rFonts w:hint="eastAsia" w:ascii="Times New Roman" w:hAnsi="Times New Roman" w:cs="Times New Roman"/>
                      <w:color w:val="auto"/>
                      <w:kern w:val="2"/>
                      <w:sz w:val="21"/>
                      <w:szCs w:val="21"/>
                      <w:lang w:val="en-US" w:eastAsia="zh-CN"/>
                    </w:rPr>
                    <w:t>10.127</w:t>
                  </w:r>
                </w:p>
              </w:tc>
              <w:tc>
                <w:tcPr>
                  <w:tcW w:w="888" w:type="dxa"/>
                  <w:tcBorders>
                    <w:top w:val="single" w:color="auto" w:sz="4" w:space="0"/>
                    <w:left w:val="single" w:color="auto" w:sz="4" w:space="0"/>
                    <w:bottom w:val="single" w:color="auto" w:sz="4" w:space="0"/>
                    <w:right w:val="single" w:color="auto" w:sz="4" w:space="0"/>
                  </w:tcBorders>
                  <w:shd w:val="clear" w:color="auto" w:fill="auto"/>
                  <w:vAlign w:val="center"/>
                </w:tcPr>
                <w:p w14:paraId="62B6D97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1"/>
                      <w:lang w:val="en-US" w:eastAsia="zh-CN"/>
                    </w:rPr>
                  </w:pPr>
                  <w:r>
                    <w:rPr>
                      <w:rFonts w:hint="eastAsia" w:cs="Times New Roman"/>
                      <w:color w:val="auto"/>
                      <w:kern w:val="2"/>
                      <w:sz w:val="21"/>
                      <w:szCs w:val="21"/>
                      <w:lang w:val="en-US" w:eastAsia="zh-CN"/>
                    </w:rPr>
                    <w:t>50</w:t>
                  </w:r>
                </w:p>
              </w:tc>
              <w:tc>
                <w:tcPr>
                  <w:tcW w:w="870" w:type="dxa"/>
                  <w:tcBorders>
                    <w:top w:val="single" w:color="auto" w:sz="4" w:space="0"/>
                    <w:left w:val="single" w:color="auto" w:sz="4" w:space="0"/>
                    <w:bottom w:val="single" w:color="auto" w:sz="4" w:space="0"/>
                    <w:right w:val="nil"/>
                  </w:tcBorders>
                  <w:shd w:val="clear" w:color="auto" w:fill="auto"/>
                  <w:vAlign w:val="center"/>
                </w:tcPr>
                <w:p w14:paraId="2124B08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rPr>
                  </w:pPr>
                  <w:r>
                    <w:rPr>
                      <w:rFonts w:hint="eastAsia" w:cs="Times New Roman"/>
                      <w:color w:val="auto"/>
                      <w:kern w:val="2"/>
                      <w:sz w:val="21"/>
                      <w:szCs w:val="21"/>
                      <w:lang w:val="en-US" w:eastAsia="zh-CN"/>
                    </w:rPr>
                    <w:t>50</w:t>
                  </w:r>
                </w:p>
              </w:tc>
            </w:tr>
            <w:tr w14:paraId="372DEACD">
              <w:tblPrEx>
                <w:tblBorders>
                  <w:top w:val="single" w:color="auto" w:sz="12" w:space="0"/>
                  <w:left w:val="none" w:color="auto" w:sz="6" w:space="0"/>
                  <w:bottom w:val="single" w:color="auto" w:sz="12" w:space="0"/>
                  <w:right w:val="none" w:color="auto" w:sz="6"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3" w:hRule="atLeast"/>
                <w:jc w:val="center"/>
              </w:trPr>
              <w:tc>
                <w:tcPr>
                  <w:tcW w:w="1698" w:type="dxa"/>
                  <w:tcBorders>
                    <w:top w:val="single" w:color="auto" w:sz="4" w:space="0"/>
                    <w:left w:val="nil"/>
                    <w:bottom w:val="single" w:color="auto" w:sz="4" w:space="0"/>
                    <w:right w:val="single" w:color="auto" w:sz="4" w:space="0"/>
                  </w:tcBorders>
                  <w:shd w:val="clear" w:color="auto" w:fill="auto"/>
                  <w:vAlign w:val="center"/>
                </w:tcPr>
                <w:p w14:paraId="1FAAA18B">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rPr>
                  </w:pPr>
                  <w:r>
                    <w:rPr>
                      <w:rFonts w:hint="eastAsia" w:ascii="Times New Roman" w:hAnsi="Times New Roman" w:cs="Times New Roman"/>
                      <w:color w:val="auto"/>
                      <w:kern w:val="2"/>
                      <w:sz w:val="21"/>
                      <w:szCs w:val="21"/>
                      <w:lang w:val="en-US" w:eastAsia="zh-CN"/>
                    </w:rPr>
                    <w:t>高跟鞋生产线</w:t>
                  </w:r>
                </w:p>
              </w:tc>
              <w:tc>
                <w:tcPr>
                  <w:tcW w:w="1364" w:type="dxa"/>
                  <w:tcBorders>
                    <w:top w:val="single" w:color="auto" w:sz="4" w:space="0"/>
                    <w:left w:val="single" w:color="auto" w:sz="4" w:space="0"/>
                    <w:bottom w:val="single" w:color="auto" w:sz="4" w:space="0"/>
                    <w:right w:val="single" w:color="auto" w:sz="4" w:space="0"/>
                  </w:tcBorders>
                  <w:shd w:val="clear" w:color="auto" w:fill="auto"/>
                  <w:vAlign w:val="center"/>
                </w:tcPr>
                <w:p w14:paraId="49389F0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1"/>
                    </w:rPr>
                  </w:pPr>
                  <w:r>
                    <w:rPr>
                      <w:rFonts w:hint="eastAsia" w:ascii="Times New Roman" w:hAnsi="Times New Roman" w:cs="Times New Roman"/>
                      <w:color w:val="auto"/>
                      <w:kern w:val="2"/>
                      <w:sz w:val="21"/>
                      <w:szCs w:val="21"/>
                      <w:lang w:val="en-US" w:eastAsia="zh-CN"/>
                    </w:rPr>
                    <w:t>TSP</w:t>
                  </w:r>
                </w:p>
              </w:tc>
              <w:tc>
                <w:tcPr>
                  <w:tcW w:w="1058" w:type="dxa"/>
                  <w:tcBorders>
                    <w:top w:val="single" w:color="auto" w:sz="4" w:space="0"/>
                    <w:left w:val="single" w:color="auto" w:sz="4" w:space="0"/>
                    <w:bottom w:val="single" w:color="auto" w:sz="4" w:space="0"/>
                    <w:right w:val="single" w:color="auto" w:sz="4" w:space="0"/>
                  </w:tcBorders>
                  <w:shd w:val="clear" w:color="auto" w:fill="auto"/>
                  <w:vAlign w:val="center"/>
                </w:tcPr>
                <w:p w14:paraId="0D480AC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0"/>
                      <w:szCs w:val="20"/>
                    </w:rPr>
                  </w:pPr>
                  <w:r>
                    <w:rPr>
                      <w:rFonts w:hint="eastAsia" w:cs="Times New Roman"/>
                      <w:color w:val="auto"/>
                      <w:sz w:val="20"/>
                      <w:szCs w:val="20"/>
                      <w:lang w:val="en-US" w:eastAsia="zh-CN"/>
                    </w:rPr>
                    <w:t>1750</w:t>
                  </w:r>
                </w:p>
              </w:tc>
              <w:tc>
                <w:tcPr>
                  <w:tcW w:w="1101" w:type="dxa"/>
                  <w:tcBorders>
                    <w:top w:val="single" w:color="auto" w:sz="4" w:space="0"/>
                    <w:left w:val="single" w:color="auto" w:sz="4" w:space="0"/>
                    <w:bottom w:val="single" w:color="auto" w:sz="4" w:space="0"/>
                    <w:right w:val="single" w:color="auto" w:sz="4" w:space="0"/>
                  </w:tcBorders>
                  <w:shd w:val="clear" w:color="auto" w:fill="auto"/>
                  <w:vAlign w:val="center"/>
                </w:tcPr>
                <w:p w14:paraId="5564206B">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1"/>
                    </w:rPr>
                  </w:pPr>
                  <w:r>
                    <w:rPr>
                      <w:rFonts w:hint="eastAsia" w:ascii="Times New Roman" w:hAnsi="Times New Roman" w:cs="Times New Roman"/>
                      <w:color w:val="auto"/>
                      <w:kern w:val="2"/>
                      <w:sz w:val="21"/>
                      <w:szCs w:val="21"/>
                      <w:lang w:val="en-US" w:eastAsia="zh-CN"/>
                    </w:rPr>
                    <w:t>0.162</w:t>
                  </w:r>
                </w:p>
              </w:tc>
              <w:tc>
                <w:tcPr>
                  <w:tcW w:w="1046" w:type="dxa"/>
                  <w:tcBorders>
                    <w:top w:val="single" w:color="auto" w:sz="4" w:space="0"/>
                    <w:left w:val="single" w:color="auto" w:sz="4" w:space="0"/>
                    <w:bottom w:val="single" w:color="auto" w:sz="4" w:space="0"/>
                    <w:right w:val="single" w:color="auto" w:sz="4" w:space="0"/>
                  </w:tcBorders>
                  <w:shd w:val="clear" w:color="auto" w:fill="auto"/>
                  <w:vAlign w:val="center"/>
                </w:tcPr>
                <w:p w14:paraId="2015D29F">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rPr>
                  </w:pPr>
                  <w:r>
                    <w:rPr>
                      <w:rFonts w:hint="eastAsia" w:ascii="Times New Roman" w:hAnsi="Times New Roman" w:cs="Times New Roman"/>
                      <w:color w:val="auto"/>
                      <w:kern w:val="2"/>
                      <w:sz w:val="21"/>
                      <w:szCs w:val="21"/>
                      <w:lang w:val="en-US" w:eastAsia="zh-CN"/>
                    </w:rPr>
                    <w:t>0.9</w:t>
                  </w:r>
                </w:p>
              </w:tc>
              <w:tc>
                <w:tcPr>
                  <w:tcW w:w="839" w:type="dxa"/>
                  <w:tcBorders>
                    <w:top w:val="single" w:color="auto" w:sz="4" w:space="0"/>
                    <w:left w:val="single" w:color="auto" w:sz="4" w:space="0"/>
                    <w:bottom w:val="single" w:color="auto" w:sz="4" w:space="0"/>
                    <w:right w:val="single" w:color="auto" w:sz="4" w:space="0"/>
                  </w:tcBorders>
                  <w:shd w:val="clear" w:color="auto" w:fill="auto"/>
                  <w:vAlign w:val="center"/>
                </w:tcPr>
                <w:p w14:paraId="74E05B8C">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rPr>
                  </w:pPr>
                  <w:r>
                    <w:rPr>
                      <w:rFonts w:hint="eastAsia" w:ascii="Times New Roman" w:hAnsi="Times New Roman" w:cs="Times New Roman"/>
                      <w:color w:val="auto"/>
                      <w:kern w:val="2"/>
                      <w:sz w:val="21"/>
                      <w:szCs w:val="21"/>
                      <w:lang w:val="en-US" w:eastAsia="zh-CN"/>
                    </w:rPr>
                    <w:t>10.127</w:t>
                  </w:r>
                </w:p>
              </w:tc>
              <w:tc>
                <w:tcPr>
                  <w:tcW w:w="888" w:type="dxa"/>
                  <w:tcBorders>
                    <w:top w:val="single" w:color="auto" w:sz="4" w:space="0"/>
                    <w:left w:val="single" w:color="auto" w:sz="4" w:space="0"/>
                    <w:bottom w:val="single" w:color="auto" w:sz="4" w:space="0"/>
                    <w:right w:val="single" w:color="auto" w:sz="4" w:space="0"/>
                  </w:tcBorders>
                  <w:shd w:val="clear" w:color="auto" w:fill="auto"/>
                  <w:vAlign w:val="center"/>
                </w:tcPr>
                <w:p w14:paraId="4E6DFCB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1"/>
                    </w:rPr>
                  </w:pPr>
                  <w:r>
                    <w:rPr>
                      <w:rFonts w:hint="eastAsia" w:cs="Times New Roman"/>
                      <w:color w:val="auto"/>
                      <w:kern w:val="2"/>
                      <w:sz w:val="21"/>
                      <w:szCs w:val="21"/>
                      <w:lang w:val="en-US" w:eastAsia="zh-CN"/>
                    </w:rPr>
                    <w:t>50</w:t>
                  </w:r>
                </w:p>
              </w:tc>
              <w:tc>
                <w:tcPr>
                  <w:tcW w:w="870" w:type="dxa"/>
                  <w:tcBorders>
                    <w:top w:val="single" w:color="auto" w:sz="4" w:space="0"/>
                    <w:left w:val="single" w:color="auto" w:sz="4" w:space="0"/>
                    <w:bottom w:val="single" w:color="auto" w:sz="4" w:space="0"/>
                    <w:right w:val="nil"/>
                  </w:tcBorders>
                  <w:shd w:val="clear" w:color="auto" w:fill="auto"/>
                  <w:vAlign w:val="center"/>
                </w:tcPr>
                <w:p w14:paraId="3DDE6B4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1"/>
                    </w:rPr>
                  </w:pPr>
                  <w:r>
                    <w:rPr>
                      <w:rFonts w:hint="eastAsia" w:cs="Times New Roman"/>
                      <w:color w:val="auto"/>
                      <w:kern w:val="2"/>
                      <w:sz w:val="21"/>
                      <w:szCs w:val="21"/>
                      <w:lang w:val="en-US" w:eastAsia="zh-CN"/>
                    </w:rPr>
                    <w:t>50</w:t>
                  </w:r>
                </w:p>
              </w:tc>
            </w:tr>
            <w:tr w14:paraId="798E7FA3">
              <w:tblPrEx>
                <w:tblBorders>
                  <w:top w:val="single" w:color="auto" w:sz="12" w:space="0"/>
                  <w:left w:val="none" w:color="auto" w:sz="6" w:space="0"/>
                  <w:bottom w:val="single" w:color="auto" w:sz="12" w:space="0"/>
                  <w:right w:val="none" w:color="auto" w:sz="6"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3" w:hRule="atLeast"/>
                <w:jc w:val="center"/>
              </w:trPr>
              <w:tc>
                <w:tcPr>
                  <w:tcW w:w="1698" w:type="dxa"/>
                  <w:tcBorders>
                    <w:top w:val="single" w:color="auto" w:sz="4" w:space="0"/>
                    <w:left w:val="nil"/>
                    <w:bottom w:val="single" w:color="auto" w:sz="4" w:space="0"/>
                    <w:right w:val="single" w:color="auto" w:sz="4" w:space="0"/>
                  </w:tcBorders>
                  <w:shd w:val="clear" w:color="auto" w:fill="auto"/>
                  <w:vAlign w:val="center"/>
                </w:tcPr>
                <w:p w14:paraId="2F94ED24">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皮鞋生产线</w:t>
                  </w:r>
                </w:p>
              </w:tc>
              <w:tc>
                <w:tcPr>
                  <w:tcW w:w="1364" w:type="dxa"/>
                  <w:tcBorders>
                    <w:top w:val="single" w:color="auto" w:sz="4" w:space="0"/>
                    <w:left w:val="single" w:color="auto" w:sz="4" w:space="0"/>
                    <w:bottom w:val="single" w:color="auto" w:sz="4" w:space="0"/>
                    <w:right w:val="single" w:color="auto" w:sz="4" w:space="0"/>
                  </w:tcBorders>
                  <w:shd w:val="clear" w:color="auto" w:fill="auto"/>
                  <w:vAlign w:val="center"/>
                </w:tcPr>
                <w:p w14:paraId="7F8C83D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1"/>
                    </w:rPr>
                  </w:pPr>
                  <w:r>
                    <w:rPr>
                      <w:rFonts w:hint="eastAsia" w:ascii="Times New Roman" w:hAnsi="Times New Roman" w:cs="Times New Roman"/>
                      <w:color w:val="auto"/>
                      <w:kern w:val="2"/>
                      <w:sz w:val="21"/>
                      <w:szCs w:val="21"/>
                      <w:lang w:val="en-US" w:eastAsia="zh-CN"/>
                    </w:rPr>
                    <w:t>TSP</w:t>
                  </w:r>
                </w:p>
              </w:tc>
              <w:tc>
                <w:tcPr>
                  <w:tcW w:w="1058" w:type="dxa"/>
                  <w:tcBorders>
                    <w:top w:val="single" w:color="auto" w:sz="4" w:space="0"/>
                    <w:left w:val="single" w:color="auto" w:sz="4" w:space="0"/>
                    <w:bottom w:val="single" w:color="auto" w:sz="4" w:space="0"/>
                    <w:right w:val="single" w:color="auto" w:sz="4" w:space="0"/>
                  </w:tcBorders>
                  <w:shd w:val="clear" w:color="auto" w:fill="auto"/>
                  <w:vAlign w:val="center"/>
                </w:tcPr>
                <w:p w14:paraId="098CCA76">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rPr>
                    <w:t>1750</w:t>
                  </w:r>
                </w:p>
              </w:tc>
              <w:tc>
                <w:tcPr>
                  <w:tcW w:w="1101" w:type="dxa"/>
                  <w:tcBorders>
                    <w:top w:val="single" w:color="auto" w:sz="4" w:space="0"/>
                    <w:left w:val="single" w:color="auto" w:sz="4" w:space="0"/>
                    <w:bottom w:val="single" w:color="auto" w:sz="4" w:space="0"/>
                    <w:right w:val="single" w:color="auto" w:sz="4" w:space="0"/>
                  </w:tcBorders>
                  <w:shd w:val="clear" w:color="auto" w:fill="auto"/>
                  <w:vAlign w:val="center"/>
                </w:tcPr>
                <w:p w14:paraId="2014B922">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1"/>
                    </w:rPr>
                  </w:pPr>
                  <w:r>
                    <w:rPr>
                      <w:rFonts w:hint="eastAsia" w:ascii="Times New Roman" w:hAnsi="Times New Roman" w:cs="Times New Roman"/>
                      <w:color w:val="auto"/>
                      <w:kern w:val="2"/>
                      <w:sz w:val="21"/>
                      <w:szCs w:val="21"/>
                      <w:lang w:val="en-US" w:eastAsia="zh-CN"/>
                    </w:rPr>
                    <w:t>0.162</w:t>
                  </w:r>
                </w:p>
              </w:tc>
              <w:tc>
                <w:tcPr>
                  <w:tcW w:w="1046" w:type="dxa"/>
                  <w:tcBorders>
                    <w:top w:val="single" w:color="auto" w:sz="4" w:space="0"/>
                    <w:left w:val="single" w:color="auto" w:sz="4" w:space="0"/>
                    <w:bottom w:val="single" w:color="auto" w:sz="4" w:space="0"/>
                    <w:right w:val="single" w:color="auto" w:sz="4" w:space="0"/>
                  </w:tcBorders>
                  <w:shd w:val="clear" w:color="auto" w:fill="auto"/>
                  <w:vAlign w:val="center"/>
                </w:tcPr>
                <w:p w14:paraId="1911FF36">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rPr>
                  </w:pPr>
                  <w:r>
                    <w:rPr>
                      <w:rFonts w:hint="eastAsia" w:ascii="Times New Roman" w:hAnsi="Times New Roman" w:cs="Times New Roman"/>
                      <w:color w:val="auto"/>
                      <w:kern w:val="2"/>
                      <w:sz w:val="21"/>
                      <w:szCs w:val="21"/>
                      <w:lang w:val="en-US" w:eastAsia="zh-CN"/>
                    </w:rPr>
                    <w:t>0.9</w:t>
                  </w:r>
                </w:p>
              </w:tc>
              <w:tc>
                <w:tcPr>
                  <w:tcW w:w="839" w:type="dxa"/>
                  <w:tcBorders>
                    <w:top w:val="single" w:color="auto" w:sz="4" w:space="0"/>
                    <w:left w:val="single" w:color="auto" w:sz="4" w:space="0"/>
                    <w:bottom w:val="single" w:color="auto" w:sz="4" w:space="0"/>
                    <w:right w:val="single" w:color="auto" w:sz="4" w:space="0"/>
                  </w:tcBorders>
                  <w:shd w:val="clear" w:color="auto" w:fill="auto"/>
                  <w:vAlign w:val="center"/>
                </w:tcPr>
                <w:p w14:paraId="6B6C649A">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rPr>
                  </w:pPr>
                  <w:r>
                    <w:rPr>
                      <w:rFonts w:hint="eastAsia" w:ascii="Times New Roman" w:hAnsi="Times New Roman" w:cs="Times New Roman"/>
                      <w:color w:val="auto"/>
                      <w:kern w:val="2"/>
                      <w:sz w:val="21"/>
                      <w:szCs w:val="21"/>
                      <w:lang w:val="en-US" w:eastAsia="zh-CN"/>
                    </w:rPr>
                    <w:t>10.127</w:t>
                  </w:r>
                </w:p>
              </w:tc>
              <w:tc>
                <w:tcPr>
                  <w:tcW w:w="888" w:type="dxa"/>
                  <w:tcBorders>
                    <w:top w:val="single" w:color="auto" w:sz="4" w:space="0"/>
                    <w:left w:val="single" w:color="auto" w:sz="4" w:space="0"/>
                    <w:bottom w:val="single" w:color="auto" w:sz="4" w:space="0"/>
                    <w:right w:val="single" w:color="auto" w:sz="4" w:space="0"/>
                  </w:tcBorders>
                  <w:shd w:val="clear" w:color="auto" w:fill="auto"/>
                  <w:vAlign w:val="center"/>
                </w:tcPr>
                <w:p w14:paraId="79696F1C">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1"/>
                    </w:rPr>
                  </w:pPr>
                  <w:r>
                    <w:rPr>
                      <w:rFonts w:hint="eastAsia" w:cs="Times New Roman"/>
                      <w:color w:val="auto"/>
                      <w:kern w:val="2"/>
                      <w:sz w:val="21"/>
                      <w:szCs w:val="21"/>
                      <w:lang w:val="en-US" w:eastAsia="zh-CN"/>
                    </w:rPr>
                    <w:t>50</w:t>
                  </w:r>
                </w:p>
              </w:tc>
              <w:tc>
                <w:tcPr>
                  <w:tcW w:w="870" w:type="dxa"/>
                  <w:tcBorders>
                    <w:top w:val="single" w:color="auto" w:sz="4" w:space="0"/>
                    <w:left w:val="single" w:color="auto" w:sz="4" w:space="0"/>
                    <w:bottom w:val="single" w:color="auto" w:sz="4" w:space="0"/>
                    <w:right w:val="nil"/>
                  </w:tcBorders>
                  <w:shd w:val="clear" w:color="auto" w:fill="auto"/>
                  <w:vAlign w:val="center"/>
                </w:tcPr>
                <w:p w14:paraId="2F11FD7C">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1"/>
                    </w:rPr>
                  </w:pPr>
                  <w:r>
                    <w:rPr>
                      <w:rFonts w:hint="eastAsia" w:cs="Times New Roman"/>
                      <w:color w:val="auto"/>
                      <w:kern w:val="2"/>
                      <w:sz w:val="21"/>
                      <w:szCs w:val="21"/>
                      <w:lang w:val="en-US" w:eastAsia="zh-CN"/>
                    </w:rPr>
                    <w:t>50</w:t>
                  </w:r>
                </w:p>
              </w:tc>
            </w:tr>
            <w:tr w14:paraId="345550A1">
              <w:tblPrEx>
                <w:tblBorders>
                  <w:top w:val="single" w:color="auto" w:sz="12" w:space="0"/>
                  <w:left w:val="none" w:color="auto" w:sz="6" w:space="0"/>
                  <w:bottom w:val="single" w:color="auto" w:sz="12" w:space="0"/>
                  <w:right w:val="none" w:color="auto" w:sz="6"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3" w:hRule="atLeast"/>
                <w:jc w:val="center"/>
              </w:trPr>
              <w:tc>
                <w:tcPr>
                  <w:tcW w:w="1698" w:type="dxa"/>
                  <w:shd w:val="clear" w:color="auto" w:fill="auto"/>
                </w:tcPr>
                <w:p w14:paraId="24DF792E">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rPr>
                    <w:t>丝网印花</w:t>
                  </w:r>
                  <w:r>
                    <w:rPr>
                      <w:rFonts w:hint="eastAsia" w:ascii="Times New Roman" w:hAnsi="Times New Roman" w:eastAsia="宋体" w:cs="Times New Roman"/>
                      <w:color w:val="auto"/>
                      <w:kern w:val="2"/>
                      <w:sz w:val="21"/>
                      <w:szCs w:val="21"/>
                      <w:lang w:val="en-US" w:eastAsia="zh-CN"/>
                    </w:rPr>
                    <w:t>区</w:t>
                  </w:r>
                </w:p>
              </w:tc>
              <w:tc>
                <w:tcPr>
                  <w:tcW w:w="1364" w:type="dxa"/>
                  <w:shd w:val="clear" w:color="auto" w:fill="auto"/>
                </w:tcPr>
                <w:p w14:paraId="7E53EE15">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kern w:val="2"/>
                      <w:sz w:val="21"/>
                      <w:szCs w:val="21"/>
                    </w:rPr>
                  </w:pPr>
                  <w:r>
                    <w:rPr>
                      <w:rFonts w:hint="default" w:ascii="Times New Roman" w:hAnsi="Times New Roman" w:eastAsia="宋体" w:cs="Times New Roman"/>
                      <w:color w:val="auto"/>
                      <w:kern w:val="2"/>
                      <w:sz w:val="21"/>
                      <w:szCs w:val="21"/>
                      <w:lang w:val="en-US" w:eastAsia="zh-CN" w:bidi="ar"/>
                    </w:rPr>
                    <w:t>非甲烷总烃</w:t>
                  </w:r>
                </w:p>
              </w:tc>
              <w:tc>
                <w:tcPr>
                  <w:tcW w:w="0" w:type="auto"/>
                  <w:shd w:val="clear" w:color="auto" w:fill="auto"/>
                </w:tcPr>
                <w:p w14:paraId="3F554DF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0"/>
                      <w:szCs w:val="20"/>
                      <w:lang w:val="en-US" w:eastAsia="zh-CN"/>
                    </w:rPr>
                  </w:pPr>
                  <w:r>
                    <w:rPr>
                      <w:rFonts w:hint="eastAsia" w:cs="Times New Roman"/>
                      <w:color w:val="auto"/>
                      <w:sz w:val="20"/>
                      <w:szCs w:val="20"/>
                      <w:lang w:val="en-US" w:eastAsia="zh-CN"/>
                    </w:rPr>
                    <w:t>200</w:t>
                  </w:r>
                </w:p>
              </w:tc>
              <w:tc>
                <w:tcPr>
                  <w:tcW w:w="0" w:type="auto"/>
                  <w:shd w:val="clear" w:color="auto" w:fill="auto"/>
                </w:tcPr>
                <w:p w14:paraId="0F0B62CE">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rPr>
                  </w:pPr>
                  <w:r>
                    <w:rPr>
                      <w:rFonts w:hint="eastAsia" w:ascii="Times New Roman" w:hAnsi="Times New Roman" w:eastAsia="宋体" w:cs="Times New Roman"/>
                      <w:color w:val="auto"/>
                      <w:kern w:val="2"/>
                      <w:sz w:val="21"/>
                      <w:szCs w:val="21"/>
                      <w:lang w:val="en-US" w:eastAsia="zh-CN" w:bidi="ar"/>
                    </w:rPr>
                    <w:t>0.001</w:t>
                  </w:r>
                </w:p>
              </w:tc>
              <w:tc>
                <w:tcPr>
                  <w:tcW w:w="0" w:type="auto"/>
                  <w:shd w:val="clear" w:color="auto" w:fill="auto"/>
                </w:tcPr>
                <w:p w14:paraId="605F9390">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rPr>
                  </w:pPr>
                  <w:r>
                    <w:rPr>
                      <w:rFonts w:hint="eastAsia" w:ascii="Times New Roman" w:hAnsi="Times New Roman" w:cs="Times New Roman"/>
                      <w:color w:val="auto"/>
                      <w:kern w:val="2"/>
                      <w:sz w:val="21"/>
                      <w:szCs w:val="21"/>
                      <w:lang w:val="en-US" w:eastAsia="zh-CN"/>
                    </w:rPr>
                    <w:t>2.0</w:t>
                  </w:r>
                </w:p>
              </w:tc>
              <w:tc>
                <w:tcPr>
                  <w:tcW w:w="0" w:type="auto"/>
                  <w:shd w:val="clear" w:color="auto" w:fill="auto"/>
                </w:tcPr>
                <w:p w14:paraId="7DB6963D">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1"/>
                      <w:lang w:val="en-US" w:eastAsia="zh-CN"/>
                    </w:rPr>
                  </w:pPr>
                  <w:r>
                    <w:rPr>
                      <w:rFonts w:hint="eastAsia" w:ascii="Times New Roman" w:hAnsi="Times New Roman" w:cs="Times New Roman"/>
                      <w:color w:val="auto"/>
                      <w:kern w:val="2"/>
                      <w:sz w:val="21"/>
                      <w:szCs w:val="21"/>
                      <w:lang w:val="en-US" w:eastAsia="zh-CN"/>
                    </w:rPr>
                    <w:t>0.022</w:t>
                  </w:r>
                </w:p>
              </w:tc>
              <w:tc>
                <w:tcPr>
                  <w:tcW w:w="0" w:type="auto"/>
                  <w:shd w:val="clear" w:color="auto" w:fill="auto"/>
                </w:tcPr>
                <w:p w14:paraId="06766975">
                  <w:pPr>
                    <w:pStyle w:val="18"/>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1"/>
                      <w:lang w:val="en-US" w:eastAsia="zh-CN"/>
                    </w:rPr>
                  </w:pPr>
                  <w:r>
                    <w:rPr>
                      <w:rFonts w:hint="eastAsia" w:ascii="Times New Roman" w:hAnsi="Times New Roman" w:cs="Times New Roman"/>
                      <w:color w:val="auto"/>
                      <w:kern w:val="2"/>
                      <w:sz w:val="21"/>
                      <w:szCs w:val="21"/>
                      <w:lang w:val="en-US" w:eastAsia="zh-CN"/>
                    </w:rPr>
                    <w:t>50</w:t>
                  </w:r>
                </w:p>
              </w:tc>
              <w:tc>
                <w:tcPr>
                  <w:tcW w:w="0" w:type="auto"/>
                  <w:shd w:val="clear" w:color="auto" w:fill="auto"/>
                </w:tcPr>
                <w:p w14:paraId="5E368A0A">
                  <w:pPr>
                    <w:pStyle w:val="18"/>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rPr>
                  </w:pPr>
                  <w:r>
                    <w:rPr>
                      <w:rFonts w:hint="eastAsia" w:ascii="Times New Roman" w:hAnsi="Times New Roman" w:cs="Times New Roman"/>
                      <w:color w:val="auto"/>
                      <w:kern w:val="2"/>
                      <w:sz w:val="21"/>
                      <w:szCs w:val="21"/>
                      <w:lang w:val="en-US" w:eastAsia="zh-CN"/>
                    </w:rPr>
                    <w:t>50</w:t>
                  </w:r>
                </w:p>
              </w:tc>
            </w:tr>
          </w:tbl>
          <w:p w14:paraId="338A0482">
            <w:pPr>
              <w:keepNext w:val="0"/>
              <w:keepLines w:val="0"/>
              <w:widowControl w:val="0"/>
              <w:suppressLineNumbers w:val="0"/>
              <w:spacing w:before="0" w:beforeAutospacing="0" w:after="0" w:afterAutospacing="0" w:line="360" w:lineRule="auto"/>
              <w:ind w:left="0" w:right="0" w:firstLine="480" w:firstLineChars="200"/>
              <w:jc w:val="both"/>
              <w:rPr>
                <w:rFonts w:hint="eastAsia" w:ascii="Times New Roman" w:hAnsi="Times New Roman" w:eastAsia="宋体" w:cs="Times New Roman"/>
                <w:color w:val="auto"/>
                <w:kern w:val="2"/>
                <w:sz w:val="24"/>
                <w:szCs w:val="24"/>
              </w:rPr>
            </w:pPr>
            <w:r>
              <w:rPr>
                <w:rFonts w:hint="eastAsia" w:ascii="宋体" w:hAnsi="宋体" w:eastAsia="宋体" w:cs="宋体"/>
                <w:color w:val="auto"/>
                <w:kern w:val="2"/>
                <w:sz w:val="24"/>
                <w:szCs w:val="24"/>
                <w:lang w:val="en-US" w:eastAsia="zh-CN" w:bidi="ar"/>
              </w:rPr>
              <w:t>综上所述，因此本项目厂房注塑鞋底制造线</w:t>
            </w:r>
            <w:r>
              <w:rPr>
                <w:rFonts w:hint="eastAsia" w:ascii="宋体" w:hAnsi="宋体" w:cs="宋体"/>
                <w:color w:val="auto"/>
                <w:kern w:val="2"/>
                <w:sz w:val="24"/>
                <w:szCs w:val="24"/>
                <w:lang w:val="en-US" w:eastAsia="zh-CN" w:bidi="ar"/>
              </w:rPr>
              <w:t>、鞋垫制造线、注塑鞋生产线、高跟鞋生产线、皮鞋生产线</w:t>
            </w:r>
            <w:r>
              <w:rPr>
                <w:rFonts w:hint="eastAsia" w:ascii="宋体" w:hAnsi="宋体" w:eastAsia="宋体" w:cs="宋体"/>
                <w:color w:val="auto"/>
                <w:kern w:val="2"/>
                <w:sz w:val="24"/>
                <w:szCs w:val="24"/>
                <w:lang w:val="en-US" w:eastAsia="zh-CN" w:bidi="ar"/>
              </w:rPr>
              <w:t>丝网印花区均需设置</w:t>
            </w:r>
            <w:r>
              <w:rPr>
                <w:rFonts w:hint="default" w:ascii="Times New Roman" w:hAnsi="Times New Roman" w:eastAsia="宋体" w:cs="Times New Roman"/>
                <w:color w:val="auto"/>
                <w:kern w:val="2"/>
                <w:sz w:val="24"/>
                <w:szCs w:val="24"/>
                <w:lang w:val="en-US" w:eastAsia="zh-CN" w:bidi="ar"/>
              </w:rPr>
              <w:t>50m</w:t>
            </w:r>
            <w:r>
              <w:rPr>
                <w:rFonts w:hint="eastAsia" w:ascii="宋体" w:hAnsi="宋体" w:eastAsia="宋体" w:cs="宋体"/>
                <w:color w:val="auto"/>
                <w:kern w:val="2"/>
                <w:sz w:val="24"/>
                <w:szCs w:val="24"/>
                <w:lang w:val="en-US" w:eastAsia="zh-CN" w:bidi="ar"/>
              </w:rPr>
              <w:t>卫生防护距离，经现场踏勘核实，距离本项目边界最近的敏感点为东南侧</w:t>
            </w:r>
            <w:r>
              <w:rPr>
                <w:rFonts w:hint="eastAsia" w:cs="Times New Roman"/>
                <w:color w:val="auto"/>
                <w:kern w:val="2"/>
                <w:sz w:val="24"/>
                <w:szCs w:val="24"/>
                <w:lang w:val="en-US" w:eastAsia="zh-CN" w:bidi="ar"/>
              </w:rPr>
              <w:t>79</w:t>
            </w:r>
            <w:r>
              <w:rPr>
                <w:rFonts w:hint="default" w:ascii="Times New Roman" w:hAnsi="Times New Roman" w:eastAsia="宋体" w:cs="Times New Roman"/>
                <w:color w:val="auto"/>
                <w:kern w:val="2"/>
                <w:sz w:val="24"/>
                <w:szCs w:val="24"/>
                <w:lang w:val="en-US" w:eastAsia="zh-CN" w:bidi="ar"/>
              </w:rPr>
              <w:t>m</w:t>
            </w:r>
            <w:r>
              <w:rPr>
                <w:rFonts w:hint="eastAsia" w:ascii="宋体" w:hAnsi="宋体" w:eastAsia="宋体" w:cs="宋体"/>
                <w:color w:val="auto"/>
                <w:kern w:val="2"/>
                <w:sz w:val="24"/>
                <w:szCs w:val="24"/>
                <w:lang w:val="en-US" w:eastAsia="zh-CN" w:bidi="ar"/>
              </w:rPr>
              <w:t>处的摩配小镇配套公寓，项目能够满足卫生防护距离的要求，今后在此范围内也不得建设居民点、学校、医院等环境敏感项目。</w:t>
            </w:r>
          </w:p>
          <w:p w14:paraId="3DB13F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w:t>
            </w:r>
            <w:r>
              <w:rPr>
                <w:rFonts w:hint="eastAsia" w:cs="Times New Roman"/>
                <w:color w:val="auto"/>
                <w:sz w:val="24"/>
                <w:highlight w:val="none"/>
                <w:lang w:val="en-US" w:eastAsia="zh-CN"/>
              </w:rPr>
              <w:t>5</w:t>
            </w:r>
            <w:r>
              <w:rPr>
                <w:rFonts w:hint="eastAsia" w:ascii="Times New Roman" w:hAnsi="Times New Roman" w:eastAsia="宋体" w:cs="Times New Roman"/>
                <w:color w:val="auto"/>
                <w:sz w:val="24"/>
                <w:highlight w:val="none"/>
                <w:lang w:val="en-US" w:eastAsia="zh-CN"/>
              </w:rPr>
              <w:t>）监测要求</w:t>
            </w:r>
          </w:p>
          <w:p w14:paraId="71AFB84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both"/>
              <w:textAlignment w:val="auto"/>
              <w:rPr>
                <w:rFonts w:hint="default" w:ascii="Times New Roman" w:hAnsi="Times New Roman" w:eastAsia="宋体" w:cs="Times New Roman"/>
                <w:color w:val="auto"/>
                <w:kern w:val="21"/>
                <w:sz w:val="24"/>
                <w:szCs w:val="24"/>
                <w:highlight w:val="none"/>
                <w:lang w:val="en-US" w:eastAsia="zh-CN" w:bidi="ar-SA"/>
              </w:rPr>
            </w:pPr>
            <w:r>
              <w:rPr>
                <w:rFonts w:hint="eastAsia" w:ascii="Times New Roman" w:hAnsi="Times New Roman" w:eastAsia="宋体" w:cs="Times New Roman"/>
                <w:color w:val="auto"/>
                <w:kern w:val="21"/>
                <w:sz w:val="24"/>
                <w:szCs w:val="24"/>
                <w:highlight w:val="none"/>
                <w:lang w:val="en-US" w:eastAsia="zh-CN" w:bidi="ar-SA"/>
              </w:rPr>
              <w:t>根据《排污许可证申请与核发技术规范 制鞋工业》（HJ1123-2020），本项目废气污染物自行监测方案如下：</w:t>
            </w:r>
          </w:p>
          <w:p w14:paraId="17CA4C6D">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
                <w:color w:val="auto"/>
                <w:kern w:val="0"/>
                <w:highlight w:val="none"/>
                <w:lang w:val="en-US" w:eastAsia="zh-CN"/>
              </w:rPr>
            </w:pPr>
            <w:r>
              <w:rPr>
                <w:rFonts w:hint="eastAsia" w:ascii="Times New Roman" w:hAnsi="Times New Roman" w:eastAsia="宋体" w:cs="Times New Roman"/>
                <w:b/>
                <w:color w:val="auto"/>
                <w:kern w:val="0"/>
                <w:highlight w:val="none"/>
                <w:lang w:val="en-US" w:eastAsia="zh-CN"/>
              </w:rPr>
              <w:t>表4-</w:t>
            </w:r>
            <w:r>
              <w:rPr>
                <w:rFonts w:hint="eastAsia" w:cs="Times New Roman"/>
                <w:b/>
                <w:color w:val="auto"/>
                <w:kern w:val="0"/>
                <w:highlight w:val="none"/>
                <w:lang w:val="en-US" w:eastAsia="zh-CN"/>
              </w:rPr>
              <w:t>7</w:t>
            </w:r>
            <w:r>
              <w:rPr>
                <w:rFonts w:hint="eastAsia" w:ascii="Times New Roman" w:hAnsi="Times New Roman" w:eastAsia="宋体" w:cs="Times New Roman"/>
                <w:b/>
                <w:color w:val="auto"/>
                <w:kern w:val="0"/>
                <w:highlight w:val="none"/>
                <w:lang w:val="en-US" w:eastAsia="zh-CN"/>
              </w:rPr>
              <w:t xml:space="preserve">  废气监测计划表</w:t>
            </w:r>
          </w:p>
          <w:tbl>
            <w:tblPr>
              <w:tblStyle w:val="26"/>
              <w:tblW w:w="4997"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380"/>
              <w:gridCol w:w="1905"/>
              <w:gridCol w:w="1237"/>
              <w:gridCol w:w="4337"/>
            </w:tblGrid>
            <w:tr w14:paraId="5C5C3F7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cantSplit/>
                <w:trHeight w:val="23" w:hRule="atLeast"/>
                <w:jc w:val="center"/>
              </w:trPr>
              <w:tc>
                <w:tcPr>
                  <w:tcW w:w="779" w:type="pct"/>
                  <w:tcBorders>
                    <w:bottom w:val="single" w:color="auto" w:sz="12" w:space="0"/>
                  </w:tcBorders>
                  <w:noWrap w:val="0"/>
                  <w:vAlign w:val="center"/>
                </w:tcPr>
                <w:p w14:paraId="4CD4D80D">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firstLine="0" w:firstLineChars="0"/>
                    <w:jc w:val="center"/>
                    <w:textAlignment w:val="auto"/>
                    <w:rPr>
                      <w:rFonts w:hint="default" w:ascii="Times New Roman" w:hAnsi="Times New Roman" w:eastAsia="宋体" w:cs="Times New Roman"/>
                      <w:b/>
                      <w:bCs/>
                      <w:color w:val="auto"/>
                      <w:highlight w:val="none"/>
                    </w:rPr>
                  </w:pPr>
                  <w:r>
                    <w:rPr>
                      <w:rFonts w:hint="default" w:ascii="Times New Roman" w:hAnsi="Times New Roman" w:eastAsia="宋体" w:cs="Times New Roman"/>
                      <w:b/>
                      <w:bCs/>
                      <w:color w:val="auto"/>
                      <w:highlight w:val="none"/>
                    </w:rPr>
                    <w:t>监测点位</w:t>
                  </w:r>
                </w:p>
              </w:tc>
              <w:tc>
                <w:tcPr>
                  <w:tcW w:w="1075" w:type="pct"/>
                  <w:tcBorders>
                    <w:bottom w:val="single" w:color="auto" w:sz="12" w:space="0"/>
                  </w:tcBorders>
                  <w:noWrap w:val="0"/>
                  <w:vAlign w:val="center"/>
                </w:tcPr>
                <w:p w14:paraId="36F8FB16">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firstLine="0" w:firstLineChars="0"/>
                    <w:jc w:val="center"/>
                    <w:textAlignment w:val="auto"/>
                    <w:rPr>
                      <w:rFonts w:hint="default" w:ascii="Times New Roman" w:hAnsi="Times New Roman" w:eastAsia="宋体" w:cs="Times New Roman"/>
                      <w:b/>
                      <w:bCs/>
                      <w:color w:val="auto"/>
                      <w:highlight w:val="none"/>
                    </w:rPr>
                  </w:pPr>
                  <w:r>
                    <w:rPr>
                      <w:rFonts w:hint="default" w:ascii="Times New Roman" w:hAnsi="Times New Roman" w:eastAsia="宋体" w:cs="Times New Roman"/>
                      <w:b/>
                      <w:bCs/>
                      <w:color w:val="auto"/>
                      <w:highlight w:val="none"/>
                    </w:rPr>
                    <w:t>监测指标</w:t>
                  </w:r>
                </w:p>
              </w:tc>
              <w:tc>
                <w:tcPr>
                  <w:tcW w:w="698" w:type="pct"/>
                  <w:tcBorders>
                    <w:bottom w:val="single" w:color="auto" w:sz="12" w:space="0"/>
                  </w:tcBorders>
                  <w:noWrap w:val="0"/>
                  <w:vAlign w:val="center"/>
                </w:tcPr>
                <w:p w14:paraId="77EB115B">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firstLine="0" w:firstLineChars="0"/>
                    <w:jc w:val="center"/>
                    <w:textAlignment w:val="auto"/>
                    <w:rPr>
                      <w:rFonts w:hint="default" w:ascii="Times New Roman" w:hAnsi="Times New Roman" w:eastAsia="宋体" w:cs="Times New Roman"/>
                      <w:b/>
                      <w:bCs/>
                      <w:color w:val="auto"/>
                      <w:highlight w:val="none"/>
                    </w:rPr>
                  </w:pPr>
                  <w:r>
                    <w:rPr>
                      <w:rFonts w:hint="default" w:ascii="Times New Roman" w:hAnsi="Times New Roman" w:eastAsia="宋体" w:cs="Times New Roman"/>
                      <w:b/>
                      <w:bCs/>
                      <w:color w:val="auto"/>
                      <w:highlight w:val="none"/>
                    </w:rPr>
                    <w:t>监测频次</w:t>
                  </w:r>
                </w:p>
              </w:tc>
              <w:tc>
                <w:tcPr>
                  <w:tcW w:w="2447" w:type="pct"/>
                  <w:tcBorders>
                    <w:bottom w:val="single" w:color="auto" w:sz="12" w:space="0"/>
                  </w:tcBorders>
                  <w:noWrap w:val="0"/>
                  <w:vAlign w:val="center"/>
                </w:tcPr>
                <w:p w14:paraId="48D74C91">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firstLine="0" w:firstLineChars="0"/>
                    <w:jc w:val="center"/>
                    <w:textAlignment w:val="auto"/>
                    <w:rPr>
                      <w:rFonts w:hint="default" w:ascii="Times New Roman" w:hAnsi="Times New Roman" w:eastAsia="宋体" w:cs="Times New Roman"/>
                      <w:b/>
                      <w:bCs/>
                      <w:color w:val="auto"/>
                      <w:highlight w:val="none"/>
                    </w:rPr>
                  </w:pPr>
                  <w:r>
                    <w:rPr>
                      <w:rFonts w:hint="default" w:ascii="Times New Roman" w:hAnsi="Times New Roman" w:eastAsia="宋体" w:cs="Times New Roman"/>
                      <w:b/>
                      <w:bCs/>
                      <w:color w:val="auto"/>
                      <w:highlight w:val="none"/>
                    </w:rPr>
                    <w:t>排放标准</w:t>
                  </w:r>
                </w:p>
              </w:tc>
            </w:tr>
            <w:tr w14:paraId="371D7DB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5000" w:type="pct"/>
                  <w:gridSpan w:val="4"/>
                  <w:tcBorders>
                    <w:tl2br w:val="nil"/>
                    <w:tr2bl w:val="nil"/>
                  </w:tcBorders>
                  <w:noWrap w:val="0"/>
                  <w:vAlign w:val="center"/>
                </w:tcPr>
                <w:p w14:paraId="4E8BDD4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firstLine="0" w:firstLineChars="0"/>
                    <w:jc w:val="center"/>
                    <w:textAlignment w:val="auto"/>
                    <w:rPr>
                      <w:rFonts w:hint="default" w:ascii="Times New Roman" w:hAnsi="Times New Roman" w:eastAsia="宋体" w:cs="Times New Roman"/>
                      <w:color w:val="auto"/>
                      <w:highlight w:val="none"/>
                      <w:lang w:val="en-US" w:eastAsia="zh-CN"/>
                    </w:rPr>
                  </w:pPr>
                  <w:r>
                    <w:rPr>
                      <w:rFonts w:hint="eastAsia" w:eastAsia="宋体" w:cs="Times New Roman"/>
                      <w:color w:val="auto"/>
                      <w:highlight w:val="none"/>
                      <w:lang w:val="en-US" w:eastAsia="zh-CN"/>
                    </w:rPr>
                    <w:t>有组织排放</w:t>
                  </w:r>
                </w:p>
              </w:tc>
            </w:tr>
            <w:tr w14:paraId="676FBA7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779" w:type="pct"/>
                  <w:tcBorders>
                    <w:tl2br w:val="nil"/>
                    <w:tr2bl w:val="nil"/>
                  </w:tcBorders>
                  <w:noWrap w:val="0"/>
                  <w:vAlign w:val="center"/>
                </w:tcPr>
                <w:p w14:paraId="3A70D072">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highlight w:val="none"/>
                      <w:lang w:val="en-US" w:eastAsia="zh-CN"/>
                    </w:rPr>
                    <w:t>DA001</w:t>
                  </w:r>
                </w:p>
              </w:tc>
              <w:tc>
                <w:tcPr>
                  <w:tcW w:w="1075" w:type="pct"/>
                  <w:tcBorders>
                    <w:tl2br w:val="nil"/>
                    <w:tr2bl w:val="nil"/>
                  </w:tcBorders>
                  <w:noWrap w:val="0"/>
                  <w:vAlign w:val="center"/>
                </w:tcPr>
                <w:p w14:paraId="5E770A7C">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firstLine="0" w:firstLineChars="0"/>
                    <w:jc w:val="center"/>
                    <w:textAlignment w:val="auto"/>
                    <w:rPr>
                      <w:rFonts w:hint="default" w:ascii="Times New Roman" w:hAnsi="Times New Roman" w:eastAsia="宋体" w:cs="Times New Roman"/>
                      <w:color w:val="auto"/>
                      <w:highlight w:val="none"/>
                      <w:lang w:val="en-US" w:eastAsia="zh-CN"/>
                    </w:rPr>
                  </w:pPr>
                  <w:r>
                    <w:rPr>
                      <w:rFonts w:hint="eastAsia" w:eastAsia="宋体" w:cs="Times New Roman"/>
                      <w:color w:val="auto"/>
                      <w:highlight w:val="none"/>
                      <w:lang w:val="en-US" w:eastAsia="zh-CN"/>
                    </w:rPr>
                    <w:t>颗粒物</w:t>
                  </w:r>
                </w:p>
              </w:tc>
              <w:tc>
                <w:tcPr>
                  <w:tcW w:w="698" w:type="pct"/>
                  <w:tcBorders>
                    <w:tl2br w:val="nil"/>
                    <w:tr2bl w:val="nil"/>
                  </w:tcBorders>
                  <w:noWrap w:val="0"/>
                  <w:vAlign w:val="center"/>
                </w:tcPr>
                <w:p w14:paraId="5EC020CB">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firstLine="0" w:firstLineChars="0"/>
                    <w:jc w:val="center"/>
                    <w:textAlignment w:val="auto"/>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1次/</w:t>
                  </w:r>
                  <w:r>
                    <w:rPr>
                      <w:rFonts w:hint="default" w:ascii="Times New Roman" w:hAnsi="Times New Roman" w:eastAsia="宋体" w:cs="Times New Roman"/>
                      <w:color w:val="auto"/>
                      <w:highlight w:val="none"/>
                      <w:lang w:val="en-US" w:eastAsia="zh-CN"/>
                    </w:rPr>
                    <w:t>年</w:t>
                  </w:r>
                </w:p>
              </w:tc>
              <w:tc>
                <w:tcPr>
                  <w:tcW w:w="2447" w:type="pct"/>
                  <w:tcBorders>
                    <w:tl2br w:val="nil"/>
                    <w:tr2bl w:val="nil"/>
                  </w:tcBorders>
                  <w:noWrap w:val="0"/>
                  <w:vAlign w:val="center"/>
                </w:tcPr>
                <w:p w14:paraId="65171890">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firstLine="0" w:firstLineChars="0"/>
                    <w:jc w:val="center"/>
                    <w:textAlignment w:val="auto"/>
                    <w:rPr>
                      <w:rFonts w:hint="default" w:ascii="Times New Roman" w:hAnsi="Times New Roman" w:eastAsia="宋体" w:cs="Times New Roman"/>
                      <w:color w:val="auto"/>
                      <w:highlight w:val="none"/>
                    </w:rPr>
                  </w:pPr>
                  <w:r>
                    <w:rPr>
                      <w:rFonts w:hint="eastAsia" w:eastAsia="宋体" w:cs="Times New Roman"/>
                      <w:color w:val="auto"/>
                      <w:highlight w:val="none"/>
                      <w:lang w:val="en-US" w:eastAsia="zh-CN"/>
                    </w:rPr>
                    <w:t>颗粒物</w:t>
                  </w:r>
                  <w:r>
                    <w:rPr>
                      <w:rFonts w:hint="eastAsia" w:cs="Times New Roman"/>
                      <w:color w:val="auto"/>
                      <w:highlight w:val="none"/>
                      <w:lang w:val="en-US" w:eastAsia="zh-CN"/>
                    </w:rPr>
                    <w:t>执行</w:t>
                  </w:r>
                  <w:r>
                    <w:rPr>
                      <w:rFonts w:hint="eastAsia" w:eastAsia="宋体" w:cs="Times New Roman"/>
                      <w:color w:val="auto"/>
                      <w:highlight w:val="none"/>
                      <w:lang w:val="en-US" w:eastAsia="zh-CN"/>
                    </w:rPr>
                    <w:t>《大气污染物综合排放标准》（GB16297-1996）中表2的二级标准限值要求</w:t>
                  </w:r>
                </w:p>
              </w:tc>
            </w:tr>
            <w:tr w14:paraId="40A37B7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779" w:type="pct"/>
                  <w:tcBorders>
                    <w:tl2br w:val="nil"/>
                    <w:tr2bl w:val="nil"/>
                  </w:tcBorders>
                  <w:noWrap w:val="0"/>
                  <w:vAlign w:val="center"/>
                </w:tcPr>
                <w:p w14:paraId="4B98FE0A">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firstLine="0" w:firstLineChars="0"/>
                    <w:jc w:val="center"/>
                    <w:textAlignment w:val="auto"/>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DA00</w:t>
                  </w:r>
                  <w:r>
                    <w:rPr>
                      <w:rFonts w:hint="eastAsia" w:ascii="Times New Roman" w:hAnsi="Times New Roman" w:eastAsia="宋体" w:cs="Times New Roman"/>
                      <w:color w:val="auto"/>
                      <w:highlight w:val="none"/>
                      <w:lang w:val="en-US" w:eastAsia="zh-CN"/>
                    </w:rPr>
                    <w:t>2</w:t>
                  </w:r>
                </w:p>
              </w:tc>
              <w:tc>
                <w:tcPr>
                  <w:tcW w:w="1075" w:type="pct"/>
                  <w:tcBorders>
                    <w:tl2br w:val="nil"/>
                    <w:tr2bl w:val="nil"/>
                  </w:tcBorders>
                  <w:noWrap w:val="0"/>
                  <w:vAlign w:val="center"/>
                </w:tcPr>
                <w:p w14:paraId="7C21B439">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firstLine="0" w:firstLineChars="0"/>
                    <w:jc w:val="center"/>
                    <w:textAlignment w:val="auto"/>
                    <w:rPr>
                      <w:rFonts w:hint="default" w:eastAsia="宋体" w:cs="Times New Roman"/>
                      <w:color w:val="auto"/>
                      <w:highlight w:val="none"/>
                      <w:lang w:val="en-US" w:eastAsia="zh-CN"/>
                    </w:rPr>
                  </w:pPr>
                  <w:r>
                    <w:rPr>
                      <w:rFonts w:hint="eastAsia" w:ascii="宋体" w:hAnsi="宋体" w:eastAsia="宋体" w:cs="宋体"/>
                      <w:color w:val="auto"/>
                      <w:lang w:val="en-US" w:eastAsia="zh-CN"/>
                    </w:rPr>
                    <w:t>非甲烷总烃</w:t>
                  </w:r>
                </w:p>
              </w:tc>
              <w:tc>
                <w:tcPr>
                  <w:tcW w:w="698" w:type="pct"/>
                  <w:tcBorders>
                    <w:tl2br w:val="nil"/>
                    <w:tr2bl w:val="nil"/>
                  </w:tcBorders>
                  <w:noWrap w:val="0"/>
                  <w:vAlign w:val="center"/>
                </w:tcPr>
                <w:p w14:paraId="16834E1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firstLine="0" w:firstLineChars="0"/>
                    <w:jc w:val="center"/>
                    <w:textAlignment w:val="auto"/>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1次/</w:t>
                  </w:r>
                  <w:r>
                    <w:rPr>
                      <w:rFonts w:hint="default" w:ascii="Times New Roman" w:hAnsi="Times New Roman" w:eastAsia="宋体" w:cs="Times New Roman"/>
                      <w:color w:val="auto"/>
                      <w:highlight w:val="none"/>
                      <w:lang w:val="en-US" w:eastAsia="zh-CN"/>
                    </w:rPr>
                    <w:t>年</w:t>
                  </w:r>
                </w:p>
              </w:tc>
              <w:tc>
                <w:tcPr>
                  <w:tcW w:w="2447" w:type="pct"/>
                  <w:tcBorders>
                    <w:tl2br w:val="nil"/>
                    <w:tr2bl w:val="nil"/>
                  </w:tcBorders>
                  <w:noWrap w:val="0"/>
                  <w:vAlign w:val="center"/>
                </w:tcPr>
                <w:p w14:paraId="1EC508F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firstLine="0" w:firstLineChars="0"/>
                    <w:jc w:val="center"/>
                    <w:textAlignment w:val="auto"/>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挥发性有机物（以非甲烷总烃为表征）执行</w:t>
                  </w:r>
                  <w:r>
                    <w:rPr>
                      <w:rFonts w:hint="default" w:cs="Times New Roman"/>
                      <w:color w:val="auto"/>
                      <w:sz w:val="21"/>
                      <w:szCs w:val="21"/>
                      <w:highlight w:val="none"/>
                      <w:lang w:val="en-US" w:eastAsia="zh-CN"/>
                    </w:rPr>
                    <w:t>《合成树脂工业污染物排放标准》（GB31572-2015，含2024年修改单）中表4大气污染物排放限值</w:t>
                  </w:r>
                  <w:r>
                    <w:rPr>
                      <w:rFonts w:hint="eastAsia" w:eastAsia="宋体" w:cs="Times New Roman"/>
                      <w:color w:val="auto"/>
                      <w:highlight w:val="none"/>
                      <w:lang w:val="en-US" w:eastAsia="zh-CN"/>
                    </w:rPr>
                    <w:t>要求</w:t>
                  </w:r>
                </w:p>
              </w:tc>
            </w:tr>
            <w:tr w14:paraId="2BE84B5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779" w:type="pct"/>
                  <w:tcBorders>
                    <w:tl2br w:val="nil"/>
                    <w:tr2bl w:val="nil"/>
                  </w:tcBorders>
                  <w:noWrap w:val="0"/>
                  <w:vAlign w:val="center"/>
                </w:tcPr>
                <w:p w14:paraId="064923B0">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firstLine="0" w:firstLineChars="0"/>
                    <w:jc w:val="center"/>
                    <w:textAlignment w:val="auto"/>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DA00</w:t>
                  </w:r>
                  <w:r>
                    <w:rPr>
                      <w:rFonts w:hint="eastAsia" w:eastAsia="宋体" w:cs="Times New Roman"/>
                      <w:color w:val="auto"/>
                      <w:highlight w:val="none"/>
                      <w:lang w:val="en-US" w:eastAsia="zh-CN"/>
                    </w:rPr>
                    <w:t>3</w:t>
                  </w:r>
                </w:p>
              </w:tc>
              <w:tc>
                <w:tcPr>
                  <w:tcW w:w="1075" w:type="pct"/>
                  <w:tcBorders>
                    <w:tl2br w:val="nil"/>
                    <w:tr2bl w:val="nil"/>
                  </w:tcBorders>
                  <w:noWrap w:val="0"/>
                  <w:vAlign w:val="center"/>
                </w:tcPr>
                <w:p w14:paraId="7C12DBA3">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firstLine="0" w:firstLineChars="0"/>
                    <w:jc w:val="center"/>
                    <w:textAlignment w:val="auto"/>
                    <w:rPr>
                      <w:rFonts w:hint="default" w:eastAsia="宋体" w:cs="Times New Roman"/>
                      <w:color w:val="auto"/>
                      <w:highlight w:val="none"/>
                      <w:lang w:val="en-US" w:eastAsia="zh-CN"/>
                    </w:rPr>
                  </w:pPr>
                  <w:r>
                    <w:rPr>
                      <w:rFonts w:hint="eastAsia" w:eastAsia="宋体" w:cs="Times New Roman"/>
                      <w:color w:val="auto"/>
                      <w:highlight w:val="none"/>
                      <w:lang w:val="en-US" w:eastAsia="zh-CN"/>
                    </w:rPr>
                    <w:t>挥发性有机物（以非甲烷总烃为表征）、HCl、</w:t>
                  </w:r>
                  <w:r>
                    <w:rPr>
                      <w:rFonts w:hint="eastAsia" w:ascii="宋体" w:hAnsi="宋体" w:eastAsia="宋体" w:cs="宋体"/>
                      <w:color w:val="auto"/>
                      <w:kern w:val="0"/>
                      <w:sz w:val="21"/>
                      <w:szCs w:val="21"/>
                      <w:lang w:val="en-US" w:eastAsia="zh-CN" w:bidi="ar"/>
                    </w:rPr>
                    <w:t>臭气浓度</w:t>
                  </w:r>
                </w:p>
              </w:tc>
              <w:tc>
                <w:tcPr>
                  <w:tcW w:w="698" w:type="pct"/>
                  <w:tcBorders>
                    <w:tl2br w:val="nil"/>
                    <w:tr2bl w:val="nil"/>
                  </w:tcBorders>
                  <w:noWrap w:val="0"/>
                  <w:vAlign w:val="center"/>
                </w:tcPr>
                <w:p w14:paraId="6A57D33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firstLine="0" w:firstLineChars="0"/>
                    <w:jc w:val="center"/>
                    <w:textAlignment w:val="auto"/>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1次/</w:t>
                  </w:r>
                  <w:r>
                    <w:rPr>
                      <w:rFonts w:hint="default" w:ascii="Times New Roman" w:hAnsi="Times New Roman" w:eastAsia="宋体" w:cs="Times New Roman"/>
                      <w:color w:val="auto"/>
                      <w:highlight w:val="none"/>
                      <w:lang w:val="en-US" w:eastAsia="zh-CN"/>
                    </w:rPr>
                    <w:t>年</w:t>
                  </w:r>
                </w:p>
              </w:tc>
              <w:tc>
                <w:tcPr>
                  <w:tcW w:w="2447" w:type="pct"/>
                  <w:tcBorders>
                    <w:tl2br w:val="nil"/>
                    <w:tr2bl w:val="nil"/>
                  </w:tcBorders>
                  <w:noWrap w:val="0"/>
                  <w:vAlign w:val="center"/>
                </w:tcPr>
                <w:p w14:paraId="72D904E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firstLine="0" w:firstLineChars="0"/>
                    <w:jc w:val="center"/>
                    <w:textAlignment w:val="auto"/>
                    <w:rPr>
                      <w:rFonts w:hint="default" w:ascii="Times New Roman" w:hAnsi="Times New Roman" w:eastAsia="宋体" w:cs="Times New Roman"/>
                      <w:color w:val="auto"/>
                      <w:highlight w:val="none"/>
                      <w:lang w:val="en-US" w:eastAsia="zh-CN"/>
                    </w:rPr>
                  </w:pPr>
                  <w:r>
                    <w:rPr>
                      <w:rFonts w:hint="eastAsia" w:cs="Times New Roman"/>
                      <w:color w:val="auto"/>
                      <w:highlight w:val="none"/>
                      <w:lang w:val="en-US" w:eastAsia="zh-CN"/>
                    </w:rPr>
                    <w:t>挥发性有机物（以非甲烷总烃为表征）和氯化氢执行《大气污染物综合排放标准》（GB16297-1996）表2中的新污染源大气污染物排放限值，臭气浓度</w:t>
                  </w:r>
                  <w:r>
                    <w:rPr>
                      <w:rFonts w:hint="eastAsia" w:cs="Times New Roman"/>
                      <w:color w:val="auto"/>
                      <w:kern w:val="2"/>
                      <w:sz w:val="21"/>
                      <w:szCs w:val="24"/>
                      <w:highlight w:val="none"/>
                      <w:lang w:val="en-US" w:eastAsia="zh-CN" w:bidi="ar-SA"/>
                    </w:rPr>
                    <w:t>执行《恶臭污染物排放标准》（GB14554-93）表2限值要求，</w:t>
                  </w:r>
                  <w:r>
                    <w:rPr>
                      <w:rFonts w:hint="eastAsia" w:ascii="Times New Roman" w:hAnsi="Times New Roman" w:eastAsia="宋体" w:cs="Times New Roman"/>
                      <w:color w:val="auto"/>
                      <w:kern w:val="0"/>
                      <w:sz w:val="21"/>
                      <w:highlight w:val="none"/>
                      <w:lang w:val="en-US" w:eastAsia="zh-CN"/>
                    </w:rPr>
                    <w:t>2026年7月1日</w:t>
                  </w:r>
                  <w:r>
                    <w:rPr>
                      <w:rFonts w:hint="eastAsia" w:cs="Times New Roman"/>
                      <w:color w:val="auto"/>
                      <w:kern w:val="0"/>
                      <w:sz w:val="21"/>
                      <w:highlight w:val="none"/>
                      <w:lang w:val="en-US" w:eastAsia="zh-CN"/>
                    </w:rPr>
                    <w:t>起</w:t>
                  </w:r>
                  <w:r>
                    <w:rPr>
                      <w:rFonts w:hint="eastAsia" w:ascii="Times New Roman" w:hAnsi="Times New Roman" w:eastAsia="宋体" w:cs="Times New Roman"/>
                      <w:color w:val="auto"/>
                      <w:kern w:val="0"/>
                      <w:sz w:val="21"/>
                      <w:highlight w:val="none"/>
                      <w:lang w:val="en-US" w:eastAsia="zh-CN"/>
                    </w:rPr>
                    <w:t>挥发性有机物（以非甲烷总烃为表征）执行《挥发性有机物综合排放控制标准（试行）》（DB36/2186—2025）表1挥发性有机物有组织排放限值</w:t>
                  </w:r>
                  <w:r>
                    <w:rPr>
                      <w:rFonts w:hint="eastAsia" w:cs="Times New Roman"/>
                      <w:color w:val="auto"/>
                      <w:kern w:val="0"/>
                      <w:sz w:val="21"/>
                      <w:highlight w:val="none"/>
                      <w:lang w:val="en-US" w:eastAsia="zh-CN"/>
                    </w:rPr>
                    <w:t>。</w:t>
                  </w:r>
                </w:p>
              </w:tc>
            </w:tr>
            <w:tr w14:paraId="14A402C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779" w:type="pct"/>
                  <w:tcBorders>
                    <w:tl2br w:val="nil"/>
                    <w:tr2bl w:val="nil"/>
                  </w:tcBorders>
                  <w:noWrap w:val="0"/>
                  <w:vAlign w:val="center"/>
                </w:tcPr>
                <w:p w14:paraId="663221AB">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firstLine="0" w:firstLineChars="0"/>
                    <w:jc w:val="center"/>
                    <w:textAlignment w:val="auto"/>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DA00</w:t>
                  </w:r>
                  <w:r>
                    <w:rPr>
                      <w:rFonts w:hint="eastAsia" w:eastAsia="宋体" w:cs="Times New Roman"/>
                      <w:color w:val="auto"/>
                      <w:highlight w:val="none"/>
                      <w:lang w:val="en-US" w:eastAsia="zh-CN"/>
                    </w:rPr>
                    <w:t>4</w:t>
                  </w:r>
                </w:p>
              </w:tc>
              <w:tc>
                <w:tcPr>
                  <w:tcW w:w="1075" w:type="pct"/>
                  <w:tcBorders>
                    <w:tl2br w:val="nil"/>
                    <w:tr2bl w:val="nil"/>
                  </w:tcBorders>
                  <w:noWrap w:val="0"/>
                  <w:vAlign w:val="center"/>
                </w:tcPr>
                <w:p w14:paraId="1909150F">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firstLine="0" w:firstLineChars="0"/>
                    <w:jc w:val="center"/>
                    <w:textAlignment w:val="auto"/>
                    <w:rPr>
                      <w:rFonts w:hint="eastAsia"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挥发性有机物（以非甲烷总烃为表征）</w:t>
                  </w:r>
                </w:p>
              </w:tc>
              <w:tc>
                <w:tcPr>
                  <w:tcW w:w="698" w:type="pct"/>
                  <w:tcBorders>
                    <w:tl2br w:val="nil"/>
                    <w:tr2bl w:val="nil"/>
                  </w:tcBorders>
                  <w:noWrap w:val="0"/>
                  <w:vAlign w:val="center"/>
                </w:tcPr>
                <w:p w14:paraId="23B4921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firstLine="0" w:firstLineChars="0"/>
                    <w:jc w:val="center"/>
                    <w:textAlignment w:val="auto"/>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1次/</w:t>
                  </w:r>
                  <w:r>
                    <w:rPr>
                      <w:rFonts w:hint="default" w:ascii="Times New Roman" w:hAnsi="Times New Roman" w:eastAsia="宋体" w:cs="Times New Roman"/>
                      <w:color w:val="auto"/>
                      <w:highlight w:val="none"/>
                      <w:lang w:val="en-US" w:eastAsia="zh-CN"/>
                    </w:rPr>
                    <w:t>年</w:t>
                  </w:r>
                </w:p>
              </w:tc>
              <w:tc>
                <w:tcPr>
                  <w:tcW w:w="2447" w:type="pct"/>
                  <w:tcBorders>
                    <w:tl2br w:val="nil"/>
                    <w:tr2bl w:val="nil"/>
                  </w:tcBorders>
                  <w:noWrap w:val="0"/>
                  <w:vAlign w:val="center"/>
                </w:tcPr>
                <w:p w14:paraId="45B4175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firstLine="0" w:firstLineChars="0"/>
                    <w:jc w:val="center"/>
                    <w:textAlignment w:val="auto"/>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《大气污染物综合排放标准》（GB16297-1996）表2中非甲烷总烃排放限值要求</w:t>
                  </w:r>
                  <w:r>
                    <w:rPr>
                      <w:rFonts w:hint="eastAsia" w:cs="Times New Roman"/>
                      <w:color w:val="auto"/>
                      <w:highlight w:val="none"/>
                      <w:lang w:val="en-US" w:eastAsia="zh-CN"/>
                    </w:rPr>
                    <w:t>，</w:t>
                  </w:r>
                  <w:r>
                    <w:rPr>
                      <w:rFonts w:hint="eastAsia" w:ascii="Times New Roman" w:hAnsi="Times New Roman" w:eastAsia="宋体" w:cs="Times New Roman"/>
                      <w:color w:val="auto"/>
                      <w:kern w:val="0"/>
                      <w:sz w:val="21"/>
                      <w:highlight w:val="none"/>
                      <w:lang w:val="en-US" w:eastAsia="zh-CN"/>
                    </w:rPr>
                    <w:t>2026年7月1日</w:t>
                  </w:r>
                  <w:r>
                    <w:rPr>
                      <w:rFonts w:hint="eastAsia" w:cs="Times New Roman"/>
                      <w:color w:val="auto"/>
                      <w:kern w:val="0"/>
                      <w:sz w:val="21"/>
                      <w:highlight w:val="none"/>
                      <w:lang w:val="en-US" w:eastAsia="zh-CN"/>
                    </w:rPr>
                    <w:t>起</w:t>
                  </w:r>
                  <w:r>
                    <w:rPr>
                      <w:rFonts w:hint="eastAsia" w:ascii="Times New Roman" w:hAnsi="Times New Roman" w:eastAsia="宋体" w:cs="Times New Roman"/>
                      <w:color w:val="auto"/>
                      <w:kern w:val="0"/>
                      <w:sz w:val="21"/>
                      <w:highlight w:val="none"/>
                      <w:lang w:val="en-US" w:eastAsia="zh-CN"/>
                    </w:rPr>
                    <w:t>挥发性有机物（以非甲烷总烃为表征）执行《挥发性有机物综合排放控制标准（试行）》（DB36/2186—2025）表1挥发性有机物有组织排放限值</w:t>
                  </w:r>
                  <w:r>
                    <w:rPr>
                      <w:rFonts w:hint="eastAsia" w:cs="Times New Roman"/>
                      <w:color w:val="auto"/>
                      <w:kern w:val="0"/>
                      <w:sz w:val="21"/>
                      <w:highlight w:val="none"/>
                      <w:lang w:val="en-US" w:eastAsia="zh-CN"/>
                    </w:rPr>
                    <w:t>。</w:t>
                  </w:r>
                </w:p>
              </w:tc>
            </w:tr>
            <w:tr w14:paraId="5B783A5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779" w:type="pct"/>
                  <w:tcBorders>
                    <w:tl2br w:val="nil"/>
                    <w:tr2bl w:val="nil"/>
                  </w:tcBorders>
                  <w:noWrap w:val="0"/>
                  <w:vAlign w:val="center"/>
                </w:tcPr>
                <w:p w14:paraId="6BC553DC">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firstLine="0" w:firstLineChars="0"/>
                    <w:jc w:val="center"/>
                    <w:textAlignment w:val="auto"/>
                    <w:rPr>
                      <w:rFonts w:hint="default" w:ascii="Times New Roman" w:hAnsi="Times New Roman" w:eastAsia="宋体" w:cs="Times New Roman"/>
                      <w:color w:val="auto"/>
                      <w:highlight w:val="none"/>
                      <w:lang w:val="en-US" w:eastAsia="zh-CN"/>
                    </w:rPr>
                  </w:pPr>
                  <w:r>
                    <w:rPr>
                      <w:rFonts w:hint="eastAsia" w:eastAsia="宋体" w:cs="Times New Roman"/>
                      <w:color w:val="auto"/>
                      <w:highlight w:val="none"/>
                      <w:lang w:val="en-US" w:eastAsia="zh-CN"/>
                    </w:rPr>
                    <w:t>厂房外</w:t>
                  </w:r>
                </w:p>
              </w:tc>
              <w:tc>
                <w:tcPr>
                  <w:tcW w:w="1075" w:type="pct"/>
                  <w:tcBorders>
                    <w:tl2br w:val="nil"/>
                    <w:tr2bl w:val="nil"/>
                  </w:tcBorders>
                  <w:noWrap w:val="0"/>
                  <w:vAlign w:val="center"/>
                </w:tcPr>
                <w:p w14:paraId="123D1B2B">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firstLine="0" w:firstLineChars="0"/>
                    <w:jc w:val="center"/>
                    <w:textAlignment w:val="auto"/>
                    <w:rPr>
                      <w:rFonts w:hint="eastAsia"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挥发性有机物（以非甲烷总烃为表征）</w:t>
                  </w:r>
                </w:p>
              </w:tc>
              <w:tc>
                <w:tcPr>
                  <w:tcW w:w="698" w:type="pct"/>
                  <w:tcBorders>
                    <w:tl2br w:val="nil"/>
                    <w:tr2bl w:val="nil"/>
                  </w:tcBorders>
                  <w:noWrap w:val="0"/>
                  <w:vAlign w:val="center"/>
                </w:tcPr>
                <w:p w14:paraId="4BF10F41">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firstLine="0" w:firstLineChars="0"/>
                    <w:jc w:val="center"/>
                    <w:textAlignment w:val="auto"/>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1次/</w:t>
                  </w:r>
                  <w:r>
                    <w:rPr>
                      <w:rFonts w:hint="default" w:ascii="Times New Roman" w:hAnsi="Times New Roman" w:eastAsia="宋体" w:cs="Times New Roman"/>
                      <w:color w:val="auto"/>
                      <w:highlight w:val="none"/>
                      <w:lang w:val="en-US" w:eastAsia="zh-CN"/>
                    </w:rPr>
                    <w:t>年</w:t>
                  </w:r>
                </w:p>
              </w:tc>
              <w:tc>
                <w:tcPr>
                  <w:tcW w:w="2447" w:type="pct"/>
                  <w:tcBorders>
                    <w:tl2br w:val="nil"/>
                    <w:tr2bl w:val="nil"/>
                  </w:tcBorders>
                  <w:noWrap w:val="0"/>
                  <w:vAlign w:val="center"/>
                </w:tcPr>
                <w:p w14:paraId="0D2D67B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firstLine="0" w:firstLineChars="0"/>
                    <w:jc w:val="center"/>
                    <w:textAlignment w:val="auto"/>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《挥发性有机物无组织排放控制标准》（GB 37822-2019）中表A.1中厂区内无组织排放限值</w:t>
                  </w:r>
                </w:p>
              </w:tc>
            </w:tr>
            <w:tr w14:paraId="1FAA6A4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3" w:hRule="atLeast"/>
                <w:jc w:val="center"/>
              </w:trPr>
              <w:tc>
                <w:tcPr>
                  <w:tcW w:w="779" w:type="pct"/>
                  <w:tcBorders>
                    <w:tl2br w:val="nil"/>
                    <w:tr2bl w:val="nil"/>
                  </w:tcBorders>
                  <w:noWrap w:val="0"/>
                  <w:vAlign w:val="center"/>
                </w:tcPr>
                <w:p w14:paraId="2A0EBDFD">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highlight w:val="none"/>
                    </w:rPr>
                    <w:t>厂</w:t>
                  </w:r>
                  <w:r>
                    <w:rPr>
                      <w:rFonts w:hint="eastAsia" w:eastAsia="宋体" w:cs="Times New Roman"/>
                      <w:color w:val="auto"/>
                      <w:highlight w:val="none"/>
                      <w:lang w:val="en-US" w:eastAsia="zh-CN"/>
                    </w:rPr>
                    <w:t>界</w:t>
                  </w:r>
                </w:p>
              </w:tc>
              <w:tc>
                <w:tcPr>
                  <w:tcW w:w="1075" w:type="pct"/>
                  <w:tcBorders>
                    <w:tl2br w:val="nil"/>
                    <w:tr2bl w:val="nil"/>
                  </w:tcBorders>
                  <w:noWrap w:val="0"/>
                  <w:vAlign w:val="center"/>
                </w:tcPr>
                <w:p w14:paraId="248B35DB">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非甲烷总烃</w:t>
                  </w:r>
                  <w:r>
                    <w:rPr>
                      <w:rFonts w:hint="eastAsia" w:eastAsia="宋体" w:cs="Times New Roman"/>
                      <w:color w:val="auto"/>
                      <w:highlight w:val="none"/>
                      <w:lang w:val="en-US" w:eastAsia="zh-CN"/>
                    </w:rPr>
                    <w:t>、臭气浓度、颗粒物、HCl</w:t>
                  </w:r>
                </w:p>
              </w:tc>
              <w:tc>
                <w:tcPr>
                  <w:tcW w:w="698" w:type="pct"/>
                  <w:tcBorders>
                    <w:tl2br w:val="nil"/>
                    <w:tr2bl w:val="nil"/>
                  </w:tcBorders>
                  <w:noWrap w:val="0"/>
                  <w:vAlign w:val="center"/>
                </w:tcPr>
                <w:p w14:paraId="4BA78C8D">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highlight w:val="none"/>
                    </w:rPr>
                    <w:t>1次/</w:t>
                  </w:r>
                  <w:r>
                    <w:rPr>
                      <w:rFonts w:hint="default" w:ascii="Times New Roman" w:hAnsi="Times New Roman" w:eastAsia="宋体" w:cs="Times New Roman"/>
                      <w:color w:val="auto"/>
                      <w:highlight w:val="none"/>
                      <w:lang w:val="en-US" w:eastAsia="zh-CN"/>
                    </w:rPr>
                    <w:t>年</w:t>
                  </w:r>
                </w:p>
              </w:tc>
              <w:tc>
                <w:tcPr>
                  <w:tcW w:w="2447" w:type="pct"/>
                  <w:tcBorders>
                    <w:tl2br w:val="nil"/>
                    <w:tr2bl w:val="nil"/>
                  </w:tcBorders>
                  <w:noWrap w:val="0"/>
                  <w:vAlign w:val="center"/>
                </w:tcPr>
                <w:p w14:paraId="1E2F772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eastAsia" w:eastAsia="宋体" w:cs="Times New Roman"/>
                      <w:color w:val="auto"/>
                      <w:highlight w:val="none"/>
                      <w:lang w:val="en-US" w:eastAsia="zh-CN"/>
                    </w:rPr>
                    <w:t>臭气浓度</w:t>
                  </w:r>
                  <w:r>
                    <w:rPr>
                      <w:rFonts w:hint="eastAsia" w:cs="Times New Roman"/>
                      <w:color w:val="auto"/>
                      <w:highlight w:val="none"/>
                      <w:lang w:val="en-US" w:eastAsia="zh-CN"/>
                    </w:rPr>
                    <w:t>执行</w:t>
                  </w:r>
                  <w:r>
                    <w:rPr>
                      <w:rFonts w:hint="eastAsia" w:eastAsia="宋体" w:cs="Times New Roman"/>
                      <w:color w:val="auto"/>
                      <w:highlight w:val="none"/>
                      <w:lang w:val="en-US" w:eastAsia="zh-CN"/>
                    </w:rPr>
                    <w:t>《恶臭污染物排放标准》（GB14554-93）表1恶臭污染物厂界标准值</w:t>
                  </w:r>
                  <w:r>
                    <w:rPr>
                      <w:rFonts w:hint="eastAsia" w:cs="Times New Roman"/>
                      <w:color w:val="auto"/>
                      <w:kern w:val="2"/>
                      <w:sz w:val="21"/>
                      <w:szCs w:val="24"/>
                      <w:highlight w:val="none"/>
                      <w:lang w:val="en-US" w:eastAsia="zh-CN" w:bidi="ar-SA"/>
                    </w:rPr>
                    <w:t>，</w:t>
                  </w:r>
                  <w:r>
                    <w:rPr>
                      <w:rFonts w:hint="default" w:ascii="Times New Roman" w:hAnsi="Times New Roman" w:eastAsia="宋体" w:cs="Times New Roman"/>
                      <w:color w:val="auto"/>
                      <w:highlight w:val="none"/>
                      <w:lang w:val="en-US" w:eastAsia="zh-CN"/>
                    </w:rPr>
                    <w:t>非甲烷总烃</w:t>
                  </w:r>
                  <w:r>
                    <w:rPr>
                      <w:rFonts w:hint="eastAsia" w:cs="Times New Roman"/>
                      <w:color w:val="auto"/>
                      <w:highlight w:val="none"/>
                      <w:lang w:val="en-US" w:eastAsia="zh-CN"/>
                    </w:rPr>
                    <w:t>、</w:t>
                  </w:r>
                  <w:r>
                    <w:rPr>
                      <w:rFonts w:hint="eastAsia" w:cs="Times New Roman"/>
                      <w:color w:val="auto"/>
                      <w:kern w:val="2"/>
                      <w:sz w:val="21"/>
                      <w:szCs w:val="24"/>
                      <w:highlight w:val="none"/>
                      <w:lang w:val="en-US" w:eastAsia="zh-CN" w:bidi="ar-SA"/>
                    </w:rPr>
                    <w:t>氯化氢、颗粒物执行《大气污染物综合排放标准》（GB16297-1996）表2中的新污染源大气污染物排放限值，2026年7月1日起</w:t>
                  </w:r>
                  <w:r>
                    <w:rPr>
                      <w:rFonts w:hint="eastAsia" w:cs="Times New Roman"/>
                      <w:color w:val="auto"/>
                      <w:highlight w:val="none"/>
                      <w:lang w:val="en-US" w:eastAsia="zh-CN"/>
                    </w:rPr>
                    <w:t>非甲烷总烃为表征执行《挥发性有机物综合排放控制标准（试行）》（DB36/2186—2025）表3企业边界挥发性有机物无组织排放限值</w:t>
                  </w:r>
                </w:p>
              </w:tc>
            </w:tr>
          </w:tbl>
          <w:p w14:paraId="25C36B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40" w:firstLineChars="200"/>
              <w:textAlignment w:val="auto"/>
              <w:rPr>
                <w:rFonts w:hint="default" w:ascii="Times New Roman" w:hAnsi="Times New Roman" w:eastAsia="宋体" w:cs="Times New Roman"/>
                <w:bCs/>
                <w:color w:val="auto"/>
                <w:spacing w:val="-10"/>
                <w:sz w:val="24"/>
                <w:szCs w:val="21"/>
                <w:highlight w:val="none"/>
                <w:lang w:val="en-US" w:eastAsia="zh-CN"/>
              </w:rPr>
            </w:pPr>
          </w:p>
        </w:tc>
      </w:tr>
    </w:tbl>
    <w:p w14:paraId="176674FB">
      <w:pPr>
        <w:rPr>
          <w:rFonts w:hint="default"/>
          <w:color w:val="auto"/>
          <w:highlight w:val="none"/>
        </w:rPr>
        <w:sectPr>
          <w:pgSz w:w="11907" w:h="16840"/>
          <w:pgMar w:top="1701" w:right="1417" w:bottom="2127" w:left="1417" w:header="851" w:footer="851" w:gutter="0"/>
          <w:pgBorders>
            <w:top w:val="none" w:sz="0" w:space="0"/>
            <w:left w:val="none" w:sz="0" w:space="0"/>
            <w:bottom w:val="none" w:sz="0" w:space="0"/>
            <w:right w:val="none" w:sz="0" w:space="0"/>
          </w:pgBorders>
          <w:pgNumType w:fmt="decimal"/>
          <w:cols w:space="720" w:num="1"/>
          <w:docGrid w:linePitch="312" w:charSpace="0"/>
        </w:sectPr>
      </w:pPr>
    </w:p>
    <w:tbl>
      <w:tblPr>
        <w:tblStyle w:val="26"/>
        <w:tblW w:w="5027"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324"/>
        <w:gridCol w:w="13665"/>
      </w:tblGrid>
      <w:tr w14:paraId="5A9546C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trHeight w:val="8571" w:hRule="atLeast"/>
          <w:jc w:val="center"/>
        </w:trPr>
        <w:tc>
          <w:tcPr>
            <w:tcW w:w="116" w:type="pct"/>
            <w:tcMar>
              <w:left w:w="28" w:type="dxa"/>
              <w:right w:w="28" w:type="dxa"/>
            </w:tcMar>
            <w:vAlign w:val="center"/>
          </w:tcPr>
          <w:p w14:paraId="1B4B8954">
            <w:pPr>
              <w:keepNext w:val="0"/>
              <w:keepLines w:val="0"/>
              <w:widowControl/>
              <w:suppressLineNumbers w:val="0"/>
              <w:bidi w:val="0"/>
              <w:spacing w:before="0" w:beforeAutospacing="0" w:after="0" w:afterAutospacing="0" w:line="240" w:lineRule="auto"/>
              <w:ind w:left="0" w:right="0" w:firstLine="0" w:firstLineChars="0"/>
              <w:jc w:val="center"/>
              <w:rPr>
                <w:rFonts w:hint="default" w:ascii="Times New Roman" w:hAnsi="Times New Roman" w:eastAsia="宋体" w:cs="Times New Roman"/>
                <w:b/>
                <w:bCs/>
                <w:color w:val="auto"/>
                <w:kern w:val="0"/>
                <w:sz w:val="24"/>
                <w:szCs w:val="20"/>
                <w:highlight w:val="none"/>
                <w:lang w:val="en-US" w:eastAsia="zh-CN" w:bidi="ar-SA"/>
              </w:rPr>
            </w:pPr>
            <w:r>
              <w:rPr>
                <w:rFonts w:hint="eastAsia" w:ascii="Times New Roman" w:hAnsi="Times New Roman" w:eastAsia="宋体" w:cs="Times New Roman"/>
                <w:b/>
                <w:bCs/>
                <w:color w:val="auto"/>
                <w:kern w:val="0"/>
                <w:sz w:val="24"/>
                <w:szCs w:val="20"/>
                <w:highlight w:val="none"/>
                <w:lang w:val="en-US" w:eastAsia="zh-CN" w:bidi="ar-SA"/>
              </w:rPr>
              <w:t>运营</w:t>
            </w:r>
            <w:r>
              <w:rPr>
                <w:rFonts w:hint="default" w:ascii="Times New Roman" w:hAnsi="Times New Roman" w:eastAsia="宋体" w:cs="Times New Roman"/>
                <w:b/>
                <w:bCs/>
                <w:color w:val="auto"/>
                <w:kern w:val="0"/>
                <w:sz w:val="24"/>
                <w:szCs w:val="20"/>
                <w:highlight w:val="none"/>
                <w:lang w:val="en-US" w:eastAsia="zh-CN" w:bidi="ar-SA"/>
              </w:rPr>
              <w:t>期</w:t>
            </w:r>
          </w:p>
          <w:p w14:paraId="69559152">
            <w:pPr>
              <w:keepNext w:val="0"/>
              <w:keepLines w:val="0"/>
              <w:widowControl/>
              <w:suppressLineNumbers w:val="0"/>
              <w:bidi w:val="0"/>
              <w:spacing w:before="0" w:beforeAutospacing="0" w:after="0" w:afterAutospacing="0" w:line="240" w:lineRule="auto"/>
              <w:ind w:left="0" w:right="0" w:firstLine="0" w:firstLineChars="0"/>
              <w:jc w:val="center"/>
              <w:rPr>
                <w:rFonts w:hint="default" w:ascii="Times New Roman" w:hAnsi="Times New Roman" w:eastAsia="宋体" w:cs="Times New Roman"/>
                <w:b/>
                <w:bCs/>
                <w:color w:val="auto"/>
                <w:kern w:val="0"/>
                <w:sz w:val="24"/>
                <w:szCs w:val="20"/>
                <w:highlight w:val="none"/>
                <w:lang w:val="en-US" w:eastAsia="zh-CN" w:bidi="ar-SA"/>
              </w:rPr>
            </w:pPr>
            <w:r>
              <w:rPr>
                <w:rFonts w:hint="default" w:ascii="Times New Roman" w:hAnsi="Times New Roman" w:eastAsia="宋体" w:cs="Times New Roman"/>
                <w:b/>
                <w:bCs/>
                <w:color w:val="auto"/>
                <w:kern w:val="0"/>
                <w:sz w:val="24"/>
                <w:szCs w:val="20"/>
                <w:highlight w:val="none"/>
                <w:lang w:val="en-US" w:eastAsia="zh-CN" w:bidi="ar-SA"/>
              </w:rPr>
              <w:t>环</w:t>
            </w:r>
          </w:p>
          <w:p w14:paraId="568F2627">
            <w:pPr>
              <w:keepNext w:val="0"/>
              <w:keepLines w:val="0"/>
              <w:widowControl/>
              <w:suppressLineNumbers w:val="0"/>
              <w:bidi w:val="0"/>
              <w:spacing w:before="0" w:beforeAutospacing="0" w:after="0" w:afterAutospacing="0" w:line="240" w:lineRule="auto"/>
              <w:ind w:left="0" w:right="0" w:firstLine="0" w:firstLineChars="0"/>
              <w:jc w:val="center"/>
              <w:rPr>
                <w:rFonts w:hint="default" w:ascii="Times New Roman" w:hAnsi="Times New Roman" w:eastAsia="宋体" w:cs="Times New Roman"/>
                <w:b/>
                <w:bCs/>
                <w:color w:val="auto"/>
                <w:kern w:val="0"/>
                <w:sz w:val="24"/>
                <w:szCs w:val="20"/>
                <w:highlight w:val="none"/>
                <w:lang w:val="en-US" w:eastAsia="zh-CN" w:bidi="ar-SA"/>
              </w:rPr>
            </w:pPr>
            <w:r>
              <w:rPr>
                <w:rFonts w:hint="default" w:ascii="Times New Roman" w:hAnsi="Times New Roman" w:eastAsia="宋体" w:cs="Times New Roman"/>
                <w:b/>
                <w:bCs/>
                <w:color w:val="auto"/>
                <w:kern w:val="0"/>
                <w:sz w:val="24"/>
                <w:szCs w:val="20"/>
                <w:highlight w:val="none"/>
                <w:lang w:val="en-US" w:eastAsia="zh-CN" w:bidi="ar-SA"/>
              </w:rPr>
              <w:t>境</w:t>
            </w:r>
          </w:p>
          <w:p w14:paraId="5D3A6259">
            <w:pPr>
              <w:keepNext w:val="0"/>
              <w:keepLines w:val="0"/>
              <w:widowControl/>
              <w:suppressLineNumbers w:val="0"/>
              <w:bidi w:val="0"/>
              <w:spacing w:before="0" w:beforeAutospacing="0" w:after="0" w:afterAutospacing="0" w:line="240" w:lineRule="auto"/>
              <w:ind w:left="0" w:right="0" w:firstLine="0" w:firstLineChars="0"/>
              <w:jc w:val="center"/>
              <w:rPr>
                <w:rFonts w:hint="default" w:ascii="Times New Roman" w:hAnsi="Times New Roman" w:eastAsia="宋体" w:cs="Times New Roman"/>
                <w:b/>
                <w:bCs/>
                <w:color w:val="auto"/>
                <w:kern w:val="0"/>
                <w:sz w:val="24"/>
                <w:szCs w:val="20"/>
                <w:highlight w:val="none"/>
                <w:lang w:val="en-US" w:eastAsia="zh-CN" w:bidi="ar-SA"/>
              </w:rPr>
            </w:pPr>
            <w:r>
              <w:rPr>
                <w:rFonts w:hint="default" w:ascii="Times New Roman" w:hAnsi="Times New Roman" w:eastAsia="宋体" w:cs="Times New Roman"/>
                <w:b/>
                <w:bCs/>
                <w:color w:val="auto"/>
                <w:kern w:val="0"/>
                <w:sz w:val="24"/>
                <w:szCs w:val="20"/>
                <w:highlight w:val="none"/>
                <w:lang w:val="en-US" w:eastAsia="zh-CN" w:bidi="ar-SA"/>
              </w:rPr>
              <w:t>保</w:t>
            </w:r>
          </w:p>
          <w:p w14:paraId="2DBDF1EB">
            <w:pPr>
              <w:keepNext w:val="0"/>
              <w:keepLines w:val="0"/>
              <w:widowControl/>
              <w:suppressLineNumbers w:val="0"/>
              <w:bidi w:val="0"/>
              <w:spacing w:before="0" w:beforeAutospacing="0" w:after="0" w:afterAutospacing="0" w:line="240" w:lineRule="auto"/>
              <w:ind w:left="0" w:right="0" w:firstLine="0" w:firstLineChars="0"/>
              <w:jc w:val="center"/>
              <w:rPr>
                <w:rFonts w:hint="default" w:ascii="Times New Roman" w:hAnsi="Times New Roman" w:eastAsia="宋体" w:cs="Times New Roman"/>
                <w:b/>
                <w:bCs/>
                <w:color w:val="auto"/>
                <w:kern w:val="0"/>
                <w:sz w:val="24"/>
                <w:szCs w:val="20"/>
                <w:highlight w:val="none"/>
                <w:lang w:val="en-US" w:eastAsia="zh-CN" w:bidi="ar-SA"/>
              </w:rPr>
            </w:pPr>
            <w:r>
              <w:rPr>
                <w:rFonts w:hint="default" w:ascii="Times New Roman" w:hAnsi="Times New Roman" w:eastAsia="宋体" w:cs="Times New Roman"/>
                <w:b/>
                <w:bCs/>
                <w:color w:val="auto"/>
                <w:kern w:val="0"/>
                <w:sz w:val="24"/>
                <w:szCs w:val="20"/>
                <w:highlight w:val="none"/>
                <w:lang w:val="en-US" w:eastAsia="zh-CN" w:bidi="ar-SA"/>
              </w:rPr>
              <w:t>护</w:t>
            </w:r>
          </w:p>
          <w:p w14:paraId="0EAA1B7D">
            <w:pPr>
              <w:keepNext w:val="0"/>
              <w:keepLines w:val="0"/>
              <w:widowControl/>
              <w:suppressLineNumbers w:val="0"/>
              <w:bidi w:val="0"/>
              <w:spacing w:before="0" w:beforeAutospacing="0" w:after="0" w:afterAutospacing="0" w:line="240" w:lineRule="auto"/>
              <w:ind w:left="0" w:right="0" w:firstLine="0" w:firstLineChars="0"/>
              <w:jc w:val="center"/>
              <w:rPr>
                <w:rFonts w:hint="default" w:ascii="Times New Roman" w:hAnsi="Times New Roman" w:eastAsia="宋体" w:cs="Times New Roman"/>
                <w:b/>
                <w:bCs/>
                <w:color w:val="auto"/>
                <w:kern w:val="0"/>
                <w:sz w:val="24"/>
                <w:szCs w:val="20"/>
                <w:highlight w:val="none"/>
                <w:lang w:val="en-US" w:eastAsia="zh-CN" w:bidi="ar-SA"/>
              </w:rPr>
            </w:pPr>
            <w:r>
              <w:rPr>
                <w:rFonts w:hint="default" w:ascii="Times New Roman" w:hAnsi="Times New Roman" w:eastAsia="宋体" w:cs="Times New Roman"/>
                <w:b/>
                <w:bCs/>
                <w:color w:val="auto"/>
                <w:kern w:val="0"/>
                <w:sz w:val="24"/>
                <w:szCs w:val="20"/>
                <w:highlight w:val="none"/>
                <w:lang w:val="en-US" w:eastAsia="zh-CN" w:bidi="ar-SA"/>
              </w:rPr>
              <w:t>措</w:t>
            </w:r>
          </w:p>
          <w:p w14:paraId="02265B98">
            <w:pPr>
              <w:keepNext w:val="0"/>
              <w:keepLines w:val="0"/>
              <w:widowControl/>
              <w:suppressLineNumbers w:val="0"/>
              <w:bidi w:val="0"/>
              <w:spacing w:before="0" w:beforeAutospacing="0" w:after="0" w:afterAutospacing="0" w:line="240" w:lineRule="auto"/>
              <w:ind w:left="0" w:right="0" w:firstLine="0" w:firstLineChars="0"/>
              <w:jc w:val="center"/>
              <w:rPr>
                <w:rFonts w:hint="default" w:ascii="Times New Roman" w:hAnsi="Times New Roman" w:eastAsia="宋体" w:cs="Times New Roman"/>
                <w:b/>
                <w:bCs/>
                <w:color w:val="auto"/>
                <w:kern w:val="2"/>
                <w:sz w:val="24"/>
                <w:szCs w:val="21"/>
                <w:highlight w:val="none"/>
                <w:lang w:val="en-US" w:eastAsia="zh-CN" w:bidi="ar-SA"/>
              </w:rPr>
            </w:pPr>
            <w:r>
              <w:rPr>
                <w:rFonts w:hint="default" w:ascii="Times New Roman" w:hAnsi="Times New Roman" w:eastAsia="宋体" w:cs="Times New Roman"/>
                <w:b/>
                <w:bCs/>
                <w:color w:val="auto"/>
                <w:kern w:val="0"/>
                <w:sz w:val="24"/>
                <w:szCs w:val="20"/>
                <w:highlight w:val="none"/>
                <w:lang w:val="en-US" w:eastAsia="zh-CN" w:bidi="ar-SA"/>
              </w:rPr>
              <w:t>施</w:t>
            </w:r>
          </w:p>
        </w:tc>
        <w:tc>
          <w:tcPr>
            <w:tcW w:w="4883" w:type="pct"/>
            <w:vAlign w:val="top"/>
          </w:tcPr>
          <w:p w14:paraId="5CD01C8B">
            <w:pPr>
              <w:keepNext w:val="0"/>
              <w:keepLines w:val="0"/>
              <w:suppressLineNumbers w:val="0"/>
              <w:adjustRightInd w:val="0"/>
              <w:snapToGrid w:val="0"/>
              <w:spacing w:before="0" w:beforeAutospacing="0" w:after="0" w:afterAutospacing="0" w:line="360" w:lineRule="auto"/>
              <w:ind w:left="0" w:right="0" w:firstLine="482" w:firstLineChars="200"/>
              <w:jc w:val="both"/>
              <w:rPr>
                <w:rFonts w:hint="default"/>
                <w:b/>
                <w:bCs/>
                <w:color w:val="auto"/>
                <w:sz w:val="24"/>
                <w:highlight w:val="none"/>
              </w:rPr>
            </w:pPr>
            <w:r>
              <w:rPr>
                <w:rFonts w:hint="eastAsia" w:ascii="Times New Roman" w:eastAsia="宋体"/>
                <w:b/>
                <w:bCs/>
                <w:color w:val="auto"/>
                <w:sz w:val="24"/>
                <w:highlight w:val="none"/>
                <w:lang w:val="en-US" w:eastAsia="zh-CN"/>
              </w:rPr>
              <w:t>2、</w:t>
            </w:r>
            <w:r>
              <w:rPr>
                <w:rFonts w:hint="default"/>
                <w:b/>
                <w:bCs/>
                <w:color w:val="auto"/>
                <w:sz w:val="24"/>
                <w:highlight w:val="none"/>
              </w:rPr>
              <w:t>废水</w:t>
            </w:r>
          </w:p>
          <w:p w14:paraId="018FD08D">
            <w:pPr>
              <w:keepNext w:val="0"/>
              <w:keepLines w:val="0"/>
              <w:suppressLineNumbers w:val="0"/>
              <w:adjustRightInd w:val="0"/>
              <w:snapToGrid w:val="0"/>
              <w:spacing w:before="0" w:beforeAutospacing="0" w:after="0" w:afterAutospacing="0" w:line="360" w:lineRule="auto"/>
              <w:ind w:left="0" w:right="0" w:firstLine="480" w:firstLineChars="200"/>
              <w:jc w:val="both"/>
              <w:rPr>
                <w:rFonts w:hint="default"/>
                <w:color w:val="auto"/>
                <w:sz w:val="24"/>
                <w:highlight w:val="none"/>
              </w:rPr>
            </w:pPr>
            <w:r>
              <w:rPr>
                <w:rFonts w:hint="eastAsia" w:eastAsia="宋体"/>
                <w:color w:val="auto"/>
                <w:sz w:val="24"/>
                <w:highlight w:val="none"/>
                <w:lang w:eastAsia="zh-CN"/>
              </w:rPr>
              <w:t>（</w:t>
            </w:r>
            <w:r>
              <w:rPr>
                <w:rFonts w:hint="eastAsia" w:ascii="Times New Roman" w:eastAsia="宋体"/>
                <w:color w:val="auto"/>
                <w:sz w:val="24"/>
                <w:highlight w:val="none"/>
                <w:lang w:val="en-US" w:eastAsia="zh-CN"/>
              </w:rPr>
              <w:t>1</w:t>
            </w:r>
            <w:r>
              <w:rPr>
                <w:rFonts w:hint="eastAsia" w:eastAsia="宋体"/>
                <w:color w:val="auto"/>
                <w:sz w:val="24"/>
                <w:highlight w:val="none"/>
                <w:lang w:eastAsia="zh-CN"/>
              </w:rPr>
              <w:t>）</w:t>
            </w:r>
            <w:r>
              <w:rPr>
                <w:rFonts w:hint="default"/>
                <w:color w:val="auto"/>
                <w:sz w:val="24"/>
                <w:highlight w:val="none"/>
              </w:rPr>
              <w:t>废水污染源情况</w:t>
            </w:r>
          </w:p>
          <w:p w14:paraId="324AA782">
            <w:pPr>
              <w:keepNext w:val="0"/>
              <w:keepLines w:val="0"/>
              <w:suppressLineNumbers w:val="0"/>
              <w:adjustRightInd w:val="0"/>
              <w:snapToGrid w:val="0"/>
              <w:spacing w:before="0" w:beforeAutospacing="0" w:after="0" w:afterAutospacing="0" w:line="360" w:lineRule="auto"/>
              <w:ind w:left="0" w:right="0" w:firstLine="480" w:firstLineChars="200"/>
              <w:jc w:val="both"/>
              <w:rPr>
                <w:rFonts w:hint="default"/>
                <w:color w:val="auto"/>
                <w:sz w:val="24"/>
                <w:highlight w:val="none"/>
                <w:lang w:val="en-US"/>
              </w:rPr>
            </w:pPr>
            <w:r>
              <w:rPr>
                <w:rFonts w:hint="default"/>
                <w:color w:val="auto"/>
                <w:sz w:val="24"/>
                <w:highlight w:val="none"/>
                <w:lang w:val="en-US" w:eastAsia="zh-CN"/>
              </w:rPr>
              <w:t>本项目废水污染源产排情况见表</w:t>
            </w:r>
            <w:r>
              <w:rPr>
                <w:rFonts w:hint="eastAsia"/>
                <w:color w:val="auto"/>
                <w:sz w:val="24"/>
                <w:highlight w:val="none"/>
                <w:lang w:val="en-US" w:eastAsia="zh-CN"/>
              </w:rPr>
              <w:t>4-8。</w:t>
            </w:r>
          </w:p>
          <w:p w14:paraId="626454A0">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18"/>
                <w:szCs w:val="18"/>
                <w:highlight w:val="none"/>
                <w:lang w:val="en-US" w:eastAsia="zh-CN" w:bidi="ar-SA"/>
              </w:rPr>
            </w:pPr>
            <w:r>
              <w:rPr>
                <w:rFonts w:hint="default" w:ascii="Times New Roman" w:hAnsi="Times New Roman" w:eastAsia="宋体" w:cs="Times New Roman"/>
                <w:b/>
                <w:bCs/>
                <w:color w:val="auto"/>
                <w:kern w:val="2"/>
                <w:sz w:val="21"/>
                <w:szCs w:val="21"/>
                <w:highlight w:val="none"/>
                <w:lang w:val="en-US" w:eastAsia="zh-CN" w:bidi="ar-SA"/>
              </w:rPr>
              <w:t>表</w:t>
            </w:r>
            <w:r>
              <w:rPr>
                <w:rFonts w:hint="eastAsia" w:ascii="Times New Roman" w:hAnsi="Times New Roman" w:eastAsia="宋体" w:cs="Times New Roman"/>
                <w:b/>
                <w:bCs/>
                <w:color w:val="auto"/>
                <w:kern w:val="2"/>
                <w:sz w:val="21"/>
                <w:szCs w:val="21"/>
                <w:highlight w:val="none"/>
                <w:lang w:val="en-US" w:eastAsia="zh-CN" w:bidi="ar-SA"/>
              </w:rPr>
              <w:t>4-</w:t>
            </w:r>
            <w:r>
              <w:rPr>
                <w:rFonts w:hint="eastAsia" w:cs="Times New Roman"/>
                <w:b/>
                <w:bCs/>
                <w:color w:val="auto"/>
                <w:kern w:val="2"/>
                <w:sz w:val="21"/>
                <w:szCs w:val="21"/>
                <w:highlight w:val="none"/>
                <w:lang w:val="en-US" w:eastAsia="zh-CN" w:bidi="ar-SA"/>
              </w:rPr>
              <w:t xml:space="preserve">8 </w:t>
            </w:r>
            <w:r>
              <w:rPr>
                <w:rFonts w:hint="eastAsia" w:ascii="Times New Roman" w:hAnsi="Times New Roman" w:eastAsia="宋体" w:cs="Times New Roman"/>
                <w:b/>
                <w:bCs/>
                <w:color w:val="auto"/>
                <w:kern w:val="2"/>
                <w:sz w:val="21"/>
                <w:szCs w:val="21"/>
                <w:highlight w:val="none"/>
                <w:lang w:val="en-US" w:eastAsia="zh-CN" w:bidi="ar-SA"/>
              </w:rPr>
              <w:t xml:space="preserve"> </w:t>
            </w:r>
            <w:r>
              <w:rPr>
                <w:rFonts w:hint="default" w:ascii="Times New Roman" w:hAnsi="Times New Roman" w:eastAsia="宋体" w:cs="Times New Roman"/>
                <w:b/>
                <w:bCs/>
                <w:color w:val="auto"/>
                <w:kern w:val="2"/>
                <w:sz w:val="21"/>
                <w:szCs w:val="21"/>
                <w:highlight w:val="none"/>
                <w:lang w:val="en-US" w:eastAsia="zh-CN" w:bidi="ar-SA"/>
              </w:rPr>
              <w:t>废水污染源产生、排放汇总表</w:t>
            </w:r>
            <w:r>
              <w:rPr>
                <w:rFonts w:hint="eastAsia" w:cs="Times New Roman"/>
                <w:b/>
                <w:bCs/>
                <w:color w:val="auto"/>
                <w:kern w:val="2"/>
                <w:sz w:val="21"/>
                <w:szCs w:val="21"/>
                <w:highlight w:val="none"/>
                <w:lang w:val="en-US" w:eastAsia="zh-CN" w:bidi="ar-SA"/>
              </w:rPr>
              <w:t>（pH无量纲）</w:t>
            </w:r>
          </w:p>
          <w:tbl>
            <w:tblPr>
              <w:tblStyle w:val="26"/>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78"/>
              <w:gridCol w:w="457"/>
              <w:gridCol w:w="748"/>
              <w:gridCol w:w="676"/>
              <w:gridCol w:w="599"/>
              <w:gridCol w:w="636"/>
              <w:gridCol w:w="616"/>
              <w:gridCol w:w="498"/>
              <w:gridCol w:w="509"/>
              <w:gridCol w:w="458"/>
              <w:gridCol w:w="498"/>
              <w:gridCol w:w="676"/>
              <w:gridCol w:w="599"/>
              <w:gridCol w:w="636"/>
              <w:gridCol w:w="455"/>
              <w:gridCol w:w="630"/>
              <w:gridCol w:w="979"/>
              <w:gridCol w:w="864"/>
              <w:gridCol w:w="477"/>
              <w:gridCol w:w="1361"/>
              <w:gridCol w:w="599"/>
            </w:tblGrid>
            <w:tr w14:paraId="2C12580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vAlign w:val="center"/>
                </w:tcPr>
                <w:p w14:paraId="514650C2">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18"/>
                      <w:szCs w:val="18"/>
                      <w:highlight w:val="none"/>
                      <w:lang w:val="en-US" w:eastAsia="zh-CN" w:bidi="ar-SA"/>
                    </w:rPr>
                  </w:pPr>
                  <w:r>
                    <w:rPr>
                      <w:rFonts w:hint="default" w:ascii="Times New Roman" w:hAnsi="Times New Roman" w:eastAsia="宋体" w:cs="Times New Roman"/>
                      <w:b/>
                      <w:bCs/>
                      <w:color w:val="auto"/>
                      <w:kern w:val="2"/>
                      <w:sz w:val="18"/>
                      <w:szCs w:val="18"/>
                      <w:highlight w:val="none"/>
                      <w:lang w:val="en-US" w:eastAsia="zh-CN" w:bidi="ar-SA"/>
                    </w:rPr>
                    <w:t>产排污环节</w:t>
                  </w:r>
                </w:p>
              </w:tc>
              <w:tc>
                <w:tcPr>
                  <w:tcW w:w="0" w:type="auto"/>
                  <w:vMerge w:val="restart"/>
                  <w:vAlign w:val="center"/>
                </w:tcPr>
                <w:p w14:paraId="13DF66B2">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18"/>
                      <w:szCs w:val="18"/>
                      <w:highlight w:val="none"/>
                      <w:lang w:val="en-US" w:eastAsia="zh-CN" w:bidi="ar-SA"/>
                    </w:rPr>
                  </w:pPr>
                  <w:r>
                    <w:rPr>
                      <w:rFonts w:hint="default" w:ascii="Times New Roman" w:hAnsi="Times New Roman" w:eastAsia="宋体" w:cs="Times New Roman"/>
                      <w:b/>
                      <w:bCs/>
                      <w:color w:val="auto"/>
                      <w:kern w:val="2"/>
                      <w:sz w:val="18"/>
                      <w:szCs w:val="18"/>
                      <w:highlight w:val="none"/>
                      <w:lang w:val="en-US" w:eastAsia="zh-CN" w:bidi="ar-SA"/>
                    </w:rPr>
                    <w:t>类别</w:t>
                  </w:r>
                </w:p>
              </w:tc>
              <w:tc>
                <w:tcPr>
                  <w:tcW w:w="0" w:type="auto"/>
                  <w:vMerge w:val="restart"/>
                  <w:vAlign w:val="center"/>
                </w:tcPr>
                <w:p w14:paraId="17427E95">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18"/>
                      <w:szCs w:val="18"/>
                      <w:highlight w:val="none"/>
                      <w:lang w:val="en-US" w:eastAsia="zh-CN" w:bidi="ar-SA"/>
                    </w:rPr>
                  </w:pPr>
                  <w:r>
                    <w:rPr>
                      <w:rFonts w:hint="default" w:ascii="Times New Roman" w:hAnsi="Times New Roman" w:eastAsia="宋体" w:cs="Times New Roman"/>
                      <w:b/>
                      <w:bCs/>
                      <w:color w:val="auto"/>
                      <w:kern w:val="2"/>
                      <w:sz w:val="18"/>
                      <w:szCs w:val="18"/>
                      <w:highlight w:val="none"/>
                      <w:lang w:val="en-US" w:eastAsia="zh-CN" w:bidi="ar-SA"/>
                    </w:rPr>
                    <w:t>污染物</w:t>
                  </w:r>
                </w:p>
                <w:p w14:paraId="3A50A21F">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18"/>
                      <w:szCs w:val="18"/>
                      <w:highlight w:val="none"/>
                      <w:lang w:val="en-US" w:eastAsia="zh-CN" w:bidi="ar-SA"/>
                    </w:rPr>
                  </w:pPr>
                  <w:r>
                    <w:rPr>
                      <w:rFonts w:hint="default" w:ascii="Times New Roman" w:hAnsi="Times New Roman" w:eastAsia="宋体" w:cs="Times New Roman"/>
                      <w:b/>
                      <w:bCs/>
                      <w:color w:val="auto"/>
                      <w:kern w:val="2"/>
                      <w:sz w:val="18"/>
                      <w:szCs w:val="18"/>
                      <w:highlight w:val="none"/>
                      <w:lang w:val="en-US" w:eastAsia="zh-CN" w:bidi="ar-SA"/>
                    </w:rPr>
                    <w:t>种类</w:t>
                  </w:r>
                </w:p>
              </w:tc>
              <w:tc>
                <w:tcPr>
                  <w:tcW w:w="0" w:type="auto"/>
                  <w:gridSpan w:val="3"/>
                  <w:vAlign w:val="center"/>
                </w:tcPr>
                <w:p w14:paraId="0B1F8144">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18"/>
                      <w:szCs w:val="18"/>
                      <w:highlight w:val="none"/>
                      <w:lang w:val="en-US" w:eastAsia="zh-CN" w:bidi="ar-SA"/>
                    </w:rPr>
                  </w:pPr>
                  <w:r>
                    <w:rPr>
                      <w:rFonts w:hint="default" w:ascii="Times New Roman" w:hAnsi="Times New Roman" w:eastAsia="宋体" w:cs="Times New Roman"/>
                      <w:b/>
                      <w:bCs/>
                      <w:color w:val="auto"/>
                      <w:kern w:val="2"/>
                      <w:sz w:val="18"/>
                      <w:szCs w:val="18"/>
                      <w:highlight w:val="none"/>
                      <w:lang w:val="en-US" w:eastAsia="zh-CN" w:bidi="ar-SA"/>
                    </w:rPr>
                    <w:t>污染物产生量和浓度</w:t>
                  </w:r>
                </w:p>
              </w:tc>
              <w:tc>
                <w:tcPr>
                  <w:tcW w:w="0" w:type="auto"/>
                  <w:gridSpan w:val="5"/>
                  <w:vAlign w:val="center"/>
                </w:tcPr>
                <w:p w14:paraId="2BAD0603">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18"/>
                      <w:szCs w:val="18"/>
                      <w:highlight w:val="none"/>
                      <w:lang w:val="en-US" w:eastAsia="zh-CN" w:bidi="ar-SA"/>
                    </w:rPr>
                  </w:pPr>
                  <w:r>
                    <w:rPr>
                      <w:rFonts w:hint="default" w:ascii="Times New Roman" w:hAnsi="Times New Roman" w:eastAsia="宋体" w:cs="Times New Roman"/>
                      <w:b/>
                      <w:bCs/>
                      <w:color w:val="auto"/>
                      <w:kern w:val="2"/>
                      <w:sz w:val="18"/>
                      <w:szCs w:val="18"/>
                      <w:highlight w:val="none"/>
                      <w:lang w:val="en-US" w:eastAsia="zh-CN" w:bidi="ar-SA"/>
                    </w:rPr>
                    <w:t>污染治理设施</w:t>
                  </w:r>
                </w:p>
              </w:tc>
              <w:tc>
                <w:tcPr>
                  <w:tcW w:w="0" w:type="auto"/>
                  <w:gridSpan w:val="3"/>
                  <w:vAlign w:val="center"/>
                </w:tcPr>
                <w:p w14:paraId="4F4D746B">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18"/>
                      <w:szCs w:val="18"/>
                      <w:highlight w:val="none"/>
                      <w:lang w:val="en-US" w:eastAsia="zh-CN" w:bidi="ar-SA"/>
                    </w:rPr>
                  </w:pPr>
                  <w:r>
                    <w:rPr>
                      <w:rFonts w:hint="default" w:ascii="Times New Roman" w:hAnsi="Times New Roman" w:eastAsia="宋体" w:cs="Times New Roman"/>
                      <w:b/>
                      <w:bCs/>
                      <w:color w:val="auto"/>
                      <w:kern w:val="2"/>
                      <w:sz w:val="18"/>
                      <w:szCs w:val="18"/>
                      <w:highlight w:val="none"/>
                      <w:lang w:val="en-US" w:eastAsia="zh-CN" w:bidi="ar-SA"/>
                    </w:rPr>
                    <w:t>污染物排放量和浓度</w:t>
                  </w:r>
                </w:p>
              </w:tc>
              <w:tc>
                <w:tcPr>
                  <w:tcW w:w="0" w:type="auto"/>
                  <w:gridSpan w:val="6"/>
                  <w:vAlign w:val="center"/>
                </w:tcPr>
                <w:p w14:paraId="0441A909">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18"/>
                      <w:szCs w:val="18"/>
                      <w:highlight w:val="none"/>
                      <w:lang w:val="en-US" w:eastAsia="zh-CN" w:bidi="ar-SA"/>
                    </w:rPr>
                  </w:pPr>
                  <w:r>
                    <w:rPr>
                      <w:rFonts w:hint="default" w:ascii="Times New Roman" w:hAnsi="Times New Roman" w:eastAsia="宋体" w:cs="Times New Roman"/>
                      <w:b/>
                      <w:bCs/>
                      <w:color w:val="auto"/>
                      <w:kern w:val="2"/>
                      <w:sz w:val="18"/>
                      <w:szCs w:val="18"/>
                      <w:highlight w:val="none"/>
                      <w:lang w:val="en-US" w:eastAsia="zh-CN" w:bidi="ar-SA"/>
                    </w:rPr>
                    <w:t>排放口基本情况</w:t>
                  </w:r>
                </w:p>
              </w:tc>
              <w:tc>
                <w:tcPr>
                  <w:tcW w:w="0" w:type="auto"/>
                  <w:vAlign w:val="center"/>
                </w:tcPr>
                <w:p w14:paraId="2DD69EB6">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18"/>
                      <w:szCs w:val="18"/>
                      <w:highlight w:val="none"/>
                      <w:lang w:val="en-US" w:eastAsia="zh-CN" w:bidi="ar-SA"/>
                    </w:rPr>
                  </w:pPr>
                  <w:r>
                    <w:rPr>
                      <w:rFonts w:hint="default" w:ascii="Times New Roman" w:hAnsi="Times New Roman" w:eastAsia="宋体" w:cs="Times New Roman"/>
                      <w:b/>
                      <w:bCs/>
                      <w:color w:val="auto"/>
                      <w:kern w:val="2"/>
                      <w:sz w:val="18"/>
                      <w:szCs w:val="18"/>
                      <w:highlight w:val="none"/>
                      <w:lang w:val="en-US" w:eastAsia="zh-CN" w:bidi="ar-SA"/>
                    </w:rPr>
                    <w:t>排放标准</w:t>
                  </w:r>
                </w:p>
              </w:tc>
            </w:tr>
            <w:tr w14:paraId="756E10D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14:paraId="50AB83D2">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18"/>
                      <w:szCs w:val="18"/>
                      <w:highlight w:val="none"/>
                      <w:lang w:val="en-US" w:eastAsia="zh-CN" w:bidi="ar-SA"/>
                    </w:rPr>
                  </w:pPr>
                </w:p>
              </w:tc>
              <w:tc>
                <w:tcPr>
                  <w:tcW w:w="0" w:type="auto"/>
                  <w:vMerge w:val="continue"/>
                  <w:vAlign w:val="center"/>
                </w:tcPr>
                <w:p w14:paraId="3A8A35BC">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18"/>
                      <w:szCs w:val="18"/>
                      <w:highlight w:val="none"/>
                      <w:lang w:val="en-US" w:eastAsia="zh-CN" w:bidi="ar-SA"/>
                    </w:rPr>
                  </w:pPr>
                </w:p>
              </w:tc>
              <w:tc>
                <w:tcPr>
                  <w:tcW w:w="0" w:type="auto"/>
                  <w:vMerge w:val="continue"/>
                  <w:vAlign w:val="center"/>
                </w:tcPr>
                <w:p w14:paraId="621AB9CC">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18"/>
                      <w:szCs w:val="18"/>
                      <w:highlight w:val="none"/>
                      <w:lang w:val="en-US" w:eastAsia="zh-CN" w:bidi="ar-SA"/>
                    </w:rPr>
                  </w:pPr>
                </w:p>
              </w:tc>
              <w:tc>
                <w:tcPr>
                  <w:tcW w:w="0" w:type="auto"/>
                  <w:vAlign w:val="center"/>
                </w:tcPr>
                <w:p w14:paraId="25906414">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18"/>
                      <w:szCs w:val="18"/>
                      <w:highlight w:val="none"/>
                      <w:lang w:val="en-US" w:eastAsia="zh-CN" w:bidi="ar-SA"/>
                    </w:rPr>
                  </w:pPr>
                  <w:r>
                    <w:rPr>
                      <w:rFonts w:hint="default" w:ascii="Times New Roman" w:hAnsi="Times New Roman" w:eastAsia="宋体" w:cs="Times New Roman"/>
                      <w:b/>
                      <w:bCs/>
                      <w:color w:val="auto"/>
                      <w:kern w:val="2"/>
                      <w:sz w:val="18"/>
                      <w:szCs w:val="18"/>
                      <w:highlight w:val="none"/>
                      <w:lang w:val="en-US" w:eastAsia="zh-CN" w:bidi="ar-SA"/>
                    </w:rPr>
                    <w:t>废水量</w:t>
                  </w:r>
                </w:p>
              </w:tc>
              <w:tc>
                <w:tcPr>
                  <w:tcW w:w="0" w:type="auto"/>
                  <w:vAlign w:val="center"/>
                </w:tcPr>
                <w:p w14:paraId="0421D461">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18"/>
                      <w:szCs w:val="18"/>
                      <w:highlight w:val="none"/>
                      <w:lang w:val="en-US" w:eastAsia="zh-CN" w:bidi="ar-SA"/>
                    </w:rPr>
                  </w:pPr>
                  <w:r>
                    <w:rPr>
                      <w:rFonts w:hint="default" w:ascii="Times New Roman" w:hAnsi="Times New Roman" w:eastAsia="宋体" w:cs="Times New Roman"/>
                      <w:b/>
                      <w:bCs/>
                      <w:color w:val="auto"/>
                      <w:kern w:val="2"/>
                      <w:sz w:val="18"/>
                      <w:szCs w:val="18"/>
                      <w:highlight w:val="none"/>
                      <w:lang w:val="en-US" w:eastAsia="zh-CN" w:bidi="ar-SA"/>
                    </w:rPr>
                    <w:t>产生浓度</w:t>
                  </w:r>
                </w:p>
              </w:tc>
              <w:tc>
                <w:tcPr>
                  <w:tcW w:w="0" w:type="auto"/>
                  <w:vAlign w:val="center"/>
                </w:tcPr>
                <w:p w14:paraId="26CD6E66">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18"/>
                      <w:szCs w:val="18"/>
                      <w:highlight w:val="none"/>
                      <w:lang w:val="en-US" w:eastAsia="zh-CN" w:bidi="ar-SA"/>
                    </w:rPr>
                  </w:pPr>
                  <w:r>
                    <w:rPr>
                      <w:rFonts w:hint="default" w:ascii="Times New Roman" w:hAnsi="Times New Roman" w:eastAsia="宋体" w:cs="Times New Roman"/>
                      <w:b/>
                      <w:bCs/>
                      <w:color w:val="auto"/>
                      <w:kern w:val="2"/>
                      <w:sz w:val="18"/>
                      <w:szCs w:val="18"/>
                      <w:highlight w:val="none"/>
                      <w:lang w:val="en-US" w:eastAsia="zh-CN" w:bidi="ar-SA"/>
                    </w:rPr>
                    <w:t>产生量</w:t>
                  </w:r>
                </w:p>
              </w:tc>
              <w:tc>
                <w:tcPr>
                  <w:tcW w:w="0" w:type="auto"/>
                  <w:vAlign w:val="center"/>
                </w:tcPr>
                <w:p w14:paraId="40DF1724">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18"/>
                      <w:szCs w:val="18"/>
                      <w:highlight w:val="none"/>
                      <w:lang w:val="en-US" w:eastAsia="zh-CN" w:bidi="ar-SA"/>
                    </w:rPr>
                  </w:pPr>
                  <w:r>
                    <w:rPr>
                      <w:rFonts w:hint="default" w:ascii="Times New Roman" w:hAnsi="Times New Roman" w:eastAsia="宋体" w:cs="Times New Roman"/>
                      <w:b/>
                      <w:bCs/>
                      <w:color w:val="auto"/>
                      <w:kern w:val="2"/>
                      <w:sz w:val="18"/>
                      <w:szCs w:val="18"/>
                      <w:highlight w:val="none"/>
                      <w:lang w:val="en-US" w:eastAsia="zh-CN" w:bidi="ar-SA"/>
                    </w:rPr>
                    <w:t>处理能力</w:t>
                  </w:r>
                </w:p>
              </w:tc>
              <w:tc>
                <w:tcPr>
                  <w:tcW w:w="0" w:type="auto"/>
                  <w:vMerge w:val="restart"/>
                  <w:vAlign w:val="center"/>
                </w:tcPr>
                <w:p w14:paraId="2EC7D734">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18"/>
                      <w:szCs w:val="18"/>
                      <w:highlight w:val="none"/>
                      <w:lang w:val="en-US" w:eastAsia="zh-CN" w:bidi="ar-SA"/>
                    </w:rPr>
                  </w:pPr>
                  <w:r>
                    <w:rPr>
                      <w:rFonts w:hint="default" w:ascii="Times New Roman" w:hAnsi="Times New Roman" w:eastAsia="宋体" w:cs="Times New Roman"/>
                      <w:b/>
                      <w:bCs/>
                      <w:color w:val="auto"/>
                      <w:kern w:val="2"/>
                      <w:sz w:val="18"/>
                      <w:szCs w:val="18"/>
                      <w:highlight w:val="none"/>
                      <w:lang w:val="en-US" w:eastAsia="zh-CN" w:bidi="ar-SA"/>
                    </w:rPr>
                    <w:t>治理设施编号</w:t>
                  </w:r>
                </w:p>
              </w:tc>
              <w:tc>
                <w:tcPr>
                  <w:tcW w:w="0" w:type="auto"/>
                  <w:vMerge w:val="restart"/>
                  <w:vAlign w:val="center"/>
                </w:tcPr>
                <w:p w14:paraId="49449254">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18"/>
                      <w:szCs w:val="18"/>
                      <w:highlight w:val="none"/>
                      <w:lang w:val="en-US" w:eastAsia="zh-CN" w:bidi="ar-SA"/>
                    </w:rPr>
                  </w:pPr>
                  <w:r>
                    <w:rPr>
                      <w:rFonts w:hint="default" w:ascii="Times New Roman" w:hAnsi="Times New Roman" w:eastAsia="宋体" w:cs="Times New Roman"/>
                      <w:b/>
                      <w:bCs/>
                      <w:color w:val="auto"/>
                      <w:kern w:val="2"/>
                      <w:sz w:val="18"/>
                      <w:szCs w:val="18"/>
                      <w:highlight w:val="none"/>
                      <w:lang w:val="en-US" w:eastAsia="zh-CN" w:bidi="ar-SA"/>
                    </w:rPr>
                    <w:t>主要治理工艺</w:t>
                  </w:r>
                </w:p>
              </w:tc>
              <w:tc>
                <w:tcPr>
                  <w:tcW w:w="0" w:type="auto"/>
                  <w:vAlign w:val="center"/>
                </w:tcPr>
                <w:p w14:paraId="3EEC5019">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18"/>
                      <w:szCs w:val="18"/>
                      <w:highlight w:val="none"/>
                      <w:lang w:val="en-US" w:eastAsia="zh-CN" w:bidi="ar-SA"/>
                    </w:rPr>
                  </w:pPr>
                  <w:r>
                    <w:rPr>
                      <w:rFonts w:hint="default" w:ascii="Times New Roman" w:hAnsi="Times New Roman" w:eastAsia="宋体" w:cs="Times New Roman"/>
                      <w:b/>
                      <w:bCs/>
                      <w:color w:val="auto"/>
                      <w:kern w:val="2"/>
                      <w:sz w:val="18"/>
                      <w:szCs w:val="18"/>
                      <w:highlight w:val="none"/>
                      <w:lang w:val="en-US" w:eastAsia="zh-CN" w:bidi="ar-SA"/>
                    </w:rPr>
                    <w:t>去除效率</w:t>
                  </w:r>
                </w:p>
              </w:tc>
              <w:tc>
                <w:tcPr>
                  <w:tcW w:w="0" w:type="auto"/>
                  <w:vMerge w:val="restart"/>
                  <w:vAlign w:val="center"/>
                </w:tcPr>
                <w:p w14:paraId="094E2BDF">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18"/>
                      <w:szCs w:val="18"/>
                      <w:highlight w:val="none"/>
                      <w:lang w:val="en-US" w:eastAsia="zh-CN" w:bidi="ar-SA"/>
                    </w:rPr>
                  </w:pPr>
                  <w:r>
                    <w:rPr>
                      <w:rFonts w:hint="default" w:ascii="Times New Roman" w:hAnsi="Times New Roman" w:eastAsia="宋体" w:cs="Times New Roman"/>
                      <w:b/>
                      <w:bCs/>
                      <w:color w:val="auto"/>
                      <w:kern w:val="2"/>
                      <w:sz w:val="18"/>
                      <w:szCs w:val="18"/>
                      <w:highlight w:val="none"/>
                      <w:lang w:val="en-US" w:eastAsia="zh-CN" w:bidi="ar-SA"/>
                    </w:rPr>
                    <w:t>是否可行技术</w:t>
                  </w:r>
                </w:p>
              </w:tc>
              <w:tc>
                <w:tcPr>
                  <w:tcW w:w="0" w:type="auto"/>
                  <w:vAlign w:val="center"/>
                </w:tcPr>
                <w:p w14:paraId="2718A1F0">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18"/>
                      <w:szCs w:val="18"/>
                      <w:highlight w:val="none"/>
                      <w:lang w:val="en-US" w:eastAsia="zh-CN" w:bidi="ar-SA"/>
                    </w:rPr>
                  </w:pPr>
                  <w:r>
                    <w:rPr>
                      <w:rFonts w:hint="default" w:ascii="Times New Roman" w:hAnsi="Times New Roman" w:eastAsia="宋体" w:cs="Times New Roman"/>
                      <w:b/>
                      <w:bCs/>
                      <w:color w:val="auto"/>
                      <w:kern w:val="2"/>
                      <w:sz w:val="18"/>
                      <w:szCs w:val="18"/>
                      <w:highlight w:val="none"/>
                      <w:lang w:val="en-US" w:eastAsia="zh-CN" w:bidi="ar-SA"/>
                    </w:rPr>
                    <w:t>废水量</w:t>
                  </w:r>
                </w:p>
              </w:tc>
              <w:tc>
                <w:tcPr>
                  <w:tcW w:w="0" w:type="auto"/>
                  <w:vAlign w:val="center"/>
                </w:tcPr>
                <w:p w14:paraId="40B2E3B7">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18"/>
                      <w:szCs w:val="18"/>
                      <w:highlight w:val="none"/>
                      <w:lang w:val="en-US" w:eastAsia="zh-CN" w:bidi="ar-SA"/>
                    </w:rPr>
                  </w:pPr>
                  <w:r>
                    <w:rPr>
                      <w:rFonts w:hint="default" w:ascii="Times New Roman" w:hAnsi="Times New Roman" w:eastAsia="宋体" w:cs="Times New Roman"/>
                      <w:b/>
                      <w:bCs/>
                      <w:color w:val="auto"/>
                      <w:kern w:val="2"/>
                      <w:sz w:val="18"/>
                      <w:szCs w:val="18"/>
                      <w:highlight w:val="none"/>
                      <w:lang w:val="en-US" w:eastAsia="zh-CN" w:bidi="ar-SA"/>
                    </w:rPr>
                    <w:t>排放浓度</w:t>
                  </w:r>
                </w:p>
              </w:tc>
              <w:tc>
                <w:tcPr>
                  <w:tcW w:w="0" w:type="auto"/>
                  <w:vAlign w:val="center"/>
                </w:tcPr>
                <w:p w14:paraId="4CC46846">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18"/>
                      <w:szCs w:val="18"/>
                      <w:highlight w:val="none"/>
                      <w:lang w:val="en-US" w:eastAsia="zh-CN" w:bidi="ar-SA"/>
                    </w:rPr>
                  </w:pPr>
                  <w:r>
                    <w:rPr>
                      <w:rFonts w:hint="default" w:ascii="Times New Roman" w:hAnsi="Times New Roman" w:eastAsia="宋体" w:cs="Times New Roman"/>
                      <w:b/>
                      <w:bCs/>
                      <w:color w:val="auto"/>
                      <w:kern w:val="2"/>
                      <w:sz w:val="18"/>
                      <w:szCs w:val="18"/>
                      <w:highlight w:val="none"/>
                      <w:lang w:val="en-US" w:eastAsia="zh-CN" w:bidi="ar-SA"/>
                    </w:rPr>
                    <w:t>排放量</w:t>
                  </w:r>
                </w:p>
              </w:tc>
              <w:tc>
                <w:tcPr>
                  <w:tcW w:w="455" w:type="dxa"/>
                  <w:vAlign w:val="center"/>
                </w:tcPr>
                <w:p w14:paraId="188C466C">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18"/>
                      <w:szCs w:val="18"/>
                      <w:highlight w:val="none"/>
                      <w:lang w:val="en-US" w:eastAsia="zh-CN" w:bidi="ar-SA"/>
                    </w:rPr>
                  </w:pPr>
                  <w:r>
                    <w:rPr>
                      <w:rFonts w:hint="default" w:ascii="Times New Roman" w:hAnsi="Times New Roman" w:eastAsia="宋体" w:cs="Times New Roman"/>
                      <w:b/>
                      <w:bCs/>
                      <w:color w:val="auto"/>
                      <w:kern w:val="2"/>
                      <w:sz w:val="18"/>
                      <w:szCs w:val="18"/>
                      <w:highlight w:val="none"/>
                      <w:lang w:val="en-US" w:eastAsia="zh-CN" w:bidi="ar-SA"/>
                    </w:rPr>
                    <w:t>排放</w:t>
                  </w:r>
                </w:p>
                <w:p w14:paraId="3D241765">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18"/>
                      <w:szCs w:val="18"/>
                      <w:highlight w:val="none"/>
                      <w:lang w:val="en-US" w:eastAsia="zh-CN" w:bidi="ar-SA"/>
                    </w:rPr>
                  </w:pPr>
                  <w:r>
                    <w:rPr>
                      <w:rFonts w:hint="default" w:ascii="Times New Roman" w:hAnsi="Times New Roman" w:eastAsia="宋体" w:cs="Times New Roman"/>
                      <w:b/>
                      <w:bCs/>
                      <w:color w:val="auto"/>
                      <w:kern w:val="2"/>
                      <w:sz w:val="18"/>
                      <w:szCs w:val="18"/>
                      <w:highlight w:val="none"/>
                      <w:lang w:val="en-US" w:eastAsia="zh-CN" w:bidi="ar-SA"/>
                    </w:rPr>
                    <w:t>方式</w:t>
                  </w:r>
                </w:p>
              </w:tc>
              <w:tc>
                <w:tcPr>
                  <w:tcW w:w="629" w:type="dxa"/>
                  <w:vAlign w:val="center"/>
                </w:tcPr>
                <w:p w14:paraId="3CF38BA9">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18"/>
                      <w:szCs w:val="18"/>
                      <w:highlight w:val="none"/>
                      <w:lang w:val="en-US" w:eastAsia="zh-CN" w:bidi="ar-SA"/>
                    </w:rPr>
                  </w:pPr>
                  <w:r>
                    <w:rPr>
                      <w:rFonts w:hint="default" w:ascii="Times New Roman" w:hAnsi="Times New Roman" w:eastAsia="宋体" w:cs="Times New Roman"/>
                      <w:b/>
                      <w:bCs/>
                      <w:color w:val="auto"/>
                      <w:kern w:val="2"/>
                      <w:sz w:val="18"/>
                      <w:szCs w:val="18"/>
                      <w:highlight w:val="none"/>
                      <w:lang w:val="en-US" w:eastAsia="zh-CN" w:bidi="ar-SA"/>
                    </w:rPr>
                    <w:t>排放去向</w:t>
                  </w:r>
                </w:p>
              </w:tc>
              <w:tc>
                <w:tcPr>
                  <w:tcW w:w="0" w:type="auto"/>
                  <w:vAlign w:val="center"/>
                </w:tcPr>
                <w:p w14:paraId="57F5554F">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18"/>
                      <w:szCs w:val="18"/>
                      <w:highlight w:val="none"/>
                      <w:lang w:val="en-US" w:eastAsia="zh-CN" w:bidi="ar-SA"/>
                    </w:rPr>
                  </w:pPr>
                  <w:r>
                    <w:rPr>
                      <w:rFonts w:hint="default" w:ascii="Times New Roman" w:hAnsi="Times New Roman" w:eastAsia="宋体" w:cs="Times New Roman"/>
                      <w:b/>
                      <w:bCs/>
                      <w:color w:val="auto"/>
                      <w:kern w:val="2"/>
                      <w:sz w:val="18"/>
                      <w:szCs w:val="18"/>
                      <w:highlight w:val="none"/>
                      <w:lang w:val="en-US" w:eastAsia="zh-CN" w:bidi="ar-SA"/>
                    </w:rPr>
                    <w:t>排放规律</w:t>
                  </w:r>
                </w:p>
              </w:tc>
              <w:tc>
                <w:tcPr>
                  <w:tcW w:w="0" w:type="auto"/>
                  <w:vAlign w:val="center"/>
                </w:tcPr>
                <w:p w14:paraId="5B2CD6B2">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18"/>
                      <w:szCs w:val="18"/>
                      <w:highlight w:val="none"/>
                      <w:lang w:val="en-US" w:eastAsia="zh-CN" w:bidi="ar-SA"/>
                    </w:rPr>
                  </w:pPr>
                  <w:r>
                    <w:rPr>
                      <w:rFonts w:hint="default" w:ascii="Times New Roman" w:hAnsi="Times New Roman" w:eastAsia="宋体" w:cs="Times New Roman"/>
                      <w:b/>
                      <w:bCs/>
                      <w:color w:val="auto"/>
                      <w:kern w:val="2"/>
                      <w:sz w:val="18"/>
                      <w:szCs w:val="18"/>
                      <w:highlight w:val="none"/>
                      <w:lang w:val="en-US" w:eastAsia="zh-CN" w:bidi="ar-SA"/>
                    </w:rPr>
                    <w:t>排放编号及名称</w:t>
                  </w:r>
                </w:p>
              </w:tc>
              <w:tc>
                <w:tcPr>
                  <w:tcW w:w="0" w:type="auto"/>
                  <w:vAlign w:val="center"/>
                </w:tcPr>
                <w:p w14:paraId="36D47E01">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18"/>
                      <w:szCs w:val="18"/>
                      <w:highlight w:val="none"/>
                      <w:lang w:val="en-US" w:eastAsia="zh-CN" w:bidi="ar-SA"/>
                    </w:rPr>
                  </w:pPr>
                  <w:r>
                    <w:rPr>
                      <w:rFonts w:hint="default" w:ascii="Times New Roman" w:hAnsi="Times New Roman" w:eastAsia="宋体" w:cs="Times New Roman"/>
                      <w:b/>
                      <w:bCs/>
                      <w:color w:val="auto"/>
                      <w:kern w:val="2"/>
                      <w:sz w:val="18"/>
                      <w:szCs w:val="18"/>
                      <w:highlight w:val="none"/>
                      <w:lang w:val="en-US" w:eastAsia="zh-CN" w:bidi="ar-SA"/>
                    </w:rPr>
                    <w:t>排放类型</w:t>
                  </w:r>
                </w:p>
              </w:tc>
              <w:tc>
                <w:tcPr>
                  <w:tcW w:w="0" w:type="auto"/>
                  <w:vAlign w:val="center"/>
                </w:tcPr>
                <w:p w14:paraId="3A1D2A88">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18"/>
                      <w:szCs w:val="18"/>
                      <w:highlight w:val="none"/>
                      <w:lang w:val="en-US" w:eastAsia="zh-CN" w:bidi="ar-SA"/>
                    </w:rPr>
                  </w:pPr>
                  <w:r>
                    <w:rPr>
                      <w:rFonts w:hint="default" w:ascii="Times New Roman" w:hAnsi="Times New Roman" w:eastAsia="宋体" w:cs="Times New Roman"/>
                      <w:b/>
                      <w:bCs/>
                      <w:color w:val="auto"/>
                      <w:kern w:val="2"/>
                      <w:sz w:val="18"/>
                      <w:szCs w:val="18"/>
                      <w:highlight w:val="none"/>
                      <w:lang w:val="en-US" w:eastAsia="zh-CN" w:bidi="ar-SA"/>
                    </w:rPr>
                    <w:t>地理</w:t>
                  </w:r>
                </w:p>
                <w:p w14:paraId="16AB4129">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18"/>
                      <w:szCs w:val="18"/>
                      <w:highlight w:val="none"/>
                      <w:lang w:val="en-US" w:eastAsia="zh-CN" w:bidi="ar-SA"/>
                    </w:rPr>
                  </w:pPr>
                  <w:r>
                    <w:rPr>
                      <w:rFonts w:hint="default" w:ascii="Times New Roman" w:hAnsi="Times New Roman" w:eastAsia="宋体" w:cs="Times New Roman"/>
                      <w:b/>
                      <w:bCs/>
                      <w:color w:val="auto"/>
                      <w:kern w:val="2"/>
                      <w:sz w:val="18"/>
                      <w:szCs w:val="18"/>
                      <w:highlight w:val="none"/>
                      <w:lang w:val="en-US" w:eastAsia="zh-CN" w:bidi="ar-SA"/>
                    </w:rPr>
                    <w:t>坐标</w:t>
                  </w:r>
                </w:p>
              </w:tc>
              <w:tc>
                <w:tcPr>
                  <w:tcW w:w="0" w:type="auto"/>
                  <w:vMerge w:val="restart"/>
                  <w:vAlign w:val="center"/>
                </w:tcPr>
                <w:p w14:paraId="1DADF122">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18"/>
                      <w:szCs w:val="18"/>
                      <w:highlight w:val="none"/>
                      <w:lang w:val="en-US" w:eastAsia="zh-CN" w:bidi="ar-SA"/>
                    </w:rPr>
                  </w:pPr>
                  <w:r>
                    <w:rPr>
                      <w:rFonts w:hint="default" w:ascii="Times New Roman" w:hAnsi="Times New Roman" w:eastAsia="宋体" w:cs="Times New Roman"/>
                      <w:b/>
                      <w:bCs/>
                      <w:color w:val="auto"/>
                      <w:kern w:val="2"/>
                      <w:sz w:val="18"/>
                      <w:szCs w:val="18"/>
                      <w:highlight w:val="none"/>
                      <w:lang w:val="en-US" w:eastAsia="zh-CN" w:bidi="ar-SA"/>
                    </w:rPr>
                    <w:t>浓度</w:t>
                  </w:r>
                </w:p>
                <w:p w14:paraId="43DF089E">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18"/>
                      <w:szCs w:val="18"/>
                      <w:highlight w:val="none"/>
                      <w:lang w:val="en-US" w:eastAsia="zh-CN" w:bidi="ar-SA"/>
                    </w:rPr>
                  </w:pPr>
                  <w:r>
                    <w:rPr>
                      <w:rFonts w:hint="default" w:ascii="Times New Roman" w:hAnsi="Times New Roman" w:eastAsia="宋体" w:cs="Times New Roman"/>
                      <w:b/>
                      <w:bCs/>
                      <w:color w:val="auto"/>
                      <w:kern w:val="2"/>
                      <w:sz w:val="18"/>
                      <w:szCs w:val="18"/>
                      <w:highlight w:val="none"/>
                      <w:lang w:val="en-US" w:eastAsia="zh-CN" w:bidi="ar-SA"/>
                    </w:rPr>
                    <w:t>mg/l</w:t>
                  </w:r>
                </w:p>
              </w:tc>
            </w:tr>
            <w:tr w14:paraId="0A16E9C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bottom w:val="single" w:color="auto" w:sz="12" w:space="0"/>
                  </w:tcBorders>
                  <w:vAlign w:val="center"/>
                </w:tcPr>
                <w:p w14:paraId="062CF387">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18"/>
                      <w:szCs w:val="18"/>
                      <w:highlight w:val="none"/>
                      <w:lang w:val="en-US" w:eastAsia="zh-CN" w:bidi="ar-SA"/>
                    </w:rPr>
                  </w:pPr>
                </w:p>
              </w:tc>
              <w:tc>
                <w:tcPr>
                  <w:tcW w:w="0" w:type="auto"/>
                  <w:vMerge w:val="continue"/>
                  <w:tcBorders>
                    <w:bottom w:val="single" w:color="auto" w:sz="12" w:space="0"/>
                  </w:tcBorders>
                  <w:vAlign w:val="center"/>
                </w:tcPr>
                <w:p w14:paraId="21729361">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18"/>
                      <w:szCs w:val="18"/>
                      <w:highlight w:val="none"/>
                      <w:lang w:val="en-US" w:eastAsia="zh-CN" w:bidi="ar-SA"/>
                    </w:rPr>
                  </w:pPr>
                </w:p>
              </w:tc>
              <w:tc>
                <w:tcPr>
                  <w:tcW w:w="0" w:type="auto"/>
                  <w:vMerge w:val="continue"/>
                  <w:tcBorders>
                    <w:bottom w:val="single" w:color="auto" w:sz="12" w:space="0"/>
                  </w:tcBorders>
                  <w:vAlign w:val="center"/>
                </w:tcPr>
                <w:p w14:paraId="25B315B5">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18"/>
                      <w:szCs w:val="18"/>
                      <w:highlight w:val="none"/>
                      <w:lang w:val="en-US" w:eastAsia="zh-CN" w:bidi="ar-SA"/>
                    </w:rPr>
                  </w:pPr>
                </w:p>
              </w:tc>
              <w:tc>
                <w:tcPr>
                  <w:tcW w:w="0" w:type="auto"/>
                  <w:tcBorders>
                    <w:bottom w:val="single" w:color="auto" w:sz="12" w:space="0"/>
                  </w:tcBorders>
                  <w:vAlign w:val="center"/>
                </w:tcPr>
                <w:p w14:paraId="6F33230A">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18"/>
                      <w:szCs w:val="18"/>
                      <w:highlight w:val="none"/>
                      <w:lang w:val="en-US" w:eastAsia="zh-CN" w:bidi="ar-SA"/>
                    </w:rPr>
                  </w:pPr>
                  <w:r>
                    <w:rPr>
                      <w:rFonts w:hint="default" w:ascii="Times New Roman" w:hAnsi="Times New Roman" w:eastAsia="宋体" w:cs="Times New Roman"/>
                      <w:b/>
                      <w:bCs/>
                      <w:color w:val="auto"/>
                      <w:kern w:val="2"/>
                      <w:sz w:val="18"/>
                      <w:szCs w:val="18"/>
                      <w:highlight w:val="none"/>
                      <w:lang w:val="en-US" w:eastAsia="zh-CN" w:bidi="ar-SA"/>
                    </w:rPr>
                    <w:t>m</w:t>
                  </w:r>
                  <w:r>
                    <w:rPr>
                      <w:rFonts w:hint="default" w:ascii="Times New Roman" w:hAnsi="Times New Roman" w:eastAsia="宋体" w:cs="Times New Roman"/>
                      <w:b/>
                      <w:bCs/>
                      <w:color w:val="auto"/>
                      <w:kern w:val="2"/>
                      <w:sz w:val="18"/>
                      <w:szCs w:val="18"/>
                      <w:highlight w:val="none"/>
                      <w:vertAlign w:val="superscript"/>
                      <w:lang w:val="en-US" w:eastAsia="zh-CN" w:bidi="ar-SA"/>
                    </w:rPr>
                    <w:t>3</w:t>
                  </w:r>
                  <w:r>
                    <w:rPr>
                      <w:rFonts w:hint="default" w:ascii="Times New Roman" w:hAnsi="Times New Roman" w:eastAsia="宋体" w:cs="Times New Roman"/>
                      <w:b/>
                      <w:bCs/>
                      <w:color w:val="auto"/>
                      <w:kern w:val="2"/>
                      <w:sz w:val="18"/>
                      <w:szCs w:val="18"/>
                      <w:highlight w:val="none"/>
                      <w:lang w:val="en-US" w:eastAsia="zh-CN" w:bidi="ar-SA"/>
                    </w:rPr>
                    <w:t>/a</w:t>
                  </w:r>
                </w:p>
              </w:tc>
              <w:tc>
                <w:tcPr>
                  <w:tcW w:w="0" w:type="auto"/>
                  <w:tcBorders>
                    <w:bottom w:val="single" w:color="auto" w:sz="12" w:space="0"/>
                  </w:tcBorders>
                  <w:vAlign w:val="center"/>
                </w:tcPr>
                <w:p w14:paraId="24DE103F">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18"/>
                      <w:szCs w:val="18"/>
                      <w:highlight w:val="none"/>
                      <w:lang w:val="en-US" w:eastAsia="zh-CN" w:bidi="ar-SA"/>
                    </w:rPr>
                  </w:pPr>
                  <w:r>
                    <w:rPr>
                      <w:rFonts w:hint="default" w:ascii="Times New Roman" w:hAnsi="Times New Roman" w:eastAsia="宋体" w:cs="Times New Roman"/>
                      <w:b/>
                      <w:bCs/>
                      <w:color w:val="auto"/>
                      <w:kern w:val="2"/>
                      <w:sz w:val="18"/>
                      <w:szCs w:val="18"/>
                      <w:highlight w:val="none"/>
                      <w:lang w:val="en-US" w:eastAsia="zh-CN" w:bidi="ar-SA"/>
                    </w:rPr>
                    <w:t>mg/l</w:t>
                  </w:r>
                </w:p>
              </w:tc>
              <w:tc>
                <w:tcPr>
                  <w:tcW w:w="0" w:type="auto"/>
                  <w:tcBorders>
                    <w:bottom w:val="single" w:color="auto" w:sz="12" w:space="0"/>
                  </w:tcBorders>
                  <w:vAlign w:val="center"/>
                </w:tcPr>
                <w:p w14:paraId="456ACB36">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18"/>
                      <w:szCs w:val="18"/>
                      <w:highlight w:val="none"/>
                      <w:lang w:val="en-US" w:eastAsia="zh-CN" w:bidi="ar-SA"/>
                    </w:rPr>
                  </w:pPr>
                  <w:r>
                    <w:rPr>
                      <w:rFonts w:hint="default" w:ascii="Times New Roman" w:hAnsi="Times New Roman" w:eastAsia="宋体" w:cs="Times New Roman"/>
                      <w:b/>
                      <w:bCs/>
                      <w:color w:val="auto"/>
                      <w:kern w:val="2"/>
                      <w:sz w:val="18"/>
                      <w:szCs w:val="18"/>
                      <w:highlight w:val="none"/>
                      <w:lang w:val="en-US" w:eastAsia="zh-CN" w:bidi="ar-SA"/>
                    </w:rPr>
                    <w:t>t/a</w:t>
                  </w:r>
                </w:p>
              </w:tc>
              <w:tc>
                <w:tcPr>
                  <w:tcW w:w="0" w:type="auto"/>
                  <w:tcBorders>
                    <w:bottom w:val="single" w:color="auto" w:sz="12" w:space="0"/>
                  </w:tcBorders>
                  <w:vAlign w:val="center"/>
                </w:tcPr>
                <w:p w14:paraId="69AF4A0D">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bCs/>
                      <w:color w:val="auto"/>
                      <w:kern w:val="2"/>
                      <w:sz w:val="18"/>
                      <w:szCs w:val="18"/>
                      <w:highlight w:val="none"/>
                      <w:lang w:val="en-US" w:eastAsia="zh-CN" w:bidi="ar-SA"/>
                    </w:rPr>
                  </w:pPr>
                  <w:r>
                    <w:rPr>
                      <w:rFonts w:hint="default" w:ascii="Times New Roman" w:hAnsi="Times New Roman" w:eastAsia="宋体" w:cs="Times New Roman"/>
                      <w:b/>
                      <w:bCs/>
                      <w:color w:val="auto"/>
                      <w:kern w:val="2"/>
                      <w:sz w:val="18"/>
                      <w:szCs w:val="18"/>
                      <w:highlight w:val="none"/>
                      <w:lang w:val="en-US" w:eastAsia="zh-CN" w:bidi="ar-SA"/>
                    </w:rPr>
                    <w:t>m</w:t>
                  </w:r>
                  <w:r>
                    <w:rPr>
                      <w:rFonts w:hint="default" w:ascii="Times New Roman" w:hAnsi="Times New Roman" w:eastAsia="宋体" w:cs="Times New Roman"/>
                      <w:b/>
                      <w:bCs/>
                      <w:color w:val="auto"/>
                      <w:kern w:val="2"/>
                      <w:sz w:val="18"/>
                      <w:szCs w:val="18"/>
                      <w:highlight w:val="none"/>
                      <w:vertAlign w:val="superscript"/>
                      <w:lang w:val="en-US" w:eastAsia="zh-CN" w:bidi="ar-SA"/>
                    </w:rPr>
                    <w:t>3</w:t>
                  </w:r>
                  <w:r>
                    <w:rPr>
                      <w:rFonts w:hint="default" w:ascii="Times New Roman" w:hAnsi="Times New Roman" w:eastAsia="宋体" w:cs="Times New Roman"/>
                      <w:b/>
                      <w:bCs/>
                      <w:color w:val="auto"/>
                      <w:kern w:val="2"/>
                      <w:sz w:val="18"/>
                      <w:szCs w:val="18"/>
                      <w:highlight w:val="none"/>
                      <w:lang w:val="en-US" w:eastAsia="zh-CN" w:bidi="ar-SA"/>
                    </w:rPr>
                    <w:t>/</w:t>
                  </w:r>
                  <w:r>
                    <w:rPr>
                      <w:rFonts w:hint="eastAsia" w:ascii="Times New Roman" w:hAnsi="Times New Roman" w:eastAsia="宋体" w:cs="Times New Roman"/>
                      <w:b/>
                      <w:bCs/>
                      <w:color w:val="auto"/>
                      <w:kern w:val="2"/>
                      <w:sz w:val="18"/>
                      <w:szCs w:val="18"/>
                      <w:highlight w:val="none"/>
                      <w:lang w:val="en-US" w:eastAsia="zh-CN" w:bidi="ar-SA"/>
                    </w:rPr>
                    <w:t>d</w:t>
                  </w:r>
                </w:p>
              </w:tc>
              <w:tc>
                <w:tcPr>
                  <w:tcW w:w="0" w:type="auto"/>
                  <w:vMerge w:val="continue"/>
                  <w:tcBorders>
                    <w:bottom w:val="single" w:color="auto" w:sz="12" w:space="0"/>
                  </w:tcBorders>
                  <w:vAlign w:val="center"/>
                </w:tcPr>
                <w:p w14:paraId="36D5AB21">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18"/>
                      <w:szCs w:val="18"/>
                      <w:highlight w:val="none"/>
                      <w:lang w:val="en-US" w:eastAsia="zh-CN" w:bidi="ar-SA"/>
                    </w:rPr>
                  </w:pPr>
                </w:p>
              </w:tc>
              <w:tc>
                <w:tcPr>
                  <w:tcW w:w="0" w:type="auto"/>
                  <w:vMerge w:val="continue"/>
                  <w:tcBorders>
                    <w:bottom w:val="single" w:color="auto" w:sz="12" w:space="0"/>
                  </w:tcBorders>
                  <w:vAlign w:val="center"/>
                </w:tcPr>
                <w:p w14:paraId="7F6D7475">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18"/>
                      <w:szCs w:val="18"/>
                      <w:highlight w:val="none"/>
                      <w:lang w:val="en-US" w:eastAsia="zh-CN" w:bidi="ar-SA"/>
                    </w:rPr>
                  </w:pPr>
                </w:p>
              </w:tc>
              <w:tc>
                <w:tcPr>
                  <w:tcW w:w="0" w:type="auto"/>
                  <w:tcBorders>
                    <w:bottom w:val="single" w:color="auto" w:sz="12" w:space="0"/>
                  </w:tcBorders>
                  <w:vAlign w:val="center"/>
                </w:tcPr>
                <w:p w14:paraId="0CACE101">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18"/>
                      <w:szCs w:val="18"/>
                      <w:highlight w:val="none"/>
                      <w:lang w:val="en-US" w:eastAsia="zh-CN" w:bidi="ar-SA"/>
                    </w:rPr>
                  </w:pPr>
                  <w:r>
                    <w:rPr>
                      <w:rFonts w:hint="default" w:ascii="Times New Roman" w:hAnsi="Times New Roman" w:eastAsia="宋体" w:cs="Times New Roman"/>
                      <w:b/>
                      <w:bCs/>
                      <w:color w:val="auto"/>
                      <w:kern w:val="2"/>
                      <w:sz w:val="18"/>
                      <w:szCs w:val="18"/>
                      <w:highlight w:val="none"/>
                      <w:lang w:val="en-US" w:eastAsia="zh-CN" w:bidi="ar-SA"/>
                    </w:rPr>
                    <w:t>%</w:t>
                  </w:r>
                </w:p>
              </w:tc>
              <w:tc>
                <w:tcPr>
                  <w:tcW w:w="0" w:type="auto"/>
                  <w:vMerge w:val="continue"/>
                  <w:tcBorders>
                    <w:bottom w:val="single" w:color="auto" w:sz="12" w:space="0"/>
                  </w:tcBorders>
                  <w:vAlign w:val="center"/>
                </w:tcPr>
                <w:p w14:paraId="79FCB727">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18"/>
                      <w:szCs w:val="18"/>
                      <w:highlight w:val="none"/>
                      <w:lang w:val="en-US" w:eastAsia="zh-CN" w:bidi="ar-SA"/>
                    </w:rPr>
                  </w:pPr>
                </w:p>
              </w:tc>
              <w:tc>
                <w:tcPr>
                  <w:tcW w:w="0" w:type="auto"/>
                  <w:tcBorders>
                    <w:bottom w:val="single" w:color="auto" w:sz="12" w:space="0"/>
                  </w:tcBorders>
                  <w:vAlign w:val="center"/>
                </w:tcPr>
                <w:p w14:paraId="0B039F1D">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18"/>
                      <w:szCs w:val="18"/>
                      <w:highlight w:val="none"/>
                      <w:lang w:val="en-US" w:eastAsia="zh-CN" w:bidi="ar-SA"/>
                    </w:rPr>
                  </w:pPr>
                  <w:r>
                    <w:rPr>
                      <w:rFonts w:hint="default" w:ascii="Times New Roman" w:hAnsi="Times New Roman" w:eastAsia="宋体" w:cs="Times New Roman"/>
                      <w:b/>
                      <w:bCs/>
                      <w:color w:val="auto"/>
                      <w:kern w:val="2"/>
                      <w:sz w:val="18"/>
                      <w:szCs w:val="18"/>
                      <w:highlight w:val="none"/>
                      <w:lang w:val="en-US" w:eastAsia="zh-CN" w:bidi="ar-SA"/>
                    </w:rPr>
                    <w:t>m</w:t>
                  </w:r>
                  <w:r>
                    <w:rPr>
                      <w:rFonts w:hint="default" w:ascii="Times New Roman" w:hAnsi="Times New Roman" w:eastAsia="宋体" w:cs="Times New Roman"/>
                      <w:b/>
                      <w:bCs/>
                      <w:color w:val="auto"/>
                      <w:kern w:val="2"/>
                      <w:sz w:val="18"/>
                      <w:szCs w:val="18"/>
                      <w:highlight w:val="none"/>
                      <w:vertAlign w:val="superscript"/>
                      <w:lang w:val="en-US" w:eastAsia="zh-CN" w:bidi="ar-SA"/>
                    </w:rPr>
                    <w:t>3</w:t>
                  </w:r>
                  <w:r>
                    <w:rPr>
                      <w:rFonts w:hint="default" w:ascii="Times New Roman" w:hAnsi="Times New Roman" w:eastAsia="宋体" w:cs="Times New Roman"/>
                      <w:b/>
                      <w:bCs/>
                      <w:color w:val="auto"/>
                      <w:kern w:val="2"/>
                      <w:sz w:val="18"/>
                      <w:szCs w:val="18"/>
                      <w:highlight w:val="none"/>
                      <w:lang w:val="en-US" w:eastAsia="zh-CN" w:bidi="ar-SA"/>
                    </w:rPr>
                    <w:t>/a</w:t>
                  </w:r>
                </w:p>
              </w:tc>
              <w:tc>
                <w:tcPr>
                  <w:tcW w:w="0" w:type="auto"/>
                  <w:tcBorders>
                    <w:bottom w:val="single" w:color="auto" w:sz="12" w:space="0"/>
                  </w:tcBorders>
                  <w:vAlign w:val="center"/>
                </w:tcPr>
                <w:p w14:paraId="321CBCBC">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18"/>
                      <w:szCs w:val="18"/>
                      <w:highlight w:val="none"/>
                      <w:lang w:val="en-US" w:eastAsia="zh-CN" w:bidi="ar-SA"/>
                    </w:rPr>
                  </w:pPr>
                  <w:r>
                    <w:rPr>
                      <w:rFonts w:hint="default" w:ascii="Times New Roman" w:hAnsi="Times New Roman" w:eastAsia="宋体" w:cs="Times New Roman"/>
                      <w:b/>
                      <w:bCs/>
                      <w:color w:val="auto"/>
                      <w:kern w:val="2"/>
                      <w:sz w:val="18"/>
                      <w:szCs w:val="18"/>
                      <w:highlight w:val="none"/>
                      <w:lang w:val="en-US" w:eastAsia="zh-CN" w:bidi="ar-SA"/>
                    </w:rPr>
                    <w:t>mg/l</w:t>
                  </w:r>
                </w:p>
              </w:tc>
              <w:tc>
                <w:tcPr>
                  <w:tcW w:w="0" w:type="auto"/>
                  <w:tcBorders>
                    <w:bottom w:val="single" w:color="auto" w:sz="12" w:space="0"/>
                  </w:tcBorders>
                  <w:vAlign w:val="center"/>
                </w:tcPr>
                <w:p w14:paraId="45DD04A5">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18"/>
                      <w:szCs w:val="18"/>
                      <w:highlight w:val="none"/>
                      <w:lang w:val="en-US" w:eastAsia="zh-CN" w:bidi="ar-SA"/>
                    </w:rPr>
                  </w:pPr>
                  <w:r>
                    <w:rPr>
                      <w:rFonts w:hint="default" w:ascii="Times New Roman" w:hAnsi="Times New Roman" w:eastAsia="宋体" w:cs="Times New Roman"/>
                      <w:b/>
                      <w:bCs/>
                      <w:color w:val="auto"/>
                      <w:kern w:val="2"/>
                      <w:sz w:val="18"/>
                      <w:szCs w:val="18"/>
                      <w:highlight w:val="none"/>
                      <w:lang w:val="en-US" w:eastAsia="zh-CN" w:bidi="ar-SA"/>
                    </w:rPr>
                    <w:t>t/a</w:t>
                  </w:r>
                </w:p>
              </w:tc>
              <w:tc>
                <w:tcPr>
                  <w:tcW w:w="455" w:type="dxa"/>
                  <w:tcBorders>
                    <w:bottom w:val="single" w:color="auto" w:sz="12" w:space="0"/>
                  </w:tcBorders>
                  <w:vAlign w:val="center"/>
                </w:tcPr>
                <w:p w14:paraId="17255727">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18"/>
                      <w:szCs w:val="18"/>
                      <w:highlight w:val="none"/>
                      <w:lang w:val="en-US" w:eastAsia="zh-CN" w:bidi="ar-SA"/>
                    </w:rPr>
                  </w:pPr>
                  <w:r>
                    <w:rPr>
                      <w:rFonts w:hint="default" w:ascii="Times New Roman" w:hAnsi="Times New Roman" w:eastAsia="宋体" w:cs="Times New Roman"/>
                      <w:b/>
                      <w:bCs/>
                      <w:color w:val="auto"/>
                      <w:kern w:val="2"/>
                      <w:sz w:val="18"/>
                      <w:szCs w:val="18"/>
                      <w:highlight w:val="none"/>
                      <w:lang w:val="en-US" w:eastAsia="zh-CN" w:bidi="ar-SA"/>
                    </w:rPr>
                    <w:t>/</w:t>
                  </w:r>
                </w:p>
              </w:tc>
              <w:tc>
                <w:tcPr>
                  <w:tcW w:w="629" w:type="dxa"/>
                  <w:tcBorders>
                    <w:bottom w:val="single" w:color="auto" w:sz="12" w:space="0"/>
                  </w:tcBorders>
                  <w:vAlign w:val="center"/>
                </w:tcPr>
                <w:p w14:paraId="4DAB4206">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bCs/>
                      <w:color w:val="auto"/>
                      <w:kern w:val="2"/>
                      <w:sz w:val="18"/>
                      <w:szCs w:val="18"/>
                      <w:highlight w:val="none"/>
                      <w:lang w:val="en-US" w:eastAsia="zh-CN" w:bidi="ar-SA"/>
                    </w:rPr>
                  </w:pPr>
                  <w:r>
                    <w:rPr>
                      <w:rFonts w:hint="eastAsia" w:ascii="Times New Roman" w:hAnsi="Times New Roman" w:eastAsia="宋体" w:cs="Times New Roman"/>
                      <w:b/>
                      <w:bCs/>
                      <w:color w:val="auto"/>
                      <w:kern w:val="2"/>
                      <w:sz w:val="18"/>
                      <w:szCs w:val="18"/>
                      <w:highlight w:val="none"/>
                      <w:lang w:val="en-US" w:eastAsia="zh-CN" w:bidi="ar-SA"/>
                    </w:rPr>
                    <w:t>/</w:t>
                  </w:r>
                </w:p>
              </w:tc>
              <w:tc>
                <w:tcPr>
                  <w:tcW w:w="0" w:type="auto"/>
                  <w:tcBorders>
                    <w:bottom w:val="single" w:color="auto" w:sz="12" w:space="0"/>
                  </w:tcBorders>
                  <w:vAlign w:val="center"/>
                </w:tcPr>
                <w:p w14:paraId="47CCE179">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bCs/>
                      <w:color w:val="auto"/>
                      <w:kern w:val="2"/>
                      <w:sz w:val="18"/>
                      <w:szCs w:val="18"/>
                      <w:highlight w:val="none"/>
                      <w:lang w:val="en-US" w:eastAsia="zh-CN" w:bidi="ar-SA"/>
                    </w:rPr>
                  </w:pPr>
                  <w:r>
                    <w:rPr>
                      <w:rFonts w:hint="eastAsia" w:ascii="Times New Roman" w:hAnsi="Times New Roman" w:eastAsia="宋体" w:cs="Times New Roman"/>
                      <w:b/>
                      <w:bCs/>
                      <w:color w:val="auto"/>
                      <w:kern w:val="2"/>
                      <w:sz w:val="18"/>
                      <w:szCs w:val="18"/>
                      <w:highlight w:val="none"/>
                      <w:lang w:val="en-US" w:eastAsia="zh-CN" w:bidi="ar-SA"/>
                    </w:rPr>
                    <w:t>/</w:t>
                  </w:r>
                </w:p>
              </w:tc>
              <w:tc>
                <w:tcPr>
                  <w:tcW w:w="0" w:type="auto"/>
                  <w:tcBorders>
                    <w:bottom w:val="single" w:color="auto" w:sz="12" w:space="0"/>
                  </w:tcBorders>
                  <w:vAlign w:val="center"/>
                </w:tcPr>
                <w:p w14:paraId="694399AF">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bCs/>
                      <w:color w:val="auto"/>
                      <w:kern w:val="2"/>
                      <w:sz w:val="18"/>
                      <w:szCs w:val="18"/>
                      <w:highlight w:val="none"/>
                      <w:lang w:val="en-US" w:eastAsia="zh-CN" w:bidi="ar-SA"/>
                    </w:rPr>
                  </w:pPr>
                  <w:r>
                    <w:rPr>
                      <w:rFonts w:hint="eastAsia" w:ascii="Times New Roman" w:hAnsi="Times New Roman" w:eastAsia="宋体" w:cs="Times New Roman"/>
                      <w:b/>
                      <w:bCs/>
                      <w:color w:val="auto"/>
                      <w:kern w:val="2"/>
                      <w:sz w:val="18"/>
                      <w:szCs w:val="18"/>
                      <w:highlight w:val="none"/>
                      <w:lang w:val="en-US" w:eastAsia="zh-CN" w:bidi="ar-SA"/>
                    </w:rPr>
                    <w:t>/</w:t>
                  </w:r>
                </w:p>
              </w:tc>
              <w:tc>
                <w:tcPr>
                  <w:tcW w:w="0" w:type="auto"/>
                  <w:tcBorders>
                    <w:bottom w:val="single" w:color="auto" w:sz="12" w:space="0"/>
                  </w:tcBorders>
                  <w:vAlign w:val="center"/>
                </w:tcPr>
                <w:p w14:paraId="2A77C081">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18"/>
                      <w:szCs w:val="18"/>
                      <w:highlight w:val="none"/>
                      <w:lang w:val="en-US" w:eastAsia="zh-CN" w:bidi="ar-SA"/>
                    </w:rPr>
                  </w:pPr>
                  <w:r>
                    <w:rPr>
                      <w:rFonts w:hint="default" w:ascii="Times New Roman" w:hAnsi="Times New Roman" w:eastAsia="宋体" w:cs="Times New Roman"/>
                      <w:b/>
                      <w:bCs/>
                      <w:color w:val="auto"/>
                      <w:kern w:val="2"/>
                      <w:sz w:val="18"/>
                      <w:szCs w:val="18"/>
                      <w:highlight w:val="none"/>
                      <w:lang w:val="en-US" w:eastAsia="zh-CN" w:bidi="ar-SA"/>
                    </w:rPr>
                    <w:t>/</w:t>
                  </w:r>
                </w:p>
              </w:tc>
              <w:tc>
                <w:tcPr>
                  <w:tcW w:w="0" w:type="auto"/>
                  <w:tcBorders>
                    <w:bottom w:val="single" w:color="auto" w:sz="12" w:space="0"/>
                  </w:tcBorders>
                  <w:vAlign w:val="center"/>
                </w:tcPr>
                <w:p w14:paraId="3DD5E1A8">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18"/>
                      <w:szCs w:val="18"/>
                      <w:highlight w:val="none"/>
                      <w:lang w:val="en-US" w:eastAsia="zh-CN" w:bidi="ar-SA"/>
                    </w:rPr>
                  </w:pPr>
                  <w:r>
                    <w:rPr>
                      <w:rFonts w:hint="default" w:ascii="Times New Roman" w:hAnsi="Times New Roman" w:eastAsia="宋体" w:cs="Times New Roman"/>
                      <w:b/>
                      <w:bCs/>
                      <w:color w:val="auto"/>
                      <w:kern w:val="2"/>
                      <w:sz w:val="18"/>
                      <w:szCs w:val="18"/>
                      <w:highlight w:val="none"/>
                      <w:lang w:val="en-US" w:eastAsia="zh-CN" w:bidi="ar-SA"/>
                    </w:rPr>
                    <w:t>/</w:t>
                  </w:r>
                </w:p>
              </w:tc>
              <w:tc>
                <w:tcPr>
                  <w:tcW w:w="0" w:type="auto"/>
                  <w:vMerge w:val="continue"/>
                  <w:tcBorders>
                    <w:bottom w:val="single" w:color="auto" w:sz="12" w:space="0"/>
                  </w:tcBorders>
                  <w:vAlign w:val="center"/>
                </w:tcPr>
                <w:p w14:paraId="7816CEE9">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18"/>
                      <w:szCs w:val="18"/>
                      <w:highlight w:val="none"/>
                      <w:lang w:val="en-US" w:eastAsia="zh-CN" w:bidi="ar-SA"/>
                    </w:rPr>
                  </w:pPr>
                </w:p>
              </w:tc>
            </w:tr>
            <w:tr w14:paraId="611DD30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0" w:hRule="atLeast"/>
                <w:jc w:val="center"/>
              </w:trPr>
              <w:tc>
                <w:tcPr>
                  <w:tcW w:w="0" w:type="auto"/>
                  <w:vMerge w:val="restart"/>
                  <w:tcBorders>
                    <w:tl2br w:val="nil"/>
                    <w:tr2bl w:val="nil"/>
                  </w:tcBorders>
                  <w:vAlign w:val="center"/>
                </w:tcPr>
                <w:p w14:paraId="10DC048F">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cs="Times New Roman"/>
                      <w:color w:val="auto"/>
                      <w:kern w:val="2"/>
                      <w:sz w:val="18"/>
                      <w:szCs w:val="18"/>
                      <w:highlight w:val="none"/>
                      <w:lang w:val="en-US" w:eastAsia="zh-CN" w:bidi="ar-SA"/>
                    </w:rPr>
                    <w:t>员工生活</w:t>
                  </w:r>
                </w:p>
              </w:tc>
              <w:tc>
                <w:tcPr>
                  <w:tcW w:w="0" w:type="auto"/>
                  <w:vMerge w:val="restart"/>
                  <w:tcBorders>
                    <w:tl2br w:val="nil"/>
                    <w:tr2bl w:val="nil"/>
                  </w:tcBorders>
                  <w:vAlign w:val="center"/>
                </w:tcPr>
                <w:p w14:paraId="63E1C618">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cs="Times New Roman"/>
                      <w:color w:val="auto"/>
                      <w:kern w:val="2"/>
                      <w:sz w:val="18"/>
                      <w:szCs w:val="18"/>
                      <w:highlight w:val="none"/>
                      <w:lang w:val="en-US" w:eastAsia="zh-CN" w:bidi="ar-SA"/>
                    </w:rPr>
                    <w:t>生活污水</w:t>
                  </w:r>
                </w:p>
              </w:tc>
              <w:tc>
                <w:tcPr>
                  <w:tcW w:w="0" w:type="auto"/>
                  <w:tcBorders>
                    <w:tl2br w:val="nil"/>
                    <w:tr2bl w:val="nil"/>
                  </w:tcBorders>
                  <w:vAlign w:val="center"/>
                </w:tcPr>
                <w:p w14:paraId="20C7912A">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kern w:val="2"/>
                      <w:sz w:val="18"/>
                      <w:szCs w:val="18"/>
                      <w:highlight w:val="none"/>
                      <w:lang w:val="en-US" w:eastAsia="zh-CN" w:bidi="ar-SA"/>
                    </w:rPr>
                    <w:t>pH</w:t>
                  </w:r>
                </w:p>
              </w:tc>
              <w:tc>
                <w:tcPr>
                  <w:tcW w:w="0" w:type="auto"/>
                  <w:vMerge w:val="restart"/>
                  <w:tcBorders>
                    <w:tl2br w:val="nil"/>
                    <w:tr2bl w:val="nil"/>
                  </w:tcBorders>
                  <w:vAlign w:val="center"/>
                </w:tcPr>
                <w:p w14:paraId="504F8CFC">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cs="Times New Roman"/>
                      <w:color w:val="auto"/>
                      <w:kern w:val="2"/>
                      <w:sz w:val="18"/>
                      <w:szCs w:val="18"/>
                      <w:highlight w:val="none"/>
                      <w:lang w:val="en-US" w:eastAsia="zh-CN" w:bidi="ar-SA"/>
                    </w:rPr>
                    <w:t>19200</w:t>
                  </w:r>
                </w:p>
              </w:tc>
              <w:tc>
                <w:tcPr>
                  <w:tcW w:w="0" w:type="auto"/>
                  <w:tcBorders>
                    <w:tl2br w:val="nil"/>
                    <w:tr2bl w:val="nil"/>
                  </w:tcBorders>
                  <w:vAlign w:val="center"/>
                </w:tcPr>
                <w:p w14:paraId="70C79FD0">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cs="Times New Roman"/>
                      <w:color w:val="auto"/>
                      <w:kern w:val="2"/>
                      <w:sz w:val="18"/>
                      <w:szCs w:val="18"/>
                      <w:highlight w:val="none"/>
                      <w:lang w:val="en-US" w:eastAsia="zh-CN" w:bidi="ar-SA"/>
                    </w:rPr>
                  </w:pPr>
                  <w:r>
                    <w:rPr>
                      <w:rFonts w:hint="default" w:cs="Times New Roman"/>
                      <w:color w:val="auto"/>
                      <w:kern w:val="2"/>
                      <w:sz w:val="18"/>
                      <w:szCs w:val="18"/>
                      <w:highlight w:val="none"/>
                      <w:lang w:val="en-US" w:eastAsia="zh-CN" w:bidi="ar-SA"/>
                    </w:rPr>
                    <w:t>6~9</w:t>
                  </w:r>
                </w:p>
              </w:tc>
              <w:tc>
                <w:tcPr>
                  <w:tcW w:w="0" w:type="auto"/>
                  <w:tcBorders>
                    <w:tl2br w:val="nil"/>
                    <w:tr2bl w:val="nil"/>
                  </w:tcBorders>
                  <w:vAlign w:val="center"/>
                </w:tcPr>
                <w:p w14:paraId="0E81CCD8">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cs="Times New Roman"/>
                      <w:color w:val="auto"/>
                      <w:kern w:val="2"/>
                      <w:sz w:val="18"/>
                      <w:szCs w:val="18"/>
                      <w:highlight w:val="none"/>
                      <w:lang w:val="en-US" w:eastAsia="zh-CN" w:bidi="ar-SA"/>
                    </w:rPr>
                  </w:pPr>
                  <w:r>
                    <w:rPr>
                      <w:rFonts w:hint="default" w:cs="Times New Roman"/>
                      <w:color w:val="auto"/>
                      <w:kern w:val="2"/>
                      <w:sz w:val="18"/>
                      <w:szCs w:val="18"/>
                      <w:highlight w:val="none"/>
                      <w:lang w:val="en-US" w:eastAsia="zh-CN" w:bidi="ar-SA"/>
                    </w:rPr>
                    <w:t>/</w:t>
                  </w:r>
                </w:p>
              </w:tc>
              <w:tc>
                <w:tcPr>
                  <w:tcW w:w="0" w:type="auto"/>
                  <w:vMerge w:val="restart"/>
                  <w:tcBorders>
                    <w:tl2br w:val="nil"/>
                    <w:tr2bl w:val="nil"/>
                  </w:tcBorders>
                  <w:vAlign w:val="center"/>
                </w:tcPr>
                <w:p w14:paraId="7CBC414C">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cs="Times New Roman"/>
                      <w:color w:val="auto"/>
                      <w:kern w:val="2"/>
                      <w:sz w:val="18"/>
                      <w:szCs w:val="18"/>
                      <w:highlight w:val="none"/>
                      <w:lang w:val="en-US" w:eastAsia="zh-CN" w:bidi="ar-SA"/>
                    </w:rPr>
                    <w:t>/</w:t>
                  </w:r>
                </w:p>
              </w:tc>
              <w:tc>
                <w:tcPr>
                  <w:tcW w:w="0" w:type="auto"/>
                  <w:vMerge w:val="restart"/>
                  <w:tcBorders>
                    <w:tl2br w:val="nil"/>
                    <w:tr2bl w:val="nil"/>
                  </w:tcBorders>
                  <w:vAlign w:val="center"/>
                </w:tcPr>
                <w:p w14:paraId="0E2EC471">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color w:val="auto"/>
                      <w:highlight w:val="none"/>
                      <w:lang w:val="en-US" w:eastAsia="zh-CN"/>
                    </w:rPr>
                    <w:t>/</w:t>
                  </w:r>
                </w:p>
              </w:tc>
              <w:tc>
                <w:tcPr>
                  <w:tcW w:w="0" w:type="auto"/>
                  <w:vMerge w:val="restart"/>
                  <w:tcBorders>
                    <w:tl2br w:val="nil"/>
                    <w:tr2bl w:val="nil"/>
                  </w:tcBorders>
                  <w:vAlign w:val="center"/>
                </w:tcPr>
                <w:p w14:paraId="7F1E03A6">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cs="Times New Roman"/>
                      <w:color w:val="auto"/>
                      <w:kern w:val="2"/>
                      <w:sz w:val="18"/>
                      <w:szCs w:val="18"/>
                      <w:highlight w:val="none"/>
                      <w:lang w:val="en-US" w:eastAsia="zh-CN" w:bidi="ar-SA"/>
                    </w:rPr>
                    <w:t>隔油池+化粪池</w:t>
                  </w:r>
                </w:p>
              </w:tc>
              <w:tc>
                <w:tcPr>
                  <w:tcW w:w="0" w:type="auto"/>
                  <w:tcBorders>
                    <w:tl2br w:val="nil"/>
                    <w:tr2bl w:val="nil"/>
                  </w:tcBorders>
                  <w:vAlign w:val="center"/>
                </w:tcPr>
                <w:p w14:paraId="63363AA8">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cs="Times New Roman"/>
                      <w:color w:val="auto"/>
                      <w:kern w:val="2"/>
                      <w:sz w:val="18"/>
                      <w:szCs w:val="18"/>
                      <w:highlight w:val="none"/>
                      <w:lang w:val="en-US" w:eastAsia="zh-CN" w:bidi="ar-SA"/>
                    </w:rPr>
                  </w:pPr>
                  <w:r>
                    <w:rPr>
                      <w:rFonts w:hint="eastAsia" w:cs="Times New Roman"/>
                      <w:color w:val="auto"/>
                      <w:kern w:val="2"/>
                      <w:sz w:val="18"/>
                      <w:szCs w:val="18"/>
                      <w:highlight w:val="none"/>
                      <w:lang w:val="en-US" w:eastAsia="zh-CN" w:bidi="ar-SA"/>
                    </w:rPr>
                    <w:t>/</w:t>
                  </w:r>
                </w:p>
              </w:tc>
              <w:tc>
                <w:tcPr>
                  <w:tcW w:w="0" w:type="auto"/>
                  <w:vMerge w:val="restart"/>
                  <w:tcBorders>
                    <w:tl2br w:val="nil"/>
                    <w:tr2bl w:val="nil"/>
                  </w:tcBorders>
                  <w:vAlign w:val="center"/>
                </w:tcPr>
                <w:p w14:paraId="7DE8952D">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cs="Times New Roman"/>
                      <w:color w:val="auto"/>
                      <w:kern w:val="2"/>
                      <w:sz w:val="18"/>
                      <w:szCs w:val="18"/>
                      <w:highlight w:val="none"/>
                      <w:lang w:val="en-US" w:eastAsia="zh-CN" w:bidi="ar-SA"/>
                    </w:rPr>
                    <w:t>是</w:t>
                  </w:r>
                </w:p>
              </w:tc>
              <w:tc>
                <w:tcPr>
                  <w:tcW w:w="0" w:type="auto"/>
                  <w:vMerge w:val="restart"/>
                  <w:tcBorders>
                    <w:tl2br w:val="nil"/>
                    <w:tr2bl w:val="nil"/>
                  </w:tcBorders>
                  <w:vAlign w:val="center"/>
                </w:tcPr>
                <w:p w14:paraId="47CF19F3">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cs="Times New Roman"/>
                      <w:color w:val="auto"/>
                      <w:kern w:val="2"/>
                      <w:sz w:val="18"/>
                      <w:szCs w:val="18"/>
                      <w:highlight w:val="none"/>
                      <w:lang w:val="en-US" w:eastAsia="zh-CN" w:bidi="ar-SA"/>
                    </w:rPr>
                    <w:t>19200</w:t>
                  </w:r>
                </w:p>
              </w:tc>
              <w:tc>
                <w:tcPr>
                  <w:tcW w:w="0" w:type="auto"/>
                  <w:tcBorders>
                    <w:tl2br w:val="nil"/>
                    <w:tr2bl w:val="nil"/>
                  </w:tcBorders>
                  <w:vAlign w:val="center"/>
                </w:tcPr>
                <w:p w14:paraId="53408DDE">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cs="Times New Roman"/>
                      <w:color w:val="auto"/>
                      <w:kern w:val="2"/>
                      <w:sz w:val="18"/>
                      <w:szCs w:val="18"/>
                      <w:highlight w:val="none"/>
                      <w:lang w:val="en-US" w:eastAsia="zh-CN" w:bidi="ar-SA"/>
                    </w:rPr>
                  </w:pPr>
                  <w:r>
                    <w:rPr>
                      <w:rFonts w:hint="eastAsia" w:cs="Times New Roman"/>
                      <w:color w:val="auto"/>
                      <w:kern w:val="2"/>
                      <w:sz w:val="18"/>
                      <w:szCs w:val="18"/>
                      <w:highlight w:val="none"/>
                      <w:lang w:val="en-US" w:eastAsia="zh-CN" w:bidi="ar-SA"/>
                    </w:rPr>
                    <w:t>6~9</w:t>
                  </w:r>
                </w:p>
              </w:tc>
              <w:tc>
                <w:tcPr>
                  <w:tcW w:w="0" w:type="auto"/>
                  <w:tcBorders>
                    <w:tl2br w:val="nil"/>
                    <w:tr2bl w:val="nil"/>
                  </w:tcBorders>
                  <w:vAlign w:val="center"/>
                </w:tcPr>
                <w:p w14:paraId="2A1A16A5">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cs="Times New Roman"/>
                      <w:color w:val="auto"/>
                      <w:kern w:val="2"/>
                      <w:sz w:val="18"/>
                      <w:szCs w:val="18"/>
                      <w:highlight w:val="none"/>
                      <w:lang w:val="en-US" w:eastAsia="zh-CN" w:bidi="ar-SA"/>
                    </w:rPr>
                  </w:pPr>
                  <w:r>
                    <w:rPr>
                      <w:rFonts w:hint="eastAsia" w:cs="Times New Roman"/>
                      <w:color w:val="auto"/>
                      <w:kern w:val="2"/>
                      <w:sz w:val="18"/>
                      <w:szCs w:val="18"/>
                      <w:highlight w:val="none"/>
                      <w:lang w:val="en-US" w:eastAsia="zh-CN" w:bidi="ar-SA"/>
                    </w:rPr>
                    <w:t>/</w:t>
                  </w:r>
                </w:p>
              </w:tc>
              <w:tc>
                <w:tcPr>
                  <w:tcW w:w="455" w:type="dxa"/>
                  <w:vMerge w:val="restart"/>
                  <w:tcBorders>
                    <w:tl2br w:val="nil"/>
                    <w:tr2bl w:val="nil"/>
                  </w:tcBorders>
                  <w:vAlign w:val="center"/>
                </w:tcPr>
                <w:p w14:paraId="724AC65D">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cs="Times New Roman"/>
                      <w:color w:val="auto"/>
                      <w:kern w:val="2"/>
                      <w:sz w:val="18"/>
                      <w:szCs w:val="18"/>
                      <w:highlight w:val="none"/>
                      <w:lang w:val="en-US" w:eastAsia="zh-CN" w:bidi="ar-SA"/>
                    </w:rPr>
                    <w:t>间接排放</w:t>
                  </w:r>
                </w:p>
              </w:tc>
              <w:tc>
                <w:tcPr>
                  <w:tcW w:w="629" w:type="dxa"/>
                  <w:vMerge w:val="restart"/>
                  <w:tcBorders>
                    <w:tl2br w:val="nil"/>
                    <w:tr2bl w:val="nil"/>
                  </w:tcBorders>
                  <w:vAlign w:val="center"/>
                </w:tcPr>
                <w:p w14:paraId="596E0BC1">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kern w:val="2"/>
                      <w:sz w:val="18"/>
                      <w:szCs w:val="18"/>
                      <w:highlight w:val="none"/>
                      <w:lang w:val="en-US" w:eastAsia="zh-CN" w:bidi="ar-SA"/>
                    </w:rPr>
                    <w:t>乐平市金山工业区</w:t>
                  </w:r>
                  <w:r>
                    <w:rPr>
                      <w:rFonts w:hint="eastAsia" w:cs="Times New Roman"/>
                      <w:color w:val="auto"/>
                      <w:kern w:val="2"/>
                      <w:sz w:val="18"/>
                      <w:szCs w:val="18"/>
                      <w:highlight w:val="none"/>
                      <w:lang w:val="en-US" w:eastAsia="zh-CN" w:bidi="ar-SA"/>
                    </w:rPr>
                    <w:t>一期</w:t>
                  </w:r>
                  <w:r>
                    <w:rPr>
                      <w:rFonts w:hint="default" w:ascii="Times New Roman" w:hAnsi="Times New Roman" w:eastAsia="宋体" w:cs="Times New Roman"/>
                      <w:color w:val="auto"/>
                      <w:kern w:val="2"/>
                      <w:sz w:val="18"/>
                      <w:szCs w:val="18"/>
                      <w:highlight w:val="none"/>
                      <w:lang w:val="en-US" w:eastAsia="zh-CN" w:bidi="ar-SA"/>
                    </w:rPr>
                    <w:t>污水站</w:t>
                  </w:r>
                </w:p>
              </w:tc>
              <w:tc>
                <w:tcPr>
                  <w:tcW w:w="0" w:type="auto"/>
                  <w:vMerge w:val="restart"/>
                  <w:tcBorders>
                    <w:tl2br w:val="nil"/>
                    <w:tr2bl w:val="nil"/>
                  </w:tcBorders>
                  <w:vAlign w:val="center"/>
                </w:tcPr>
                <w:p w14:paraId="604F6401">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kern w:val="2"/>
                      <w:sz w:val="18"/>
                      <w:szCs w:val="18"/>
                      <w:highlight w:val="none"/>
                      <w:lang w:val="en-US" w:eastAsia="zh-CN" w:bidi="ar-SA"/>
                    </w:rPr>
                    <w:t>间断排放，排放期间流量不稳定，但有周期性规律</w:t>
                  </w:r>
                </w:p>
              </w:tc>
              <w:tc>
                <w:tcPr>
                  <w:tcW w:w="0" w:type="auto"/>
                  <w:vMerge w:val="restart"/>
                  <w:tcBorders>
                    <w:tl2br w:val="nil"/>
                    <w:tr2bl w:val="nil"/>
                  </w:tcBorders>
                  <w:vAlign w:val="center"/>
                </w:tcPr>
                <w:p w14:paraId="31D7A567">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cs="Times New Roman"/>
                      <w:color w:val="auto"/>
                      <w:kern w:val="2"/>
                      <w:sz w:val="18"/>
                      <w:szCs w:val="18"/>
                      <w:highlight w:val="none"/>
                      <w:lang w:val="en-US" w:eastAsia="zh-CN" w:bidi="ar-SA"/>
                    </w:rPr>
                    <w:t>DW001</w:t>
                  </w:r>
                </w:p>
              </w:tc>
              <w:tc>
                <w:tcPr>
                  <w:tcW w:w="0" w:type="auto"/>
                  <w:vMerge w:val="restart"/>
                  <w:tcBorders>
                    <w:tl2br w:val="nil"/>
                    <w:tr2bl w:val="nil"/>
                  </w:tcBorders>
                  <w:vAlign w:val="center"/>
                </w:tcPr>
                <w:p w14:paraId="656E0F9A">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cs="Times New Roman"/>
                      <w:color w:val="auto"/>
                      <w:kern w:val="2"/>
                      <w:sz w:val="18"/>
                      <w:szCs w:val="18"/>
                      <w:highlight w:val="none"/>
                      <w:lang w:val="en-US" w:eastAsia="zh-CN" w:bidi="ar-SA"/>
                    </w:rPr>
                    <w:t>一般排放口</w:t>
                  </w:r>
                </w:p>
              </w:tc>
              <w:tc>
                <w:tcPr>
                  <w:tcW w:w="0" w:type="auto"/>
                  <w:vMerge w:val="restart"/>
                  <w:tcBorders>
                    <w:tl2br w:val="nil"/>
                    <w:tr2bl w:val="nil"/>
                  </w:tcBorders>
                  <w:vAlign w:val="center"/>
                </w:tcPr>
                <w:p w14:paraId="6105B85E">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color w:val="auto"/>
                      <w:kern w:val="2"/>
                      <w:sz w:val="18"/>
                      <w:szCs w:val="18"/>
                      <w:highlight w:val="none"/>
                      <w:lang w:val="en-US" w:eastAsia="zh-CN" w:bidi="ar-SA"/>
                    </w:rPr>
                  </w:pPr>
                  <w:r>
                    <w:rPr>
                      <w:rFonts w:hint="default" w:ascii="Times New Roman" w:hAnsi="Times New Roman" w:cs="Times New Roman"/>
                      <w:color w:val="auto"/>
                      <w:kern w:val="2"/>
                      <w:sz w:val="18"/>
                      <w:szCs w:val="18"/>
                      <w:highlight w:val="none"/>
                      <w:lang w:val="en-US" w:eastAsia="zh-CN" w:bidi="ar-SA"/>
                    </w:rPr>
                    <w:t>E117°</w:t>
                  </w:r>
                  <w:r>
                    <w:rPr>
                      <w:rFonts w:hint="eastAsia" w:cs="Times New Roman"/>
                      <w:color w:val="auto"/>
                      <w:kern w:val="2"/>
                      <w:sz w:val="18"/>
                      <w:szCs w:val="18"/>
                      <w:highlight w:val="none"/>
                      <w:lang w:val="en-US" w:eastAsia="zh-CN" w:bidi="ar-SA"/>
                    </w:rPr>
                    <w:t>9</w:t>
                  </w:r>
                  <w:r>
                    <w:rPr>
                      <w:rFonts w:hint="default" w:ascii="Times New Roman" w:hAnsi="Times New Roman" w:cs="Times New Roman"/>
                      <w:color w:val="auto"/>
                      <w:kern w:val="2"/>
                      <w:sz w:val="18"/>
                      <w:szCs w:val="18"/>
                      <w:highlight w:val="none"/>
                      <w:lang w:val="en-US" w:eastAsia="zh-CN" w:bidi="ar-SA"/>
                    </w:rPr>
                    <w:t>′</w:t>
                  </w:r>
                  <w:r>
                    <w:rPr>
                      <w:rFonts w:hint="eastAsia" w:cs="Times New Roman"/>
                      <w:color w:val="auto"/>
                      <w:kern w:val="2"/>
                      <w:sz w:val="18"/>
                      <w:szCs w:val="18"/>
                      <w:highlight w:val="none"/>
                      <w:lang w:val="en-US" w:eastAsia="zh-CN" w:bidi="ar-SA"/>
                    </w:rPr>
                    <w:t>25.412</w:t>
                  </w:r>
                  <w:r>
                    <w:rPr>
                      <w:rFonts w:hint="default" w:ascii="Times New Roman" w:hAnsi="Times New Roman" w:cs="Times New Roman"/>
                      <w:color w:val="auto"/>
                      <w:kern w:val="2"/>
                      <w:sz w:val="18"/>
                      <w:szCs w:val="18"/>
                      <w:highlight w:val="none"/>
                      <w:lang w:val="en-US" w:eastAsia="zh-CN" w:bidi="ar-SA"/>
                    </w:rPr>
                    <w:t>″</w:t>
                  </w:r>
                </w:p>
                <w:p w14:paraId="73D4E749">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cs="Times New Roman"/>
                      <w:color w:val="auto"/>
                      <w:kern w:val="2"/>
                      <w:sz w:val="18"/>
                      <w:szCs w:val="18"/>
                      <w:highlight w:val="none"/>
                      <w:lang w:val="en-US" w:eastAsia="zh-CN" w:bidi="ar-SA"/>
                    </w:rPr>
                    <w:t>N29°0′</w:t>
                  </w:r>
                  <w:r>
                    <w:rPr>
                      <w:rFonts w:hint="eastAsia" w:cs="Times New Roman"/>
                      <w:color w:val="auto"/>
                      <w:kern w:val="2"/>
                      <w:sz w:val="18"/>
                      <w:szCs w:val="18"/>
                      <w:highlight w:val="none"/>
                      <w:lang w:val="en-US" w:eastAsia="zh-CN" w:bidi="ar-SA"/>
                    </w:rPr>
                    <w:t>30</w:t>
                  </w:r>
                  <w:r>
                    <w:rPr>
                      <w:rFonts w:hint="default" w:ascii="Times New Roman" w:hAnsi="Times New Roman" w:cs="Times New Roman"/>
                      <w:color w:val="auto"/>
                      <w:kern w:val="2"/>
                      <w:sz w:val="18"/>
                      <w:szCs w:val="18"/>
                      <w:highlight w:val="none"/>
                      <w:lang w:val="en-US" w:eastAsia="zh-CN" w:bidi="ar-SA"/>
                    </w:rPr>
                    <w:t>.2</w:t>
                  </w:r>
                  <w:r>
                    <w:rPr>
                      <w:rFonts w:hint="eastAsia" w:cs="Times New Roman"/>
                      <w:color w:val="auto"/>
                      <w:kern w:val="2"/>
                      <w:sz w:val="18"/>
                      <w:szCs w:val="18"/>
                      <w:highlight w:val="none"/>
                      <w:lang w:val="en-US" w:eastAsia="zh-CN" w:bidi="ar-SA"/>
                    </w:rPr>
                    <w:t>46</w:t>
                  </w:r>
                  <w:r>
                    <w:rPr>
                      <w:rFonts w:hint="default" w:ascii="Times New Roman" w:hAnsi="Times New Roman" w:cs="Times New Roman"/>
                      <w:color w:val="auto"/>
                      <w:kern w:val="2"/>
                      <w:sz w:val="18"/>
                      <w:szCs w:val="18"/>
                      <w:highlight w:val="none"/>
                      <w:lang w:val="en-US" w:eastAsia="zh-CN" w:bidi="ar-SA"/>
                    </w:rPr>
                    <w:t>″</w:t>
                  </w:r>
                </w:p>
              </w:tc>
              <w:tc>
                <w:tcPr>
                  <w:tcW w:w="0" w:type="auto"/>
                  <w:tcBorders>
                    <w:tl2br w:val="nil"/>
                    <w:tr2bl w:val="nil"/>
                  </w:tcBorders>
                  <w:vAlign w:val="center"/>
                </w:tcPr>
                <w:p w14:paraId="3B15E5D6">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cs="Times New Roman"/>
                      <w:color w:val="auto"/>
                      <w:kern w:val="2"/>
                      <w:sz w:val="18"/>
                      <w:szCs w:val="18"/>
                      <w:highlight w:val="none"/>
                      <w:lang w:val="en-US" w:eastAsia="zh-CN" w:bidi="ar-SA"/>
                    </w:rPr>
                  </w:pPr>
                  <w:r>
                    <w:rPr>
                      <w:rFonts w:hint="eastAsia" w:cs="Times New Roman"/>
                      <w:color w:val="auto"/>
                      <w:kern w:val="2"/>
                      <w:sz w:val="18"/>
                      <w:szCs w:val="18"/>
                      <w:highlight w:val="none"/>
                      <w:lang w:val="en-US" w:eastAsia="zh-CN" w:bidi="ar-SA"/>
                    </w:rPr>
                    <w:t>6~9</w:t>
                  </w:r>
                </w:p>
              </w:tc>
            </w:tr>
            <w:tr w14:paraId="54D95DF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0" w:hRule="atLeast"/>
                <w:jc w:val="center"/>
              </w:trPr>
              <w:tc>
                <w:tcPr>
                  <w:tcW w:w="0" w:type="auto"/>
                  <w:vMerge w:val="continue"/>
                  <w:tcBorders>
                    <w:tl2br w:val="nil"/>
                    <w:tr2bl w:val="nil"/>
                  </w:tcBorders>
                  <w:vAlign w:val="center"/>
                </w:tcPr>
                <w:p w14:paraId="7D4B810F">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p>
              </w:tc>
              <w:tc>
                <w:tcPr>
                  <w:tcW w:w="0" w:type="auto"/>
                  <w:vMerge w:val="continue"/>
                  <w:tcBorders>
                    <w:tl2br w:val="nil"/>
                    <w:tr2bl w:val="nil"/>
                  </w:tcBorders>
                  <w:vAlign w:val="center"/>
                </w:tcPr>
                <w:p w14:paraId="4C68789E">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tcBorders>
                    <w:tl2br w:val="nil"/>
                    <w:tr2bl w:val="nil"/>
                  </w:tcBorders>
                  <w:vAlign w:val="center"/>
                </w:tcPr>
                <w:p w14:paraId="3E8B4BB0">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kern w:val="2"/>
                      <w:sz w:val="18"/>
                      <w:szCs w:val="18"/>
                      <w:highlight w:val="none"/>
                      <w:lang w:val="en-US" w:eastAsia="zh-CN" w:bidi="ar-SA"/>
                    </w:rPr>
                    <w:t>COD</w:t>
                  </w:r>
                  <w:r>
                    <w:rPr>
                      <w:rFonts w:hint="eastAsia" w:cs="Times New Roman"/>
                      <w:color w:val="auto"/>
                      <w:kern w:val="2"/>
                      <w:sz w:val="18"/>
                      <w:szCs w:val="18"/>
                      <w:highlight w:val="none"/>
                      <w:vertAlign w:val="subscript"/>
                      <w:lang w:val="en-US" w:eastAsia="zh-CN" w:bidi="ar-SA"/>
                    </w:rPr>
                    <w:t>Cr</w:t>
                  </w:r>
                </w:p>
              </w:tc>
              <w:tc>
                <w:tcPr>
                  <w:tcW w:w="0" w:type="auto"/>
                  <w:vMerge w:val="continue"/>
                  <w:tcBorders>
                    <w:tl2br w:val="nil"/>
                    <w:tr2bl w:val="nil"/>
                  </w:tcBorders>
                  <w:vAlign w:val="center"/>
                </w:tcPr>
                <w:p w14:paraId="389A2D80">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p>
              </w:tc>
              <w:tc>
                <w:tcPr>
                  <w:tcW w:w="0" w:type="auto"/>
                  <w:tcBorders>
                    <w:tl2br w:val="nil"/>
                    <w:tr2bl w:val="nil"/>
                  </w:tcBorders>
                  <w:vAlign w:val="center"/>
                </w:tcPr>
                <w:p w14:paraId="4A569AD2">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default" w:cs="Times New Roman"/>
                      <w:color w:val="auto"/>
                      <w:kern w:val="2"/>
                      <w:sz w:val="18"/>
                      <w:szCs w:val="18"/>
                      <w:highlight w:val="none"/>
                      <w:lang w:val="en-US" w:eastAsia="zh-CN" w:bidi="ar-SA"/>
                    </w:rPr>
                    <w:t>250</w:t>
                  </w:r>
                </w:p>
              </w:tc>
              <w:tc>
                <w:tcPr>
                  <w:tcW w:w="0" w:type="auto"/>
                  <w:tcBorders>
                    <w:tl2br w:val="nil"/>
                    <w:tr2bl w:val="nil"/>
                  </w:tcBorders>
                  <w:vAlign w:val="center"/>
                </w:tcPr>
                <w:p w14:paraId="3ADD23DA">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cs="Times New Roman"/>
                      <w:color w:val="auto"/>
                      <w:kern w:val="2"/>
                      <w:sz w:val="18"/>
                      <w:szCs w:val="18"/>
                      <w:highlight w:val="none"/>
                      <w:lang w:val="en-US" w:eastAsia="zh-CN" w:bidi="ar-SA"/>
                    </w:rPr>
                  </w:pPr>
                  <w:r>
                    <w:rPr>
                      <w:rFonts w:hint="eastAsia" w:cs="Times New Roman"/>
                      <w:color w:val="auto"/>
                      <w:kern w:val="2"/>
                      <w:sz w:val="18"/>
                      <w:szCs w:val="18"/>
                      <w:highlight w:val="none"/>
                      <w:lang w:val="en-US" w:eastAsia="zh-CN" w:bidi="ar-SA"/>
                    </w:rPr>
                    <w:t>4.8</w:t>
                  </w:r>
                </w:p>
              </w:tc>
              <w:tc>
                <w:tcPr>
                  <w:tcW w:w="0" w:type="auto"/>
                  <w:vMerge w:val="continue"/>
                  <w:tcBorders>
                    <w:tl2br w:val="nil"/>
                    <w:tr2bl w:val="nil"/>
                  </w:tcBorders>
                  <w:vAlign w:val="center"/>
                </w:tcPr>
                <w:p w14:paraId="4998FA23">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p>
              </w:tc>
              <w:tc>
                <w:tcPr>
                  <w:tcW w:w="0" w:type="auto"/>
                  <w:vMerge w:val="continue"/>
                  <w:tcBorders>
                    <w:tl2br w:val="nil"/>
                    <w:tr2bl w:val="nil"/>
                  </w:tcBorders>
                  <w:vAlign w:val="center"/>
                </w:tcPr>
                <w:p w14:paraId="5574ABED">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vMerge w:val="continue"/>
                  <w:tcBorders>
                    <w:tl2br w:val="nil"/>
                    <w:tr2bl w:val="nil"/>
                  </w:tcBorders>
                  <w:vAlign w:val="center"/>
                </w:tcPr>
                <w:p w14:paraId="03651684">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tcBorders>
                    <w:tl2br w:val="nil"/>
                    <w:tr2bl w:val="nil"/>
                  </w:tcBorders>
                  <w:vAlign w:val="center"/>
                </w:tcPr>
                <w:p w14:paraId="3BEC8B0B">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cs="Times New Roman"/>
                      <w:color w:val="auto"/>
                      <w:kern w:val="2"/>
                      <w:sz w:val="18"/>
                      <w:szCs w:val="18"/>
                      <w:highlight w:val="none"/>
                      <w:lang w:val="en-US" w:eastAsia="zh-CN" w:bidi="ar-SA"/>
                    </w:rPr>
                    <w:t>20</w:t>
                  </w:r>
                </w:p>
              </w:tc>
              <w:tc>
                <w:tcPr>
                  <w:tcW w:w="0" w:type="auto"/>
                  <w:vMerge w:val="continue"/>
                  <w:tcBorders>
                    <w:tl2br w:val="nil"/>
                    <w:tr2bl w:val="nil"/>
                  </w:tcBorders>
                  <w:vAlign w:val="center"/>
                </w:tcPr>
                <w:p w14:paraId="52DD446E">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vMerge w:val="continue"/>
                  <w:tcBorders>
                    <w:tl2br w:val="nil"/>
                    <w:tr2bl w:val="nil"/>
                  </w:tcBorders>
                  <w:vAlign w:val="center"/>
                </w:tcPr>
                <w:p w14:paraId="7B3210A6">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tcBorders>
                    <w:tl2br w:val="nil"/>
                    <w:tr2bl w:val="nil"/>
                  </w:tcBorders>
                  <w:vAlign w:val="center"/>
                </w:tcPr>
                <w:p w14:paraId="33D8DBA2">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eastAsia" w:cs="Times New Roman"/>
                      <w:color w:val="auto"/>
                      <w:kern w:val="2"/>
                      <w:sz w:val="18"/>
                      <w:szCs w:val="18"/>
                      <w:highlight w:val="none"/>
                      <w:lang w:val="en-US" w:eastAsia="zh-CN" w:bidi="ar-SA"/>
                    </w:rPr>
                    <w:t>200</w:t>
                  </w:r>
                </w:p>
              </w:tc>
              <w:tc>
                <w:tcPr>
                  <w:tcW w:w="0" w:type="auto"/>
                  <w:tcBorders>
                    <w:tl2br w:val="nil"/>
                    <w:tr2bl w:val="nil"/>
                  </w:tcBorders>
                  <w:vAlign w:val="center"/>
                </w:tcPr>
                <w:p w14:paraId="740DAB62">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cs="Times New Roman"/>
                      <w:color w:val="auto"/>
                      <w:kern w:val="2"/>
                      <w:sz w:val="18"/>
                      <w:szCs w:val="18"/>
                      <w:highlight w:val="none"/>
                      <w:lang w:val="en-US" w:eastAsia="zh-CN" w:bidi="ar-SA"/>
                    </w:rPr>
                  </w:pPr>
                  <w:r>
                    <w:rPr>
                      <w:rFonts w:hint="eastAsia" w:cs="Times New Roman"/>
                      <w:color w:val="auto"/>
                      <w:kern w:val="2"/>
                      <w:sz w:val="18"/>
                      <w:szCs w:val="18"/>
                      <w:highlight w:val="none"/>
                      <w:lang w:val="en-US" w:eastAsia="zh-CN" w:bidi="ar-SA"/>
                    </w:rPr>
                    <w:t>3.84</w:t>
                  </w:r>
                </w:p>
              </w:tc>
              <w:tc>
                <w:tcPr>
                  <w:tcW w:w="455" w:type="dxa"/>
                  <w:vMerge w:val="continue"/>
                  <w:tcBorders>
                    <w:tl2br w:val="nil"/>
                    <w:tr2bl w:val="nil"/>
                  </w:tcBorders>
                  <w:vAlign w:val="center"/>
                </w:tcPr>
                <w:p w14:paraId="4B3AD3CD">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629" w:type="dxa"/>
                  <w:vMerge w:val="continue"/>
                  <w:tcBorders>
                    <w:tl2br w:val="nil"/>
                    <w:tr2bl w:val="nil"/>
                  </w:tcBorders>
                  <w:vAlign w:val="center"/>
                </w:tcPr>
                <w:p w14:paraId="3D7F0280">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bCs/>
                      <w:color w:val="auto"/>
                      <w:sz w:val="18"/>
                      <w:szCs w:val="18"/>
                      <w:highlight w:val="none"/>
                      <w:lang w:val="en-US" w:eastAsia="zh-CN"/>
                    </w:rPr>
                  </w:pPr>
                </w:p>
              </w:tc>
              <w:tc>
                <w:tcPr>
                  <w:tcW w:w="0" w:type="auto"/>
                  <w:vMerge w:val="continue"/>
                  <w:tcBorders>
                    <w:tl2br w:val="nil"/>
                    <w:tr2bl w:val="nil"/>
                  </w:tcBorders>
                  <w:vAlign w:val="center"/>
                </w:tcPr>
                <w:p w14:paraId="25AC0F79">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p>
              </w:tc>
              <w:tc>
                <w:tcPr>
                  <w:tcW w:w="0" w:type="auto"/>
                  <w:vMerge w:val="continue"/>
                  <w:tcBorders>
                    <w:tl2br w:val="nil"/>
                    <w:tr2bl w:val="nil"/>
                  </w:tcBorders>
                  <w:vAlign w:val="center"/>
                </w:tcPr>
                <w:p w14:paraId="693A3BCE">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vMerge w:val="continue"/>
                  <w:tcBorders>
                    <w:tl2br w:val="nil"/>
                    <w:tr2bl w:val="nil"/>
                  </w:tcBorders>
                  <w:vAlign w:val="center"/>
                </w:tcPr>
                <w:p w14:paraId="0DF903D3">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vMerge w:val="continue"/>
                  <w:tcBorders>
                    <w:tl2br w:val="nil"/>
                    <w:tr2bl w:val="nil"/>
                  </w:tcBorders>
                  <w:vAlign w:val="center"/>
                </w:tcPr>
                <w:p w14:paraId="3D6665FD">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tcBorders>
                    <w:tl2br w:val="nil"/>
                    <w:tr2bl w:val="nil"/>
                  </w:tcBorders>
                  <w:vAlign w:val="center"/>
                </w:tcPr>
                <w:p w14:paraId="24B44D29">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cs="Times New Roman"/>
                      <w:color w:val="auto"/>
                      <w:kern w:val="2"/>
                      <w:sz w:val="18"/>
                      <w:szCs w:val="18"/>
                      <w:highlight w:val="none"/>
                      <w:lang w:val="en-US" w:eastAsia="zh-CN" w:bidi="ar-SA"/>
                    </w:rPr>
                    <w:t>500</w:t>
                  </w:r>
                </w:p>
              </w:tc>
            </w:tr>
            <w:tr w14:paraId="5FCF10F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0" w:hRule="atLeast"/>
                <w:jc w:val="center"/>
              </w:trPr>
              <w:tc>
                <w:tcPr>
                  <w:tcW w:w="0" w:type="auto"/>
                  <w:vMerge w:val="continue"/>
                  <w:tcBorders>
                    <w:tl2br w:val="nil"/>
                    <w:tr2bl w:val="nil"/>
                  </w:tcBorders>
                  <w:vAlign w:val="center"/>
                </w:tcPr>
                <w:p w14:paraId="32C67851">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p>
              </w:tc>
              <w:tc>
                <w:tcPr>
                  <w:tcW w:w="0" w:type="auto"/>
                  <w:vMerge w:val="continue"/>
                  <w:tcBorders>
                    <w:tl2br w:val="nil"/>
                    <w:tr2bl w:val="nil"/>
                  </w:tcBorders>
                  <w:vAlign w:val="center"/>
                </w:tcPr>
                <w:p w14:paraId="51F03157">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tcBorders>
                    <w:tl2br w:val="nil"/>
                    <w:tr2bl w:val="nil"/>
                  </w:tcBorders>
                  <w:vAlign w:val="center"/>
                </w:tcPr>
                <w:p w14:paraId="6FDB8217">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kern w:val="2"/>
                      <w:sz w:val="18"/>
                      <w:szCs w:val="18"/>
                      <w:highlight w:val="none"/>
                      <w:lang w:val="en-US" w:eastAsia="zh-CN" w:bidi="ar-SA"/>
                    </w:rPr>
                    <w:t>BOD</w:t>
                  </w:r>
                  <w:r>
                    <w:rPr>
                      <w:rFonts w:hint="eastAsia" w:ascii="Times New Roman" w:hAnsi="Times New Roman" w:eastAsia="宋体" w:cs="Times New Roman"/>
                      <w:color w:val="auto"/>
                      <w:kern w:val="2"/>
                      <w:sz w:val="18"/>
                      <w:szCs w:val="18"/>
                      <w:highlight w:val="none"/>
                      <w:vertAlign w:val="subscript"/>
                      <w:lang w:val="en-US" w:eastAsia="zh-CN" w:bidi="ar-SA"/>
                    </w:rPr>
                    <w:t>5</w:t>
                  </w:r>
                </w:p>
              </w:tc>
              <w:tc>
                <w:tcPr>
                  <w:tcW w:w="0" w:type="auto"/>
                  <w:vMerge w:val="continue"/>
                  <w:tcBorders>
                    <w:tl2br w:val="nil"/>
                    <w:tr2bl w:val="nil"/>
                  </w:tcBorders>
                  <w:vAlign w:val="center"/>
                </w:tcPr>
                <w:p w14:paraId="0906CC86">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p>
              </w:tc>
              <w:tc>
                <w:tcPr>
                  <w:tcW w:w="0" w:type="auto"/>
                  <w:tcBorders>
                    <w:tl2br w:val="nil"/>
                    <w:tr2bl w:val="nil"/>
                  </w:tcBorders>
                  <w:vAlign w:val="center"/>
                </w:tcPr>
                <w:p w14:paraId="66FF520F">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default" w:cs="Times New Roman"/>
                      <w:color w:val="auto"/>
                      <w:kern w:val="2"/>
                      <w:sz w:val="18"/>
                      <w:szCs w:val="18"/>
                      <w:highlight w:val="none"/>
                      <w:lang w:val="en-US" w:eastAsia="zh-CN" w:bidi="ar-SA"/>
                    </w:rPr>
                    <w:t>100</w:t>
                  </w:r>
                </w:p>
              </w:tc>
              <w:tc>
                <w:tcPr>
                  <w:tcW w:w="0" w:type="auto"/>
                  <w:tcBorders>
                    <w:tl2br w:val="nil"/>
                    <w:tr2bl w:val="nil"/>
                  </w:tcBorders>
                  <w:vAlign w:val="center"/>
                </w:tcPr>
                <w:p w14:paraId="69560938">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cs="Times New Roman"/>
                      <w:color w:val="auto"/>
                      <w:kern w:val="2"/>
                      <w:sz w:val="18"/>
                      <w:szCs w:val="18"/>
                      <w:highlight w:val="none"/>
                      <w:lang w:val="en-US" w:eastAsia="zh-CN" w:bidi="ar-SA"/>
                    </w:rPr>
                  </w:pPr>
                  <w:r>
                    <w:rPr>
                      <w:rFonts w:hint="eastAsia" w:cs="Times New Roman"/>
                      <w:color w:val="auto"/>
                      <w:kern w:val="2"/>
                      <w:sz w:val="18"/>
                      <w:szCs w:val="18"/>
                      <w:highlight w:val="none"/>
                      <w:lang w:val="en-US" w:eastAsia="zh-CN" w:bidi="ar-SA"/>
                    </w:rPr>
                    <w:t>1.92</w:t>
                  </w:r>
                </w:p>
              </w:tc>
              <w:tc>
                <w:tcPr>
                  <w:tcW w:w="0" w:type="auto"/>
                  <w:vMerge w:val="continue"/>
                  <w:tcBorders>
                    <w:tl2br w:val="nil"/>
                    <w:tr2bl w:val="nil"/>
                  </w:tcBorders>
                  <w:vAlign w:val="center"/>
                </w:tcPr>
                <w:p w14:paraId="1621E5F4">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p>
              </w:tc>
              <w:tc>
                <w:tcPr>
                  <w:tcW w:w="0" w:type="auto"/>
                  <w:vMerge w:val="continue"/>
                  <w:tcBorders>
                    <w:tl2br w:val="nil"/>
                    <w:tr2bl w:val="nil"/>
                  </w:tcBorders>
                  <w:vAlign w:val="center"/>
                </w:tcPr>
                <w:p w14:paraId="7578386C">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vMerge w:val="continue"/>
                  <w:tcBorders>
                    <w:tl2br w:val="nil"/>
                    <w:tr2bl w:val="nil"/>
                  </w:tcBorders>
                  <w:vAlign w:val="center"/>
                </w:tcPr>
                <w:p w14:paraId="29C9E593">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tcBorders>
                    <w:tl2br w:val="nil"/>
                    <w:tr2bl w:val="nil"/>
                  </w:tcBorders>
                  <w:vAlign w:val="center"/>
                </w:tcPr>
                <w:p w14:paraId="5783A588">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cs="Times New Roman"/>
                      <w:color w:val="auto"/>
                      <w:kern w:val="2"/>
                      <w:sz w:val="18"/>
                      <w:szCs w:val="18"/>
                      <w:highlight w:val="none"/>
                      <w:lang w:val="en-US" w:eastAsia="zh-CN" w:bidi="ar-SA"/>
                    </w:rPr>
                    <w:t>20</w:t>
                  </w:r>
                </w:p>
              </w:tc>
              <w:tc>
                <w:tcPr>
                  <w:tcW w:w="0" w:type="auto"/>
                  <w:vMerge w:val="continue"/>
                  <w:tcBorders>
                    <w:tl2br w:val="nil"/>
                    <w:tr2bl w:val="nil"/>
                  </w:tcBorders>
                  <w:vAlign w:val="center"/>
                </w:tcPr>
                <w:p w14:paraId="4BB14600">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vMerge w:val="continue"/>
                  <w:tcBorders>
                    <w:tl2br w:val="nil"/>
                    <w:tr2bl w:val="nil"/>
                  </w:tcBorders>
                  <w:vAlign w:val="center"/>
                </w:tcPr>
                <w:p w14:paraId="5F73D8BC">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tcBorders>
                    <w:tl2br w:val="nil"/>
                    <w:tr2bl w:val="nil"/>
                  </w:tcBorders>
                  <w:vAlign w:val="center"/>
                </w:tcPr>
                <w:p w14:paraId="7FD55884">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eastAsia" w:cs="Times New Roman"/>
                      <w:color w:val="auto"/>
                      <w:kern w:val="2"/>
                      <w:sz w:val="18"/>
                      <w:szCs w:val="18"/>
                      <w:highlight w:val="none"/>
                      <w:lang w:val="en-US" w:eastAsia="zh-CN" w:bidi="ar-SA"/>
                    </w:rPr>
                    <w:t>80</w:t>
                  </w:r>
                </w:p>
              </w:tc>
              <w:tc>
                <w:tcPr>
                  <w:tcW w:w="0" w:type="auto"/>
                  <w:tcBorders>
                    <w:tl2br w:val="nil"/>
                    <w:tr2bl w:val="nil"/>
                  </w:tcBorders>
                  <w:vAlign w:val="center"/>
                </w:tcPr>
                <w:p w14:paraId="76E193AB">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cs="Times New Roman"/>
                      <w:color w:val="auto"/>
                      <w:kern w:val="2"/>
                      <w:sz w:val="18"/>
                      <w:szCs w:val="18"/>
                      <w:highlight w:val="none"/>
                      <w:lang w:val="en-US" w:eastAsia="zh-CN" w:bidi="ar-SA"/>
                    </w:rPr>
                  </w:pPr>
                  <w:r>
                    <w:rPr>
                      <w:rFonts w:hint="eastAsia" w:cs="Times New Roman"/>
                      <w:color w:val="auto"/>
                      <w:kern w:val="2"/>
                      <w:sz w:val="18"/>
                      <w:szCs w:val="18"/>
                      <w:highlight w:val="none"/>
                      <w:lang w:val="en-US" w:eastAsia="zh-CN" w:bidi="ar-SA"/>
                    </w:rPr>
                    <w:t>1.536</w:t>
                  </w:r>
                </w:p>
              </w:tc>
              <w:tc>
                <w:tcPr>
                  <w:tcW w:w="455" w:type="dxa"/>
                  <w:vMerge w:val="continue"/>
                  <w:tcBorders>
                    <w:tl2br w:val="nil"/>
                    <w:tr2bl w:val="nil"/>
                  </w:tcBorders>
                  <w:vAlign w:val="center"/>
                </w:tcPr>
                <w:p w14:paraId="4EAF7FE8">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629" w:type="dxa"/>
                  <w:vMerge w:val="continue"/>
                  <w:tcBorders>
                    <w:tl2br w:val="nil"/>
                    <w:tr2bl w:val="nil"/>
                  </w:tcBorders>
                  <w:vAlign w:val="center"/>
                </w:tcPr>
                <w:p w14:paraId="6F3B5747">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bCs/>
                      <w:color w:val="auto"/>
                      <w:sz w:val="18"/>
                      <w:szCs w:val="18"/>
                      <w:highlight w:val="none"/>
                      <w:lang w:val="en-US" w:eastAsia="zh-CN"/>
                    </w:rPr>
                  </w:pPr>
                </w:p>
              </w:tc>
              <w:tc>
                <w:tcPr>
                  <w:tcW w:w="0" w:type="auto"/>
                  <w:vMerge w:val="continue"/>
                  <w:tcBorders>
                    <w:tl2br w:val="nil"/>
                    <w:tr2bl w:val="nil"/>
                  </w:tcBorders>
                  <w:vAlign w:val="center"/>
                </w:tcPr>
                <w:p w14:paraId="57901041">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p>
              </w:tc>
              <w:tc>
                <w:tcPr>
                  <w:tcW w:w="0" w:type="auto"/>
                  <w:vMerge w:val="continue"/>
                  <w:tcBorders>
                    <w:tl2br w:val="nil"/>
                    <w:tr2bl w:val="nil"/>
                  </w:tcBorders>
                  <w:vAlign w:val="center"/>
                </w:tcPr>
                <w:p w14:paraId="1A520A61">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vMerge w:val="continue"/>
                  <w:tcBorders>
                    <w:tl2br w:val="nil"/>
                    <w:tr2bl w:val="nil"/>
                  </w:tcBorders>
                  <w:vAlign w:val="center"/>
                </w:tcPr>
                <w:p w14:paraId="30F1AB83">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vMerge w:val="continue"/>
                  <w:tcBorders>
                    <w:tl2br w:val="nil"/>
                    <w:tr2bl w:val="nil"/>
                  </w:tcBorders>
                  <w:vAlign w:val="center"/>
                </w:tcPr>
                <w:p w14:paraId="0A21E0B1">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tcBorders>
                    <w:tl2br w:val="nil"/>
                    <w:tr2bl w:val="nil"/>
                  </w:tcBorders>
                  <w:vAlign w:val="center"/>
                </w:tcPr>
                <w:p w14:paraId="69FA7AC9">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cs="Times New Roman"/>
                      <w:color w:val="auto"/>
                      <w:kern w:val="2"/>
                      <w:sz w:val="18"/>
                      <w:szCs w:val="18"/>
                      <w:highlight w:val="none"/>
                      <w:lang w:val="en-US" w:eastAsia="zh-CN" w:bidi="ar-SA"/>
                    </w:rPr>
                    <w:t>300</w:t>
                  </w:r>
                </w:p>
              </w:tc>
            </w:tr>
            <w:tr w14:paraId="483B7DF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0" w:hRule="atLeast"/>
                <w:jc w:val="center"/>
              </w:trPr>
              <w:tc>
                <w:tcPr>
                  <w:tcW w:w="0" w:type="auto"/>
                  <w:vMerge w:val="continue"/>
                  <w:tcBorders>
                    <w:tl2br w:val="nil"/>
                    <w:tr2bl w:val="nil"/>
                  </w:tcBorders>
                  <w:vAlign w:val="center"/>
                </w:tcPr>
                <w:p w14:paraId="4A14954B">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p>
              </w:tc>
              <w:tc>
                <w:tcPr>
                  <w:tcW w:w="0" w:type="auto"/>
                  <w:vMerge w:val="continue"/>
                  <w:tcBorders>
                    <w:tl2br w:val="nil"/>
                    <w:tr2bl w:val="nil"/>
                  </w:tcBorders>
                  <w:vAlign w:val="center"/>
                </w:tcPr>
                <w:p w14:paraId="07A68127">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tcBorders>
                    <w:tl2br w:val="nil"/>
                    <w:tr2bl w:val="nil"/>
                  </w:tcBorders>
                  <w:vAlign w:val="center"/>
                </w:tcPr>
                <w:p w14:paraId="1C310E23">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kern w:val="2"/>
                      <w:sz w:val="18"/>
                      <w:szCs w:val="18"/>
                      <w:highlight w:val="none"/>
                      <w:lang w:val="en-US" w:eastAsia="zh-CN" w:bidi="ar-SA"/>
                    </w:rPr>
                    <w:t>SS</w:t>
                  </w:r>
                </w:p>
              </w:tc>
              <w:tc>
                <w:tcPr>
                  <w:tcW w:w="0" w:type="auto"/>
                  <w:vMerge w:val="continue"/>
                  <w:tcBorders>
                    <w:tl2br w:val="nil"/>
                    <w:tr2bl w:val="nil"/>
                  </w:tcBorders>
                  <w:vAlign w:val="center"/>
                </w:tcPr>
                <w:p w14:paraId="41A1FC6D">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p>
              </w:tc>
              <w:tc>
                <w:tcPr>
                  <w:tcW w:w="0" w:type="auto"/>
                  <w:tcBorders>
                    <w:tl2br w:val="nil"/>
                    <w:tr2bl w:val="nil"/>
                  </w:tcBorders>
                  <w:vAlign w:val="center"/>
                </w:tcPr>
                <w:p w14:paraId="52FDF98D">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cs="Times New Roman"/>
                      <w:color w:val="auto"/>
                      <w:kern w:val="2"/>
                      <w:sz w:val="18"/>
                      <w:szCs w:val="18"/>
                      <w:highlight w:val="none"/>
                      <w:lang w:val="en-US" w:eastAsia="zh-CN" w:bidi="ar-SA"/>
                    </w:rPr>
                  </w:pPr>
                  <w:r>
                    <w:rPr>
                      <w:rFonts w:hint="default" w:cs="Times New Roman"/>
                      <w:color w:val="auto"/>
                      <w:kern w:val="2"/>
                      <w:sz w:val="18"/>
                      <w:szCs w:val="18"/>
                      <w:highlight w:val="none"/>
                      <w:lang w:val="en-US" w:eastAsia="zh-CN" w:bidi="ar-SA"/>
                    </w:rPr>
                    <w:t>150</w:t>
                  </w:r>
                </w:p>
              </w:tc>
              <w:tc>
                <w:tcPr>
                  <w:tcW w:w="0" w:type="auto"/>
                  <w:tcBorders>
                    <w:tl2br w:val="nil"/>
                    <w:tr2bl w:val="nil"/>
                  </w:tcBorders>
                  <w:vAlign w:val="center"/>
                </w:tcPr>
                <w:p w14:paraId="409A1D00">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cs="Times New Roman"/>
                      <w:color w:val="auto"/>
                      <w:kern w:val="2"/>
                      <w:sz w:val="18"/>
                      <w:szCs w:val="18"/>
                      <w:highlight w:val="none"/>
                      <w:lang w:val="en-US" w:eastAsia="zh-CN" w:bidi="ar-SA"/>
                    </w:rPr>
                  </w:pPr>
                  <w:r>
                    <w:rPr>
                      <w:rFonts w:hint="eastAsia" w:cs="Times New Roman"/>
                      <w:color w:val="auto"/>
                      <w:kern w:val="2"/>
                      <w:sz w:val="18"/>
                      <w:szCs w:val="18"/>
                      <w:highlight w:val="none"/>
                      <w:lang w:val="en-US" w:eastAsia="zh-CN" w:bidi="ar-SA"/>
                    </w:rPr>
                    <w:t>2.88</w:t>
                  </w:r>
                </w:p>
              </w:tc>
              <w:tc>
                <w:tcPr>
                  <w:tcW w:w="0" w:type="auto"/>
                  <w:vMerge w:val="continue"/>
                  <w:tcBorders>
                    <w:tl2br w:val="nil"/>
                    <w:tr2bl w:val="nil"/>
                  </w:tcBorders>
                  <w:vAlign w:val="center"/>
                </w:tcPr>
                <w:p w14:paraId="6EF691BD">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p>
              </w:tc>
              <w:tc>
                <w:tcPr>
                  <w:tcW w:w="0" w:type="auto"/>
                  <w:vMerge w:val="continue"/>
                  <w:tcBorders>
                    <w:tl2br w:val="nil"/>
                    <w:tr2bl w:val="nil"/>
                  </w:tcBorders>
                  <w:vAlign w:val="center"/>
                </w:tcPr>
                <w:p w14:paraId="25547CD5">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vMerge w:val="continue"/>
                  <w:tcBorders>
                    <w:tl2br w:val="nil"/>
                    <w:tr2bl w:val="nil"/>
                  </w:tcBorders>
                  <w:vAlign w:val="center"/>
                </w:tcPr>
                <w:p w14:paraId="63231E3B">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tcBorders>
                    <w:tl2br w:val="nil"/>
                    <w:tr2bl w:val="nil"/>
                  </w:tcBorders>
                  <w:vAlign w:val="center"/>
                </w:tcPr>
                <w:p w14:paraId="0BF968BE">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cs="Times New Roman"/>
                      <w:color w:val="auto"/>
                      <w:kern w:val="2"/>
                      <w:sz w:val="18"/>
                      <w:szCs w:val="18"/>
                      <w:highlight w:val="none"/>
                      <w:lang w:val="en-US" w:eastAsia="zh-CN" w:bidi="ar-SA"/>
                    </w:rPr>
                    <w:t>30</w:t>
                  </w:r>
                </w:p>
              </w:tc>
              <w:tc>
                <w:tcPr>
                  <w:tcW w:w="0" w:type="auto"/>
                  <w:vMerge w:val="continue"/>
                  <w:tcBorders>
                    <w:tl2br w:val="nil"/>
                    <w:tr2bl w:val="nil"/>
                  </w:tcBorders>
                  <w:vAlign w:val="center"/>
                </w:tcPr>
                <w:p w14:paraId="4497A8B2">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vMerge w:val="continue"/>
                  <w:tcBorders>
                    <w:tl2br w:val="nil"/>
                    <w:tr2bl w:val="nil"/>
                  </w:tcBorders>
                  <w:vAlign w:val="center"/>
                </w:tcPr>
                <w:p w14:paraId="0B9F23ED">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tcBorders>
                    <w:tl2br w:val="nil"/>
                    <w:tr2bl w:val="nil"/>
                  </w:tcBorders>
                  <w:vAlign w:val="center"/>
                </w:tcPr>
                <w:p w14:paraId="1527F5C3">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r>
                    <w:rPr>
                      <w:rFonts w:hint="eastAsia" w:cs="Times New Roman"/>
                      <w:color w:val="auto"/>
                      <w:kern w:val="2"/>
                      <w:sz w:val="18"/>
                      <w:szCs w:val="18"/>
                      <w:highlight w:val="none"/>
                      <w:lang w:val="en-US" w:eastAsia="zh-CN" w:bidi="ar-SA"/>
                    </w:rPr>
                    <w:t>105</w:t>
                  </w:r>
                </w:p>
              </w:tc>
              <w:tc>
                <w:tcPr>
                  <w:tcW w:w="0" w:type="auto"/>
                  <w:tcBorders>
                    <w:tl2br w:val="nil"/>
                    <w:tr2bl w:val="nil"/>
                  </w:tcBorders>
                  <w:vAlign w:val="center"/>
                </w:tcPr>
                <w:p w14:paraId="1957E969">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cs="Times New Roman"/>
                      <w:color w:val="auto"/>
                      <w:kern w:val="2"/>
                      <w:sz w:val="18"/>
                      <w:szCs w:val="18"/>
                      <w:highlight w:val="none"/>
                      <w:lang w:val="en-US" w:eastAsia="zh-CN" w:bidi="ar-SA"/>
                    </w:rPr>
                  </w:pPr>
                  <w:r>
                    <w:rPr>
                      <w:rFonts w:hint="eastAsia" w:cs="Times New Roman"/>
                      <w:color w:val="auto"/>
                      <w:kern w:val="2"/>
                      <w:sz w:val="18"/>
                      <w:szCs w:val="18"/>
                      <w:highlight w:val="none"/>
                      <w:lang w:val="en-US" w:eastAsia="zh-CN" w:bidi="ar-SA"/>
                    </w:rPr>
                    <w:t>2.016</w:t>
                  </w:r>
                </w:p>
              </w:tc>
              <w:tc>
                <w:tcPr>
                  <w:tcW w:w="455" w:type="dxa"/>
                  <w:vMerge w:val="continue"/>
                  <w:tcBorders>
                    <w:tl2br w:val="nil"/>
                    <w:tr2bl w:val="nil"/>
                  </w:tcBorders>
                  <w:vAlign w:val="center"/>
                </w:tcPr>
                <w:p w14:paraId="7283880A">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629" w:type="dxa"/>
                  <w:vMerge w:val="continue"/>
                  <w:tcBorders>
                    <w:tl2br w:val="nil"/>
                    <w:tr2bl w:val="nil"/>
                  </w:tcBorders>
                  <w:vAlign w:val="center"/>
                </w:tcPr>
                <w:p w14:paraId="13924B9E">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bCs/>
                      <w:color w:val="auto"/>
                      <w:sz w:val="18"/>
                      <w:szCs w:val="18"/>
                      <w:highlight w:val="none"/>
                      <w:lang w:val="en-US" w:eastAsia="zh-CN"/>
                    </w:rPr>
                  </w:pPr>
                </w:p>
              </w:tc>
              <w:tc>
                <w:tcPr>
                  <w:tcW w:w="0" w:type="auto"/>
                  <w:vMerge w:val="continue"/>
                  <w:tcBorders>
                    <w:tl2br w:val="nil"/>
                    <w:tr2bl w:val="nil"/>
                  </w:tcBorders>
                  <w:vAlign w:val="center"/>
                </w:tcPr>
                <w:p w14:paraId="6CFA26EF">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p>
              </w:tc>
              <w:tc>
                <w:tcPr>
                  <w:tcW w:w="0" w:type="auto"/>
                  <w:vMerge w:val="continue"/>
                  <w:tcBorders>
                    <w:tl2br w:val="nil"/>
                    <w:tr2bl w:val="nil"/>
                  </w:tcBorders>
                  <w:vAlign w:val="center"/>
                </w:tcPr>
                <w:p w14:paraId="4E5D53BF">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vMerge w:val="continue"/>
                  <w:tcBorders>
                    <w:tl2br w:val="nil"/>
                    <w:tr2bl w:val="nil"/>
                  </w:tcBorders>
                  <w:vAlign w:val="center"/>
                </w:tcPr>
                <w:p w14:paraId="2FD9633E">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vMerge w:val="continue"/>
                  <w:tcBorders>
                    <w:tl2br w:val="nil"/>
                    <w:tr2bl w:val="nil"/>
                  </w:tcBorders>
                  <w:vAlign w:val="center"/>
                </w:tcPr>
                <w:p w14:paraId="50ED7A42">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tcBorders>
                    <w:tl2br w:val="nil"/>
                    <w:tr2bl w:val="nil"/>
                  </w:tcBorders>
                  <w:vAlign w:val="center"/>
                </w:tcPr>
                <w:p w14:paraId="6586AC75">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cs="Times New Roman"/>
                      <w:color w:val="auto"/>
                      <w:kern w:val="2"/>
                      <w:sz w:val="18"/>
                      <w:szCs w:val="18"/>
                      <w:highlight w:val="none"/>
                      <w:lang w:val="en-US" w:eastAsia="zh-CN" w:bidi="ar-SA"/>
                    </w:rPr>
                    <w:t>400</w:t>
                  </w:r>
                </w:p>
              </w:tc>
            </w:tr>
            <w:tr w14:paraId="4302055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0" w:hRule="atLeast"/>
                <w:jc w:val="center"/>
              </w:trPr>
              <w:tc>
                <w:tcPr>
                  <w:tcW w:w="0" w:type="auto"/>
                  <w:vMerge w:val="continue"/>
                  <w:tcBorders>
                    <w:tl2br w:val="nil"/>
                    <w:tr2bl w:val="nil"/>
                  </w:tcBorders>
                  <w:vAlign w:val="center"/>
                </w:tcPr>
                <w:p w14:paraId="0D6E32B9">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p>
              </w:tc>
              <w:tc>
                <w:tcPr>
                  <w:tcW w:w="0" w:type="auto"/>
                  <w:vMerge w:val="continue"/>
                  <w:tcBorders>
                    <w:tl2br w:val="nil"/>
                    <w:tr2bl w:val="nil"/>
                  </w:tcBorders>
                  <w:vAlign w:val="center"/>
                </w:tcPr>
                <w:p w14:paraId="7DE1D80E">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tcBorders>
                    <w:tl2br w:val="nil"/>
                    <w:tr2bl w:val="nil"/>
                  </w:tcBorders>
                  <w:vAlign w:val="center"/>
                </w:tcPr>
                <w:p w14:paraId="41622112">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default" w:ascii="Times New Roman" w:hAnsi="Times New Roman" w:eastAsia="宋体" w:cs="Times New Roman"/>
                      <w:color w:val="auto"/>
                      <w:kern w:val="2"/>
                      <w:sz w:val="18"/>
                      <w:szCs w:val="18"/>
                      <w:highlight w:val="none"/>
                      <w:lang w:val="en-US" w:eastAsia="zh-CN" w:bidi="ar-SA"/>
                    </w:rPr>
                    <w:t>NH</w:t>
                  </w:r>
                  <w:r>
                    <w:rPr>
                      <w:rFonts w:hint="eastAsia" w:ascii="Times New Roman" w:hAnsi="Times New Roman" w:eastAsia="宋体" w:cs="Times New Roman"/>
                      <w:color w:val="auto"/>
                      <w:kern w:val="2"/>
                      <w:sz w:val="18"/>
                      <w:szCs w:val="18"/>
                      <w:highlight w:val="none"/>
                      <w:vertAlign w:val="subscript"/>
                      <w:lang w:val="en-US" w:eastAsia="zh-CN" w:bidi="ar-SA"/>
                    </w:rPr>
                    <w:t>3</w:t>
                  </w:r>
                  <w:r>
                    <w:rPr>
                      <w:rFonts w:hint="eastAsia" w:ascii="Times New Roman" w:hAnsi="Times New Roman" w:eastAsia="宋体" w:cs="Times New Roman"/>
                      <w:color w:val="auto"/>
                      <w:kern w:val="2"/>
                      <w:sz w:val="18"/>
                      <w:szCs w:val="18"/>
                      <w:highlight w:val="none"/>
                      <w:lang w:val="en-US" w:eastAsia="zh-CN" w:bidi="ar-SA"/>
                    </w:rPr>
                    <w:t>-N</w:t>
                  </w:r>
                </w:p>
              </w:tc>
              <w:tc>
                <w:tcPr>
                  <w:tcW w:w="0" w:type="auto"/>
                  <w:vMerge w:val="continue"/>
                  <w:tcBorders>
                    <w:tl2br w:val="nil"/>
                    <w:tr2bl w:val="nil"/>
                  </w:tcBorders>
                  <w:vAlign w:val="center"/>
                </w:tcPr>
                <w:p w14:paraId="209D5188">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p>
              </w:tc>
              <w:tc>
                <w:tcPr>
                  <w:tcW w:w="0" w:type="auto"/>
                  <w:tcBorders>
                    <w:tl2br w:val="nil"/>
                    <w:tr2bl w:val="nil"/>
                  </w:tcBorders>
                  <w:vAlign w:val="center"/>
                </w:tcPr>
                <w:p w14:paraId="11B1301D">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cs="Times New Roman"/>
                      <w:color w:val="auto"/>
                      <w:kern w:val="2"/>
                      <w:sz w:val="18"/>
                      <w:szCs w:val="18"/>
                      <w:highlight w:val="none"/>
                      <w:lang w:val="en-US" w:eastAsia="zh-CN" w:bidi="ar-SA"/>
                    </w:rPr>
                  </w:pPr>
                  <w:r>
                    <w:rPr>
                      <w:rFonts w:hint="default" w:cs="Times New Roman"/>
                      <w:color w:val="auto"/>
                      <w:kern w:val="2"/>
                      <w:sz w:val="18"/>
                      <w:szCs w:val="18"/>
                      <w:highlight w:val="none"/>
                      <w:lang w:val="en-US" w:eastAsia="zh-CN" w:bidi="ar-SA"/>
                    </w:rPr>
                    <w:t>25</w:t>
                  </w:r>
                </w:p>
              </w:tc>
              <w:tc>
                <w:tcPr>
                  <w:tcW w:w="0" w:type="auto"/>
                  <w:tcBorders>
                    <w:tl2br w:val="nil"/>
                    <w:tr2bl w:val="nil"/>
                  </w:tcBorders>
                  <w:vAlign w:val="center"/>
                </w:tcPr>
                <w:p w14:paraId="53E594F7">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cs="Times New Roman"/>
                      <w:color w:val="auto"/>
                      <w:kern w:val="2"/>
                      <w:sz w:val="18"/>
                      <w:szCs w:val="18"/>
                      <w:highlight w:val="none"/>
                      <w:lang w:val="en-US" w:eastAsia="zh-CN" w:bidi="ar-SA"/>
                    </w:rPr>
                  </w:pPr>
                  <w:r>
                    <w:rPr>
                      <w:rFonts w:hint="default" w:cs="Times New Roman"/>
                      <w:color w:val="auto"/>
                      <w:kern w:val="2"/>
                      <w:sz w:val="18"/>
                      <w:szCs w:val="18"/>
                      <w:highlight w:val="none"/>
                      <w:lang w:val="en-US" w:eastAsia="zh-CN" w:bidi="ar-SA"/>
                    </w:rPr>
                    <w:t>0.</w:t>
                  </w:r>
                  <w:r>
                    <w:rPr>
                      <w:rFonts w:hint="eastAsia" w:cs="Times New Roman"/>
                      <w:color w:val="auto"/>
                      <w:kern w:val="2"/>
                      <w:sz w:val="18"/>
                      <w:szCs w:val="18"/>
                      <w:highlight w:val="none"/>
                      <w:lang w:val="en-US" w:eastAsia="zh-CN" w:bidi="ar-SA"/>
                    </w:rPr>
                    <w:t>48</w:t>
                  </w:r>
                </w:p>
              </w:tc>
              <w:tc>
                <w:tcPr>
                  <w:tcW w:w="0" w:type="auto"/>
                  <w:vMerge w:val="continue"/>
                  <w:tcBorders>
                    <w:tl2br w:val="nil"/>
                    <w:tr2bl w:val="nil"/>
                  </w:tcBorders>
                  <w:vAlign w:val="center"/>
                </w:tcPr>
                <w:p w14:paraId="24A5E11C">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p>
              </w:tc>
              <w:tc>
                <w:tcPr>
                  <w:tcW w:w="0" w:type="auto"/>
                  <w:vMerge w:val="continue"/>
                  <w:tcBorders>
                    <w:tl2br w:val="nil"/>
                    <w:tr2bl w:val="nil"/>
                  </w:tcBorders>
                  <w:vAlign w:val="center"/>
                </w:tcPr>
                <w:p w14:paraId="6BDB50C7">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vMerge w:val="continue"/>
                  <w:tcBorders>
                    <w:tl2br w:val="nil"/>
                    <w:tr2bl w:val="nil"/>
                  </w:tcBorders>
                  <w:vAlign w:val="center"/>
                </w:tcPr>
                <w:p w14:paraId="1B2DB1D3">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tcBorders>
                    <w:tl2br w:val="nil"/>
                    <w:tr2bl w:val="nil"/>
                  </w:tcBorders>
                  <w:vAlign w:val="center"/>
                </w:tcPr>
                <w:p w14:paraId="30B46F69">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cs="Times New Roman"/>
                      <w:color w:val="auto"/>
                      <w:kern w:val="2"/>
                      <w:sz w:val="18"/>
                      <w:szCs w:val="18"/>
                      <w:highlight w:val="none"/>
                      <w:lang w:val="en-US" w:eastAsia="zh-CN" w:bidi="ar-SA"/>
                    </w:rPr>
                    <w:t>/</w:t>
                  </w:r>
                </w:p>
              </w:tc>
              <w:tc>
                <w:tcPr>
                  <w:tcW w:w="0" w:type="auto"/>
                  <w:vMerge w:val="continue"/>
                  <w:tcBorders>
                    <w:tl2br w:val="nil"/>
                    <w:tr2bl w:val="nil"/>
                  </w:tcBorders>
                  <w:vAlign w:val="center"/>
                </w:tcPr>
                <w:p w14:paraId="3D05E8BA">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vMerge w:val="continue"/>
                  <w:tcBorders>
                    <w:tl2br w:val="nil"/>
                    <w:tr2bl w:val="nil"/>
                  </w:tcBorders>
                  <w:vAlign w:val="center"/>
                </w:tcPr>
                <w:p w14:paraId="02E88DC2">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tcBorders>
                    <w:tl2br w:val="nil"/>
                    <w:tr2bl w:val="nil"/>
                  </w:tcBorders>
                  <w:vAlign w:val="center"/>
                </w:tcPr>
                <w:p w14:paraId="79673BBE">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r>
                    <w:rPr>
                      <w:rFonts w:hint="eastAsia" w:cs="Times New Roman"/>
                      <w:color w:val="auto"/>
                      <w:kern w:val="2"/>
                      <w:sz w:val="18"/>
                      <w:szCs w:val="18"/>
                      <w:highlight w:val="none"/>
                      <w:lang w:val="en-US" w:eastAsia="zh-CN" w:bidi="ar-SA"/>
                    </w:rPr>
                    <w:t>25</w:t>
                  </w:r>
                </w:p>
              </w:tc>
              <w:tc>
                <w:tcPr>
                  <w:tcW w:w="0" w:type="auto"/>
                  <w:tcBorders>
                    <w:tl2br w:val="nil"/>
                    <w:tr2bl w:val="nil"/>
                  </w:tcBorders>
                  <w:vAlign w:val="center"/>
                </w:tcPr>
                <w:p w14:paraId="417530EB">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cs="Times New Roman"/>
                      <w:color w:val="auto"/>
                      <w:kern w:val="2"/>
                      <w:sz w:val="18"/>
                      <w:szCs w:val="18"/>
                      <w:highlight w:val="none"/>
                      <w:lang w:val="en-US" w:eastAsia="zh-CN" w:bidi="ar-SA"/>
                    </w:rPr>
                  </w:pPr>
                  <w:r>
                    <w:rPr>
                      <w:rFonts w:hint="eastAsia" w:cs="Times New Roman"/>
                      <w:color w:val="auto"/>
                      <w:kern w:val="2"/>
                      <w:sz w:val="18"/>
                      <w:szCs w:val="18"/>
                      <w:highlight w:val="none"/>
                      <w:lang w:val="en-US" w:eastAsia="zh-CN" w:bidi="ar-SA"/>
                    </w:rPr>
                    <w:t>0.48</w:t>
                  </w:r>
                </w:p>
              </w:tc>
              <w:tc>
                <w:tcPr>
                  <w:tcW w:w="455" w:type="dxa"/>
                  <w:vMerge w:val="continue"/>
                  <w:tcBorders>
                    <w:tl2br w:val="nil"/>
                    <w:tr2bl w:val="nil"/>
                  </w:tcBorders>
                  <w:vAlign w:val="center"/>
                </w:tcPr>
                <w:p w14:paraId="2CF30B78">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629" w:type="dxa"/>
                  <w:vMerge w:val="continue"/>
                  <w:tcBorders>
                    <w:tl2br w:val="nil"/>
                    <w:tr2bl w:val="nil"/>
                  </w:tcBorders>
                  <w:vAlign w:val="center"/>
                </w:tcPr>
                <w:p w14:paraId="05E60218">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bCs/>
                      <w:color w:val="auto"/>
                      <w:sz w:val="18"/>
                      <w:szCs w:val="18"/>
                      <w:highlight w:val="none"/>
                      <w:lang w:val="en-US" w:eastAsia="zh-CN"/>
                    </w:rPr>
                  </w:pPr>
                </w:p>
              </w:tc>
              <w:tc>
                <w:tcPr>
                  <w:tcW w:w="0" w:type="auto"/>
                  <w:vMerge w:val="continue"/>
                  <w:tcBorders>
                    <w:tl2br w:val="nil"/>
                    <w:tr2bl w:val="nil"/>
                  </w:tcBorders>
                  <w:vAlign w:val="center"/>
                </w:tcPr>
                <w:p w14:paraId="3E5AFD68">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p>
              </w:tc>
              <w:tc>
                <w:tcPr>
                  <w:tcW w:w="0" w:type="auto"/>
                  <w:vMerge w:val="continue"/>
                  <w:tcBorders>
                    <w:tl2br w:val="nil"/>
                    <w:tr2bl w:val="nil"/>
                  </w:tcBorders>
                  <w:vAlign w:val="center"/>
                </w:tcPr>
                <w:p w14:paraId="3328114A">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vMerge w:val="continue"/>
                  <w:tcBorders>
                    <w:tl2br w:val="nil"/>
                    <w:tr2bl w:val="nil"/>
                  </w:tcBorders>
                  <w:vAlign w:val="center"/>
                </w:tcPr>
                <w:p w14:paraId="6829BAFB">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vMerge w:val="continue"/>
                  <w:tcBorders>
                    <w:tl2br w:val="nil"/>
                    <w:tr2bl w:val="nil"/>
                  </w:tcBorders>
                  <w:vAlign w:val="center"/>
                </w:tcPr>
                <w:p w14:paraId="19ACB62F">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tcBorders>
                    <w:tl2br w:val="nil"/>
                    <w:tr2bl w:val="nil"/>
                  </w:tcBorders>
                  <w:vAlign w:val="center"/>
                </w:tcPr>
                <w:p w14:paraId="61FA223D">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cs="Times New Roman"/>
                      <w:color w:val="auto"/>
                      <w:kern w:val="2"/>
                      <w:sz w:val="18"/>
                      <w:szCs w:val="18"/>
                      <w:highlight w:val="none"/>
                      <w:lang w:val="en-US" w:eastAsia="zh-CN" w:bidi="ar-SA"/>
                    </w:rPr>
                    <w:t>50</w:t>
                  </w:r>
                </w:p>
              </w:tc>
            </w:tr>
            <w:tr w14:paraId="210AAEC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0" w:hRule="atLeast"/>
                <w:jc w:val="center"/>
              </w:trPr>
              <w:tc>
                <w:tcPr>
                  <w:tcW w:w="0" w:type="auto"/>
                  <w:vMerge w:val="continue"/>
                  <w:tcBorders>
                    <w:tl2br w:val="nil"/>
                    <w:tr2bl w:val="nil"/>
                  </w:tcBorders>
                  <w:vAlign w:val="center"/>
                </w:tcPr>
                <w:p w14:paraId="6BEE71F9">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p>
              </w:tc>
              <w:tc>
                <w:tcPr>
                  <w:tcW w:w="0" w:type="auto"/>
                  <w:vMerge w:val="continue"/>
                  <w:tcBorders>
                    <w:tl2br w:val="nil"/>
                    <w:tr2bl w:val="nil"/>
                  </w:tcBorders>
                  <w:vAlign w:val="center"/>
                </w:tcPr>
                <w:p w14:paraId="1B2592F8">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tcBorders>
                    <w:tl2br w:val="nil"/>
                    <w:tr2bl w:val="nil"/>
                  </w:tcBorders>
                  <w:vAlign w:val="center"/>
                </w:tcPr>
                <w:p w14:paraId="12D5AC6C">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cs="Times New Roman"/>
                      <w:color w:val="auto"/>
                      <w:kern w:val="2"/>
                      <w:sz w:val="18"/>
                      <w:szCs w:val="18"/>
                      <w:highlight w:val="none"/>
                      <w:lang w:val="en-US" w:eastAsia="zh-CN" w:bidi="ar-SA"/>
                    </w:rPr>
                    <w:t>TP</w:t>
                  </w:r>
                </w:p>
              </w:tc>
              <w:tc>
                <w:tcPr>
                  <w:tcW w:w="0" w:type="auto"/>
                  <w:vMerge w:val="continue"/>
                  <w:tcBorders>
                    <w:tl2br w:val="nil"/>
                    <w:tr2bl w:val="nil"/>
                  </w:tcBorders>
                  <w:vAlign w:val="center"/>
                </w:tcPr>
                <w:p w14:paraId="3BFFDC13">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p>
              </w:tc>
              <w:tc>
                <w:tcPr>
                  <w:tcW w:w="0" w:type="auto"/>
                  <w:tcBorders>
                    <w:tl2br w:val="nil"/>
                    <w:tr2bl w:val="nil"/>
                  </w:tcBorders>
                  <w:vAlign w:val="center"/>
                </w:tcPr>
                <w:p w14:paraId="71A22FF8">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cs="Times New Roman"/>
                      <w:color w:val="auto"/>
                      <w:kern w:val="2"/>
                      <w:sz w:val="18"/>
                      <w:szCs w:val="18"/>
                      <w:highlight w:val="none"/>
                      <w:lang w:val="en-US" w:eastAsia="zh-CN" w:bidi="ar-SA"/>
                    </w:rPr>
                  </w:pPr>
                  <w:r>
                    <w:rPr>
                      <w:rFonts w:hint="default" w:cs="Times New Roman"/>
                      <w:color w:val="auto"/>
                      <w:kern w:val="2"/>
                      <w:sz w:val="18"/>
                      <w:szCs w:val="18"/>
                      <w:highlight w:val="none"/>
                      <w:lang w:val="en-US" w:eastAsia="zh-CN" w:bidi="ar-SA"/>
                    </w:rPr>
                    <w:t>5</w:t>
                  </w:r>
                </w:p>
              </w:tc>
              <w:tc>
                <w:tcPr>
                  <w:tcW w:w="0" w:type="auto"/>
                  <w:tcBorders>
                    <w:tl2br w:val="nil"/>
                    <w:tr2bl w:val="nil"/>
                  </w:tcBorders>
                  <w:vAlign w:val="center"/>
                </w:tcPr>
                <w:p w14:paraId="73800441">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cs="Times New Roman"/>
                      <w:color w:val="auto"/>
                      <w:kern w:val="2"/>
                      <w:sz w:val="18"/>
                      <w:szCs w:val="18"/>
                      <w:highlight w:val="none"/>
                      <w:lang w:val="en-US" w:eastAsia="zh-CN" w:bidi="ar-SA"/>
                    </w:rPr>
                  </w:pPr>
                  <w:r>
                    <w:rPr>
                      <w:rFonts w:hint="default" w:cs="Times New Roman"/>
                      <w:color w:val="auto"/>
                      <w:kern w:val="2"/>
                      <w:sz w:val="18"/>
                      <w:szCs w:val="18"/>
                      <w:highlight w:val="none"/>
                      <w:lang w:val="en-US" w:eastAsia="zh-CN" w:bidi="ar-SA"/>
                    </w:rPr>
                    <w:t>0.0</w:t>
                  </w:r>
                  <w:r>
                    <w:rPr>
                      <w:rFonts w:hint="eastAsia" w:cs="Times New Roman"/>
                      <w:color w:val="auto"/>
                      <w:kern w:val="2"/>
                      <w:sz w:val="18"/>
                      <w:szCs w:val="18"/>
                      <w:highlight w:val="none"/>
                      <w:lang w:val="en-US" w:eastAsia="zh-CN" w:bidi="ar-SA"/>
                    </w:rPr>
                    <w:t>9</w:t>
                  </w:r>
                  <w:r>
                    <w:rPr>
                      <w:rFonts w:hint="default" w:cs="Times New Roman"/>
                      <w:color w:val="auto"/>
                      <w:kern w:val="2"/>
                      <w:sz w:val="18"/>
                      <w:szCs w:val="18"/>
                      <w:highlight w:val="none"/>
                      <w:lang w:val="en-US" w:eastAsia="zh-CN" w:bidi="ar-SA"/>
                    </w:rPr>
                    <w:t>6</w:t>
                  </w:r>
                </w:p>
              </w:tc>
              <w:tc>
                <w:tcPr>
                  <w:tcW w:w="0" w:type="auto"/>
                  <w:vMerge w:val="continue"/>
                  <w:tcBorders>
                    <w:tl2br w:val="nil"/>
                    <w:tr2bl w:val="nil"/>
                  </w:tcBorders>
                  <w:vAlign w:val="center"/>
                </w:tcPr>
                <w:p w14:paraId="4A7A8142">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p>
              </w:tc>
              <w:tc>
                <w:tcPr>
                  <w:tcW w:w="0" w:type="auto"/>
                  <w:vMerge w:val="continue"/>
                  <w:tcBorders>
                    <w:tl2br w:val="nil"/>
                    <w:tr2bl w:val="nil"/>
                  </w:tcBorders>
                  <w:vAlign w:val="center"/>
                </w:tcPr>
                <w:p w14:paraId="682BED8D">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vMerge w:val="continue"/>
                  <w:tcBorders>
                    <w:tl2br w:val="nil"/>
                    <w:tr2bl w:val="nil"/>
                  </w:tcBorders>
                  <w:vAlign w:val="center"/>
                </w:tcPr>
                <w:p w14:paraId="70ED8D7C">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tcBorders>
                    <w:tl2br w:val="nil"/>
                    <w:tr2bl w:val="nil"/>
                  </w:tcBorders>
                  <w:vAlign w:val="center"/>
                </w:tcPr>
                <w:p w14:paraId="16890AF1">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eastAsia" w:cs="Times New Roman"/>
                      <w:color w:val="auto"/>
                      <w:kern w:val="2"/>
                      <w:sz w:val="18"/>
                      <w:szCs w:val="18"/>
                      <w:highlight w:val="none"/>
                      <w:lang w:val="en-US" w:eastAsia="zh-CN" w:bidi="ar-SA"/>
                    </w:rPr>
                    <w:t>/</w:t>
                  </w:r>
                </w:p>
              </w:tc>
              <w:tc>
                <w:tcPr>
                  <w:tcW w:w="0" w:type="auto"/>
                  <w:vMerge w:val="continue"/>
                  <w:tcBorders>
                    <w:tl2br w:val="nil"/>
                    <w:tr2bl w:val="nil"/>
                  </w:tcBorders>
                  <w:vAlign w:val="center"/>
                </w:tcPr>
                <w:p w14:paraId="2F78058A">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vMerge w:val="continue"/>
                  <w:tcBorders>
                    <w:tl2br w:val="nil"/>
                    <w:tr2bl w:val="nil"/>
                  </w:tcBorders>
                  <w:vAlign w:val="center"/>
                </w:tcPr>
                <w:p w14:paraId="29AB49AB">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tcBorders>
                    <w:tl2br w:val="nil"/>
                    <w:tr2bl w:val="nil"/>
                  </w:tcBorders>
                  <w:vAlign w:val="center"/>
                </w:tcPr>
                <w:p w14:paraId="0B792676">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r>
                    <w:rPr>
                      <w:rFonts w:hint="eastAsia" w:cs="Times New Roman"/>
                      <w:color w:val="auto"/>
                      <w:kern w:val="2"/>
                      <w:sz w:val="18"/>
                      <w:szCs w:val="18"/>
                      <w:highlight w:val="none"/>
                      <w:lang w:val="en-US" w:eastAsia="zh-CN" w:bidi="ar-SA"/>
                    </w:rPr>
                    <w:t>5</w:t>
                  </w:r>
                </w:p>
              </w:tc>
              <w:tc>
                <w:tcPr>
                  <w:tcW w:w="0" w:type="auto"/>
                  <w:tcBorders>
                    <w:tl2br w:val="nil"/>
                    <w:tr2bl w:val="nil"/>
                  </w:tcBorders>
                  <w:vAlign w:val="center"/>
                </w:tcPr>
                <w:p w14:paraId="50048505">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r>
                    <w:rPr>
                      <w:rFonts w:hint="eastAsia" w:cs="Times New Roman"/>
                      <w:color w:val="auto"/>
                      <w:kern w:val="2"/>
                      <w:sz w:val="18"/>
                      <w:szCs w:val="18"/>
                      <w:highlight w:val="none"/>
                      <w:lang w:val="en-US" w:eastAsia="zh-CN" w:bidi="ar-SA"/>
                    </w:rPr>
                    <w:t>0.096</w:t>
                  </w:r>
                </w:p>
              </w:tc>
              <w:tc>
                <w:tcPr>
                  <w:tcW w:w="455" w:type="dxa"/>
                  <w:vMerge w:val="continue"/>
                  <w:tcBorders>
                    <w:tl2br w:val="nil"/>
                    <w:tr2bl w:val="nil"/>
                  </w:tcBorders>
                  <w:vAlign w:val="center"/>
                </w:tcPr>
                <w:p w14:paraId="70E66E8E">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629" w:type="dxa"/>
                  <w:vMerge w:val="continue"/>
                  <w:tcBorders>
                    <w:tl2br w:val="nil"/>
                    <w:tr2bl w:val="nil"/>
                  </w:tcBorders>
                  <w:vAlign w:val="center"/>
                </w:tcPr>
                <w:p w14:paraId="567CF456">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bCs/>
                      <w:color w:val="auto"/>
                      <w:sz w:val="18"/>
                      <w:szCs w:val="18"/>
                      <w:highlight w:val="none"/>
                      <w:lang w:val="en-US" w:eastAsia="zh-CN"/>
                    </w:rPr>
                  </w:pPr>
                </w:p>
              </w:tc>
              <w:tc>
                <w:tcPr>
                  <w:tcW w:w="0" w:type="auto"/>
                  <w:vMerge w:val="continue"/>
                  <w:tcBorders>
                    <w:tl2br w:val="nil"/>
                    <w:tr2bl w:val="nil"/>
                  </w:tcBorders>
                  <w:vAlign w:val="center"/>
                </w:tcPr>
                <w:p w14:paraId="1D78F27C">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p>
              </w:tc>
              <w:tc>
                <w:tcPr>
                  <w:tcW w:w="0" w:type="auto"/>
                  <w:vMerge w:val="continue"/>
                  <w:tcBorders>
                    <w:tl2br w:val="nil"/>
                    <w:tr2bl w:val="nil"/>
                  </w:tcBorders>
                  <w:vAlign w:val="center"/>
                </w:tcPr>
                <w:p w14:paraId="6CD780E4">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vMerge w:val="continue"/>
                  <w:tcBorders>
                    <w:tl2br w:val="nil"/>
                    <w:tr2bl w:val="nil"/>
                  </w:tcBorders>
                  <w:vAlign w:val="center"/>
                </w:tcPr>
                <w:p w14:paraId="103E7F91">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vMerge w:val="continue"/>
                  <w:tcBorders>
                    <w:tl2br w:val="nil"/>
                    <w:tr2bl w:val="nil"/>
                  </w:tcBorders>
                  <w:vAlign w:val="center"/>
                </w:tcPr>
                <w:p w14:paraId="2D4A676B">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tcBorders>
                    <w:tl2br w:val="nil"/>
                    <w:tr2bl w:val="nil"/>
                  </w:tcBorders>
                  <w:vAlign w:val="center"/>
                </w:tcPr>
                <w:p w14:paraId="32091341">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r>
                    <w:rPr>
                      <w:rFonts w:hint="eastAsia" w:cs="Times New Roman"/>
                      <w:color w:val="auto"/>
                      <w:kern w:val="2"/>
                      <w:sz w:val="18"/>
                      <w:szCs w:val="18"/>
                      <w:highlight w:val="none"/>
                      <w:lang w:val="en-US" w:eastAsia="zh-CN" w:bidi="ar-SA"/>
                    </w:rPr>
                    <w:t>8</w:t>
                  </w:r>
                </w:p>
              </w:tc>
            </w:tr>
            <w:tr w14:paraId="7E9E9D9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0" w:hRule="atLeast"/>
                <w:jc w:val="center"/>
              </w:trPr>
              <w:tc>
                <w:tcPr>
                  <w:tcW w:w="0" w:type="auto"/>
                  <w:vMerge w:val="continue"/>
                  <w:tcBorders>
                    <w:tl2br w:val="nil"/>
                    <w:tr2bl w:val="nil"/>
                  </w:tcBorders>
                  <w:vAlign w:val="center"/>
                </w:tcPr>
                <w:p w14:paraId="243C9091">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p>
              </w:tc>
              <w:tc>
                <w:tcPr>
                  <w:tcW w:w="0" w:type="auto"/>
                  <w:vMerge w:val="continue"/>
                  <w:tcBorders>
                    <w:tl2br w:val="nil"/>
                    <w:tr2bl w:val="nil"/>
                  </w:tcBorders>
                  <w:vAlign w:val="center"/>
                </w:tcPr>
                <w:p w14:paraId="7C13FF10">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tcBorders>
                    <w:tl2br w:val="nil"/>
                    <w:tr2bl w:val="nil"/>
                  </w:tcBorders>
                  <w:vAlign w:val="center"/>
                </w:tcPr>
                <w:p w14:paraId="52DC5CC2">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cs="Times New Roman"/>
                      <w:color w:val="auto"/>
                      <w:kern w:val="2"/>
                      <w:sz w:val="18"/>
                      <w:szCs w:val="18"/>
                      <w:highlight w:val="none"/>
                      <w:lang w:val="en-US" w:eastAsia="zh-CN" w:bidi="ar-SA"/>
                    </w:rPr>
                  </w:pPr>
                  <w:r>
                    <w:rPr>
                      <w:rFonts w:hint="eastAsia" w:cs="Times New Roman"/>
                      <w:color w:val="auto"/>
                      <w:kern w:val="2"/>
                      <w:sz w:val="18"/>
                      <w:szCs w:val="18"/>
                      <w:highlight w:val="none"/>
                      <w:lang w:val="en-US" w:eastAsia="zh-CN" w:bidi="ar-SA"/>
                    </w:rPr>
                    <w:t>TN</w:t>
                  </w:r>
                </w:p>
              </w:tc>
              <w:tc>
                <w:tcPr>
                  <w:tcW w:w="0" w:type="auto"/>
                  <w:vMerge w:val="continue"/>
                  <w:tcBorders>
                    <w:tl2br w:val="nil"/>
                    <w:tr2bl w:val="nil"/>
                  </w:tcBorders>
                  <w:vAlign w:val="center"/>
                </w:tcPr>
                <w:p w14:paraId="70C3E9A6">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p>
              </w:tc>
              <w:tc>
                <w:tcPr>
                  <w:tcW w:w="0" w:type="auto"/>
                  <w:tcBorders>
                    <w:tl2br w:val="nil"/>
                    <w:tr2bl w:val="nil"/>
                  </w:tcBorders>
                  <w:vAlign w:val="center"/>
                </w:tcPr>
                <w:p w14:paraId="2BF1689E">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cs="Times New Roman"/>
                      <w:color w:val="auto"/>
                      <w:kern w:val="2"/>
                      <w:sz w:val="18"/>
                      <w:szCs w:val="18"/>
                      <w:highlight w:val="none"/>
                      <w:lang w:val="en-US" w:eastAsia="zh-CN" w:bidi="ar-SA"/>
                    </w:rPr>
                  </w:pPr>
                  <w:r>
                    <w:rPr>
                      <w:rFonts w:hint="eastAsia" w:cs="Times New Roman"/>
                      <w:color w:val="auto"/>
                      <w:kern w:val="2"/>
                      <w:sz w:val="18"/>
                      <w:szCs w:val="18"/>
                      <w:highlight w:val="none"/>
                      <w:lang w:val="en-US" w:eastAsia="zh-CN" w:bidi="ar-SA"/>
                    </w:rPr>
                    <w:t>45</w:t>
                  </w:r>
                </w:p>
              </w:tc>
              <w:tc>
                <w:tcPr>
                  <w:tcW w:w="0" w:type="auto"/>
                  <w:tcBorders>
                    <w:tl2br w:val="nil"/>
                    <w:tr2bl w:val="nil"/>
                  </w:tcBorders>
                  <w:vAlign w:val="center"/>
                </w:tcPr>
                <w:p w14:paraId="574A65B0">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cs="Times New Roman"/>
                      <w:color w:val="auto"/>
                      <w:kern w:val="2"/>
                      <w:sz w:val="18"/>
                      <w:szCs w:val="18"/>
                      <w:highlight w:val="none"/>
                      <w:lang w:val="en-US" w:eastAsia="zh-CN" w:bidi="ar-SA"/>
                    </w:rPr>
                  </w:pPr>
                  <w:r>
                    <w:rPr>
                      <w:rFonts w:hint="eastAsia" w:cs="Times New Roman"/>
                      <w:color w:val="auto"/>
                      <w:kern w:val="2"/>
                      <w:sz w:val="18"/>
                      <w:szCs w:val="18"/>
                      <w:highlight w:val="none"/>
                      <w:lang w:val="en-US" w:eastAsia="zh-CN" w:bidi="ar-SA"/>
                    </w:rPr>
                    <w:t>0.864</w:t>
                  </w:r>
                </w:p>
              </w:tc>
              <w:tc>
                <w:tcPr>
                  <w:tcW w:w="0" w:type="auto"/>
                  <w:vMerge w:val="continue"/>
                  <w:tcBorders>
                    <w:tl2br w:val="nil"/>
                    <w:tr2bl w:val="nil"/>
                  </w:tcBorders>
                  <w:vAlign w:val="center"/>
                </w:tcPr>
                <w:p w14:paraId="5C8790CD">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p>
              </w:tc>
              <w:tc>
                <w:tcPr>
                  <w:tcW w:w="0" w:type="auto"/>
                  <w:vMerge w:val="continue"/>
                  <w:tcBorders>
                    <w:tl2br w:val="nil"/>
                    <w:tr2bl w:val="nil"/>
                  </w:tcBorders>
                  <w:vAlign w:val="center"/>
                </w:tcPr>
                <w:p w14:paraId="3C7673CC">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vMerge w:val="continue"/>
                  <w:tcBorders>
                    <w:tl2br w:val="nil"/>
                    <w:tr2bl w:val="nil"/>
                  </w:tcBorders>
                  <w:vAlign w:val="center"/>
                </w:tcPr>
                <w:p w14:paraId="77B18D0C">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tcBorders>
                    <w:tl2br w:val="nil"/>
                    <w:tr2bl w:val="nil"/>
                  </w:tcBorders>
                  <w:vAlign w:val="center"/>
                </w:tcPr>
                <w:p w14:paraId="146E15CE">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cs="Times New Roman"/>
                      <w:color w:val="auto"/>
                      <w:kern w:val="2"/>
                      <w:sz w:val="18"/>
                      <w:szCs w:val="18"/>
                      <w:highlight w:val="none"/>
                      <w:lang w:val="en-US" w:eastAsia="zh-CN" w:bidi="ar-SA"/>
                    </w:rPr>
                  </w:pPr>
                  <w:r>
                    <w:rPr>
                      <w:rFonts w:hint="eastAsia" w:cs="Times New Roman"/>
                      <w:color w:val="auto"/>
                      <w:kern w:val="2"/>
                      <w:sz w:val="18"/>
                      <w:szCs w:val="18"/>
                      <w:highlight w:val="none"/>
                      <w:lang w:val="en-US" w:eastAsia="zh-CN" w:bidi="ar-SA"/>
                    </w:rPr>
                    <w:t>/</w:t>
                  </w:r>
                </w:p>
              </w:tc>
              <w:tc>
                <w:tcPr>
                  <w:tcW w:w="0" w:type="auto"/>
                  <w:vMerge w:val="continue"/>
                  <w:tcBorders>
                    <w:tl2br w:val="nil"/>
                    <w:tr2bl w:val="nil"/>
                  </w:tcBorders>
                  <w:vAlign w:val="center"/>
                </w:tcPr>
                <w:p w14:paraId="034354DC">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vMerge w:val="continue"/>
                  <w:tcBorders>
                    <w:tl2br w:val="nil"/>
                    <w:tr2bl w:val="nil"/>
                  </w:tcBorders>
                  <w:vAlign w:val="center"/>
                </w:tcPr>
                <w:p w14:paraId="6838C1AD">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tcBorders>
                    <w:tl2br w:val="nil"/>
                    <w:tr2bl w:val="nil"/>
                  </w:tcBorders>
                  <w:vAlign w:val="center"/>
                </w:tcPr>
                <w:p w14:paraId="00858E65">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cs="Times New Roman"/>
                      <w:color w:val="auto"/>
                      <w:kern w:val="2"/>
                      <w:sz w:val="18"/>
                      <w:szCs w:val="18"/>
                      <w:highlight w:val="none"/>
                      <w:lang w:val="en-US" w:eastAsia="zh-CN" w:bidi="ar-SA"/>
                    </w:rPr>
                  </w:pPr>
                  <w:r>
                    <w:rPr>
                      <w:rFonts w:hint="eastAsia" w:cs="Times New Roman"/>
                      <w:color w:val="auto"/>
                      <w:kern w:val="2"/>
                      <w:sz w:val="18"/>
                      <w:szCs w:val="18"/>
                      <w:highlight w:val="none"/>
                      <w:lang w:val="en-US" w:eastAsia="zh-CN" w:bidi="ar-SA"/>
                    </w:rPr>
                    <w:t>45</w:t>
                  </w:r>
                </w:p>
              </w:tc>
              <w:tc>
                <w:tcPr>
                  <w:tcW w:w="0" w:type="auto"/>
                  <w:tcBorders>
                    <w:tl2br w:val="nil"/>
                    <w:tr2bl w:val="nil"/>
                  </w:tcBorders>
                  <w:vAlign w:val="center"/>
                </w:tcPr>
                <w:p w14:paraId="2B37592E">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r>
                    <w:rPr>
                      <w:rFonts w:hint="eastAsia" w:cs="Times New Roman"/>
                      <w:color w:val="auto"/>
                      <w:kern w:val="2"/>
                      <w:sz w:val="18"/>
                      <w:szCs w:val="18"/>
                      <w:highlight w:val="none"/>
                      <w:lang w:val="en-US" w:eastAsia="zh-CN" w:bidi="ar-SA"/>
                    </w:rPr>
                    <w:t>0.864</w:t>
                  </w:r>
                </w:p>
              </w:tc>
              <w:tc>
                <w:tcPr>
                  <w:tcW w:w="455" w:type="dxa"/>
                  <w:vMerge w:val="continue"/>
                  <w:tcBorders>
                    <w:tl2br w:val="nil"/>
                    <w:tr2bl w:val="nil"/>
                  </w:tcBorders>
                  <w:vAlign w:val="center"/>
                </w:tcPr>
                <w:p w14:paraId="7F8454A2">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629" w:type="dxa"/>
                  <w:vMerge w:val="continue"/>
                  <w:tcBorders>
                    <w:tl2br w:val="nil"/>
                    <w:tr2bl w:val="nil"/>
                  </w:tcBorders>
                  <w:vAlign w:val="center"/>
                </w:tcPr>
                <w:p w14:paraId="4E230BCD">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bCs/>
                      <w:color w:val="auto"/>
                      <w:sz w:val="18"/>
                      <w:szCs w:val="18"/>
                      <w:highlight w:val="none"/>
                      <w:lang w:val="en-US" w:eastAsia="zh-CN"/>
                    </w:rPr>
                  </w:pPr>
                </w:p>
              </w:tc>
              <w:tc>
                <w:tcPr>
                  <w:tcW w:w="0" w:type="auto"/>
                  <w:vMerge w:val="continue"/>
                  <w:tcBorders>
                    <w:tl2br w:val="nil"/>
                    <w:tr2bl w:val="nil"/>
                  </w:tcBorders>
                  <w:vAlign w:val="center"/>
                </w:tcPr>
                <w:p w14:paraId="7A1959DE">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p>
              </w:tc>
              <w:tc>
                <w:tcPr>
                  <w:tcW w:w="0" w:type="auto"/>
                  <w:vMerge w:val="continue"/>
                  <w:tcBorders>
                    <w:tl2br w:val="nil"/>
                    <w:tr2bl w:val="nil"/>
                  </w:tcBorders>
                  <w:vAlign w:val="center"/>
                </w:tcPr>
                <w:p w14:paraId="042E161D">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vMerge w:val="continue"/>
                  <w:tcBorders>
                    <w:tl2br w:val="nil"/>
                    <w:tr2bl w:val="nil"/>
                  </w:tcBorders>
                  <w:vAlign w:val="center"/>
                </w:tcPr>
                <w:p w14:paraId="6264686D">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vMerge w:val="continue"/>
                  <w:tcBorders>
                    <w:tl2br w:val="nil"/>
                    <w:tr2bl w:val="nil"/>
                  </w:tcBorders>
                  <w:vAlign w:val="center"/>
                </w:tcPr>
                <w:p w14:paraId="2FFF2D08">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tcBorders>
                    <w:tl2br w:val="nil"/>
                    <w:tr2bl w:val="nil"/>
                  </w:tcBorders>
                  <w:vAlign w:val="center"/>
                </w:tcPr>
                <w:p w14:paraId="568395DF">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cs="Times New Roman"/>
                      <w:color w:val="auto"/>
                      <w:kern w:val="2"/>
                      <w:sz w:val="18"/>
                      <w:szCs w:val="18"/>
                      <w:highlight w:val="none"/>
                      <w:lang w:val="en-US" w:eastAsia="zh-CN" w:bidi="ar-SA"/>
                    </w:rPr>
                  </w:pPr>
                  <w:r>
                    <w:rPr>
                      <w:rFonts w:hint="eastAsia" w:cs="Times New Roman"/>
                      <w:color w:val="auto"/>
                      <w:kern w:val="2"/>
                      <w:sz w:val="18"/>
                      <w:szCs w:val="18"/>
                      <w:highlight w:val="none"/>
                      <w:lang w:val="en-US" w:eastAsia="zh-CN" w:bidi="ar-SA"/>
                    </w:rPr>
                    <w:t>70</w:t>
                  </w:r>
                </w:p>
              </w:tc>
            </w:tr>
            <w:tr w14:paraId="6052607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0" w:hRule="atLeast"/>
                <w:jc w:val="center"/>
              </w:trPr>
              <w:tc>
                <w:tcPr>
                  <w:tcW w:w="0" w:type="auto"/>
                  <w:vMerge w:val="continue"/>
                  <w:tcBorders>
                    <w:tl2br w:val="nil"/>
                    <w:tr2bl w:val="nil"/>
                  </w:tcBorders>
                  <w:vAlign w:val="center"/>
                </w:tcPr>
                <w:p w14:paraId="1EE12F5E">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p>
              </w:tc>
              <w:tc>
                <w:tcPr>
                  <w:tcW w:w="0" w:type="auto"/>
                  <w:vMerge w:val="continue"/>
                  <w:tcBorders>
                    <w:tl2br w:val="nil"/>
                    <w:tr2bl w:val="nil"/>
                  </w:tcBorders>
                  <w:vAlign w:val="center"/>
                </w:tcPr>
                <w:p w14:paraId="5DA57EBC">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tcBorders>
                    <w:tl2br w:val="nil"/>
                    <w:tr2bl w:val="nil"/>
                  </w:tcBorders>
                  <w:vAlign w:val="center"/>
                </w:tcPr>
                <w:p w14:paraId="0A70BA83">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eastAsia" w:cs="Times New Roman"/>
                      <w:color w:val="auto"/>
                      <w:kern w:val="2"/>
                      <w:sz w:val="18"/>
                      <w:szCs w:val="18"/>
                      <w:highlight w:val="none"/>
                      <w:lang w:val="en-US" w:eastAsia="zh-CN" w:bidi="ar-SA"/>
                    </w:rPr>
                    <w:t>动植物油</w:t>
                  </w:r>
                </w:p>
              </w:tc>
              <w:tc>
                <w:tcPr>
                  <w:tcW w:w="0" w:type="auto"/>
                  <w:vMerge w:val="continue"/>
                  <w:tcBorders>
                    <w:tl2br w:val="nil"/>
                    <w:tr2bl w:val="nil"/>
                  </w:tcBorders>
                  <w:vAlign w:val="center"/>
                </w:tcPr>
                <w:p w14:paraId="7761DB1F">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p>
              </w:tc>
              <w:tc>
                <w:tcPr>
                  <w:tcW w:w="0" w:type="auto"/>
                  <w:tcBorders>
                    <w:tl2br w:val="nil"/>
                    <w:tr2bl w:val="nil"/>
                  </w:tcBorders>
                  <w:vAlign w:val="center"/>
                </w:tcPr>
                <w:p w14:paraId="2670A820">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cs="Times New Roman"/>
                      <w:color w:val="auto"/>
                      <w:kern w:val="2"/>
                      <w:sz w:val="18"/>
                      <w:szCs w:val="18"/>
                      <w:highlight w:val="none"/>
                      <w:lang w:val="en-US" w:eastAsia="zh-CN" w:bidi="ar-SA"/>
                    </w:rPr>
                  </w:pPr>
                  <w:r>
                    <w:rPr>
                      <w:rFonts w:hint="default" w:cs="Times New Roman"/>
                      <w:color w:val="auto"/>
                      <w:kern w:val="2"/>
                      <w:sz w:val="18"/>
                      <w:szCs w:val="18"/>
                      <w:highlight w:val="none"/>
                      <w:lang w:val="en-US" w:eastAsia="zh-CN" w:bidi="ar-SA"/>
                    </w:rPr>
                    <w:t>30</w:t>
                  </w:r>
                </w:p>
              </w:tc>
              <w:tc>
                <w:tcPr>
                  <w:tcW w:w="0" w:type="auto"/>
                  <w:tcBorders>
                    <w:tl2br w:val="nil"/>
                    <w:tr2bl w:val="nil"/>
                  </w:tcBorders>
                  <w:vAlign w:val="center"/>
                </w:tcPr>
                <w:p w14:paraId="0F083BBA">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cs="Times New Roman"/>
                      <w:color w:val="auto"/>
                      <w:kern w:val="2"/>
                      <w:sz w:val="18"/>
                      <w:szCs w:val="18"/>
                      <w:highlight w:val="none"/>
                      <w:lang w:val="en-US" w:eastAsia="zh-CN" w:bidi="ar-SA"/>
                    </w:rPr>
                  </w:pPr>
                  <w:r>
                    <w:rPr>
                      <w:rFonts w:hint="default" w:cs="Times New Roman"/>
                      <w:color w:val="auto"/>
                      <w:kern w:val="2"/>
                      <w:sz w:val="18"/>
                      <w:szCs w:val="18"/>
                      <w:highlight w:val="none"/>
                      <w:lang w:val="en-US" w:eastAsia="zh-CN" w:bidi="ar-SA"/>
                    </w:rPr>
                    <w:t>0.</w:t>
                  </w:r>
                  <w:r>
                    <w:rPr>
                      <w:rFonts w:hint="eastAsia" w:cs="Times New Roman"/>
                      <w:color w:val="auto"/>
                      <w:kern w:val="2"/>
                      <w:sz w:val="18"/>
                      <w:szCs w:val="18"/>
                      <w:highlight w:val="none"/>
                      <w:lang w:val="en-US" w:eastAsia="zh-CN" w:bidi="ar-SA"/>
                    </w:rPr>
                    <w:t>576</w:t>
                  </w:r>
                </w:p>
              </w:tc>
              <w:tc>
                <w:tcPr>
                  <w:tcW w:w="0" w:type="auto"/>
                  <w:vMerge w:val="continue"/>
                  <w:tcBorders>
                    <w:tl2br w:val="nil"/>
                    <w:tr2bl w:val="nil"/>
                  </w:tcBorders>
                  <w:vAlign w:val="center"/>
                </w:tcPr>
                <w:p w14:paraId="004EDF54">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p>
              </w:tc>
              <w:tc>
                <w:tcPr>
                  <w:tcW w:w="0" w:type="auto"/>
                  <w:vMerge w:val="continue"/>
                  <w:tcBorders>
                    <w:tl2br w:val="nil"/>
                    <w:tr2bl w:val="nil"/>
                  </w:tcBorders>
                  <w:vAlign w:val="center"/>
                </w:tcPr>
                <w:p w14:paraId="2A73E470">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vMerge w:val="continue"/>
                  <w:tcBorders>
                    <w:tl2br w:val="nil"/>
                    <w:tr2bl w:val="nil"/>
                  </w:tcBorders>
                  <w:vAlign w:val="center"/>
                </w:tcPr>
                <w:p w14:paraId="5A751D5D">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tcBorders>
                    <w:tl2br w:val="nil"/>
                    <w:tr2bl w:val="nil"/>
                  </w:tcBorders>
                  <w:vAlign w:val="center"/>
                </w:tcPr>
                <w:p w14:paraId="361B1FA2">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r>
                    <w:rPr>
                      <w:rFonts w:hint="eastAsia" w:cs="Times New Roman"/>
                      <w:color w:val="auto"/>
                      <w:kern w:val="2"/>
                      <w:sz w:val="18"/>
                      <w:szCs w:val="18"/>
                      <w:highlight w:val="none"/>
                      <w:lang w:val="en-US" w:eastAsia="zh-CN" w:bidi="ar-SA"/>
                    </w:rPr>
                    <w:t>80</w:t>
                  </w:r>
                </w:p>
              </w:tc>
              <w:tc>
                <w:tcPr>
                  <w:tcW w:w="0" w:type="auto"/>
                  <w:vMerge w:val="continue"/>
                  <w:tcBorders>
                    <w:tl2br w:val="nil"/>
                    <w:tr2bl w:val="nil"/>
                  </w:tcBorders>
                  <w:vAlign w:val="center"/>
                </w:tcPr>
                <w:p w14:paraId="3996FA59">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vMerge w:val="continue"/>
                  <w:tcBorders>
                    <w:tl2br w:val="nil"/>
                    <w:tr2bl w:val="nil"/>
                  </w:tcBorders>
                  <w:vAlign w:val="center"/>
                </w:tcPr>
                <w:p w14:paraId="34C16CCF">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tcBorders>
                    <w:tl2br w:val="nil"/>
                    <w:tr2bl w:val="nil"/>
                  </w:tcBorders>
                  <w:vAlign w:val="center"/>
                </w:tcPr>
                <w:p w14:paraId="17B810D4">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r>
                    <w:rPr>
                      <w:rFonts w:hint="eastAsia" w:cs="Times New Roman"/>
                      <w:color w:val="auto"/>
                      <w:kern w:val="2"/>
                      <w:sz w:val="18"/>
                      <w:szCs w:val="18"/>
                      <w:highlight w:val="none"/>
                      <w:lang w:val="en-US" w:eastAsia="zh-CN" w:bidi="ar-SA"/>
                    </w:rPr>
                    <w:t>6</w:t>
                  </w:r>
                </w:p>
              </w:tc>
              <w:tc>
                <w:tcPr>
                  <w:tcW w:w="0" w:type="auto"/>
                  <w:tcBorders>
                    <w:tl2br w:val="nil"/>
                    <w:tr2bl w:val="nil"/>
                  </w:tcBorders>
                  <w:vAlign w:val="center"/>
                </w:tcPr>
                <w:p w14:paraId="1225F008">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cs="Times New Roman"/>
                      <w:color w:val="auto"/>
                      <w:kern w:val="2"/>
                      <w:sz w:val="18"/>
                      <w:szCs w:val="18"/>
                      <w:highlight w:val="none"/>
                      <w:lang w:val="en-US" w:eastAsia="zh-CN" w:bidi="ar-SA"/>
                    </w:rPr>
                  </w:pPr>
                  <w:r>
                    <w:rPr>
                      <w:rFonts w:hint="eastAsia" w:cs="Times New Roman"/>
                      <w:color w:val="auto"/>
                      <w:kern w:val="2"/>
                      <w:sz w:val="18"/>
                      <w:szCs w:val="18"/>
                      <w:highlight w:val="none"/>
                      <w:lang w:val="en-US" w:eastAsia="zh-CN" w:bidi="ar-SA"/>
                    </w:rPr>
                    <w:t>0.115</w:t>
                  </w:r>
                </w:p>
              </w:tc>
              <w:tc>
                <w:tcPr>
                  <w:tcW w:w="455" w:type="dxa"/>
                  <w:vMerge w:val="continue"/>
                  <w:tcBorders>
                    <w:tl2br w:val="nil"/>
                    <w:tr2bl w:val="nil"/>
                  </w:tcBorders>
                  <w:vAlign w:val="center"/>
                </w:tcPr>
                <w:p w14:paraId="052493E1">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629" w:type="dxa"/>
                  <w:vMerge w:val="continue"/>
                  <w:tcBorders>
                    <w:tl2br w:val="nil"/>
                    <w:tr2bl w:val="nil"/>
                  </w:tcBorders>
                  <w:vAlign w:val="center"/>
                </w:tcPr>
                <w:p w14:paraId="4C456B2A">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bCs/>
                      <w:color w:val="auto"/>
                      <w:sz w:val="18"/>
                      <w:szCs w:val="18"/>
                      <w:highlight w:val="none"/>
                      <w:lang w:val="en-US" w:eastAsia="zh-CN"/>
                    </w:rPr>
                  </w:pPr>
                </w:p>
              </w:tc>
              <w:tc>
                <w:tcPr>
                  <w:tcW w:w="0" w:type="auto"/>
                  <w:vMerge w:val="continue"/>
                  <w:tcBorders>
                    <w:tl2br w:val="nil"/>
                    <w:tr2bl w:val="nil"/>
                  </w:tcBorders>
                  <w:vAlign w:val="center"/>
                </w:tcPr>
                <w:p w14:paraId="2C7496F7">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highlight w:val="none"/>
                      <w:lang w:val="en-US" w:eastAsia="zh-CN" w:bidi="ar-SA"/>
                    </w:rPr>
                  </w:pPr>
                </w:p>
              </w:tc>
              <w:tc>
                <w:tcPr>
                  <w:tcW w:w="0" w:type="auto"/>
                  <w:vMerge w:val="continue"/>
                  <w:tcBorders>
                    <w:tl2br w:val="nil"/>
                    <w:tr2bl w:val="nil"/>
                  </w:tcBorders>
                  <w:vAlign w:val="center"/>
                </w:tcPr>
                <w:p w14:paraId="6AD1F458">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vMerge w:val="continue"/>
                  <w:tcBorders>
                    <w:tl2br w:val="nil"/>
                    <w:tr2bl w:val="nil"/>
                  </w:tcBorders>
                  <w:vAlign w:val="center"/>
                </w:tcPr>
                <w:p w14:paraId="7886F68B">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vMerge w:val="continue"/>
                  <w:tcBorders>
                    <w:tl2br w:val="nil"/>
                    <w:tr2bl w:val="nil"/>
                  </w:tcBorders>
                  <w:vAlign w:val="center"/>
                </w:tcPr>
                <w:p w14:paraId="436896E3">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18"/>
                      <w:szCs w:val="18"/>
                      <w:highlight w:val="none"/>
                      <w:lang w:val="en-US" w:eastAsia="zh-CN" w:bidi="ar-SA"/>
                    </w:rPr>
                  </w:pPr>
                </w:p>
              </w:tc>
              <w:tc>
                <w:tcPr>
                  <w:tcW w:w="0" w:type="auto"/>
                  <w:tcBorders>
                    <w:tl2br w:val="nil"/>
                    <w:tr2bl w:val="nil"/>
                  </w:tcBorders>
                  <w:vAlign w:val="center"/>
                </w:tcPr>
                <w:p w14:paraId="77DB3612">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18"/>
                      <w:szCs w:val="18"/>
                      <w:highlight w:val="none"/>
                      <w:lang w:val="en-US" w:eastAsia="zh-CN" w:bidi="ar-SA"/>
                    </w:rPr>
                  </w:pPr>
                  <w:r>
                    <w:rPr>
                      <w:rFonts w:hint="eastAsia" w:cs="Times New Roman"/>
                      <w:color w:val="auto"/>
                      <w:kern w:val="2"/>
                      <w:sz w:val="18"/>
                      <w:szCs w:val="18"/>
                      <w:highlight w:val="none"/>
                      <w:lang w:val="en-US" w:eastAsia="zh-CN" w:bidi="ar-SA"/>
                    </w:rPr>
                    <w:t>100</w:t>
                  </w:r>
                </w:p>
              </w:tc>
            </w:tr>
          </w:tbl>
          <w:p w14:paraId="4C678AE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both"/>
              <w:textAlignment w:val="auto"/>
              <w:rPr>
                <w:rFonts w:hint="default" w:ascii="Times New Roman" w:hAnsi="Times New Roman" w:eastAsia="宋体" w:cs="Times New Roman"/>
                <w:color w:val="auto"/>
                <w:kern w:val="0"/>
                <w:sz w:val="24"/>
                <w:szCs w:val="20"/>
                <w:highlight w:val="none"/>
                <w:lang w:val="en-US" w:eastAsia="zh-CN" w:bidi="ar-SA"/>
              </w:rPr>
            </w:pPr>
          </w:p>
        </w:tc>
      </w:tr>
    </w:tbl>
    <w:p w14:paraId="03650DD0">
      <w:pPr>
        <w:rPr>
          <w:rFonts w:hint="default"/>
          <w:color w:val="auto"/>
          <w:highlight w:val="none"/>
        </w:rPr>
        <w:sectPr>
          <w:pgSz w:w="16840" w:h="11907" w:orient="landscape"/>
          <w:pgMar w:top="1531" w:right="1531" w:bottom="1531" w:left="1531" w:header="851" w:footer="851" w:gutter="0"/>
          <w:pgBorders>
            <w:top w:val="none" w:sz="0" w:space="0"/>
            <w:left w:val="none" w:sz="0" w:space="0"/>
            <w:bottom w:val="none" w:sz="0" w:space="0"/>
            <w:right w:val="none" w:sz="0" w:space="0"/>
          </w:pgBorders>
          <w:pgNumType w:fmt="decimal"/>
          <w:cols w:space="720" w:num="1"/>
          <w:docGrid w:linePitch="312" w:charSpace="0"/>
        </w:sectPr>
      </w:pPr>
    </w:p>
    <w:tbl>
      <w:tblPr>
        <w:tblStyle w:val="26"/>
        <w:tblW w:w="8981"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403"/>
        <w:gridCol w:w="8578"/>
      </w:tblGrid>
      <w:tr w14:paraId="4AFD65A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965" w:hRule="atLeast"/>
          <w:jc w:val="center"/>
        </w:trPr>
        <w:tc>
          <w:tcPr>
            <w:tcW w:w="403" w:type="dxa"/>
            <w:tcMar>
              <w:left w:w="28" w:type="dxa"/>
              <w:right w:w="28" w:type="dxa"/>
            </w:tcMar>
            <w:vAlign w:val="center"/>
          </w:tcPr>
          <w:p w14:paraId="35E4672F">
            <w:pPr>
              <w:keepNext w:val="0"/>
              <w:keepLines w:val="0"/>
              <w:widowControl/>
              <w:suppressLineNumbers w:val="0"/>
              <w:bidi w:val="0"/>
              <w:spacing w:before="0" w:beforeAutospacing="0" w:after="0" w:afterAutospacing="0" w:line="240" w:lineRule="auto"/>
              <w:ind w:left="0" w:right="0" w:firstLine="0" w:firstLineChars="0"/>
              <w:jc w:val="center"/>
              <w:rPr>
                <w:rFonts w:hint="eastAsia" w:ascii="Times New Roman" w:hAnsi="Times New Roman" w:eastAsia="宋体" w:cs="Times New Roman"/>
                <w:b/>
                <w:bCs/>
                <w:color w:val="auto"/>
                <w:kern w:val="0"/>
                <w:sz w:val="24"/>
                <w:szCs w:val="20"/>
                <w:highlight w:val="none"/>
                <w:lang w:val="en-US" w:eastAsia="zh-CN" w:bidi="ar-SA"/>
              </w:rPr>
            </w:pPr>
            <w:r>
              <w:rPr>
                <w:rFonts w:hint="eastAsia" w:ascii="Times New Roman" w:hAnsi="Times New Roman" w:eastAsia="宋体" w:cs="Times New Roman"/>
                <w:b/>
                <w:bCs/>
                <w:color w:val="auto"/>
                <w:kern w:val="0"/>
                <w:sz w:val="24"/>
                <w:szCs w:val="20"/>
                <w:highlight w:val="none"/>
                <w:lang w:val="en-US" w:eastAsia="zh-CN" w:bidi="ar-SA"/>
              </w:rPr>
              <w:t>运</w:t>
            </w:r>
          </w:p>
          <w:p w14:paraId="5A4A00E6">
            <w:pPr>
              <w:keepNext w:val="0"/>
              <w:keepLines w:val="0"/>
              <w:widowControl/>
              <w:suppressLineNumbers w:val="0"/>
              <w:bidi w:val="0"/>
              <w:spacing w:before="0" w:beforeAutospacing="0" w:after="0" w:afterAutospacing="0" w:line="240" w:lineRule="auto"/>
              <w:ind w:left="0" w:right="0" w:firstLine="0" w:firstLineChars="0"/>
              <w:jc w:val="center"/>
              <w:rPr>
                <w:rFonts w:hint="default" w:ascii="Times New Roman" w:hAnsi="Times New Roman" w:eastAsia="宋体" w:cs="Times New Roman"/>
                <w:b/>
                <w:bCs/>
                <w:color w:val="auto"/>
                <w:kern w:val="0"/>
                <w:sz w:val="24"/>
                <w:szCs w:val="20"/>
                <w:highlight w:val="none"/>
                <w:lang w:val="en-US" w:eastAsia="zh-CN" w:bidi="ar-SA"/>
              </w:rPr>
            </w:pPr>
            <w:r>
              <w:rPr>
                <w:rFonts w:hint="eastAsia" w:ascii="Times New Roman" w:hAnsi="Times New Roman" w:eastAsia="宋体" w:cs="Times New Roman"/>
                <w:b/>
                <w:bCs/>
                <w:color w:val="auto"/>
                <w:kern w:val="0"/>
                <w:sz w:val="24"/>
                <w:szCs w:val="20"/>
                <w:highlight w:val="none"/>
                <w:lang w:val="en-US" w:eastAsia="zh-CN" w:bidi="ar-SA"/>
              </w:rPr>
              <w:t>营</w:t>
            </w:r>
            <w:r>
              <w:rPr>
                <w:rFonts w:hint="default" w:ascii="Times New Roman" w:hAnsi="Times New Roman" w:eastAsia="宋体" w:cs="Times New Roman"/>
                <w:b/>
                <w:bCs/>
                <w:color w:val="auto"/>
                <w:kern w:val="0"/>
                <w:sz w:val="24"/>
                <w:szCs w:val="20"/>
                <w:highlight w:val="none"/>
                <w:lang w:val="en-US" w:eastAsia="zh-CN" w:bidi="ar-SA"/>
              </w:rPr>
              <w:t>期</w:t>
            </w:r>
          </w:p>
          <w:p w14:paraId="5F4A6132">
            <w:pPr>
              <w:keepNext w:val="0"/>
              <w:keepLines w:val="0"/>
              <w:widowControl/>
              <w:suppressLineNumbers w:val="0"/>
              <w:bidi w:val="0"/>
              <w:spacing w:before="0" w:beforeAutospacing="0" w:after="0" w:afterAutospacing="0" w:line="240" w:lineRule="auto"/>
              <w:ind w:left="0" w:right="0" w:firstLine="0" w:firstLineChars="0"/>
              <w:jc w:val="center"/>
              <w:rPr>
                <w:rFonts w:hint="default" w:ascii="Times New Roman" w:hAnsi="Times New Roman" w:eastAsia="宋体" w:cs="Times New Roman"/>
                <w:b/>
                <w:bCs/>
                <w:color w:val="auto"/>
                <w:kern w:val="0"/>
                <w:sz w:val="24"/>
                <w:szCs w:val="20"/>
                <w:highlight w:val="none"/>
                <w:lang w:val="en-US" w:eastAsia="zh-CN" w:bidi="ar-SA"/>
              </w:rPr>
            </w:pPr>
            <w:r>
              <w:rPr>
                <w:rFonts w:hint="default" w:ascii="Times New Roman" w:hAnsi="Times New Roman" w:eastAsia="宋体" w:cs="Times New Roman"/>
                <w:b/>
                <w:bCs/>
                <w:color w:val="auto"/>
                <w:kern w:val="0"/>
                <w:sz w:val="24"/>
                <w:szCs w:val="20"/>
                <w:highlight w:val="none"/>
                <w:lang w:val="en-US" w:eastAsia="zh-CN" w:bidi="ar-SA"/>
              </w:rPr>
              <w:t>环</w:t>
            </w:r>
          </w:p>
          <w:p w14:paraId="1D4BA873">
            <w:pPr>
              <w:keepNext w:val="0"/>
              <w:keepLines w:val="0"/>
              <w:widowControl/>
              <w:suppressLineNumbers w:val="0"/>
              <w:bidi w:val="0"/>
              <w:spacing w:before="0" w:beforeAutospacing="0" w:after="0" w:afterAutospacing="0" w:line="240" w:lineRule="auto"/>
              <w:ind w:left="0" w:right="0" w:firstLine="0" w:firstLineChars="0"/>
              <w:jc w:val="center"/>
              <w:rPr>
                <w:rFonts w:hint="default" w:ascii="Times New Roman" w:hAnsi="Times New Roman" w:eastAsia="宋体" w:cs="Times New Roman"/>
                <w:b/>
                <w:bCs/>
                <w:color w:val="auto"/>
                <w:kern w:val="0"/>
                <w:sz w:val="24"/>
                <w:szCs w:val="20"/>
                <w:highlight w:val="none"/>
                <w:lang w:val="en-US" w:eastAsia="zh-CN" w:bidi="ar-SA"/>
              </w:rPr>
            </w:pPr>
            <w:r>
              <w:rPr>
                <w:rFonts w:hint="default" w:ascii="Times New Roman" w:hAnsi="Times New Roman" w:eastAsia="宋体" w:cs="Times New Roman"/>
                <w:b/>
                <w:bCs/>
                <w:color w:val="auto"/>
                <w:kern w:val="0"/>
                <w:sz w:val="24"/>
                <w:szCs w:val="20"/>
                <w:highlight w:val="none"/>
                <w:lang w:val="en-US" w:eastAsia="zh-CN" w:bidi="ar-SA"/>
              </w:rPr>
              <w:t>境</w:t>
            </w:r>
          </w:p>
          <w:p w14:paraId="73254D3D">
            <w:pPr>
              <w:keepNext w:val="0"/>
              <w:keepLines w:val="0"/>
              <w:widowControl/>
              <w:suppressLineNumbers w:val="0"/>
              <w:bidi w:val="0"/>
              <w:spacing w:before="0" w:beforeAutospacing="0" w:after="0" w:afterAutospacing="0" w:line="240" w:lineRule="auto"/>
              <w:ind w:left="0" w:right="0" w:firstLine="0" w:firstLineChars="0"/>
              <w:jc w:val="center"/>
              <w:rPr>
                <w:rFonts w:hint="default" w:ascii="Times New Roman" w:hAnsi="Times New Roman" w:eastAsia="宋体" w:cs="Times New Roman"/>
                <w:b/>
                <w:bCs/>
                <w:color w:val="auto"/>
                <w:kern w:val="0"/>
                <w:sz w:val="24"/>
                <w:szCs w:val="20"/>
                <w:highlight w:val="none"/>
                <w:lang w:val="en-US" w:eastAsia="zh-CN" w:bidi="ar-SA"/>
              </w:rPr>
            </w:pPr>
            <w:r>
              <w:rPr>
                <w:rFonts w:hint="default" w:ascii="Times New Roman" w:hAnsi="Times New Roman" w:eastAsia="宋体" w:cs="Times New Roman"/>
                <w:b/>
                <w:bCs/>
                <w:color w:val="auto"/>
                <w:kern w:val="0"/>
                <w:sz w:val="24"/>
                <w:szCs w:val="20"/>
                <w:highlight w:val="none"/>
                <w:lang w:val="en-US" w:eastAsia="zh-CN" w:bidi="ar-SA"/>
              </w:rPr>
              <w:t>保</w:t>
            </w:r>
          </w:p>
          <w:p w14:paraId="7B6B8578">
            <w:pPr>
              <w:keepNext w:val="0"/>
              <w:keepLines w:val="0"/>
              <w:widowControl/>
              <w:suppressLineNumbers w:val="0"/>
              <w:bidi w:val="0"/>
              <w:spacing w:before="0" w:beforeAutospacing="0" w:after="0" w:afterAutospacing="0" w:line="240" w:lineRule="auto"/>
              <w:ind w:left="0" w:right="0" w:firstLine="0" w:firstLineChars="0"/>
              <w:jc w:val="center"/>
              <w:rPr>
                <w:rFonts w:hint="default" w:ascii="Times New Roman" w:hAnsi="Times New Roman" w:eastAsia="宋体" w:cs="Times New Roman"/>
                <w:b/>
                <w:bCs/>
                <w:color w:val="auto"/>
                <w:kern w:val="0"/>
                <w:sz w:val="24"/>
                <w:szCs w:val="20"/>
                <w:highlight w:val="none"/>
                <w:lang w:val="en-US" w:eastAsia="zh-CN" w:bidi="ar-SA"/>
              </w:rPr>
            </w:pPr>
            <w:r>
              <w:rPr>
                <w:rFonts w:hint="default" w:ascii="Times New Roman" w:hAnsi="Times New Roman" w:eastAsia="宋体" w:cs="Times New Roman"/>
                <w:b/>
                <w:bCs/>
                <w:color w:val="auto"/>
                <w:kern w:val="0"/>
                <w:sz w:val="24"/>
                <w:szCs w:val="20"/>
                <w:highlight w:val="none"/>
                <w:lang w:val="en-US" w:eastAsia="zh-CN" w:bidi="ar-SA"/>
              </w:rPr>
              <w:t>护</w:t>
            </w:r>
          </w:p>
          <w:p w14:paraId="7FC570A7">
            <w:pPr>
              <w:keepNext w:val="0"/>
              <w:keepLines w:val="0"/>
              <w:widowControl/>
              <w:suppressLineNumbers w:val="0"/>
              <w:bidi w:val="0"/>
              <w:spacing w:before="0" w:beforeAutospacing="0" w:after="0" w:afterAutospacing="0" w:line="240" w:lineRule="auto"/>
              <w:ind w:left="0" w:right="0" w:firstLine="0" w:firstLineChars="0"/>
              <w:jc w:val="center"/>
              <w:rPr>
                <w:rFonts w:hint="default" w:ascii="Times New Roman" w:hAnsi="Times New Roman" w:eastAsia="宋体" w:cs="Times New Roman"/>
                <w:b/>
                <w:bCs/>
                <w:color w:val="auto"/>
                <w:kern w:val="0"/>
                <w:sz w:val="24"/>
                <w:szCs w:val="20"/>
                <w:highlight w:val="none"/>
                <w:lang w:val="en-US" w:eastAsia="zh-CN" w:bidi="ar-SA"/>
              </w:rPr>
            </w:pPr>
            <w:r>
              <w:rPr>
                <w:rFonts w:hint="default" w:ascii="Times New Roman" w:hAnsi="Times New Roman" w:eastAsia="宋体" w:cs="Times New Roman"/>
                <w:b/>
                <w:bCs/>
                <w:color w:val="auto"/>
                <w:kern w:val="0"/>
                <w:sz w:val="24"/>
                <w:szCs w:val="20"/>
                <w:highlight w:val="none"/>
                <w:lang w:val="en-US" w:eastAsia="zh-CN" w:bidi="ar-SA"/>
              </w:rPr>
              <w:t>措</w:t>
            </w:r>
          </w:p>
          <w:p w14:paraId="58E3C958">
            <w:pPr>
              <w:keepNext w:val="0"/>
              <w:keepLines w:val="0"/>
              <w:widowControl/>
              <w:suppressLineNumbers w:val="0"/>
              <w:bidi w:val="0"/>
              <w:spacing w:before="0" w:beforeAutospacing="0" w:after="0" w:afterAutospacing="0" w:line="240" w:lineRule="auto"/>
              <w:ind w:left="0" w:right="0" w:firstLine="0" w:firstLineChars="0"/>
              <w:jc w:val="center"/>
              <w:rPr>
                <w:rFonts w:hint="default" w:ascii="Times New Roman" w:hAnsi="Times New Roman" w:eastAsia="宋体" w:cs="Times New Roman"/>
                <w:b/>
                <w:bCs/>
                <w:color w:val="auto"/>
                <w:kern w:val="2"/>
                <w:sz w:val="24"/>
                <w:szCs w:val="21"/>
                <w:highlight w:val="none"/>
                <w:lang w:val="en-US" w:eastAsia="zh-CN" w:bidi="ar-SA"/>
              </w:rPr>
            </w:pPr>
            <w:r>
              <w:rPr>
                <w:rFonts w:hint="default" w:ascii="Times New Roman" w:hAnsi="Times New Roman" w:eastAsia="宋体" w:cs="Times New Roman"/>
                <w:b/>
                <w:bCs/>
                <w:color w:val="auto"/>
                <w:kern w:val="0"/>
                <w:sz w:val="24"/>
                <w:szCs w:val="20"/>
                <w:highlight w:val="none"/>
                <w:lang w:val="en-US" w:eastAsia="zh-CN" w:bidi="ar-SA"/>
              </w:rPr>
              <w:t>施</w:t>
            </w:r>
          </w:p>
        </w:tc>
        <w:tc>
          <w:tcPr>
            <w:tcW w:w="8578" w:type="dxa"/>
            <w:vAlign w:val="center"/>
          </w:tcPr>
          <w:p w14:paraId="154D67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color w:val="auto"/>
                <w:sz w:val="24"/>
                <w:highlight w:val="none"/>
                <w:lang w:val="en-US" w:eastAsia="zh-CN"/>
              </w:rPr>
            </w:pPr>
            <w:r>
              <w:rPr>
                <w:rFonts w:hint="eastAsia" w:ascii="Times New Roman" w:eastAsia="宋体"/>
                <w:color w:val="auto"/>
                <w:sz w:val="24"/>
                <w:highlight w:val="none"/>
                <w:lang w:val="en-US" w:eastAsia="zh-CN"/>
              </w:rPr>
              <w:t>（2）废水污染物源强核算过程</w:t>
            </w:r>
          </w:p>
          <w:p w14:paraId="3A484A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color w:val="auto"/>
                <w:sz w:val="24"/>
                <w:highlight w:val="none"/>
              </w:rPr>
            </w:pPr>
            <w:r>
              <w:rPr>
                <w:rFonts w:hint="eastAsia" w:ascii="Times New Roman" w:eastAsia="宋体"/>
                <w:color w:val="auto"/>
                <w:sz w:val="24"/>
                <w:highlight w:val="none"/>
                <w:lang w:val="en-US" w:eastAsia="zh-CN"/>
              </w:rPr>
              <w:t>本项目运营期</w:t>
            </w:r>
            <w:r>
              <w:rPr>
                <w:rFonts w:hint="eastAsia"/>
                <w:color w:val="auto"/>
                <w:sz w:val="24"/>
                <w:highlight w:val="none"/>
                <w:lang w:val="en-US" w:eastAsia="zh-CN"/>
              </w:rPr>
              <w:t>废水</w:t>
            </w:r>
            <w:r>
              <w:rPr>
                <w:rFonts w:hint="eastAsia" w:ascii="Times New Roman" w:eastAsia="宋体"/>
                <w:color w:val="auto"/>
                <w:sz w:val="24"/>
                <w:highlight w:val="none"/>
                <w:lang w:val="en-US" w:eastAsia="zh-CN"/>
              </w:rPr>
              <w:t>主要为</w:t>
            </w:r>
            <w:r>
              <w:rPr>
                <w:rFonts w:hint="eastAsia"/>
                <w:color w:val="auto"/>
                <w:sz w:val="24"/>
                <w:highlight w:val="none"/>
                <w:lang w:val="en-US" w:eastAsia="zh-CN"/>
              </w:rPr>
              <w:t>生活污水和生产废水</w:t>
            </w:r>
            <w:r>
              <w:rPr>
                <w:rFonts w:hint="eastAsia" w:ascii="Times New Roman" w:eastAsia="宋体"/>
                <w:color w:val="auto"/>
                <w:sz w:val="24"/>
                <w:highlight w:val="none"/>
                <w:lang w:val="en-US" w:eastAsia="zh-CN"/>
              </w:rPr>
              <w:t>。</w:t>
            </w:r>
          </w:p>
          <w:p w14:paraId="5AAAA0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color w:val="auto"/>
                <w:sz w:val="24"/>
                <w:highlight w:val="none"/>
              </w:rPr>
            </w:pPr>
            <w:r>
              <w:rPr>
                <w:rFonts w:hint="eastAsia"/>
                <w:color w:val="auto"/>
                <w:sz w:val="24"/>
                <w:highlight w:val="none"/>
                <w:lang w:val="en-US" w:eastAsia="zh-CN"/>
              </w:rPr>
              <w:t>1</w:t>
            </w:r>
            <w:r>
              <w:rPr>
                <w:rFonts w:hint="eastAsia" w:ascii="Times New Roman" w:eastAsia="宋体"/>
                <w:color w:val="auto"/>
                <w:sz w:val="24"/>
                <w:highlight w:val="none"/>
                <w:lang w:val="en-US" w:eastAsia="zh-CN"/>
              </w:rPr>
              <w:t>）生活污水</w:t>
            </w:r>
          </w:p>
          <w:p w14:paraId="74EF7A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bCs/>
                <w:color w:val="auto"/>
                <w:sz w:val="24"/>
                <w:highlight w:val="none"/>
                <w:shd w:val="clear" w:color="auto" w:fill="auto"/>
                <w:lang w:val="en-US" w:eastAsia="zh-CN"/>
              </w:rPr>
            </w:pPr>
            <w:r>
              <w:rPr>
                <w:rFonts w:hint="eastAsia" w:ascii="Times New Roman" w:eastAsia="宋体"/>
                <w:color w:val="auto"/>
                <w:sz w:val="24"/>
                <w:highlight w:val="none"/>
                <w:lang w:val="en-US" w:eastAsia="zh-CN"/>
              </w:rPr>
              <w:t>根据建设单位提供的资料，项目工作人员</w:t>
            </w:r>
            <w:r>
              <w:rPr>
                <w:rFonts w:hint="eastAsia"/>
                <w:color w:val="auto"/>
                <w:sz w:val="24"/>
                <w:highlight w:val="none"/>
                <w:lang w:val="en-US" w:eastAsia="zh-CN"/>
              </w:rPr>
              <w:t>500</w:t>
            </w:r>
            <w:r>
              <w:rPr>
                <w:rFonts w:hint="eastAsia" w:ascii="Times New Roman" w:eastAsia="宋体"/>
                <w:color w:val="auto"/>
                <w:sz w:val="24"/>
                <w:highlight w:val="none"/>
                <w:lang w:val="en-US" w:eastAsia="zh-CN"/>
              </w:rPr>
              <w:t>人，</w:t>
            </w:r>
            <w:r>
              <w:rPr>
                <w:rFonts w:hint="eastAsia" w:ascii="Times New Roman" w:hAnsi="Times New Roman" w:eastAsia="宋体" w:cs="Times New Roman"/>
                <w:b w:val="0"/>
                <w:bCs/>
                <w:color w:val="auto"/>
                <w:sz w:val="24"/>
                <w:szCs w:val="24"/>
                <w:lang w:val="en-US" w:eastAsia="zh-CN"/>
              </w:rPr>
              <w:t>根据《生活及服务业用水定额 第2部分：服务业、居民生活和建筑业》（赣府发〔2024〕17号），项目位于</w:t>
            </w:r>
            <w:r>
              <w:rPr>
                <w:rFonts w:hint="eastAsia" w:cs="Times New Roman"/>
                <w:b w:val="0"/>
                <w:bCs/>
                <w:color w:val="auto"/>
                <w:sz w:val="24"/>
                <w:szCs w:val="24"/>
                <w:lang w:val="en-US" w:eastAsia="zh-CN"/>
              </w:rPr>
              <w:t>城镇</w:t>
            </w:r>
            <w:r>
              <w:rPr>
                <w:rFonts w:hint="eastAsia" w:ascii="Times New Roman" w:hAnsi="Times New Roman" w:eastAsia="宋体" w:cs="Times New Roman"/>
                <w:b w:val="0"/>
                <w:bCs/>
                <w:color w:val="auto"/>
                <w:sz w:val="24"/>
                <w:szCs w:val="24"/>
                <w:lang w:val="en-US" w:eastAsia="zh-CN"/>
              </w:rPr>
              <w:t>地区，人均用水量按1</w:t>
            </w:r>
            <w:r>
              <w:rPr>
                <w:rFonts w:hint="eastAsia" w:cs="Times New Roman"/>
                <w:b w:val="0"/>
                <w:bCs/>
                <w:color w:val="auto"/>
                <w:sz w:val="24"/>
                <w:szCs w:val="24"/>
                <w:lang w:val="en-US" w:eastAsia="zh-CN"/>
              </w:rPr>
              <w:t>6</w:t>
            </w:r>
            <w:r>
              <w:rPr>
                <w:rFonts w:hint="eastAsia" w:ascii="Times New Roman" w:hAnsi="Times New Roman" w:eastAsia="宋体" w:cs="Times New Roman"/>
                <w:b w:val="0"/>
                <w:bCs/>
                <w:color w:val="auto"/>
                <w:sz w:val="24"/>
                <w:szCs w:val="24"/>
                <w:lang w:val="en-US" w:eastAsia="zh-CN"/>
              </w:rPr>
              <w:t>0L/d计，</w:t>
            </w:r>
            <w:r>
              <w:rPr>
                <w:rFonts w:hint="eastAsia" w:ascii="Times New Roman" w:eastAsia="宋体"/>
                <w:color w:val="auto"/>
                <w:sz w:val="24"/>
                <w:highlight w:val="none"/>
                <w:lang w:val="en-US" w:eastAsia="zh-CN"/>
              </w:rPr>
              <w:t>生活污水产生系数为0.8</w:t>
            </w:r>
            <w:r>
              <w:rPr>
                <w:rFonts w:hint="eastAsia"/>
                <w:color w:val="auto"/>
                <w:sz w:val="24"/>
                <w:highlight w:val="none"/>
                <w:lang w:val="en-US" w:eastAsia="zh-CN"/>
              </w:rPr>
              <w:t>，</w:t>
            </w:r>
            <w:r>
              <w:rPr>
                <w:rFonts w:hint="eastAsia" w:ascii="Times New Roman" w:eastAsia="宋体"/>
                <w:color w:val="auto"/>
                <w:sz w:val="24"/>
                <w:highlight w:val="none"/>
                <w:lang w:val="en-US" w:eastAsia="zh-CN"/>
              </w:rPr>
              <w:t>年工作天数以</w:t>
            </w:r>
            <w:r>
              <w:rPr>
                <w:rFonts w:hint="eastAsia"/>
                <w:color w:val="auto"/>
                <w:sz w:val="24"/>
                <w:highlight w:val="none"/>
                <w:lang w:val="en-US" w:eastAsia="zh-CN"/>
              </w:rPr>
              <w:t>300</w:t>
            </w:r>
            <w:r>
              <w:rPr>
                <w:rFonts w:hint="eastAsia" w:ascii="Times New Roman" w:eastAsia="宋体"/>
                <w:color w:val="auto"/>
                <w:sz w:val="24"/>
                <w:highlight w:val="none"/>
                <w:lang w:val="en-US" w:eastAsia="zh-CN"/>
              </w:rPr>
              <w:t>天计，则工作人员生活用水量为</w:t>
            </w:r>
            <w:r>
              <w:rPr>
                <w:rFonts w:hint="eastAsia"/>
                <w:color w:val="auto"/>
                <w:sz w:val="24"/>
                <w:highlight w:val="none"/>
                <w:lang w:val="en-US" w:eastAsia="zh-CN"/>
              </w:rPr>
              <w:t>24000</w:t>
            </w:r>
            <w:r>
              <w:rPr>
                <w:rFonts w:hint="default"/>
                <w:color w:val="auto"/>
                <w:sz w:val="24"/>
                <w:highlight w:val="none"/>
                <w:lang w:val="en-US" w:eastAsia="zh-CN"/>
              </w:rPr>
              <w:t>m</w:t>
            </w:r>
            <w:r>
              <w:rPr>
                <w:rFonts w:hint="default"/>
                <w:color w:val="auto"/>
                <w:sz w:val="24"/>
                <w:highlight w:val="none"/>
                <w:vertAlign w:val="superscript"/>
                <w:lang w:val="en-US" w:eastAsia="zh-CN"/>
              </w:rPr>
              <w:t>3</w:t>
            </w:r>
            <w:r>
              <w:rPr>
                <w:rFonts w:hint="default"/>
                <w:color w:val="auto"/>
                <w:sz w:val="24"/>
                <w:highlight w:val="none"/>
                <w:lang w:val="en-US" w:eastAsia="zh-CN"/>
              </w:rPr>
              <w:t>/a</w:t>
            </w:r>
            <w:r>
              <w:rPr>
                <w:rFonts w:hint="eastAsia" w:ascii="Times New Roman" w:eastAsia="宋体"/>
                <w:color w:val="auto"/>
                <w:sz w:val="24"/>
                <w:highlight w:val="none"/>
                <w:lang w:val="en-US" w:eastAsia="zh-CN"/>
              </w:rPr>
              <w:t>（</w:t>
            </w:r>
            <w:r>
              <w:rPr>
                <w:rFonts w:hint="eastAsia"/>
                <w:color w:val="auto"/>
                <w:sz w:val="24"/>
                <w:highlight w:val="none"/>
                <w:lang w:val="en-US" w:eastAsia="zh-CN"/>
              </w:rPr>
              <w:t>80</w:t>
            </w:r>
            <w:r>
              <w:rPr>
                <w:rFonts w:hint="default"/>
                <w:color w:val="auto"/>
                <w:sz w:val="24"/>
                <w:highlight w:val="none"/>
                <w:lang w:val="en-US" w:eastAsia="zh-CN"/>
              </w:rPr>
              <w:t>m</w:t>
            </w:r>
            <w:r>
              <w:rPr>
                <w:rFonts w:hint="default"/>
                <w:color w:val="auto"/>
                <w:sz w:val="24"/>
                <w:highlight w:val="none"/>
                <w:vertAlign w:val="superscript"/>
                <w:lang w:val="en-US" w:eastAsia="zh-CN"/>
              </w:rPr>
              <w:t>3</w:t>
            </w:r>
            <w:r>
              <w:rPr>
                <w:rFonts w:hint="default"/>
                <w:color w:val="auto"/>
                <w:sz w:val="24"/>
                <w:highlight w:val="none"/>
                <w:lang w:val="en-US" w:eastAsia="zh-CN"/>
              </w:rPr>
              <w:t>/d</w:t>
            </w:r>
            <w:r>
              <w:rPr>
                <w:rFonts w:hint="eastAsia" w:ascii="Times New Roman" w:eastAsia="宋体"/>
                <w:color w:val="auto"/>
                <w:sz w:val="24"/>
                <w:highlight w:val="none"/>
                <w:lang w:val="en-US" w:eastAsia="zh-CN"/>
              </w:rPr>
              <w:t>），生活污水产生量为</w:t>
            </w:r>
            <w:r>
              <w:rPr>
                <w:rFonts w:hint="eastAsia"/>
                <w:color w:val="auto"/>
                <w:sz w:val="24"/>
                <w:highlight w:val="none"/>
                <w:lang w:val="en-US" w:eastAsia="zh-CN"/>
              </w:rPr>
              <w:t>19200</w:t>
            </w:r>
            <w:r>
              <w:rPr>
                <w:rFonts w:hint="default"/>
                <w:color w:val="auto"/>
                <w:sz w:val="24"/>
                <w:highlight w:val="none"/>
                <w:lang w:val="en-US" w:eastAsia="zh-CN"/>
              </w:rPr>
              <w:t>m</w:t>
            </w:r>
            <w:r>
              <w:rPr>
                <w:rFonts w:hint="default"/>
                <w:color w:val="auto"/>
                <w:sz w:val="24"/>
                <w:highlight w:val="none"/>
                <w:vertAlign w:val="superscript"/>
                <w:lang w:val="en-US" w:eastAsia="zh-CN"/>
              </w:rPr>
              <w:t>3</w:t>
            </w:r>
            <w:r>
              <w:rPr>
                <w:rFonts w:hint="default"/>
                <w:color w:val="auto"/>
                <w:sz w:val="24"/>
                <w:highlight w:val="none"/>
                <w:lang w:val="en-US" w:eastAsia="zh-CN"/>
              </w:rPr>
              <w:t>/a</w:t>
            </w:r>
            <w:r>
              <w:rPr>
                <w:rFonts w:hint="eastAsia" w:ascii="Times New Roman" w:eastAsia="宋体"/>
                <w:color w:val="auto"/>
                <w:sz w:val="24"/>
                <w:highlight w:val="none"/>
                <w:lang w:val="en-US" w:eastAsia="zh-CN"/>
              </w:rPr>
              <w:t>（</w:t>
            </w:r>
            <w:r>
              <w:rPr>
                <w:rFonts w:hint="eastAsia"/>
                <w:color w:val="auto"/>
                <w:sz w:val="24"/>
                <w:highlight w:val="none"/>
                <w:lang w:val="en-US" w:eastAsia="zh-CN"/>
              </w:rPr>
              <w:t>64</w:t>
            </w:r>
            <w:r>
              <w:rPr>
                <w:rFonts w:hint="default"/>
                <w:color w:val="auto"/>
                <w:sz w:val="24"/>
                <w:highlight w:val="none"/>
                <w:lang w:val="en-US" w:eastAsia="zh-CN"/>
              </w:rPr>
              <w:t>m</w:t>
            </w:r>
            <w:r>
              <w:rPr>
                <w:rFonts w:hint="default"/>
                <w:color w:val="auto"/>
                <w:sz w:val="24"/>
                <w:highlight w:val="none"/>
                <w:vertAlign w:val="superscript"/>
                <w:lang w:val="en-US" w:eastAsia="zh-CN"/>
              </w:rPr>
              <w:t>3</w:t>
            </w:r>
            <w:r>
              <w:rPr>
                <w:rFonts w:hint="default"/>
                <w:color w:val="auto"/>
                <w:sz w:val="24"/>
                <w:highlight w:val="none"/>
                <w:lang w:val="en-US" w:eastAsia="zh-CN"/>
              </w:rPr>
              <w:t>/d</w:t>
            </w:r>
            <w:r>
              <w:rPr>
                <w:rFonts w:hint="eastAsia" w:ascii="Times New Roman" w:eastAsia="宋体"/>
                <w:color w:val="auto"/>
                <w:sz w:val="24"/>
                <w:highlight w:val="none"/>
                <w:lang w:val="en-US" w:eastAsia="zh-CN"/>
              </w:rPr>
              <w:t>）。</w:t>
            </w:r>
            <w:r>
              <w:rPr>
                <w:rFonts w:hint="default" w:ascii="Times New Roman" w:hAnsi="Times New Roman" w:cs="Times New Roman"/>
                <w:bCs/>
                <w:color w:val="auto"/>
                <w:sz w:val="24"/>
                <w:szCs w:val="24"/>
                <w:highlight w:val="none"/>
              </w:rPr>
              <w:t>项目生活污水水质参照《城市污水处理技术及工程实例》（化学工业出版社）中的中等浓度水质，COD</w:t>
            </w:r>
            <w:r>
              <w:rPr>
                <w:rFonts w:hint="default" w:ascii="Times New Roman" w:hAnsi="Times New Roman" w:cs="Times New Roman"/>
                <w:bCs/>
                <w:color w:val="auto"/>
                <w:sz w:val="24"/>
                <w:szCs w:val="24"/>
                <w:highlight w:val="none"/>
                <w:vertAlign w:val="subscript"/>
                <w:lang w:val="en-US" w:eastAsia="zh-CN"/>
              </w:rPr>
              <w:t>Cr</w:t>
            </w:r>
            <w:r>
              <w:rPr>
                <w:rFonts w:hint="default" w:ascii="Times New Roman" w:hAnsi="Times New Roman" w:cs="Times New Roman"/>
                <w:bCs/>
                <w:color w:val="auto"/>
                <w:sz w:val="24"/>
                <w:szCs w:val="24"/>
                <w:highlight w:val="none"/>
              </w:rPr>
              <w:t>、BOD</w:t>
            </w:r>
            <w:r>
              <w:rPr>
                <w:rFonts w:hint="default" w:ascii="Times New Roman" w:hAnsi="Times New Roman" w:cs="Times New Roman"/>
                <w:bCs/>
                <w:color w:val="auto"/>
                <w:sz w:val="24"/>
                <w:szCs w:val="24"/>
                <w:highlight w:val="none"/>
                <w:vertAlign w:val="subscript"/>
              </w:rPr>
              <w:t>5</w:t>
            </w:r>
            <w:r>
              <w:rPr>
                <w:rFonts w:hint="default" w:ascii="Times New Roman" w:hAnsi="Times New Roman" w:cs="Times New Roman"/>
                <w:bCs/>
                <w:color w:val="auto"/>
                <w:sz w:val="24"/>
                <w:szCs w:val="24"/>
                <w:highlight w:val="none"/>
              </w:rPr>
              <w:t>、SS</w:t>
            </w:r>
            <w:r>
              <w:rPr>
                <w:rFonts w:hint="default" w:ascii="Times New Roman" w:hAnsi="Times New Roman" w:cs="Times New Roman"/>
                <w:bCs/>
                <w:color w:val="auto"/>
                <w:sz w:val="24"/>
                <w:szCs w:val="24"/>
                <w:highlight w:val="none"/>
                <w:lang w:eastAsia="zh-CN"/>
              </w:rPr>
              <w:t>、</w:t>
            </w:r>
            <w:r>
              <w:rPr>
                <w:rFonts w:hint="default" w:ascii="Times New Roman" w:hAnsi="Times New Roman" w:cs="Times New Roman"/>
                <w:bCs/>
                <w:color w:val="auto"/>
                <w:sz w:val="24"/>
                <w:szCs w:val="24"/>
                <w:highlight w:val="none"/>
                <w:lang w:val="en-US" w:eastAsia="zh-CN"/>
              </w:rPr>
              <w:t>NH</w:t>
            </w:r>
            <w:r>
              <w:rPr>
                <w:rFonts w:hint="default" w:ascii="Times New Roman" w:hAnsi="Times New Roman" w:cs="Times New Roman"/>
                <w:bCs/>
                <w:color w:val="auto"/>
                <w:sz w:val="24"/>
                <w:szCs w:val="24"/>
                <w:highlight w:val="none"/>
                <w:vertAlign w:val="subscript"/>
                <w:lang w:val="en-US" w:eastAsia="zh-CN"/>
              </w:rPr>
              <w:t>3</w:t>
            </w:r>
            <w:r>
              <w:rPr>
                <w:rFonts w:hint="default" w:ascii="Times New Roman" w:hAnsi="Times New Roman" w:cs="Times New Roman"/>
                <w:bCs/>
                <w:color w:val="auto"/>
                <w:sz w:val="24"/>
                <w:szCs w:val="24"/>
                <w:highlight w:val="none"/>
                <w:lang w:val="en-US" w:eastAsia="zh-CN"/>
              </w:rPr>
              <w:t>-N</w:t>
            </w:r>
            <w:r>
              <w:rPr>
                <w:rFonts w:hint="eastAsia" w:cs="Times New Roman"/>
                <w:bCs/>
                <w:color w:val="auto"/>
                <w:sz w:val="24"/>
                <w:szCs w:val="24"/>
                <w:highlight w:val="none"/>
                <w:lang w:val="en-US" w:eastAsia="zh-CN"/>
              </w:rPr>
              <w:t>、TP</w:t>
            </w:r>
            <w:r>
              <w:rPr>
                <w:rFonts w:hint="default" w:ascii="Times New Roman" w:hAnsi="Times New Roman" w:cs="Times New Roman"/>
                <w:bCs/>
                <w:color w:val="auto"/>
                <w:sz w:val="24"/>
                <w:szCs w:val="24"/>
                <w:highlight w:val="none"/>
                <w:lang w:val="en-US" w:eastAsia="zh-CN"/>
              </w:rPr>
              <w:t>及动植物油</w:t>
            </w:r>
            <w:r>
              <w:rPr>
                <w:rFonts w:hint="default" w:ascii="Times New Roman" w:hAnsi="Times New Roman" w:cs="Times New Roman"/>
                <w:bCs/>
                <w:color w:val="auto"/>
                <w:sz w:val="24"/>
                <w:szCs w:val="24"/>
                <w:highlight w:val="none"/>
              </w:rPr>
              <w:t>的污染物浓度分别为250mg/L、100mg/L、</w:t>
            </w:r>
            <w:r>
              <w:rPr>
                <w:rFonts w:hint="eastAsia" w:cs="Times New Roman"/>
                <w:bCs/>
                <w:color w:val="auto"/>
                <w:sz w:val="24"/>
                <w:szCs w:val="24"/>
                <w:highlight w:val="none"/>
                <w:lang w:val="en-US" w:eastAsia="zh-CN"/>
              </w:rPr>
              <w:t>15</w:t>
            </w:r>
            <w:r>
              <w:rPr>
                <w:rFonts w:hint="default" w:ascii="Times New Roman" w:hAnsi="Times New Roman" w:cs="Times New Roman"/>
                <w:bCs/>
                <w:color w:val="auto"/>
                <w:sz w:val="24"/>
                <w:szCs w:val="24"/>
                <w:highlight w:val="none"/>
              </w:rPr>
              <w:t>0mg/L、25mg/L</w:t>
            </w:r>
            <w:r>
              <w:rPr>
                <w:rFonts w:hint="eastAsia" w:cs="Times New Roman"/>
                <w:bCs/>
                <w:color w:val="auto"/>
                <w:sz w:val="24"/>
                <w:szCs w:val="24"/>
                <w:highlight w:val="none"/>
                <w:lang w:eastAsia="zh-CN"/>
              </w:rPr>
              <w:t>、</w:t>
            </w:r>
            <w:r>
              <w:rPr>
                <w:rFonts w:hint="eastAsia" w:cs="Times New Roman"/>
                <w:bCs/>
                <w:color w:val="auto"/>
                <w:sz w:val="24"/>
                <w:szCs w:val="24"/>
                <w:highlight w:val="none"/>
                <w:lang w:val="en-US" w:eastAsia="zh-CN"/>
              </w:rPr>
              <w:t>5mL</w:t>
            </w:r>
            <w:r>
              <w:rPr>
                <w:rFonts w:hint="default" w:ascii="Times New Roman" w:hAnsi="Times New Roman" w:cs="Times New Roman"/>
                <w:bCs/>
                <w:color w:val="auto"/>
                <w:sz w:val="24"/>
                <w:szCs w:val="24"/>
                <w:highlight w:val="none"/>
                <w:lang w:val="en-US" w:eastAsia="zh-CN"/>
              </w:rPr>
              <w:t>和</w:t>
            </w:r>
            <w:r>
              <w:rPr>
                <w:rFonts w:hint="eastAsia" w:cs="Times New Roman"/>
                <w:bCs/>
                <w:color w:val="auto"/>
                <w:sz w:val="24"/>
                <w:szCs w:val="24"/>
                <w:highlight w:val="none"/>
                <w:lang w:val="en-US" w:eastAsia="zh-CN"/>
              </w:rPr>
              <w:t>3</w:t>
            </w:r>
            <w:r>
              <w:rPr>
                <w:rFonts w:hint="default" w:ascii="Times New Roman" w:hAnsi="Times New Roman" w:cs="Times New Roman"/>
                <w:bCs/>
                <w:color w:val="auto"/>
                <w:sz w:val="24"/>
                <w:szCs w:val="24"/>
                <w:highlight w:val="none"/>
                <w:lang w:val="en-US" w:eastAsia="zh-CN"/>
              </w:rPr>
              <w:t>0</w:t>
            </w:r>
            <w:r>
              <w:rPr>
                <w:rFonts w:hint="default" w:ascii="Times New Roman" w:hAnsi="Times New Roman" w:cs="Times New Roman"/>
                <w:bCs/>
                <w:color w:val="auto"/>
                <w:sz w:val="24"/>
                <w:szCs w:val="24"/>
                <w:highlight w:val="none"/>
              </w:rPr>
              <w:t>mg/L</w:t>
            </w:r>
            <w:r>
              <w:rPr>
                <w:rFonts w:hint="eastAsia"/>
                <w:bCs/>
                <w:color w:val="auto"/>
                <w:sz w:val="24"/>
                <w:highlight w:val="none"/>
                <w:shd w:val="clear" w:color="auto" w:fill="auto"/>
                <w:lang w:eastAsia="zh-CN"/>
              </w:rPr>
              <w:t>。本项目生活污水产排情况见表4-</w:t>
            </w:r>
            <w:r>
              <w:rPr>
                <w:rFonts w:hint="eastAsia"/>
                <w:bCs/>
                <w:color w:val="auto"/>
                <w:sz w:val="24"/>
                <w:highlight w:val="none"/>
                <w:shd w:val="clear" w:color="auto" w:fill="auto"/>
                <w:lang w:val="en-US" w:eastAsia="zh-CN"/>
              </w:rPr>
              <w:t>9。</w:t>
            </w:r>
          </w:p>
          <w:p w14:paraId="1D32E8F5">
            <w:pPr>
              <w:pStyle w:val="97"/>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color w:val="auto"/>
                <w:spacing w:val="0"/>
                <w:sz w:val="20"/>
                <w:szCs w:val="20"/>
                <w:highlight w:val="none"/>
              </w:rPr>
            </w:pPr>
            <w:r>
              <w:rPr>
                <w:rFonts w:hint="default"/>
                <w:b/>
                <w:bCs/>
                <w:color w:val="auto"/>
                <w:spacing w:val="0"/>
                <w:sz w:val="21"/>
                <w:szCs w:val="21"/>
                <w:highlight w:val="none"/>
              </w:rPr>
              <w:t>表</w:t>
            </w:r>
            <w:r>
              <w:rPr>
                <w:rFonts w:hint="default" w:ascii="Times New Roman" w:hAnsi="Times New Roman" w:eastAsia="Times New Roman" w:cs="Times New Roman"/>
                <w:b/>
                <w:bCs/>
                <w:color w:val="auto"/>
                <w:spacing w:val="0"/>
                <w:sz w:val="21"/>
                <w:szCs w:val="21"/>
                <w:highlight w:val="none"/>
              </w:rPr>
              <w:t>4-</w:t>
            </w:r>
            <w:r>
              <w:rPr>
                <w:rFonts w:hint="eastAsia" w:ascii="Times New Roman" w:hAnsi="Times New Roman" w:cs="Times New Roman"/>
                <w:b/>
                <w:bCs/>
                <w:color w:val="auto"/>
                <w:spacing w:val="0"/>
                <w:sz w:val="21"/>
                <w:szCs w:val="21"/>
                <w:highlight w:val="none"/>
                <w:lang w:val="en-US" w:eastAsia="zh-CN"/>
              </w:rPr>
              <w:t xml:space="preserve">9  </w:t>
            </w:r>
            <w:r>
              <w:rPr>
                <w:rFonts w:hint="default"/>
                <w:b/>
                <w:bCs/>
                <w:color w:val="auto"/>
                <w:spacing w:val="0"/>
                <w:sz w:val="21"/>
                <w:szCs w:val="21"/>
                <w:highlight w:val="none"/>
              </w:rPr>
              <w:t>项目</w:t>
            </w:r>
            <w:r>
              <w:rPr>
                <w:rFonts w:hint="eastAsia"/>
                <w:b/>
                <w:bCs/>
                <w:color w:val="auto"/>
                <w:spacing w:val="0"/>
                <w:sz w:val="21"/>
                <w:szCs w:val="21"/>
                <w:highlight w:val="none"/>
                <w:lang w:val="en-US" w:eastAsia="zh-CN"/>
              </w:rPr>
              <w:t>生活污水</w:t>
            </w:r>
            <w:r>
              <w:rPr>
                <w:rFonts w:hint="default"/>
                <w:b/>
                <w:bCs/>
                <w:color w:val="auto"/>
                <w:spacing w:val="0"/>
                <w:sz w:val="21"/>
                <w:szCs w:val="21"/>
                <w:highlight w:val="none"/>
              </w:rPr>
              <w:t>产排情况</w:t>
            </w:r>
            <w:r>
              <w:rPr>
                <w:rFonts w:hint="eastAsia"/>
                <w:b/>
                <w:bCs/>
                <w:color w:val="auto"/>
                <w:spacing w:val="0"/>
                <w:sz w:val="21"/>
                <w:szCs w:val="21"/>
                <w:highlight w:val="none"/>
                <w:lang w:val="en-US" w:eastAsia="zh-CN"/>
              </w:rPr>
              <w:t>一览</w:t>
            </w:r>
            <w:r>
              <w:rPr>
                <w:rFonts w:hint="default"/>
                <w:b/>
                <w:bCs/>
                <w:color w:val="auto"/>
                <w:spacing w:val="0"/>
                <w:sz w:val="21"/>
                <w:szCs w:val="21"/>
                <w:highlight w:val="none"/>
              </w:rPr>
              <w:t>表（</w:t>
            </w:r>
            <w:r>
              <w:rPr>
                <w:rFonts w:hint="default" w:ascii="Times New Roman" w:hAnsi="Times New Roman" w:eastAsia="Times New Roman" w:cs="Times New Roman"/>
                <w:b/>
                <w:bCs/>
                <w:color w:val="auto"/>
                <w:spacing w:val="0"/>
                <w:sz w:val="21"/>
                <w:szCs w:val="21"/>
                <w:highlight w:val="none"/>
              </w:rPr>
              <w:t>pH</w:t>
            </w:r>
            <w:r>
              <w:rPr>
                <w:rFonts w:hint="default"/>
                <w:b/>
                <w:bCs/>
                <w:color w:val="auto"/>
                <w:spacing w:val="0"/>
                <w:sz w:val="21"/>
                <w:szCs w:val="21"/>
                <w:highlight w:val="none"/>
              </w:rPr>
              <w:t>无量纲）</w:t>
            </w:r>
          </w:p>
          <w:p w14:paraId="49210F6D">
            <w:pPr>
              <w:keepNext w:val="0"/>
              <w:keepLines w:val="0"/>
              <w:suppressLineNumbers w:val="0"/>
              <w:spacing w:before="0" w:beforeAutospacing="0" w:after="0" w:afterAutospacing="0" w:line="25" w:lineRule="auto"/>
              <w:ind w:left="0" w:right="0"/>
              <w:rPr>
                <w:rFonts w:hint="default" w:ascii="Arial"/>
                <w:color w:val="auto"/>
                <w:spacing w:val="0"/>
                <w:sz w:val="2"/>
                <w:highlight w:val="none"/>
              </w:rPr>
            </w:pPr>
          </w:p>
          <w:tbl>
            <w:tblPr>
              <w:tblStyle w:val="102"/>
              <w:tblW w:w="4995"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
            <w:tblGrid>
              <w:gridCol w:w="553"/>
              <w:gridCol w:w="1169"/>
              <w:gridCol w:w="800"/>
              <w:gridCol w:w="861"/>
              <w:gridCol w:w="831"/>
              <w:gridCol w:w="739"/>
              <w:gridCol w:w="738"/>
              <w:gridCol w:w="901"/>
              <w:gridCol w:w="902"/>
              <w:gridCol w:w="860"/>
            </w:tblGrid>
            <w:tr w14:paraId="40BCF97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636" w:hRule="atLeast"/>
                <w:jc w:val="center"/>
              </w:trPr>
              <w:tc>
                <w:tcPr>
                  <w:tcW w:w="1030" w:type="pct"/>
                  <w:gridSpan w:val="2"/>
                  <w:tcBorders>
                    <w:tl2br w:val="nil"/>
                    <w:tr2bl w:val="nil"/>
                  </w:tcBorders>
                  <w:noWrap w:val="0"/>
                  <w:vAlign w:val="center"/>
                </w:tcPr>
                <w:p w14:paraId="72D79983">
                  <w:pPr>
                    <w:pStyle w:val="97"/>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b/>
                      <w:bCs/>
                      <w:color w:val="auto"/>
                      <w:spacing w:val="0"/>
                      <w:sz w:val="21"/>
                      <w:szCs w:val="21"/>
                      <w:highlight w:val="none"/>
                    </w:rPr>
                  </w:pPr>
                  <w:r>
                    <w:rPr>
                      <w:rFonts w:hint="default" w:ascii="Times New Roman" w:hAnsi="Times New Roman" w:eastAsia="宋体" w:cs="Times New Roman"/>
                      <w:b/>
                      <w:bCs/>
                      <w:color w:val="auto"/>
                      <w:spacing w:val="0"/>
                      <w:sz w:val="21"/>
                      <w:szCs w:val="21"/>
                      <w:highlight w:val="none"/>
                    </w:rPr>
                    <w:t>项目</w:t>
                  </w:r>
                </w:p>
              </w:tc>
              <w:tc>
                <w:tcPr>
                  <w:tcW w:w="478" w:type="pct"/>
                  <w:tcBorders>
                    <w:tl2br w:val="nil"/>
                    <w:tr2bl w:val="nil"/>
                  </w:tcBorders>
                  <w:noWrap w:val="0"/>
                  <w:vAlign w:val="center"/>
                </w:tcPr>
                <w:p w14:paraId="28C2BE3D">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b/>
                      <w:bCs/>
                      <w:color w:val="auto"/>
                      <w:spacing w:val="0"/>
                      <w:sz w:val="21"/>
                      <w:szCs w:val="21"/>
                      <w:highlight w:val="none"/>
                    </w:rPr>
                  </w:pPr>
                  <w:r>
                    <w:rPr>
                      <w:rFonts w:hint="default" w:ascii="Times New Roman" w:hAnsi="Times New Roman" w:eastAsia="宋体" w:cs="Times New Roman"/>
                      <w:b/>
                      <w:bCs/>
                      <w:color w:val="auto"/>
                      <w:spacing w:val="0"/>
                      <w:sz w:val="21"/>
                      <w:szCs w:val="21"/>
                      <w:highlight w:val="none"/>
                    </w:rPr>
                    <w:t>pH</w:t>
                  </w:r>
                </w:p>
              </w:tc>
              <w:tc>
                <w:tcPr>
                  <w:tcW w:w="515" w:type="pct"/>
                  <w:tcBorders>
                    <w:tl2br w:val="nil"/>
                    <w:tr2bl w:val="nil"/>
                  </w:tcBorders>
                  <w:noWrap w:val="0"/>
                  <w:vAlign w:val="center"/>
                </w:tcPr>
                <w:p w14:paraId="57AB6CF0">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b/>
                      <w:bCs/>
                      <w:color w:val="auto"/>
                      <w:spacing w:val="0"/>
                      <w:sz w:val="21"/>
                      <w:szCs w:val="21"/>
                      <w:highlight w:val="none"/>
                    </w:rPr>
                  </w:pPr>
                  <w:r>
                    <w:rPr>
                      <w:rFonts w:hint="default" w:ascii="Times New Roman" w:hAnsi="Times New Roman" w:eastAsia="宋体" w:cs="Times New Roman"/>
                      <w:b/>
                      <w:bCs/>
                      <w:color w:val="auto"/>
                      <w:spacing w:val="0"/>
                      <w:sz w:val="21"/>
                      <w:szCs w:val="21"/>
                      <w:highlight w:val="none"/>
                    </w:rPr>
                    <w:t>COD</w:t>
                  </w:r>
                  <w:r>
                    <w:rPr>
                      <w:rFonts w:hint="default" w:ascii="Times New Roman" w:hAnsi="Times New Roman" w:eastAsia="宋体" w:cs="Times New Roman"/>
                      <w:b/>
                      <w:bCs/>
                      <w:color w:val="auto"/>
                      <w:spacing w:val="0"/>
                      <w:position w:val="-1"/>
                      <w:sz w:val="21"/>
                      <w:szCs w:val="21"/>
                      <w:highlight w:val="none"/>
                      <w:vertAlign w:val="subscript"/>
                    </w:rPr>
                    <w:t>Cr</w:t>
                  </w:r>
                </w:p>
              </w:tc>
              <w:tc>
                <w:tcPr>
                  <w:tcW w:w="497" w:type="pct"/>
                  <w:tcBorders>
                    <w:tl2br w:val="nil"/>
                    <w:tr2bl w:val="nil"/>
                  </w:tcBorders>
                  <w:noWrap w:val="0"/>
                  <w:vAlign w:val="center"/>
                </w:tcPr>
                <w:p w14:paraId="779D5666">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b/>
                      <w:bCs/>
                      <w:color w:val="auto"/>
                      <w:spacing w:val="0"/>
                      <w:sz w:val="21"/>
                      <w:szCs w:val="21"/>
                      <w:highlight w:val="none"/>
                    </w:rPr>
                  </w:pPr>
                  <w:r>
                    <w:rPr>
                      <w:rFonts w:hint="default" w:ascii="Times New Roman" w:hAnsi="Times New Roman" w:eastAsia="宋体" w:cs="Times New Roman"/>
                      <w:b/>
                      <w:bCs/>
                      <w:color w:val="auto"/>
                      <w:spacing w:val="0"/>
                      <w:sz w:val="21"/>
                      <w:szCs w:val="21"/>
                      <w:highlight w:val="none"/>
                    </w:rPr>
                    <w:t>BOD</w:t>
                  </w:r>
                  <w:r>
                    <w:rPr>
                      <w:rFonts w:hint="default" w:ascii="Times New Roman" w:hAnsi="Times New Roman" w:eastAsia="宋体" w:cs="Times New Roman"/>
                      <w:b/>
                      <w:bCs/>
                      <w:color w:val="auto"/>
                      <w:spacing w:val="0"/>
                      <w:position w:val="-1"/>
                      <w:sz w:val="21"/>
                      <w:szCs w:val="21"/>
                      <w:highlight w:val="none"/>
                      <w:vertAlign w:val="subscript"/>
                    </w:rPr>
                    <w:t>5</w:t>
                  </w:r>
                </w:p>
              </w:tc>
              <w:tc>
                <w:tcPr>
                  <w:tcW w:w="442" w:type="pct"/>
                  <w:tcBorders>
                    <w:tl2br w:val="nil"/>
                    <w:tr2bl w:val="nil"/>
                  </w:tcBorders>
                  <w:noWrap w:val="0"/>
                  <w:vAlign w:val="center"/>
                </w:tcPr>
                <w:p w14:paraId="6DE85527">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b/>
                      <w:bCs/>
                      <w:color w:val="auto"/>
                      <w:spacing w:val="0"/>
                      <w:sz w:val="21"/>
                      <w:szCs w:val="21"/>
                      <w:highlight w:val="none"/>
                    </w:rPr>
                  </w:pPr>
                  <w:r>
                    <w:rPr>
                      <w:rFonts w:hint="default" w:ascii="Times New Roman" w:hAnsi="Times New Roman" w:eastAsia="宋体" w:cs="Times New Roman"/>
                      <w:b/>
                      <w:bCs/>
                      <w:color w:val="auto"/>
                      <w:spacing w:val="0"/>
                      <w:sz w:val="21"/>
                      <w:szCs w:val="21"/>
                      <w:highlight w:val="none"/>
                    </w:rPr>
                    <w:t>SS</w:t>
                  </w:r>
                </w:p>
              </w:tc>
              <w:tc>
                <w:tcPr>
                  <w:tcW w:w="441" w:type="pct"/>
                  <w:tcBorders>
                    <w:tl2br w:val="nil"/>
                    <w:tr2bl w:val="nil"/>
                  </w:tcBorders>
                  <w:noWrap w:val="0"/>
                  <w:vAlign w:val="center"/>
                </w:tcPr>
                <w:p w14:paraId="2DD90EAF">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b/>
                      <w:bCs/>
                      <w:color w:val="auto"/>
                      <w:spacing w:val="0"/>
                      <w:sz w:val="21"/>
                      <w:szCs w:val="21"/>
                      <w:highlight w:val="none"/>
                    </w:rPr>
                  </w:pPr>
                  <w:r>
                    <w:rPr>
                      <w:rFonts w:hint="default" w:ascii="Times New Roman" w:hAnsi="Times New Roman" w:eastAsia="宋体" w:cs="Times New Roman"/>
                      <w:b/>
                      <w:bCs/>
                      <w:color w:val="auto"/>
                      <w:spacing w:val="0"/>
                      <w:sz w:val="21"/>
                      <w:szCs w:val="21"/>
                      <w:highlight w:val="none"/>
                    </w:rPr>
                    <w:t>NH</w:t>
                  </w:r>
                  <w:r>
                    <w:rPr>
                      <w:rFonts w:hint="default" w:ascii="Times New Roman" w:hAnsi="Times New Roman" w:eastAsia="宋体" w:cs="Times New Roman"/>
                      <w:b/>
                      <w:bCs/>
                      <w:color w:val="auto"/>
                      <w:spacing w:val="0"/>
                      <w:position w:val="-1"/>
                      <w:sz w:val="21"/>
                      <w:szCs w:val="21"/>
                      <w:highlight w:val="none"/>
                      <w:vertAlign w:val="subscript"/>
                    </w:rPr>
                    <w:t>3</w:t>
                  </w:r>
                  <w:r>
                    <w:rPr>
                      <w:rFonts w:hint="default" w:ascii="Times New Roman" w:hAnsi="Times New Roman" w:eastAsia="宋体" w:cs="Times New Roman"/>
                      <w:b/>
                      <w:bCs/>
                      <w:color w:val="auto"/>
                      <w:spacing w:val="0"/>
                      <w:sz w:val="21"/>
                      <w:szCs w:val="21"/>
                      <w:highlight w:val="none"/>
                    </w:rPr>
                    <w:t>-N</w:t>
                  </w:r>
                </w:p>
              </w:tc>
              <w:tc>
                <w:tcPr>
                  <w:tcW w:w="539" w:type="pct"/>
                  <w:tcBorders>
                    <w:tl2br w:val="nil"/>
                    <w:tr2bl w:val="nil"/>
                  </w:tcBorders>
                  <w:noWrap w:val="0"/>
                  <w:vAlign w:val="center"/>
                </w:tcPr>
                <w:p w14:paraId="68EB1860">
                  <w:pPr>
                    <w:pStyle w:val="97"/>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b/>
                      <w:bCs/>
                      <w:color w:val="auto"/>
                      <w:spacing w:val="0"/>
                      <w:sz w:val="21"/>
                      <w:szCs w:val="21"/>
                      <w:highlight w:val="none"/>
                      <w:lang w:val="en-US" w:eastAsia="zh-CN"/>
                    </w:rPr>
                  </w:pPr>
                  <w:r>
                    <w:rPr>
                      <w:rFonts w:hint="eastAsia" w:ascii="Times New Roman" w:hAnsi="Times New Roman" w:eastAsia="宋体" w:cs="Times New Roman"/>
                      <w:b/>
                      <w:bCs/>
                      <w:color w:val="auto"/>
                      <w:spacing w:val="0"/>
                      <w:sz w:val="21"/>
                      <w:szCs w:val="21"/>
                      <w:highlight w:val="none"/>
                      <w:lang w:val="en-US" w:eastAsia="zh-CN"/>
                    </w:rPr>
                    <w:t>TP</w:t>
                  </w:r>
                </w:p>
              </w:tc>
              <w:tc>
                <w:tcPr>
                  <w:tcW w:w="539" w:type="pct"/>
                  <w:tcBorders>
                    <w:tl2br w:val="nil"/>
                    <w:tr2bl w:val="nil"/>
                  </w:tcBorders>
                  <w:noWrap w:val="0"/>
                  <w:vAlign w:val="center"/>
                </w:tcPr>
                <w:p w14:paraId="5DE79BA2">
                  <w:pPr>
                    <w:pStyle w:val="97"/>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b/>
                      <w:bCs/>
                      <w:color w:val="auto"/>
                      <w:spacing w:val="0"/>
                      <w:sz w:val="21"/>
                      <w:szCs w:val="21"/>
                      <w:highlight w:val="none"/>
                      <w:lang w:val="en-US" w:eastAsia="zh-CN"/>
                    </w:rPr>
                  </w:pPr>
                  <w:r>
                    <w:rPr>
                      <w:rFonts w:hint="eastAsia" w:ascii="Times New Roman" w:hAnsi="Times New Roman" w:cs="Times New Roman"/>
                      <w:b/>
                      <w:bCs/>
                      <w:color w:val="auto"/>
                      <w:spacing w:val="0"/>
                      <w:sz w:val="21"/>
                      <w:szCs w:val="21"/>
                      <w:highlight w:val="none"/>
                      <w:lang w:val="en-US" w:eastAsia="zh-CN"/>
                    </w:rPr>
                    <w:t>TN</w:t>
                  </w:r>
                </w:p>
              </w:tc>
              <w:tc>
                <w:tcPr>
                  <w:tcW w:w="514" w:type="pct"/>
                  <w:tcBorders>
                    <w:tl2br w:val="nil"/>
                    <w:tr2bl w:val="nil"/>
                  </w:tcBorders>
                  <w:noWrap w:val="0"/>
                  <w:vAlign w:val="center"/>
                </w:tcPr>
                <w:p w14:paraId="7D0027C8">
                  <w:pPr>
                    <w:pStyle w:val="97"/>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b/>
                      <w:bCs/>
                      <w:color w:val="auto"/>
                      <w:spacing w:val="0"/>
                      <w:sz w:val="21"/>
                      <w:szCs w:val="21"/>
                      <w:highlight w:val="none"/>
                      <w:lang w:val="en-US" w:eastAsia="zh-CN"/>
                    </w:rPr>
                  </w:pPr>
                  <w:r>
                    <w:rPr>
                      <w:rFonts w:hint="eastAsia" w:ascii="Times New Roman" w:hAnsi="Times New Roman" w:eastAsia="宋体" w:cs="Times New Roman"/>
                      <w:b/>
                      <w:bCs/>
                      <w:color w:val="auto"/>
                      <w:spacing w:val="0"/>
                      <w:sz w:val="21"/>
                      <w:szCs w:val="21"/>
                      <w:highlight w:val="none"/>
                      <w:lang w:val="en-US" w:eastAsia="zh-CN"/>
                    </w:rPr>
                    <w:t>动植物油</w:t>
                  </w:r>
                </w:p>
              </w:tc>
            </w:tr>
            <w:tr w14:paraId="443BE80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636" w:hRule="atLeast"/>
                <w:jc w:val="center"/>
              </w:trPr>
              <w:tc>
                <w:tcPr>
                  <w:tcW w:w="330" w:type="pct"/>
                  <w:vMerge w:val="restart"/>
                  <w:tcBorders>
                    <w:tl2br w:val="nil"/>
                    <w:tr2bl w:val="nil"/>
                  </w:tcBorders>
                  <w:noWrap w:val="0"/>
                  <w:vAlign w:val="center"/>
                </w:tcPr>
                <w:p w14:paraId="2A423347">
                  <w:pPr>
                    <w:pStyle w:val="97"/>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color w:val="auto"/>
                      <w:spacing w:val="0"/>
                      <w:sz w:val="21"/>
                      <w:szCs w:val="21"/>
                      <w:highlight w:val="none"/>
                    </w:rPr>
                  </w:pPr>
                  <w:r>
                    <w:rPr>
                      <w:rFonts w:hint="default" w:ascii="Times New Roman" w:hAnsi="Times New Roman" w:eastAsia="宋体" w:cs="Times New Roman"/>
                      <w:color w:val="auto"/>
                      <w:spacing w:val="0"/>
                      <w:sz w:val="21"/>
                      <w:szCs w:val="21"/>
                      <w:highlight w:val="none"/>
                    </w:rPr>
                    <w:t>生活污水</w:t>
                  </w:r>
                  <w:r>
                    <w:rPr>
                      <w:rFonts w:hint="eastAsia" w:ascii="Times New Roman" w:hAnsi="Times New Roman" w:cs="Times New Roman"/>
                      <w:color w:val="auto"/>
                      <w:spacing w:val="0"/>
                      <w:sz w:val="21"/>
                      <w:szCs w:val="21"/>
                      <w:highlight w:val="none"/>
                      <w:lang w:val="en-US" w:eastAsia="zh-CN"/>
                    </w:rPr>
                    <w:t>19200m</w:t>
                  </w:r>
                  <w:r>
                    <w:rPr>
                      <w:rFonts w:hint="eastAsia" w:ascii="Times New Roman" w:hAnsi="Times New Roman" w:cs="Times New Roman"/>
                      <w:color w:val="auto"/>
                      <w:spacing w:val="0"/>
                      <w:sz w:val="21"/>
                      <w:szCs w:val="21"/>
                      <w:highlight w:val="none"/>
                      <w:vertAlign w:val="superscript"/>
                      <w:lang w:val="en-US" w:eastAsia="zh-CN"/>
                    </w:rPr>
                    <w:t>3</w:t>
                  </w:r>
                  <w:r>
                    <w:rPr>
                      <w:rFonts w:hint="default" w:ascii="Times New Roman" w:hAnsi="Times New Roman" w:eastAsia="宋体" w:cs="Times New Roman"/>
                      <w:color w:val="auto"/>
                      <w:spacing w:val="0"/>
                      <w:sz w:val="21"/>
                      <w:szCs w:val="21"/>
                      <w:highlight w:val="none"/>
                    </w:rPr>
                    <w:t>/a</w:t>
                  </w:r>
                </w:p>
              </w:tc>
              <w:tc>
                <w:tcPr>
                  <w:tcW w:w="699" w:type="pct"/>
                  <w:tcBorders>
                    <w:tl2br w:val="nil"/>
                    <w:tr2bl w:val="nil"/>
                  </w:tcBorders>
                  <w:noWrap w:val="0"/>
                  <w:vAlign w:val="center"/>
                </w:tcPr>
                <w:p w14:paraId="186AA3CE">
                  <w:pPr>
                    <w:pStyle w:val="97"/>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color w:val="auto"/>
                      <w:spacing w:val="0"/>
                      <w:sz w:val="21"/>
                      <w:szCs w:val="21"/>
                      <w:highlight w:val="none"/>
                    </w:rPr>
                  </w:pPr>
                  <w:r>
                    <w:rPr>
                      <w:rFonts w:hint="default" w:ascii="Times New Roman" w:hAnsi="Times New Roman" w:eastAsia="宋体" w:cs="Times New Roman"/>
                      <w:color w:val="auto"/>
                      <w:spacing w:val="0"/>
                      <w:sz w:val="21"/>
                      <w:szCs w:val="21"/>
                      <w:highlight w:val="none"/>
                    </w:rPr>
                    <w:t>污染物产生浓度（mg/L）</w:t>
                  </w:r>
                </w:p>
              </w:tc>
              <w:tc>
                <w:tcPr>
                  <w:tcW w:w="478" w:type="pct"/>
                  <w:tcBorders>
                    <w:tl2br w:val="nil"/>
                    <w:tr2bl w:val="nil"/>
                  </w:tcBorders>
                  <w:noWrap w:val="0"/>
                  <w:vAlign w:val="center"/>
                </w:tcPr>
                <w:p w14:paraId="5B4A6603">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color w:val="auto"/>
                      <w:spacing w:val="0"/>
                      <w:sz w:val="21"/>
                      <w:szCs w:val="21"/>
                      <w:highlight w:val="none"/>
                    </w:rPr>
                  </w:pPr>
                  <w:r>
                    <w:rPr>
                      <w:rFonts w:hint="default" w:ascii="Times New Roman" w:hAnsi="Times New Roman" w:eastAsia="宋体" w:cs="Times New Roman"/>
                      <w:color w:val="auto"/>
                      <w:spacing w:val="0"/>
                      <w:sz w:val="21"/>
                      <w:szCs w:val="21"/>
                      <w:highlight w:val="none"/>
                    </w:rPr>
                    <w:t>6~9</w:t>
                  </w:r>
                </w:p>
              </w:tc>
              <w:tc>
                <w:tcPr>
                  <w:tcW w:w="515" w:type="pct"/>
                  <w:tcBorders>
                    <w:tl2br w:val="nil"/>
                    <w:tr2bl w:val="nil"/>
                  </w:tcBorders>
                  <w:noWrap w:val="0"/>
                  <w:vAlign w:val="center"/>
                </w:tcPr>
                <w:p w14:paraId="733DFBDD">
                  <w:pPr>
                    <w:keepNext w:val="0"/>
                    <w:keepLines w:val="0"/>
                    <w:widowControl/>
                    <w:suppressLineNumbers w:val="0"/>
                    <w:jc w:val="center"/>
                    <w:textAlignment w:val="center"/>
                    <w:rPr>
                      <w:rFonts w:hint="default" w:ascii="Times New Roman" w:hAnsi="Times New Roman" w:eastAsia="宋体" w:cs="Times New Roman"/>
                      <w:i w:val="0"/>
                      <w:iCs w:val="0"/>
                      <w:color w:val="auto"/>
                      <w:spacing w:val="0"/>
                      <w:kern w:val="2"/>
                      <w:sz w:val="21"/>
                      <w:szCs w:val="21"/>
                      <w:highlight w:val="none"/>
                      <w:u w:val="none"/>
                      <w:lang w:val="en-US" w:eastAsia="zh-CN" w:bidi="ar-SA"/>
                    </w:rPr>
                  </w:pPr>
                  <w:r>
                    <w:rPr>
                      <w:rFonts w:hint="default" w:ascii="Times New Roman" w:hAnsi="Times New Roman" w:eastAsia="宋体" w:cs="Times New Roman"/>
                      <w:i w:val="0"/>
                      <w:iCs w:val="0"/>
                      <w:color w:val="auto"/>
                      <w:spacing w:val="0"/>
                      <w:kern w:val="0"/>
                      <w:sz w:val="21"/>
                      <w:szCs w:val="21"/>
                      <w:highlight w:val="none"/>
                      <w:u w:val="none"/>
                      <w:lang w:val="en-US" w:eastAsia="zh-CN" w:bidi="ar"/>
                    </w:rPr>
                    <w:t>250</w:t>
                  </w:r>
                </w:p>
              </w:tc>
              <w:tc>
                <w:tcPr>
                  <w:tcW w:w="497" w:type="pct"/>
                  <w:tcBorders>
                    <w:tl2br w:val="nil"/>
                    <w:tr2bl w:val="nil"/>
                  </w:tcBorders>
                  <w:noWrap w:val="0"/>
                  <w:vAlign w:val="center"/>
                </w:tcPr>
                <w:p w14:paraId="6F00B4BB">
                  <w:pPr>
                    <w:keepNext w:val="0"/>
                    <w:keepLines w:val="0"/>
                    <w:widowControl/>
                    <w:suppressLineNumbers w:val="0"/>
                    <w:jc w:val="center"/>
                    <w:textAlignment w:val="center"/>
                    <w:rPr>
                      <w:rFonts w:hint="default" w:ascii="Times New Roman" w:hAnsi="Times New Roman" w:eastAsia="宋体" w:cs="Times New Roman"/>
                      <w:i w:val="0"/>
                      <w:iCs w:val="0"/>
                      <w:color w:val="auto"/>
                      <w:spacing w:val="0"/>
                      <w:kern w:val="2"/>
                      <w:sz w:val="21"/>
                      <w:szCs w:val="21"/>
                      <w:highlight w:val="none"/>
                      <w:u w:val="none"/>
                      <w:lang w:val="en-US" w:eastAsia="zh-CN" w:bidi="ar-SA"/>
                    </w:rPr>
                  </w:pPr>
                  <w:r>
                    <w:rPr>
                      <w:rFonts w:hint="default" w:ascii="Times New Roman" w:hAnsi="Times New Roman" w:eastAsia="宋体" w:cs="Times New Roman"/>
                      <w:i w:val="0"/>
                      <w:iCs w:val="0"/>
                      <w:color w:val="auto"/>
                      <w:spacing w:val="0"/>
                      <w:kern w:val="0"/>
                      <w:sz w:val="21"/>
                      <w:szCs w:val="21"/>
                      <w:highlight w:val="none"/>
                      <w:u w:val="none"/>
                      <w:lang w:val="en-US" w:eastAsia="zh-CN" w:bidi="ar"/>
                    </w:rPr>
                    <w:t>100</w:t>
                  </w:r>
                </w:p>
              </w:tc>
              <w:tc>
                <w:tcPr>
                  <w:tcW w:w="442" w:type="pct"/>
                  <w:tcBorders>
                    <w:tl2br w:val="nil"/>
                    <w:tr2bl w:val="nil"/>
                  </w:tcBorders>
                  <w:noWrap w:val="0"/>
                  <w:vAlign w:val="center"/>
                </w:tcPr>
                <w:p w14:paraId="4DD96AA1">
                  <w:pPr>
                    <w:keepNext w:val="0"/>
                    <w:keepLines w:val="0"/>
                    <w:widowControl/>
                    <w:suppressLineNumbers w:val="0"/>
                    <w:jc w:val="center"/>
                    <w:textAlignment w:val="center"/>
                    <w:rPr>
                      <w:rFonts w:hint="default" w:ascii="Times New Roman" w:hAnsi="Times New Roman" w:eastAsia="宋体" w:cs="Times New Roman"/>
                      <w:i w:val="0"/>
                      <w:iCs w:val="0"/>
                      <w:color w:val="auto"/>
                      <w:spacing w:val="0"/>
                      <w:kern w:val="2"/>
                      <w:sz w:val="21"/>
                      <w:szCs w:val="21"/>
                      <w:highlight w:val="none"/>
                      <w:u w:val="none"/>
                      <w:lang w:val="en-US" w:eastAsia="zh-CN" w:bidi="ar-SA"/>
                    </w:rPr>
                  </w:pPr>
                  <w:r>
                    <w:rPr>
                      <w:rFonts w:hint="default" w:ascii="Times New Roman" w:hAnsi="Times New Roman" w:eastAsia="宋体" w:cs="Times New Roman"/>
                      <w:i w:val="0"/>
                      <w:iCs w:val="0"/>
                      <w:color w:val="auto"/>
                      <w:spacing w:val="0"/>
                      <w:kern w:val="0"/>
                      <w:sz w:val="21"/>
                      <w:szCs w:val="21"/>
                      <w:highlight w:val="none"/>
                      <w:u w:val="none"/>
                      <w:lang w:val="en-US" w:eastAsia="zh-CN" w:bidi="ar"/>
                    </w:rPr>
                    <w:t>150</w:t>
                  </w:r>
                </w:p>
              </w:tc>
              <w:tc>
                <w:tcPr>
                  <w:tcW w:w="441" w:type="pct"/>
                  <w:tcBorders>
                    <w:tl2br w:val="nil"/>
                    <w:tr2bl w:val="nil"/>
                  </w:tcBorders>
                  <w:noWrap w:val="0"/>
                  <w:vAlign w:val="center"/>
                </w:tcPr>
                <w:p w14:paraId="788F84B7">
                  <w:pPr>
                    <w:keepNext w:val="0"/>
                    <w:keepLines w:val="0"/>
                    <w:widowControl/>
                    <w:suppressLineNumbers w:val="0"/>
                    <w:jc w:val="center"/>
                    <w:textAlignment w:val="center"/>
                    <w:rPr>
                      <w:rFonts w:hint="default" w:ascii="Times New Roman" w:hAnsi="Times New Roman" w:eastAsia="宋体" w:cs="Times New Roman"/>
                      <w:i w:val="0"/>
                      <w:iCs w:val="0"/>
                      <w:color w:val="auto"/>
                      <w:spacing w:val="0"/>
                      <w:kern w:val="2"/>
                      <w:sz w:val="21"/>
                      <w:szCs w:val="21"/>
                      <w:highlight w:val="none"/>
                      <w:u w:val="none"/>
                      <w:lang w:val="en-US" w:eastAsia="zh-CN" w:bidi="ar-SA"/>
                    </w:rPr>
                  </w:pPr>
                  <w:r>
                    <w:rPr>
                      <w:rFonts w:hint="default" w:ascii="Times New Roman" w:hAnsi="Times New Roman" w:eastAsia="宋体" w:cs="Times New Roman"/>
                      <w:i w:val="0"/>
                      <w:iCs w:val="0"/>
                      <w:color w:val="auto"/>
                      <w:spacing w:val="0"/>
                      <w:kern w:val="0"/>
                      <w:sz w:val="21"/>
                      <w:szCs w:val="21"/>
                      <w:highlight w:val="none"/>
                      <w:u w:val="none"/>
                      <w:lang w:val="en-US" w:eastAsia="zh-CN" w:bidi="ar"/>
                    </w:rPr>
                    <w:t>25</w:t>
                  </w:r>
                </w:p>
              </w:tc>
              <w:tc>
                <w:tcPr>
                  <w:tcW w:w="539" w:type="pct"/>
                  <w:tcBorders>
                    <w:tl2br w:val="nil"/>
                    <w:tr2bl w:val="nil"/>
                  </w:tcBorders>
                  <w:noWrap w:val="0"/>
                  <w:vAlign w:val="center"/>
                </w:tcPr>
                <w:p w14:paraId="3E6B0D66">
                  <w:pPr>
                    <w:keepNext w:val="0"/>
                    <w:keepLines w:val="0"/>
                    <w:widowControl/>
                    <w:suppressLineNumbers w:val="0"/>
                    <w:jc w:val="center"/>
                    <w:textAlignment w:val="center"/>
                    <w:rPr>
                      <w:rFonts w:hint="default" w:ascii="Times New Roman" w:hAnsi="Times New Roman" w:eastAsia="宋体" w:cs="Times New Roman"/>
                      <w:i w:val="0"/>
                      <w:iCs w:val="0"/>
                      <w:color w:val="auto"/>
                      <w:spacing w:val="0"/>
                      <w:kern w:val="2"/>
                      <w:sz w:val="21"/>
                      <w:szCs w:val="21"/>
                      <w:highlight w:val="none"/>
                      <w:u w:val="none"/>
                      <w:lang w:val="en-US" w:eastAsia="zh-CN" w:bidi="ar-SA"/>
                    </w:rPr>
                  </w:pPr>
                  <w:r>
                    <w:rPr>
                      <w:rFonts w:hint="default" w:ascii="Times New Roman" w:hAnsi="Times New Roman" w:eastAsia="宋体" w:cs="Times New Roman"/>
                      <w:i w:val="0"/>
                      <w:iCs w:val="0"/>
                      <w:color w:val="auto"/>
                      <w:spacing w:val="0"/>
                      <w:kern w:val="0"/>
                      <w:sz w:val="21"/>
                      <w:szCs w:val="21"/>
                      <w:highlight w:val="none"/>
                      <w:u w:val="none"/>
                      <w:lang w:val="en-US" w:eastAsia="zh-CN" w:bidi="ar"/>
                    </w:rPr>
                    <w:t>5</w:t>
                  </w:r>
                </w:p>
              </w:tc>
              <w:tc>
                <w:tcPr>
                  <w:tcW w:w="539" w:type="pct"/>
                  <w:tcBorders>
                    <w:tl2br w:val="nil"/>
                    <w:tr2bl w:val="nil"/>
                  </w:tcBorders>
                  <w:noWrap w:val="0"/>
                  <w:vAlign w:val="center"/>
                </w:tcPr>
                <w:p w14:paraId="34C4C4A3">
                  <w:pPr>
                    <w:keepNext w:val="0"/>
                    <w:keepLines w:val="0"/>
                    <w:widowControl/>
                    <w:suppressLineNumbers w:val="0"/>
                    <w:jc w:val="center"/>
                    <w:textAlignment w:val="center"/>
                    <w:rPr>
                      <w:rFonts w:hint="default" w:ascii="Times New Roman" w:hAnsi="Times New Roman" w:eastAsia="宋体" w:cs="Times New Roman"/>
                      <w:i w:val="0"/>
                      <w:iCs w:val="0"/>
                      <w:color w:val="auto"/>
                      <w:spacing w:val="0"/>
                      <w:kern w:val="0"/>
                      <w:sz w:val="21"/>
                      <w:szCs w:val="21"/>
                      <w:highlight w:val="none"/>
                      <w:u w:val="none"/>
                      <w:lang w:val="en-US" w:eastAsia="zh-CN" w:bidi="ar"/>
                    </w:rPr>
                  </w:pPr>
                  <w:r>
                    <w:rPr>
                      <w:rFonts w:hint="eastAsia" w:cs="Times New Roman"/>
                      <w:i w:val="0"/>
                      <w:iCs w:val="0"/>
                      <w:color w:val="auto"/>
                      <w:spacing w:val="0"/>
                      <w:kern w:val="0"/>
                      <w:sz w:val="21"/>
                      <w:szCs w:val="21"/>
                      <w:highlight w:val="none"/>
                      <w:u w:val="none"/>
                      <w:lang w:val="en-US" w:eastAsia="zh-CN" w:bidi="ar"/>
                    </w:rPr>
                    <w:t>45</w:t>
                  </w:r>
                </w:p>
              </w:tc>
              <w:tc>
                <w:tcPr>
                  <w:tcW w:w="514" w:type="pct"/>
                  <w:tcBorders>
                    <w:tl2br w:val="nil"/>
                    <w:tr2bl w:val="nil"/>
                  </w:tcBorders>
                  <w:noWrap w:val="0"/>
                  <w:vAlign w:val="center"/>
                </w:tcPr>
                <w:p w14:paraId="0B117253">
                  <w:pPr>
                    <w:keepNext w:val="0"/>
                    <w:keepLines w:val="0"/>
                    <w:widowControl/>
                    <w:suppressLineNumbers w:val="0"/>
                    <w:jc w:val="center"/>
                    <w:textAlignment w:val="center"/>
                    <w:rPr>
                      <w:rFonts w:hint="default" w:ascii="Times New Roman" w:hAnsi="Times New Roman" w:eastAsia="宋体" w:cs="Times New Roman"/>
                      <w:i w:val="0"/>
                      <w:iCs w:val="0"/>
                      <w:color w:val="auto"/>
                      <w:spacing w:val="0"/>
                      <w:kern w:val="0"/>
                      <w:sz w:val="21"/>
                      <w:szCs w:val="21"/>
                      <w:highlight w:val="none"/>
                      <w:u w:val="none"/>
                      <w:lang w:val="en-US" w:eastAsia="zh-CN" w:bidi="ar"/>
                    </w:rPr>
                  </w:pPr>
                  <w:r>
                    <w:rPr>
                      <w:rFonts w:hint="eastAsia" w:eastAsia="宋体" w:cs="Times New Roman"/>
                      <w:i w:val="0"/>
                      <w:iCs w:val="0"/>
                      <w:color w:val="auto"/>
                      <w:spacing w:val="0"/>
                      <w:kern w:val="0"/>
                      <w:sz w:val="21"/>
                      <w:szCs w:val="21"/>
                      <w:highlight w:val="none"/>
                      <w:u w:val="none"/>
                      <w:lang w:val="en-US" w:eastAsia="zh-CN" w:bidi="ar"/>
                    </w:rPr>
                    <w:t>30</w:t>
                  </w:r>
                </w:p>
              </w:tc>
            </w:tr>
            <w:tr w14:paraId="74C3D53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51" w:hRule="atLeast"/>
                <w:jc w:val="center"/>
              </w:trPr>
              <w:tc>
                <w:tcPr>
                  <w:tcW w:w="330" w:type="pct"/>
                  <w:vMerge w:val="continue"/>
                  <w:tcBorders>
                    <w:tl2br w:val="nil"/>
                    <w:tr2bl w:val="nil"/>
                  </w:tcBorders>
                  <w:noWrap w:val="0"/>
                  <w:vAlign w:val="center"/>
                </w:tcPr>
                <w:p w14:paraId="3EF4FFB8">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color w:val="auto"/>
                      <w:spacing w:val="0"/>
                      <w:sz w:val="21"/>
                      <w:szCs w:val="21"/>
                      <w:highlight w:val="none"/>
                    </w:rPr>
                  </w:pPr>
                </w:p>
              </w:tc>
              <w:tc>
                <w:tcPr>
                  <w:tcW w:w="699" w:type="pct"/>
                  <w:tcBorders>
                    <w:tl2br w:val="nil"/>
                    <w:tr2bl w:val="nil"/>
                  </w:tcBorders>
                  <w:noWrap w:val="0"/>
                  <w:vAlign w:val="center"/>
                </w:tcPr>
                <w:p w14:paraId="653E2A04">
                  <w:pPr>
                    <w:pStyle w:val="97"/>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color w:val="auto"/>
                      <w:spacing w:val="0"/>
                      <w:sz w:val="21"/>
                      <w:szCs w:val="21"/>
                      <w:highlight w:val="none"/>
                    </w:rPr>
                  </w:pPr>
                  <w:r>
                    <w:rPr>
                      <w:rFonts w:hint="default" w:ascii="Times New Roman" w:hAnsi="Times New Roman" w:eastAsia="宋体" w:cs="Times New Roman"/>
                      <w:color w:val="auto"/>
                      <w:spacing w:val="0"/>
                      <w:sz w:val="21"/>
                      <w:szCs w:val="21"/>
                      <w:highlight w:val="none"/>
                    </w:rPr>
                    <w:t>污染物产生量（t/a）</w:t>
                  </w:r>
                </w:p>
              </w:tc>
              <w:tc>
                <w:tcPr>
                  <w:tcW w:w="478" w:type="pct"/>
                  <w:tcBorders>
                    <w:tl2br w:val="nil"/>
                    <w:tr2bl w:val="nil"/>
                  </w:tcBorders>
                  <w:noWrap w:val="0"/>
                  <w:vAlign w:val="center"/>
                </w:tcPr>
                <w:p w14:paraId="701D5623">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eastAsia" w:ascii="Times New Roman" w:hAnsi="Times New Roman" w:eastAsia="宋体" w:cs="Times New Roman"/>
                      <w:color w:val="auto"/>
                      <w:spacing w:val="0"/>
                      <w:sz w:val="21"/>
                      <w:szCs w:val="21"/>
                      <w:highlight w:val="none"/>
                      <w:lang w:val="en-US" w:eastAsia="zh-CN"/>
                    </w:rPr>
                  </w:pPr>
                  <w:r>
                    <w:rPr>
                      <w:rFonts w:hint="eastAsia" w:ascii="Times New Roman" w:hAnsi="Times New Roman" w:eastAsia="宋体" w:cs="Times New Roman"/>
                      <w:color w:val="auto"/>
                      <w:spacing w:val="0"/>
                      <w:sz w:val="21"/>
                      <w:szCs w:val="21"/>
                      <w:highlight w:val="none"/>
                      <w:lang w:val="en-US" w:eastAsia="zh-CN"/>
                    </w:rPr>
                    <w:t>/</w:t>
                  </w:r>
                </w:p>
              </w:tc>
              <w:tc>
                <w:tcPr>
                  <w:tcW w:w="515" w:type="pct"/>
                  <w:tcBorders>
                    <w:tl2br w:val="nil"/>
                    <w:tr2bl w:val="nil"/>
                  </w:tcBorders>
                  <w:noWrap w:val="0"/>
                  <w:vAlign w:val="center"/>
                </w:tcPr>
                <w:p w14:paraId="605C4B3A">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eastAsia" w:cs="Times New Roman"/>
                      <w:color w:val="auto"/>
                      <w:kern w:val="2"/>
                      <w:sz w:val="21"/>
                      <w:szCs w:val="21"/>
                      <w:highlight w:val="none"/>
                      <w:lang w:val="en-US" w:eastAsia="zh-CN" w:bidi="ar-SA"/>
                    </w:rPr>
                    <w:t>4.8</w:t>
                  </w:r>
                </w:p>
              </w:tc>
              <w:tc>
                <w:tcPr>
                  <w:tcW w:w="497" w:type="pct"/>
                  <w:tcBorders>
                    <w:tl2br w:val="nil"/>
                    <w:tr2bl w:val="nil"/>
                  </w:tcBorders>
                  <w:noWrap w:val="0"/>
                  <w:vAlign w:val="center"/>
                </w:tcPr>
                <w:p w14:paraId="05BCCF89">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eastAsia" w:cs="Times New Roman"/>
                      <w:color w:val="auto"/>
                      <w:kern w:val="2"/>
                      <w:sz w:val="21"/>
                      <w:szCs w:val="21"/>
                      <w:highlight w:val="none"/>
                      <w:lang w:val="en-US" w:eastAsia="zh-CN" w:bidi="ar-SA"/>
                    </w:rPr>
                    <w:t>1.92</w:t>
                  </w:r>
                </w:p>
              </w:tc>
              <w:tc>
                <w:tcPr>
                  <w:tcW w:w="442" w:type="pct"/>
                  <w:tcBorders>
                    <w:tl2br w:val="nil"/>
                    <w:tr2bl w:val="nil"/>
                  </w:tcBorders>
                  <w:noWrap w:val="0"/>
                  <w:vAlign w:val="center"/>
                </w:tcPr>
                <w:p w14:paraId="383E6629">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eastAsia" w:cs="Times New Roman"/>
                      <w:color w:val="auto"/>
                      <w:kern w:val="2"/>
                      <w:sz w:val="21"/>
                      <w:szCs w:val="21"/>
                      <w:highlight w:val="none"/>
                      <w:lang w:val="en-US" w:eastAsia="zh-CN" w:bidi="ar-SA"/>
                    </w:rPr>
                    <w:t>2.88</w:t>
                  </w:r>
                </w:p>
              </w:tc>
              <w:tc>
                <w:tcPr>
                  <w:tcW w:w="441" w:type="pct"/>
                  <w:tcBorders>
                    <w:tl2br w:val="nil"/>
                    <w:tr2bl w:val="nil"/>
                  </w:tcBorders>
                  <w:noWrap w:val="0"/>
                  <w:vAlign w:val="center"/>
                </w:tcPr>
                <w:p w14:paraId="5F81B2E9">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default" w:cs="Times New Roman"/>
                      <w:color w:val="auto"/>
                      <w:kern w:val="2"/>
                      <w:sz w:val="21"/>
                      <w:szCs w:val="21"/>
                      <w:highlight w:val="none"/>
                      <w:lang w:val="en-US" w:eastAsia="zh-CN" w:bidi="ar-SA"/>
                    </w:rPr>
                    <w:t>0.</w:t>
                  </w:r>
                  <w:r>
                    <w:rPr>
                      <w:rFonts w:hint="eastAsia" w:cs="Times New Roman"/>
                      <w:color w:val="auto"/>
                      <w:kern w:val="2"/>
                      <w:sz w:val="21"/>
                      <w:szCs w:val="21"/>
                      <w:highlight w:val="none"/>
                      <w:lang w:val="en-US" w:eastAsia="zh-CN" w:bidi="ar-SA"/>
                    </w:rPr>
                    <w:t>48</w:t>
                  </w:r>
                </w:p>
              </w:tc>
              <w:tc>
                <w:tcPr>
                  <w:tcW w:w="539" w:type="pct"/>
                  <w:tcBorders>
                    <w:tl2br w:val="nil"/>
                    <w:tr2bl w:val="nil"/>
                  </w:tcBorders>
                  <w:noWrap w:val="0"/>
                  <w:vAlign w:val="center"/>
                </w:tcPr>
                <w:p w14:paraId="0380FA50">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default" w:cs="Times New Roman"/>
                      <w:color w:val="auto"/>
                      <w:kern w:val="2"/>
                      <w:sz w:val="21"/>
                      <w:szCs w:val="21"/>
                      <w:highlight w:val="none"/>
                      <w:lang w:val="en-US" w:eastAsia="zh-CN" w:bidi="ar-SA"/>
                    </w:rPr>
                    <w:t>0.0</w:t>
                  </w:r>
                  <w:r>
                    <w:rPr>
                      <w:rFonts w:hint="eastAsia" w:cs="Times New Roman"/>
                      <w:color w:val="auto"/>
                      <w:kern w:val="2"/>
                      <w:sz w:val="21"/>
                      <w:szCs w:val="21"/>
                      <w:highlight w:val="none"/>
                      <w:lang w:val="en-US" w:eastAsia="zh-CN" w:bidi="ar-SA"/>
                    </w:rPr>
                    <w:t>9</w:t>
                  </w:r>
                  <w:r>
                    <w:rPr>
                      <w:rFonts w:hint="default" w:cs="Times New Roman"/>
                      <w:color w:val="auto"/>
                      <w:kern w:val="2"/>
                      <w:sz w:val="21"/>
                      <w:szCs w:val="21"/>
                      <w:highlight w:val="none"/>
                      <w:lang w:val="en-US" w:eastAsia="zh-CN" w:bidi="ar-SA"/>
                    </w:rPr>
                    <w:t>6</w:t>
                  </w:r>
                </w:p>
              </w:tc>
              <w:tc>
                <w:tcPr>
                  <w:tcW w:w="539" w:type="pct"/>
                  <w:tcBorders>
                    <w:tl2br w:val="nil"/>
                    <w:tr2bl w:val="nil"/>
                  </w:tcBorders>
                  <w:noWrap w:val="0"/>
                  <w:vAlign w:val="center"/>
                </w:tcPr>
                <w:p w14:paraId="759DE910">
                  <w:pPr>
                    <w:keepNext w:val="0"/>
                    <w:keepLines w:val="0"/>
                    <w:widowControl/>
                    <w:suppressLineNumbers w:val="0"/>
                    <w:jc w:val="center"/>
                    <w:textAlignment w:val="center"/>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0.864</w:t>
                  </w:r>
                </w:p>
              </w:tc>
              <w:tc>
                <w:tcPr>
                  <w:tcW w:w="514" w:type="pct"/>
                  <w:tcBorders>
                    <w:tl2br w:val="nil"/>
                    <w:tr2bl w:val="nil"/>
                  </w:tcBorders>
                  <w:noWrap w:val="0"/>
                  <w:vAlign w:val="center"/>
                </w:tcPr>
                <w:p w14:paraId="2432AEB3">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default" w:cs="Times New Roman"/>
                      <w:color w:val="auto"/>
                      <w:kern w:val="2"/>
                      <w:sz w:val="21"/>
                      <w:szCs w:val="21"/>
                      <w:highlight w:val="none"/>
                      <w:lang w:val="en-US" w:eastAsia="zh-CN" w:bidi="ar-SA"/>
                    </w:rPr>
                    <w:t>0.</w:t>
                  </w:r>
                  <w:r>
                    <w:rPr>
                      <w:rFonts w:hint="eastAsia" w:cs="Times New Roman"/>
                      <w:color w:val="auto"/>
                      <w:kern w:val="2"/>
                      <w:sz w:val="21"/>
                      <w:szCs w:val="21"/>
                      <w:highlight w:val="none"/>
                      <w:lang w:val="en-US" w:eastAsia="zh-CN" w:bidi="ar-SA"/>
                    </w:rPr>
                    <w:t>576</w:t>
                  </w:r>
                </w:p>
              </w:tc>
            </w:tr>
            <w:tr w14:paraId="0C86C55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330" w:type="pct"/>
                  <w:vMerge w:val="continue"/>
                  <w:tcBorders>
                    <w:tl2br w:val="nil"/>
                    <w:tr2bl w:val="nil"/>
                  </w:tcBorders>
                  <w:noWrap w:val="0"/>
                  <w:vAlign w:val="center"/>
                </w:tcPr>
                <w:p w14:paraId="733D5BCE">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color w:val="auto"/>
                      <w:spacing w:val="0"/>
                      <w:sz w:val="21"/>
                      <w:szCs w:val="21"/>
                      <w:highlight w:val="none"/>
                    </w:rPr>
                  </w:pPr>
                </w:p>
              </w:tc>
              <w:tc>
                <w:tcPr>
                  <w:tcW w:w="699" w:type="pct"/>
                  <w:tcBorders>
                    <w:tl2br w:val="nil"/>
                    <w:tr2bl w:val="nil"/>
                  </w:tcBorders>
                  <w:noWrap w:val="0"/>
                  <w:vAlign w:val="center"/>
                </w:tcPr>
                <w:p w14:paraId="537415BB">
                  <w:pPr>
                    <w:pStyle w:val="97"/>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color w:val="auto"/>
                      <w:spacing w:val="0"/>
                      <w:sz w:val="21"/>
                      <w:szCs w:val="21"/>
                      <w:highlight w:val="none"/>
                    </w:rPr>
                  </w:pPr>
                  <w:r>
                    <w:rPr>
                      <w:rFonts w:hint="default" w:ascii="Times New Roman" w:hAnsi="Times New Roman" w:eastAsia="宋体" w:cs="Times New Roman"/>
                      <w:color w:val="auto"/>
                      <w:spacing w:val="0"/>
                      <w:sz w:val="21"/>
                      <w:szCs w:val="21"/>
                      <w:highlight w:val="none"/>
                    </w:rPr>
                    <w:t>治理措施</w:t>
                  </w:r>
                </w:p>
              </w:tc>
              <w:tc>
                <w:tcPr>
                  <w:tcW w:w="3454" w:type="pct"/>
                  <w:gridSpan w:val="7"/>
                  <w:tcBorders>
                    <w:tl2br w:val="nil"/>
                    <w:tr2bl w:val="nil"/>
                  </w:tcBorders>
                  <w:noWrap w:val="0"/>
                  <w:vAlign w:val="center"/>
                </w:tcPr>
                <w:p w14:paraId="2786DE40">
                  <w:pPr>
                    <w:pStyle w:val="97"/>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eastAsia" w:ascii="Times New Roman" w:hAnsi="Times New Roman" w:cs="Times New Roman"/>
                      <w:color w:val="auto"/>
                      <w:spacing w:val="0"/>
                      <w:sz w:val="21"/>
                      <w:szCs w:val="21"/>
                      <w:highlight w:val="none"/>
                      <w:lang w:val="en-US" w:eastAsia="zh-CN"/>
                    </w:rPr>
                  </w:pPr>
                  <w:r>
                    <w:rPr>
                      <w:rFonts w:hint="eastAsia" w:ascii="Times New Roman" w:hAnsi="Times New Roman" w:eastAsia="宋体" w:cs="Times New Roman"/>
                      <w:color w:val="auto"/>
                      <w:spacing w:val="0"/>
                      <w:sz w:val="21"/>
                      <w:szCs w:val="21"/>
                      <w:highlight w:val="none"/>
                      <w:lang w:val="en-US" w:eastAsia="zh-CN"/>
                    </w:rPr>
                    <w:t>隔油池+</w:t>
                  </w:r>
                  <w:r>
                    <w:rPr>
                      <w:rFonts w:hint="default" w:ascii="Times New Roman" w:hAnsi="Times New Roman" w:eastAsia="宋体" w:cs="Times New Roman"/>
                      <w:color w:val="auto"/>
                      <w:spacing w:val="0"/>
                      <w:sz w:val="21"/>
                      <w:szCs w:val="21"/>
                      <w:highlight w:val="none"/>
                    </w:rPr>
                    <w:t>化粪池</w:t>
                  </w:r>
                </w:p>
              </w:tc>
              <w:tc>
                <w:tcPr>
                  <w:tcW w:w="514" w:type="pct"/>
                  <w:tcBorders>
                    <w:tl2br w:val="nil"/>
                    <w:tr2bl w:val="nil"/>
                  </w:tcBorders>
                  <w:noWrap w:val="0"/>
                  <w:vAlign w:val="center"/>
                </w:tcPr>
                <w:p w14:paraId="27F653BC">
                  <w:pPr>
                    <w:pStyle w:val="97"/>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color w:val="auto"/>
                      <w:spacing w:val="0"/>
                      <w:sz w:val="21"/>
                      <w:szCs w:val="21"/>
                      <w:highlight w:val="none"/>
                    </w:rPr>
                  </w:pPr>
                </w:p>
              </w:tc>
            </w:tr>
            <w:tr w14:paraId="7278303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48" w:hRule="atLeast"/>
                <w:jc w:val="center"/>
              </w:trPr>
              <w:tc>
                <w:tcPr>
                  <w:tcW w:w="330" w:type="pct"/>
                  <w:vMerge w:val="continue"/>
                  <w:tcBorders>
                    <w:tl2br w:val="nil"/>
                    <w:tr2bl w:val="nil"/>
                  </w:tcBorders>
                  <w:noWrap w:val="0"/>
                  <w:vAlign w:val="center"/>
                </w:tcPr>
                <w:p w14:paraId="5F145508">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color w:val="auto"/>
                      <w:spacing w:val="0"/>
                      <w:sz w:val="21"/>
                      <w:szCs w:val="21"/>
                      <w:highlight w:val="none"/>
                    </w:rPr>
                  </w:pPr>
                </w:p>
              </w:tc>
              <w:tc>
                <w:tcPr>
                  <w:tcW w:w="699" w:type="pct"/>
                  <w:tcBorders>
                    <w:tl2br w:val="nil"/>
                    <w:tr2bl w:val="nil"/>
                  </w:tcBorders>
                  <w:noWrap w:val="0"/>
                  <w:vAlign w:val="center"/>
                </w:tcPr>
                <w:p w14:paraId="2DBF20C5">
                  <w:pPr>
                    <w:pStyle w:val="97"/>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color w:val="auto"/>
                      <w:spacing w:val="0"/>
                      <w:sz w:val="21"/>
                      <w:szCs w:val="21"/>
                      <w:highlight w:val="none"/>
                    </w:rPr>
                  </w:pPr>
                  <w:r>
                    <w:rPr>
                      <w:rFonts w:hint="default" w:ascii="Times New Roman" w:hAnsi="Times New Roman" w:eastAsia="宋体" w:cs="Times New Roman"/>
                      <w:color w:val="auto"/>
                      <w:spacing w:val="0"/>
                      <w:sz w:val="21"/>
                      <w:szCs w:val="21"/>
                      <w:highlight w:val="none"/>
                    </w:rPr>
                    <w:t>污染物去除效率</w:t>
                  </w:r>
                </w:p>
              </w:tc>
              <w:tc>
                <w:tcPr>
                  <w:tcW w:w="478" w:type="pct"/>
                  <w:tcBorders>
                    <w:tl2br w:val="nil"/>
                    <w:tr2bl w:val="nil"/>
                  </w:tcBorders>
                  <w:noWrap w:val="0"/>
                  <w:vAlign w:val="center"/>
                </w:tcPr>
                <w:p w14:paraId="5AF1AD51">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color w:val="auto"/>
                      <w:spacing w:val="0"/>
                      <w:sz w:val="21"/>
                      <w:szCs w:val="21"/>
                      <w:highlight w:val="none"/>
                    </w:rPr>
                  </w:pPr>
                  <w:r>
                    <w:rPr>
                      <w:rFonts w:hint="default" w:ascii="Times New Roman" w:hAnsi="Times New Roman" w:eastAsia="宋体" w:cs="Times New Roman"/>
                      <w:color w:val="auto"/>
                      <w:spacing w:val="0"/>
                      <w:sz w:val="21"/>
                      <w:szCs w:val="21"/>
                      <w:highlight w:val="none"/>
                    </w:rPr>
                    <w:t>/</w:t>
                  </w:r>
                </w:p>
              </w:tc>
              <w:tc>
                <w:tcPr>
                  <w:tcW w:w="515" w:type="pct"/>
                  <w:tcBorders>
                    <w:tl2br w:val="nil"/>
                    <w:tr2bl w:val="nil"/>
                  </w:tcBorders>
                  <w:noWrap w:val="0"/>
                  <w:vAlign w:val="center"/>
                </w:tcPr>
                <w:p w14:paraId="51482E49">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color w:val="auto"/>
                      <w:spacing w:val="0"/>
                      <w:sz w:val="21"/>
                      <w:szCs w:val="21"/>
                      <w:highlight w:val="none"/>
                    </w:rPr>
                  </w:pPr>
                  <w:r>
                    <w:rPr>
                      <w:rFonts w:hint="default" w:ascii="Times New Roman" w:hAnsi="Times New Roman" w:eastAsia="宋体" w:cs="Times New Roman"/>
                      <w:color w:val="auto"/>
                      <w:spacing w:val="0"/>
                      <w:sz w:val="21"/>
                      <w:szCs w:val="21"/>
                      <w:highlight w:val="none"/>
                    </w:rPr>
                    <w:t>20%</w:t>
                  </w:r>
                </w:p>
              </w:tc>
              <w:tc>
                <w:tcPr>
                  <w:tcW w:w="497" w:type="pct"/>
                  <w:tcBorders>
                    <w:tl2br w:val="nil"/>
                    <w:tr2bl w:val="nil"/>
                  </w:tcBorders>
                  <w:noWrap w:val="0"/>
                  <w:vAlign w:val="center"/>
                </w:tcPr>
                <w:p w14:paraId="00EA34B2">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color w:val="auto"/>
                      <w:spacing w:val="0"/>
                      <w:sz w:val="21"/>
                      <w:szCs w:val="21"/>
                      <w:highlight w:val="none"/>
                    </w:rPr>
                  </w:pPr>
                  <w:r>
                    <w:rPr>
                      <w:rFonts w:hint="default" w:ascii="Times New Roman" w:hAnsi="Times New Roman" w:eastAsia="宋体" w:cs="Times New Roman"/>
                      <w:color w:val="auto"/>
                      <w:spacing w:val="0"/>
                      <w:sz w:val="21"/>
                      <w:szCs w:val="21"/>
                      <w:highlight w:val="none"/>
                    </w:rPr>
                    <w:t>20%</w:t>
                  </w:r>
                </w:p>
              </w:tc>
              <w:tc>
                <w:tcPr>
                  <w:tcW w:w="442" w:type="pct"/>
                  <w:tcBorders>
                    <w:tl2br w:val="nil"/>
                    <w:tr2bl w:val="nil"/>
                  </w:tcBorders>
                  <w:noWrap w:val="0"/>
                  <w:vAlign w:val="center"/>
                </w:tcPr>
                <w:p w14:paraId="41FFB753">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color w:val="auto"/>
                      <w:spacing w:val="0"/>
                      <w:sz w:val="21"/>
                      <w:szCs w:val="21"/>
                      <w:highlight w:val="none"/>
                    </w:rPr>
                  </w:pPr>
                  <w:r>
                    <w:rPr>
                      <w:rFonts w:hint="default" w:ascii="Times New Roman" w:hAnsi="Times New Roman" w:eastAsia="宋体" w:cs="Times New Roman"/>
                      <w:color w:val="auto"/>
                      <w:spacing w:val="0"/>
                      <w:sz w:val="21"/>
                      <w:szCs w:val="21"/>
                      <w:highlight w:val="none"/>
                    </w:rPr>
                    <w:t>30%</w:t>
                  </w:r>
                </w:p>
              </w:tc>
              <w:tc>
                <w:tcPr>
                  <w:tcW w:w="441" w:type="pct"/>
                  <w:tcBorders>
                    <w:tl2br w:val="nil"/>
                    <w:tr2bl w:val="nil"/>
                  </w:tcBorders>
                  <w:noWrap w:val="0"/>
                  <w:vAlign w:val="center"/>
                </w:tcPr>
                <w:p w14:paraId="2614E424">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color w:val="auto"/>
                      <w:spacing w:val="0"/>
                      <w:sz w:val="21"/>
                      <w:szCs w:val="21"/>
                      <w:highlight w:val="none"/>
                    </w:rPr>
                  </w:pPr>
                  <w:r>
                    <w:rPr>
                      <w:rFonts w:hint="default" w:ascii="Times New Roman" w:hAnsi="Times New Roman" w:eastAsia="宋体" w:cs="Times New Roman"/>
                      <w:color w:val="auto"/>
                      <w:spacing w:val="0"/>
                      <w:sz w:val="21"/>
                      <w:szCs w:val="21"/>
                      <w:highlight w:val="none"/>
                    </w:rPr>
                    <w:t>/</w:t>
                  </w:r>
                </w:p>
              </w:tc>
              <w:tc>
                <w:tcPr>
                  <w:tcW w:w="539" w:type="pct"/>
                  <w:tcBorders>
                    <w:tl2br w:val="nil"/>
                    <w:tr2bl w:val="nil"/>
                  </w:tcBorders>
                  <w:noWrap w:val="0"/>
                  <w:vAlign w:val="center"/>
                </w:tcPr>
                <w:p w14:paraId="09C7D79C">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color w:val="auto"/>
                      <w:spacing w:val="0"/>
                      <w:sz w:val="21"/>
                      <w:szCs w:val="21"/>
                      <w:highlight w:val="none"/>
                      <w:lang w:val="en-US" w:eastAsia="zh-CN"/>
                    </w:rPr>
                  </w:pPr>
                  <w:r>
                    <w:rPr>
                      <w:rFonts w:hint="eastAsia" w:ascii="Times New Roman" w:hAnsi="Times New Roman" w:eastAsia="宋体" w:cs="Times New Roman"/>
                      <w:color w:val="auto"/>
                      <w:spacing w:val="0"/>
                      <w:sz w:val="21"/>
                      <w:szCs w:val="21"/>
                      <w:highlight w:val="none"/>
                      <w:lang w:val="en-US" w:eastAsia="zh-CN"/>
                    </w:rPr>
                    <w:t>/</w:t>
                  </w:r>
                </w:p>
              </w:tc>
              <w:tc>
                <w:tcPr>
                  <w:tcW w:w="539" w:type="pct"/>
                  <w:tcBorders>
                    <w:tl2br w:val="nil"/>
                    <w:tr2bl w:val="nil"/>
                  </w:tcBorders>
                  <w:noWrap w:val="0"/>
                  <w:vAlign w:val="center"/>
                </w:tcPr>
                <w:p w14:paraId="0F03779F">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color w:val="auto"/>
                      <w:spacing w:val="0"/>
                      <w:sz w:val="21"/>
                      <w:szCs w:val="21"/>
                      <w:highlight w:val="none"/>
                      <w:lang w:val="en-US" w:eastAsia="zh-CN"/>
                    </w:rPr>
                  </w:pPr>
                  <w:r>
                    <w:rPr>
                      <w:rFonts w:hint="eastAsia" w:cs="Times New Roman"/>
                      <w:color w:val="auto"/>
                      <w:spacing w:val="0"/>
                      <w:sz w:val="21"/>
                      <w:szCs w:val="21"/>
                      <w:highlight w:val="none"/>
                      <w:lang w:val="en-US" w:eastAsia="zh-CN"/>
                    </w:rPr>
                    <w:t>/</w:t>
                  </w:r>
                </w:p>
              </w:tc>
              <w:tc>
                <w:tcPr>
                  <w:tcW w:w="514" w:type="pct"/>
                  <w:tcBorders>
                    <w:tl2br w:val="nil"/>
                    <w:tr2bl w:val="nil"/>
                  </w:tcBorders>
                  <w:noWrap w:val="0"/>
                  <w:vAlign w:val="center"/>
                </w:tcPr>
                <w:p w14:paraId="765CC217">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color w:val="auto"/>
                      <w:spacing w:val="0"/>
                      <w:sz w:val="21"/>
                      <w:szCs w:val="21"/>
                      <w:highlight w:val="none"/>
                      <w:lang w:val="en-US" w:eastAsia="zh-CN"/>
                    </w:rPr>
                  </w:pPr>
                  <w:r>
                    <w:rPr>
                      <w:rFonts w:hint="eastAsia" w:eastAsia="宋体" w:cs="Times New Roman"/>
                      <w:color w:val="auto"/>
                      <w:spacing w:val="0"/>
                      <w:sz w:val="21"/>
                      <w:szCs w:val="21"/>
                      <w:highlight w:val="none"/>
                      <w:lang w:val="en-US" w:eastAsia="zh-CN"/>
                    </w:rPr>
                    <w:t>80%</w:t>
                  </w:r>
                </w:p>
              </w:tc>
            </w:tr>
            <w:tr w14:paraId="1A50CFD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51" w:hRule="atLeast"/>
                <w:jc w:val="center"/>
              </w:trPr>
              <w:tc>
                <w:tcPr>
                  <w:tcW w:w="330" w:type="pct"/>
                  <w:vMerge w:val="continue"/>
                  <w:tcBorders>
                    <w:tl2br w:val="nil"/>
                    <w:tr2bl w:val="nil"/>
                  </w:tcBorders>
                  <w:noWrap w:val="0"/>
                  <w:vAlign w:val="center"/>
                </w:tcPr>
                <w:p w14:paraId="33B0D870">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color w:val="auto"/>
                      <w:spacing w:val="0"/>
                      <w:sz w:val="21"/>
                      <w:szCs w:val="21"/>
                      <w:highlight w:val="none"/>
                    </w:rPr>
                  </w:pPr>
                </w:p>
              </w:tc>
              <w:tc>
                <w:tcPr>
                  <w:tcW w:w="699" w:type="pct"/>
                  <w:tcBorders>
                    <w:tl2br w:val="nil"/>
                    <w:tr2bl w:val="nil"/>
                  </w:tcBorders>
                  <w:noWrap w:val="0"/>
                  <w:vAlign w:val="center"/>
                </w:tcPr>
                <w:p w14:paraId="5D7B1765">
                  <w:pPr>
                    <w:pStyle w:val="97"/>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color w:val="auto"/>
                      <w:spacing w:val="0"/>
                      <w:sz w:val="21"/>
                      <w:szCs w:val="21"/>
                      <w:highlight w:val="none"/>
                    </w:rPr>
                  </w:pPr>
                  <w:r>
                    <w:rPr>
                      <w:rFonts w:hint="default" w:ascii="Times New Roman" w:hAnsi="Times New Roman" w:eastAsia="宋体" w:cs="Times New Roman"/>
                      <w:color w:val="auto"/>
                      <w:spacing w:val="0"/>
                      <w:sz w:val="21"/>
                      <w:szCs w:val="21"/>
                      <w:highlight w:val="none"/>
                    </w:rPr>
                    <w:t>污染物排放浓度（mg/L）</w:t>
                  </w:r>
                </w:p>
              </w:tc>
              <w:tc>
                <w:tcPr>
                  <w:tcW w:w="478" w:type="pct"/>
                  <w:tcBorders>
                    <w:tl2br w:val="nil"/>
                    <w:tr2bl w:val="nil"/>
                  </w:tcBorders>
                  <w:noWrap w:val="0"/>
                  <w:vAlign w:val="center"/>
                </w:tcPr>
                <w:p w14:paraId="300F670F">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color w:val="auto"/>
                      <w:spacing w:val="0"/>
                      <w:sz w:val="21"/>
                      <w:szCs w:val="21"/>
                      <w:highlight w:val="none"/>
                    </w:rPr>
                  </w:pPr>
                  <w:r>
                    <w:rPr>
                      <w:rFonts w:hint="default" w:ascii="Times New Roman" w:hAnsi="Times New Roman" w:eastAsia="宋体" w:cs="Times New Roman"/>
                      <w:color w:val="auto"/>
                      <w:spacing w:val="0"/>
                      <w:sz w:val="21"/>
                      <w:szCs w:val="21"/>
                      <w:highlight w:val="none"/>
                    </w:rPr>
                    <w:t>6~9</w:t>
                  </w:r>
                </w:p>
              </w:tc>
              <w:tc>
                <w:tcPr>
                  <w:tcW w:w="515" w:type="pct"/>
                  <w:tcBorders>
                    <w:tl2br w:val="nil"/>
                    <w:tr2bl w:val="nil"/>
                  </w:tcBorders>
                  <w:noWrap w:val="0"/>
                  <w:vAlign w:val="center"/>
                </w:tcPr>
                <w:p w14:paraId="3E46B32F">
                  <w:pPr>
                    <w:keepNext w:val="0"/>
                    <w:keepLines w:val="0"/>
                    <w:widowControl/>
                    <w:suppressLineNumbers w:val="0"/>
                    <w:jc w:val="center"/>
                    <w:textAlignment w:val="center"/>
                    <w:rPr>
                      <w:rFonts w:hint="default" w:ascii="Times New Roman" w:hAnsi="Times New Roman" w:eastAsia="宋体" w:cs="Times New Roman"/>
                      <w:i w:val="0"/>
                      <w:iCs w:val="0"/>
                      <w:color w:val="auto"/>
                      <w:spacing w:val="0"/>
                      <w:kern w:val="2"/>
                      <w:sz w:val="21"/>
                      <w:szCs w:val="21"/>
                      <w:highlight w:val="none"/>
                      <w:u w:val="none"/>
                      <w:lang w:val="en-US" w:eastAsia="zh-CN" w:bidi="ar-SA"/>
                    </w:rPr>
                  </w:pPr>
                  <w:r>
                    <w:rPr>
                      <w:rFonts w:hint="default" w:ascii="Times New Roman" w:hAnsi="Times New Roman" w:eastAsia="宋体" w:cs="Times New Roman"/>
                      <w:i w:val="0"/>
                      <w:iCs w:val="0"/>
                      <w:color w:val="auto"/>
                      <w:spacing w:val="0"/>
                      <w:kern w:val="0"/>
                      <w:sz w:val="21"/>
                      <w:szCs w:val="21"/>
                      <w:highlight w:val="none"/>
                      <w:u w:val="none"/>
                      <w:lang w:val="en-US" w:eastAsia="zh-CN" w:bidi="ar"/>
                    </w:rPr>
                    <w:t>200</w:t>
                  </w:r>
                </w:p>
              </w:tc>
              <w:tc>
                <w:tcPr>
                  <w:tcW w:w="497" w:type="pct"/>
                  <w:tcBorders>
                    <w:tl2br w:val="nil"/>
                    <w:tr2bl w:val="nil"/>
                  </w:tcBorders>
                  <w:noWrap w:val="0"/>
                  <w:vAlign w:val="center"/>
                </w:tcPr>
                <w:p w14:paraId="3C911218">
                  <w:pPr>
                    <w:keepNext w:val="0"/>
                    <w:keepLines w:val="0"/>
                    <w:widowControl/>
                    <w:suppressLineNumbers w:val="0"/>
                    <w:jc w:val="center"/>
                    <w:textAlignment w:val="center"/>
                    <w:rPr>
                      <w:rFonts w:hint="default" w:ascii="Times New Roman" w:hAnsi="Times New Roman" w:eastAsia="宋体" w:cs="Times New Roman"/>
                      <w:i w:val="0"/>
                      <w:iCs w:val="0"/>
                      <w:color w:val="auto"/>
                      <w:spacing w:val="0"/>
                      <w:kern w:val="2"/>
                      <w:sz w:val="21"/>
                      <w:szCs w:val="21"/>
                      <w:highlight w:val="none"/>
                      <w:u w:val="none"/>
                      <w:lang w:val="en-US" w:eastAsia="zh-CN" w:bidi="ar-SA"/>
                    </w:rPr>
                  </w:pPr>
                  <w:r>
                    <w:rPr>
                      <w:rFonts w:hint="default" w:ascii="Times New Roman" w:hAnsi="Times New Roman" w:eastAsia="宋体" w:cs="Times New Roman"/>
                      <w:i w:val="0"/>
                      <w:iCs w:val="0"/>
                      <w:color w:val="auto"/>
                      <w:spacing w:val="0"/>
                      <w:kern w:val="0"/>
                      <w:sz w:val="21"/>
                      <w:szCs w:val="21"/>
                      <w:highlight w:val="none"/>
                      <w:u w:val="none"/>
                      <w:lang w:val="en-US" w:eastAsia="zh-CN" w:bidi="ar"/>
                    </w:rPr>
                    <w:t>80</w:t>
                  </w:r>
                </w:p>
              </w:tc>
              <w:tc>
                <w:tcPr>
                  <w:tcW w:w="442" w:type="pct"/>
                  <w:tcBorders>
                    <w:tl2br w:val="nil"/>
                    <w:tr2bl w:val="nil"/>
                  </w:tcBorders>
                  <w:noWrap w:val="0"/>
                  <w:vAlign w:val="center"/>
                </w:tcPr>
                <w:p w14:paraId="044B8860">
                  <w:pPr>
                    <w:keepNext w:val="0"/>
                    <w:keepLines w:val="0"/>
                    <w:widowControl/>
                    <w:suppressLineNumbers w:val="0"/>
                    <w:jc w:val="center"/>
                    <w:textAlignment w:val="center"/>
                    <w:rPr>
                      <w:rFonts w:hint="default" w:ascii="Times New Roman" w:hAnsi="Times New Roman" w:eastAsia="宋体" w:cs="Times New Roman"/>
                      <w:i w:val="0"/>
                      <w:iCs w:val="0"/>
                      <w:color w:val="auto"/>
                      <w:spacing w:val="0"/>
                      <w:kern w:val="2"/>
                      <w:sz w:val="21"/>
                      <w:szCs w:val="21"/>
                      <w:highlight w:val="none"/>
                      <w:u w:val="none"/>
                      <w:lang w:val="en-US" w:eastAsia="zh-CN" w:bidi="ar-SA"/>
                    </w:rPr>
                  </w:pPr>
                  <w:r>
                    <w:rPr>
                      <w:rFonts w:hint="default" w:ascii="Times New Roman" w:hAnsi="Times New Roman" w:eastAsia="宋体" w:cs="Times New Roman"/>
                      <w:i w:val="0"/>
                      <w:iCs w:val="0"/>
                      <w:color w:val="auto"/>
                      <w:spacing w:val="0"/>
                      <w:kern w:val="0"/>
                      <w:sz w:val="21"/>
                      <w:szCs w:val="21"/>
                      <w:highlight w:val="none"/>
                      <w:u w:val="none"/>
                      <w:lang w:val="en-US" w:eastAsia="zh-CN" w:bidi="ar"/>
                    </w:rPr>
                    <w:t>105</w:t>
                  </w:r>
                </w:p>
              </w:tc>
              <w:tc>
                <w:tcPr>
                  <w:tcW w:w="441" w:type="pct"/>
                  <w:tcBorders>
                    <w:tl2br w:val="nil"/>
                    <w:tr2bl w:val="nil"/>
                  </w:tcBorders>
                  <w:noWrap w:val="0"/>
                  <w:vAlign w:val="center"/>
                </w:tcPr>
                <w:p w14:paraId="3F401893">
                  <w:pPr>
                    <w:keepNext w:val="0"/>
                    <w:keepLines w:val="0"/>
                    <w:widowControl/>
                    <w:suppressLineNumbers w:val="0"/>
                    <w:jc w:val="center"/>
                    <w:textAlignment w:val="center"/>
                    <w:rPr>
                      <w:rFonts w:hint="default" w:ascii="Times New Roman" w:hAnsi="Times New Roman" w:eastAsia="宋体" w:cs="Times New Roman"/>
                      <w:i w:val="0"/>
                      <w:iCs w:val="0"/>
                      <w:color w:val="auto"/>
                      <w:spacing w:val="0"/>
                      <w:kern w:val="2"/>
                      <w:sz w:val="21"/>
                      <w:szCs w:val="21"/>
                      <w:highlight w:val="none"/>
                      <w:u w:val="none"/>
                      <w:lang w:val="en-US" w:eastAsia="zh-CN" w:bidi="ar-SA"/>
                    </w:rPr>
                  </w:pPr>
                  <w:r>
                    <w:rPr>
                      <w:rFonts w:hint="default" w:ascii="Times New Roman" w:hAnsi="Times New Roman" w:eastAsia="宋体" w:cs="Times New Roman"/>
                      <w:i w:val="0"/>
                      <w:iCs w:val="0"/>
                      <w:color w:val="auto"/>
                      <w:spacing w:val="0"/>
                      <w:kern w:val="0"/>
                      <w:sz w:val="21"/>
                      <w:szCs w:val="21"/>
                      <w:highlight w:val="none"/>
                      <w:u w:val="none"/>
                      <w:lang w:val="en-US" w:eastAsia="zh-CN" w:bidi="ar"/>
                    </w:rPr>
                    <w:t>25</w:t>
                  </w:r>
                </w:p>
              </w:tc>
              <w:tc>
                <w:tcPr>
                  <w:tcW w:w="539" w:type="pct"/>
                  <w:tcBorders>
                    <w:tl2br w:val="nil"/>
                    <w:tr2bl w:val="nil"/>
                  </w:tcBorders>
                  <w:noWrap w:val="0"/>
                  <w:vAlign w:val="center"/>
                </w:tcPr>
                <w:p w14:paraId="45E1F227">
                  <w:pPr>
                    <w:keepNext w:val="0"/>
                    <w:keepLines w:val="0"/>
                    <w:widowControl/>
                    <w:suppressLineNumbers w:val="0"/>
                    <w:jc w:val="center"/>
                    <w:textAlignment w:val="center"/>
                    <w:rPr>
                      <w:rFonts w:hint="default" w:ascii="Times New Roman" w:hAnsi="Times New Roman" w:eastAsia="宋体" w:cs="Times New Roman"/>
                      <w:i w:val="0"/>
                      <w:iCs w:val="0"/>
                      <w:color w:val="auto"/>
                      <w:spacing w:val="0"/>
                      <w:kern w:val="2"/>
                      <w:sz w:val="21"/>
                      <w:szCs w:val="21"/>
                      <w:highlight w:val="none"/>
                      <w:u w:val="none"/>
                      <w:lang w:val="en-US" w:eastAsia="zh-CN" w:bidi="ar-SA"/>
                    </w:rPr>
                  </w:pPr>
                  <w:r>
                    <w:rPr>
                      <w:rFonts w:hint="default" w:ascii="Times New Roman" w:hAnsi="Times New Roman" w:eastAsia="宋体" w:cs="Times New Roman"/>
                      <w:i w:val="0"/>
                      <w:iCs w:val="0"/>
                      <w:color w:val="auto"/>
                      <w:spacing w:val="0"/>
                      <w:kern w:val="0"/>
                      <w:sz w:val="21"/>
                      <w:szCs w:val="21"/>
                      <w:highlight w:val="none"/>
                      <w:u w:val="none"/>
                      <w:lang w:val="en-US" w:eastAsia="zh-CN" w:bidi="ar"/>
                    </w:rPr>
                    <w:t>5</w:t>
                  </w:r>
                </w:p>
              </w:tc>
              <w:tc>
                <w:tcPr>
                  <w:tcW w:w="539" w:type="pct"/>
                  <w:tcBorders>
                    <w:tl2br w:val="nil"/>
                    <w:tr2bl w:val="nil"/>
                  </w:tcBorders>
                  <w:noWrap w:val="0"/>
                  <w:vAlign w:val="center"/>
                </w:tcPr>
                <w:p w14:paraId="7CCD9899">
                  <w:pPr>
                    <w:keepNext w:val="0"/>
                    <w:keepLines w:val="0"/>
                    <w:widowControl/>
                    <w:suppressLineNumbers w:val="0"/>
                    <w:jc w:val="center"/>
                    <w:textAlignment w:val="center"/>
                    <w:rPr>
                      <w:rFonts w:hint="default" w:ascii="Times New Roman" w:hAnsi="Times New Roman" w:eastAsia="宋体" w:cs="Times New Roman"/>
                      <w:i w:val="0"/>
                      <w:iCs w:val="0"/>
                      <w:color w:val="auto"/>
                      <w:spacing w:val="0"/>
                      <w:kern w:val="0"/>
                      <w:sz w:val="21"/>
                      <w:szCs w:val="21"/>
                      <w:highlight w:val="none"/>
                      <w:u w:val="none"/>
                      <w:lang w:val="en-US" w:eastAsia="zh-CN" w:bidi="ar"/>
                    </w:rPr>
                  </w:pPr>
                  <w:r>
                    <w:rPr>
                      <w:rFonts w:hint="eastAsia" w:cs="Times New Roman"/>
                      <w:i w:val="0"/>
                      <w:iCs w:val="0"/>
                      <w:color w:val="auto"/>
                      <w:spacing w:val="0"/>
                      <w:kern w:val="0"/>
                      <w:sz w:val="21"/>
                      <w:szCs w:val="21"/>
                      <w:highlight w:val="none"/>
                      <w:u w:val="none"/>
                      <w:lang w:val="en-US" w:eastAsia="zh-CN" w:bidi="ar"/>
                    </w:rPr>
                    <w:t>45</w:t>
                  </w:r>
                </w:p>
              </w:tc>
              <w:tc>
                <w:tcPr>
                  <w:tcW w:w="514" w:type="pct"/>
                  <w:tcBorders>
                    <w:tl2br w:val="nil"/>
                    <w:tr2bl w:val="nil"/>
                  </w:tcBorders>
                  <w:noWrap w:val="0"/>
                  <w:vAlign w:val="center"/>
                </w:tcPr>
                <w:p w14:paraId="2347F7DE">
                  <w:pPr>
                    <w:keepNext w:val="0"/>
                    <w:keepLines w:val="0"/>
                    <w:widowControl/>
                    <w:suppressLineNumbers w:val="0"/>
                    <w:jc w:val="center"/>
                    <w:textAlignment w:val="center"/>
                    <w:rPr>
                      <w:rFonts w:hint="default" w:ascii="Times New Roman" w:hAnsi="Times New Roman" w:eastAsia="宋体" w:cs="Times New Roman"/>
                      <w:i w:val="0"/>
                      <w:iCs w:val="0"/>
                      <w:color w:val="auto"/>
                      <w:spacing w:val="0"/>
                      <w:kern w:val="0"/>
                      <w:sz w:val="21"/>
                      <w:szCs w:val="21"/>
                      <w:highlight w:val="none"/>
                      <w:u w:val="none"/>
                      <w:lang w:val="en-US" w:eastAsia="zh-CN" w:bidi="ar"/>
                    </w:rPr>
                  </w:pPr>
                  <w:r>
                    <w:rPr>
                      <w:rFonts w:hint="eastAsia" w:eastAsia="宋体" w:cs="Times New Roman"/>
                      <w:i w:val="0"/>
                      <w:iCs w:val="0"/>
                      <w:color w:val="auto"/>
                      <w:spacing w:val="0"/>
                      <w:kern w:val="0"/>
                      <w:sz w:val="21"/>
                      <w:szCs w:val="21"/>
                      <w:highlight w:val="none"/>
                      <w:u w:val="none"/>
                      <w:lang w:val="en-US" w:eastAsia="zh-CN" w:bidi="ar"/>
                    </w:rPr>
                    <w:t>6</w:t>
                  </w:r>
                </w:p>
              </w:tc>
            </w:tr>
            <w:tr w14:paraId="3AAF7D9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51" w:hRule="atLeast"/>
                <w:jc w:val="center"/>
              </w:trPr>
              <w:tc>
                <w:tcPr>
                  <w:tcW w:w="330" w:type="pct"/>
                  <w:vMerge w:val="continue"/>
                  <w:tcBorders>
                    <w:tl2br w:val="nil"/>
                    <w:tr2bl w:val="nil"/>
                  </w:tcBorders>
                  <w:noWrap w:val="0"/>
                  <w:vAlign w:val="center"/>
                </w:tcPr>
                <w:p w14:paraId="2A8C951D">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color w:val="auto"/>
                      <w:spacing w:val="0"/>
                      <w:sz w:val="21"/>
                      <w:szCs w:val="21"/>
                      <w:highlight w:val="none"/>
                    </w:rPr>
                  </w:pPr>
                </w:p>
              </w:tc>
              <w:tc>
                <w:tcPr>
                  <w:tcW w:w="699" w:type="pct"/>
                  <w:tcBorders>
                    <w:tl2br w:val="nil"/>
                    <w:tr2bl w:val="nil"/>
                  </w:tcBorders>
                  <w:noWrap w:val="0"/>
                  <w:vAlign w:val="center"/>
                </w:tcPr>
                <w:p w14:paraId="43429DB6">
                  <w:pPr>
                    <w:pStyle w:val="97"/>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color w:val="auto"/>
                      <w:spacing w:val="0"/>
                      <w:sz w:val="21"/>
                      <w:szCs w:val="21"/>
                      <w:highlight w:val="none"/>
                    </w:rPr>
                  </w:pPr>
                  <w:r>
                    <w:rPr>
                      <w:rFonts w:hint="default" w:ascii="Times New Roman" w:hAnsi="Times New Roman" w:eastAsia="宋体" w:cs="Times New Roman"/>
                      <w:color w:val="auto"/>
                      <w:spacing w:val="0"/>
                      <w:sz w:val="21"/>
                      <w:szCs w:val="21"/>
                      <w:highlight w:val="none"/>
                    </w:rPr>
                    <w:t>污染物排放量（t/a）</w:t>
                  </w:r>
                </w:p>
              </w:tc>
              <w:tc>
                <w:tcPr>
                  <w:tcW w:w="478" w:type="pct"/>
                  <w:tcBorders>
                    <w:tl2br w:val="nil"/>
                    <w:tr2bl w:val="nil"/>
                  </w:tcBorders>
                  <w:noWrap w:val="0"/>
                  <w:vAlign w:val="center"/>
                </w:tcPr>
                <w:p w14:paraId="4CC936E2">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eastAsia" w:ascii="Times New Roman" w:hAnsi="Times New Roman" w:eastAsia="宋体" w:cs="Times New Roman"/>
                      <w:color w:val="auto"/>
                      <w:spacing w:val="0"/>
                      <w:sz w:val="21"/>
                      <w:szCs w:val="21"/>
                      <w:highlight w:val="none"/>
                      <w:lang w:val="en-US" w:eastAsia="zh-CN"/>
                    </w:rPr>
                  </w:pPr>
                  <w:r>
                    <w:rPr>
                      <w:rFonts w:hint="eastAsia" w:ascii="Times New Roman" w:hAnsi="Times New Roman" w:eastAsia="宋体" w:cs="Times New Roman"/>
                      <w:color w:val="auto"/>
                      <w:spacing w:val="0"/>
                      <w:sz w:val="21"/>
                      <w:szCs w:val="21"/>
                      <w:highlight w:val="none"/>
                      <w:lang w:val="en-US" w:eastAsia="zh-CN"/>
                    </w:rPr>
                    <w:t>/</w:t>
                  </w:r>
                </w:p>
              </w:tc>
              <w:tc>
                <w:tcPr>
                  <w:tcW w:w="515" w:type="pct"/>
                  <w:tcBorders>
                    <w:tl2br w:val="nil"/>
                    <w:tr2bl w:val="nil"/>
                  </w:tcBorders>
                  <w:noWrap w:val="0"/>
                  <w:vAlign w:val="center"/>
                </w:tcPr>
                <w:p w14:paraId="60C0AE8B">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eastAsia" w:cs="Times New Roman"/>
                      <w:color w:val="auto"/>
                      <w:kern w:val="2"/>
                      <w:sz w:val="21"/>
                      <w:szCs w:val="21"/>
                      <w:highlight w:val="none"/>
                      <w:lang w:val="en-US" w:eastAsia="zh-CN" w:bidi="ar-SA"/>
                    </w:rPr>
                    <w:t>3.84</w:t>
                  </w:r>
                </w:p>
              </w:tc>
              <w:tc>
                <w:tcPr>
                  <w:tcW w:w="497" w:type="pct"/>
                  <w:tcBorders>
                    <w:tl2br w:val="nil"/>
                    <w:tr2bl w:val="nil"/>
                  </w:tcBorders>
                  <w:noWrap w:val="0"/>
                  <w:vAlign w:val="center"/>
                </w:tcPr>
                <w:p w14:paraId="40C96639">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eastAsia" w:cs="Times New Roman"/>
                      <w:color w:val="auto"/>
                      <w:kern w:val="2"/>
                      <w:sz w:val="21"/>
                      <w:szCs w:val="21"/>
                      <w:highlight w:val="none"/>
                      <w:lang w:val="en-US" w:eastAsia="zh-CN" w:bidi="ar-SA"/>
                    </w:rPr>
                    <w:t>1.536</w:t>
                  </w:r>
                </w:p>
              </w:tc>
              <w:tc>
                <w:tcPr>
                  <w:tcW w:w="442" w:type="pct"/>
                  <w:tcBorders>
                    <w:tl2br w:val="nil"/>
                    <w:tr2bl w:val="nil"/>
                  </w:tcBorders>
                  <w:noWrap w:val="0"/>
                  <w:vAlign w:val="center"/>
                </w:tcPr>
                <w:p w14:paraId="4B4765B9">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eastAsia" w:cs="Times New Roman"/>
                      <w:color w:val="auto"/>
                      <w:kern w:val="2"/>
                      <w:sz w:val="21"/>
                      <w:szCs w:val="21"/>
                      <w:highlight w:val="none"/>
                      <w:lang w:val="en-US" w:eastAsia="zh-CN" w:bidi="ar-SA"/>
                    </w:rPr>
                    <w:t>2.016</w:t>
                  </w:r>
                </w:p>
              </w:tc>
              <w:tc>
                <w:tcPr>
                  <w:tcW w:w="441" w:type="pct"/>
                  <w:tcBorders>
                    <w:tl2br w:val="nil"/>
                    <w:tr2bl w:val="nil"/>
                  </w:tcBorders>
                  <w:noWrap w:val="0"/>
                  <w:vAlign w:val="center"/>
                </w:tcPr>
                <w:p w14:paraId="3529DA94">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eastAsia" w:cs="Times New Roman"/>
                      <w:color w:val="auto"/>
                      <w:kern w:val="2"/>
                      <w:sz w:val="21"/>
                      <w:szCs w:val="21"/>
                      <w:highlight w:val="none"/>
                      <w:lang w:val="en-US" w:eastAsia="zh-CN" w:bidi="ar-SA"/>
                    </w:rPr>
                    <w:t>0.48</w:t>
                  </w:r>
                </w:p>
              </w:tc>
              <w:tc>
                <w:tcPr>
                  <w:tcW w:w="539" w:type="pct"/>
                  <w:tcBorders>
                    <w:tl2br w:val="nil"/>
                    <w:tr2bl w:val="nil"/>
                  </w:tcBorders>
                  <w:shd w:val="clear" w:color="auto" w:fill="auto"/>
                  <w:noWrap w:val="0"/>
                  <w:vAlign w:val="center"/>
                </w:tcPr>
                <w:p w14:paraId="59B41150">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0.096</w:t>
                  </w:r>
                </w:p>
              </w:tc>
              <w:tc>
                <w:tcPr>
                  <w:tcW w:w="539" w:type="pct"/>
                  <w:tcBorders>
                    <w:tl2br w:val="nil"/>
                    <w:tr2bl w:val="nil"/>
                  </w:tcBorders>
                  <w:shd w:val="clear" w:color="auto" w:fill="auto"/>
                  <w:noWrap w:val="0"/>
                  <w:vAlign w:val="center"/>
                </w:tcPr>
                <w:p w14:paraId="290261BA">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0.864</w:t>
                  </w:r>
                </w:p>
              </w:tc>
              <w:tc>
                <w:tcPr>
                  <w:tcW w:w="514" w:type="pct"/>
                  <w:tcBorders>
                    <w:tl2br w:val="nil"/>
                    <w:tr2bl w:val="nil"/>
                  </w:tcBorders>
                  <w:noWrap w:val="0"/>
                  <w:vAlign w:val="center"/>
                </w:tcPr>
                <w:p w14:paraId="036E0086">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eastAsia" w:cs="Times New Roman"/>
                      <w:color w:val="auto"/>
                      <w:kern w:val="2"/>
                      <w:sz w:val="21"/>
                      <w:szCs w:val="21"/>
                      <w:highlight w:val="none"/>
                      <w:lang w:val="en-US" w:eastAsia="zh-CN" w:bidi="ar-SA"/>
                    </w:rPr>
                    <w:t>0.115</w:t>
                  </w:r>
                </w:p>
              </w:tc>
            </w:tr>
            <w:tr w14:paraId="139444F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51" w:hRule="atLeast"/>
                <w:jc w:val="center"/>
              </w:trPr>
              <w:tc>
                <w:tcPr>
                  <w:tcW w:w="1030" w:type="pct"/>
                  <w:gridSpan w:val="2"/>
                  <w:tcBorders>
                    <w:tl2br w:val="nil"/>
                    <w:tr2bl w:val="nil"/>
                  </w:tcBorders>
                  <w:noWrap w:val="0"/>
                  <w:vAlign w:val="center"/>
                </w:tcPr>
                <w:p w14:paraId="12D88CAC">
                  <w:pPr>
                    <w:pStyle w:val="97"/>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pacing w:val="0"/>
                      <w:kern w:val="2"/>
                      <w:sz w:val="21"/>
                      <w:szCs w:val="21"/>
                      <w:highlight w:val="none"/>
                      <w:lang w:val="en-US" w:eastAsia="en-US" w:bidi="ar-SA"/>
                    </w:rPr>
                  </w:pPr>
                  <w:r>
                    <w:rPr>
                      <w:rFonts w:hint="eastAsia" w:ascii="Times New Roman" w:hAnsi="Times New Roman" w:eastAsia="宋体" w:cs="Times New Roman"/>
                      <w:color w:val="auto"/>
                      <w:spacing w:val="0"/>
                      <w:sz w:val="21"/>
                      <w:szCs w:val="21"/>
                      <w:highlight w:val="none"/>
                      <w:lang w:val="en-US" w:eastAsia="zh-CN"/>
                    </w:rPr>
                    <w:t>污水</w:t>
                  </w:r>
                  <w:r>
                    <w:rPr>
                      <w:rFonts w:hint="eastAsia" w:ascii="Times New Roman" w:hAnsi="Times New Roman" w:cs="Times New Roman"/>
                      <w:color w:val="auto"/>
                      <w:spacing w:val="0"/>
                      <w:sz w:val="21"/>
                      <w:szCs w:val="21"/>
                      <w:highlight w:val="none"/>
                      <w:lang w:val="en-US" w:eastAsia="zh-CN"/>
                    </w:rPr>
                    <w:t>站</w:t>
                  </w:r>
                  <w:r>
                    <w:rPr>
                      <w:rFonts w:hint="eastAsia" w:ascii="Times New Roman" w:hAnsi="Times New Roman" w:eastAsia="宋体" w:cs="Times New Roman"/>
                      <w:color w:val="auto"/>
                      <w:spacing w:val="0"/>
                      <w:sz w:val="21"/>
                      <w:szCs w:val="21"/>
                      <w:highlight w:val="none"/>
                      <w:lang w:val="en-US" w:eastAsia="zh-CN"/>
                    </w:rPr>
                    <w:t>接</w:t>
                  </w:r>
                  <w:r>
                    <w:rPr>
                      <w:rFonts w:hint="eastAsia" w:ascii="Times New Roman" w:hAnsi="Times New Roman" w:cs="Times New Roman"/>
                      <w:color w:val="auto"/>
                      <w:spacing w:val="0"/>
                      <w:sz w:val="21"/>
                      <w:szCs w:val="21"/>
                      <w:highlight w:val="none"/>
                      <w:lang w:val="en-US" w:eastAsia="zh-CN"/>
                    </w:rPr>
                    <w:t>管</w:t>
                  </w:r>
                  <w:r>
                    <w:rPr>
                      <w:rFonts w:hint="default" w:ascii="Times New Roman" w:hAnsi="Times New Roman" w:eastAsia="宋体" w:cs="Times New Roman"/>
                      <w:color w:val="auto"/>
                      <w:spacing w:val="0"/>
                      <w:sz w:val="21"/>
                      <w:szCs w:val="21"/>
                      <w:highlight w:val="none"/>
                    </w:rPr>
                    <w:t>限值（mg/L）</w:t>
                  </w:r>
                </w:p>
              </w:tc>
              <w:tc>
                <w:tcPr>
                  <w:tcW w:w="478" w:type="pct"/>
                  <w:tcBorders>
                    <w:tl2br w:val="nil"/>
                    <w:tr2bl w:val="nil"/>
                  </w:tcBorders>
                  <w:noWrap w:val="0"/>
                  <w:vAlign w:val="center"/>
                </w:tcPr>
                <w:p w14:paraId="57A6012C">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eastAsia" w:ascii="Times New Roman" w:hAnsi="Times New Roman" w:eastAsia="宋体" w:cs="Times New Roman"/>
                      <w:color w:val="auto"/>
                      <w:spacing w:val="0"/>
                      <w:kern w:val="2"/>
                      <w:sz w:val="21"/>
                      <w:szCs w:val="21"/>
                      <w:highlight w:val="none"/>
                      <w:lang w:val="en-US" w:eastAsia="zh-CN" w:bidi="ar-SA"/>
                    </w:rPr>
                  </w:pPr>
                  <w:r>
                    <w:rPr>
                      <w:rFonts w:hint="eastAsia" w:ascii="Times New Roman" w:hAnsi="Times New Roman" w:eastAsia="宋体" w:cs="Times New Roman"/>
                      <w:color w:val="auto"/>
                      <w:spacing w:val="0"/>
                      <w:sz w:val="21"/>
                      <w:szCs w:val="21"/>
                      <w:highlight w:val="none"/>
                      <w:lang w:val="en-US" w:eastAsia="zh-CN"/>
                    </w:rPr>
                    <w:t>6~9</w:t>
                  </w:r>
                </w:p>
              </w:tc>
              <w:tc>
                <w:tcPr>
                  <w:tcW w:w="515" w:type="pct"/>
                  <w:tcBorders>
                    <w:tl2br w:val="nil"/>
                    <w:tr2bl w:val="nil"/>
                  </w:tcBorders>
                  <w:noWrap w:val="0"/>
                  <w:vAlign w:val="center"/>
                </w:tcPr>
                <w:p w14:paraId="20DB4719">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eastAsia" w:cs="Times New Roman"/>
                      <w:i w:val="0"/>
                      <w:iCs w:val="0"/>
                      <w:color w:val="auto"/>
                      <w:kern w:val="0"/>
                      <w:sz w:val="21"/>
                      <w:szCs w:val="21"/>
                      <w:highlight w:val="none"/>
                      <w:u w:val="none"/>
                      <w:lang w:val="en-US" w:eastAsia="zh-CN" w:bidi="ar"/>
                    </w:rPr>
                    <w:t>500</w:t>
                  </w:r>
                </w:p>
              </w:tc>
              <w:tc>
                <w:tcPr>
                  <w:tcW w:w="497" w:type="pct"/>
                  <w:tcBorders>
                    <w:tl2br w:val="nil"/>
                    <w:tr2bl w:val="nil"/>
                  </w:tcBorders>
                  <w:noWrap w:val="0"/>
                  <w:vAlign w:val="center"/>
                </w:tcPr>
                <w:p w14:paraId="1DCF43B6">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eastAsia" w:cs="Times New Roman"/>
                      <w:i w:val="0"/>
                      <w:iCs w:val="0"/>
                      <w:color w:val="auto"/>
                      <w:kern w:val="0"/>
                      <w:sz w:val="21"/>
                      <w:szCs w:val="21"/>
                      <w:highlight w:val="none"/>
                      <w:u w:val="none"/>
                      <w:lang w:val="en-US" w:eastAsia="zh-CN" w:bidi="ar"/>
                    </w:rPr>
                    <w:t>300</w:t>
                  </w:r>
                </w:p>
              </w:tc>
              <w:tc>
                <w:tcPr>
                  <w:tcW w:w="442" w:type="pct"/>
                  <w:tcBorders>
                    <w:tl2br w:val="nil"/>
                    <w:tr2bl w:val="nil"/>
                  </w:tcBorders>
                  <w:noWrap w:val="0"/>
                  <w:vAlign w:val="center"/>
                </w:tcPr>
                <w:p w14:paraId="3100AE52">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eastAsia" w:cs="Times New Roman"/>
                      <w:i w:val="0"/>
                      <w:iCs w:val="0"/>
                      <w:color w:val="auto"/>
                      <w:kern w:val="0"/>
                      <w:sz w:val="21"/>
                      <w:szCs w:val="21"/>
                      <w:highlight w:val="none"/>
                      <w:u w:val="none"/>
                      <w:lang w:val="en-US" w:eastAsia="zh-CN" w:bidi="ar"/>
                    </w:rPr>
                    <w:t>400</w:t>
                  </w:r>
                </w:p>
              </w:tc>
              <w:tc>
                <w:tcPr>
                  <w:tcW w:w="441" w:type="pct"/>
                  <w:tcBorders>
                    <w:tl2br w:val="nil"/>
                    <w:tr2bl w:val="nil"/>
                  </w:tcBorders>
                  <w:noWrap w:val="0"/>
                  <w:vAlign w:val="center"/>
                </w:tcPr>
                <w:p w14:paraId="22115386">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eastAsia" w:cs="Times New Roman"/>
                      <w:i w:val="0"/>
                      <w:iCs w:val="0"/>
                      <w:color w:val="auto"/>
                      <w:kern w:val="0"/>
                      <w:sz w:val="21"/>
                      <w:szCs w:val="21"/>
                      <w:highlight w:val="none"/>
                      <w:u w:val="none"/>
                      <w:lang w:val="en-US" w:eastAsia="zh-CN" w:bidi="ar"/>
                    </w:rPr>
                    <w:t>50</w:t>
                  </w:r>
                </w:p>
              </w:tc>
              <w:tc>
                <w:tcPr>
                  <w:tcW w:w="539" w:type="pct"/>
                  <w:tcBorders>
                    <w:tl2br w:val="nil"/>
                    <w:tr2bl w:val="nil"/>
                  </w:tcBorders>
                  <w:noWrap w:val="0"/>
                  <w:vAlign w:val="center"/>
                </w:tcPr>
                <w:p w14:paraId="634EB300">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eastAsia" w:cs="Times New Roman"/>
                      <w:i w:val="0"/>
                      <w:iCs w:val="0"/>
                      <w:color w:val="auto"/>
                      <w:kern w:val="0"/>
                      <w:sz w:val="21"/>
                      <w:szCs w:val="21"/>
                      <w:highlight w:val="none"/>
                      <w:u w:val="none"/>
                      <w:lang w:val="en-US" w:eastAsia="zh-CN" w:bidi="ar"/>
                    </w:rPr>
                    <w:t>15</w:t>
                  </w:r>
                </w:p>
              </w:tc>
              <w:tc>
                <w:tcPr>
                  <w:tcW w:w="539" w:type="pct"/>
                  <w:tcBorders>
                    <w:tl2br w:val="nil"/>
                    <w:tr2bl w:val="nil"/>
                  </w:tcBorders>
                  <w:noWrap w:val="0"/>
                  <w:vAlign w:val="center"/>
                </w:tcPr>
                <w:p w14:paraId="461ED852">
                  <w:pPr>
                    <w:keepNext w:val="0"/>
                    <w:keepLines w:val="0"/>
                    <w:widowControl/>
                    <w:suppressLineNumbers w:val="0"/>
                    <w:jc w:val="center"/>
                    <w:textAlignment w:val="center"/>
                    <w:rPr>
                      <w:rFonts w:hint="default"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70</w:t>
                  </w:r>
                </w:p>
              </w:tc>
              <w:tc>
                <w:tcPr>
                  <w:tcW w:w="514" w:type="pct"/>
                  <w:tcBorders>
                    <w:tl2br w:val="nil"/>
                    <w:tr2bl w:val="nil"/>
                  </w:tcBorders>
                  <w:noWrap w:val="0"/>
                  <w:vAlign w:val="center"/>
                </w:tcPr>
                <w:p w14:paraId="0A23592A">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eastAsia" w:cs="Times New Roman"/>
                      <w:i w:val="0"/>
                      <w:iCs w:val="0"/>
                      <w:color w:val="auto"/>
                      <w:kern w:val="0"/>
                      <w:sz w:val="21"/>
                      <w:szCs w:val="21"/>
                      <w:highlight w:val="none"/>
                      <w:u w:val="none"/>
                      <w:lang w:val="en-US" w:eastAsia="zh-CN" w:bidi="ar"/>
                    </w:rPr>
                    <w:t>100</w:t>
                  </w:r>
                </w:p>
              </w:tc>
            </w:tr>
          </w:tbl>
          <w:p w14:paraId="5BFCD0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color w:val="auto"/>
                <w:sz w:val="24"/>
                <w:highlight w:val="none"/>
                <w:lang w:val="en-US" w:eastAsia="zh-CN"/>
              </w:rPr>
            </w:pPr>
            <w:r>
              <w:rPr>
                <w:rFonts w:hint="eastAsia"/>
                <w:color w:val="auto"/>
                <w:sz w:val="24"/>
                <w:highlight w:val="none"/>
                <w:lang w:val="en-US" w:eastAsia="zh-CN"/>
              </w:rPr>
              <w:t>2</w:t>
            </w:r>
            <w:r>
              <w:rPr>
                <w:rFonts w:hint="eastAsia" w:ascii="Times New Roman" w:eastAsia="宋体"/>
                <w:color w:val="auto"/>
                <w:sz w:val="24"/>
                <w:highlight w:val="none"/>
                <w:lang w:val="en-US" w:eastAsia="zh-CN"/>
              </w:rPr>
              <w:t>）</w:t>
            </w:r>
            <w:r>
              <w:rPr>
                <w:rFonts w:hint="eastAsia"/>
                <w:color w:val="auto"/>
                <w:sz w:val="24"/>
                <w:highlight w:val="none"/>
                <w:lang w:val="en-US" w:eastAsia="zh-CN"/>
              </w:rPr>
              <w:t>生产废水</w:t>
            </w:r>
          </w:p>
          <w:p w14:paraId="38047D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b w:val="0"/>
                <w:bCs w:val="0"/>
                <w:color w:val="auto"/>
                <w:sz w:val="24"/>
                <w:highlight w:val="none"/>
                <w:lang w:eastAsia="zh-CN"/>
              </w:rPr>
            </w:pPr>
            <w:r>
              <w:rPr>
                <w:rFonts w:hint="default"/>
                <w:b w:val="0"/>
                <w:bCs w:val="0"/>
                <w:color w:val="auto"/>
                <w:sz w:val="24"/>
                <w:highlight w:val="none"/>
                <w:lang w:val="en-US" w:eastAsia="zh-CN"/>
              </w:rPr>
              <w:t>网版清洗</w:t>
            </w:r>
            <w:r>
              <w:rPr>
                <w:rFonts w:hint="eastAsia"/>
                <w:b w:val="0"/>
                <w:bCs w:val="0"/>
                <w:color w:val="auto"/>
                <w:sz w:val="24"/>
                <w:highlight w:val="none"/>
                <w:lang w:val="en-US" w:eastAsia="zh-CN"/>
              </w:rPr>
              <w:t>水：</w:t>
            </w:r>
            <w:r>
              <w:rPr>
                <w:rFonts w:hint="eastAsia"/>
                <w:color w:val="auto"/>
                <w:sz w:val="24"/>
                <w:szCs w:val="24"/>
                <w:highlight w:val="none"/>
                <w:lang w:val="en-US" w:eastAsia="zh-CN"/>
              </w:rPr>
              <w:t>清洗用水主要为水性浆料印花网版等冲洗用水，用水量根据建设单位提供资料，项目设备网版清洗用水量为0.1m</w:t>
            </w:r>
            <w:r>
              <w:rPr>
                <w:rFonts w:hint="eastAsia"/>
                <w:color w:val="auto"/>
                <w:sz w:val="24"/>
                <w:szCs w:val="24"/>
                <w:highlight w:val="none"/>
                <w:vertAlign w:val="superscript"/>
                <w:lang w:val="en-US" w:eastAsia="zh-CN"/>
              </w:rPr>
              <w:t>3</w:t>
            </w:r>
            <w:r>
              <w:rPr>
                <w:rFonts w:hint="eastAsia"/>
                <w:color w:val="auto"/>
                <w:sz w:val="24"/>
                <w:szCs w:val="24"/>
                <w:highlight w:val="none"/>
                <w:lang w:val="en-US" w:eastAsia="zh-CN"/>
              </w:rPr>
              <w:t>/次，清洗频次为一天一次，损耗水量0.02m</w:t>
            </w:r>
            <w:r>
              <w:rPr>
                <w:rFonts w:hint="eastAsia"/>
                <w:color w:val="auto"/>
                <w:sz w:val="24"/>
                <w:szCs w:val="24"/>
                <w:highlight w:val="none"/>
                <w:vertAlign w:val="superscript"/>
                <w:lang w:val="en-US" w:eastAsia="zh-CN"/>
              </w:rPr>
              <w:t>3</w:t>
            </w:r>
            <w:r>
              <w:rPr>
                <w:rFonts w:hint="eastAsia"/>
                <w:color w:val="auto"/>
                <w:sz w:val="24"/>
                <w:szCs w:val="24"/>
                <w:highlight w:val="none"/>
                <w:lang w:val="en-US" w:eastAsia="zh-CN"/>
              </w:rPr>
              <w:t>/d，回用水量0.08m</w:t>
            </w:r>
            <w:r>
              <w:rPr>
                <w:rFonts w:hint="eastAsia"/>
                <w:color w:val="auto"/>
                <w:sz w:val="24"/>
                <w:szCs w:val="24"/>
                <w:highlight w:val="none"/>
                <w:vertAlign w:val="superscript"/>
                <w:lang w:val="en-US" w:eastAsia="zh-CN"/>
              </w:rPr>
              <w:t>3</w:t>
            </w:r>
            <w:r>
              <w:rPr>
                <w:rFonts w:hint="eastAsia"/>
                <w:color w:val="auto"/>
                <w:sz w:val="24"/>
                <w:szCs w:val="24"/>
                <w:highlight w:val="none"/>
                <w:lang w:val="en-US" w:eastAsia="zh-CN"/>
              </w:rPr>
              <w:t>/d，只需添加损耗即可。则补水量为0.02m</w:t>
            </w:r>
            <w:r>
              <w:rPr>
                <w:rFonts w:hint="eastAsia"/>
                <w:color w:val="auto"/>
                <w:sz w:val="24"/>
                <w:szCs w:val="24"/>
                <w:highlight w:val="none"/>
                <w:vertAlign w:val="superscript"/>
                <w:lang w:val="en-US" w:eastAsia="zh-CN"/>
              </w:rPr>
              <w:t>3</w:t>
            </w:r>
            <w:r>
              <w:rPr>
                <w:rFonts w:hint="eastAsia"/>
                <w:color w:val="auto"/>
                <w:sz w:val="24"/>
                <w:szCs w:val="24"/>
                <w:highlight w:val="none"/>
                <w:lang w:val="en-US" w:eastAsia="zh-CN"/>
              </w:rPr>
              <w:t>/d，6m</w:t>
            </w:r>
            <w:r>
              <w:rPr>
                <w:rFonts w:hint="eastAsia"/>
                <w:color w:val="auto"/>
                <w:sz w:val="24"/>
                <w:szCs w:val="24"/>
                <w:highlight w:val="none"/>
                <w:vertAlign w:val="superscript"/>
                <w:lang w:val="en-US" w:eastAsia="zh-CN"/>
              </w:rPr>
              <w:t>3</w:t>
            </w:r>
            <w:r>
              <w:rPr>
                <w:rFonts w:hint="eastAsia"/>
                <w:color w:val="auto"/>
                <w:sz w:val="24"/>
                <w:szCs w:val="24"/>
                <w:highlight w:val="none"/>
                <w:lang w:val="en-US" w:eastAsia="zh-CN"/>
              </w:rPr>
              <w:t>/a。</w:t>
            </w:r>
            <w:r>
              <w:rPr>
                <w:rFonts w:hint="default"/>
                <w:b w:val="0"/>
                <w:bCs w:val="0"/>
                <w:color w:val="auto"/>
                <w:sz w:val="24"/>
                <w:highlight w:val="none"/>
                <w:lang w:val="en-US" w:eastAsia="zh-CN"/>
              </w:rPr>
              <w:t>由于</w:t>
            </w:r>
            <w:r>
              <w:rPr>
                <w:rFonts w:hint="eastAsia"/>
                <w:color w:val="auto"/>
                <w:sz w:val="24"/>
                <w:highlight w:val="none"/>
                <w:lang w:val="en-US" w:eastAsia="zh-CN"/>
              </w:rPr>
              <w:t>网版</w:t>
            </w:r>
            <w:r>
              <w:rPr>
                <w:rFonts w:hint="default"/>
                <w:b w:val="0"/>
                <w:bCs w:val="0"/>
                <w:color w:val="auto"/>
                <w:sz w:val="24"/>
                <w:highlight w:val="none"/>
                <w:lang w:val="en-US" w:eastAsia="zh-CN"/>
              </w:rPr>
              <w:t>含有少量有机物，进入废水后无法被过滤，</w:t>
            </w:r>
            <w:r>
              <w:rPr>
                <w:rFonts w:hint="eastAsia"/>
                <w:color w:val="auto"/>
                <w:sz w:val="24"/>
                <w:szCs w:val="24"/>
                <w:highlight w:val="none"/>
                <w:lang w:val="en-US" w:eastAsia="zh-CN"/>
              </w:rPr>
              <w:t>建设单位</w:t>
            </w:r>
            <w:r>
              <w:rPr>
                <w:rFonts w:hint="default"/>
                <w:b w:val="0"/>
                <w:bCs w:val="0"/>
                <w:color w:val="auto"/>
                <w:sz w:val="24"/>
                <w:highlight w:val="none"/>
                <w:lang w:val="en-US" w:eastAsia="zh-CN"/>
              </w:rPr>
              <w:t>预计每</w:t>
            </w:r>
            <w:r>
              <w:rPr>
                <w:rFonts w:hint="eastAsia"/>
                <w:b w:val="0"/>
                <w:bCs w:val="0"/>
                <w:color w:val="auto"/>
                <w:sz w:val="24"/>
                <w:highlight w:val="none"/>
                <w:lang w:val="en-US" w:eastAsia="zh-CN"/>
              </w:rPr>
              <w:t>五天</w:t>
            </w:r>
            <w:r>
              <w:rPr>
                <w:rFonts w:hint="default"/>
                <w:b w:val="0"/>
                <w:bCs w:val="0"/>
                <w:color w:val="auto"/>
                <w:sz w:val="24"/>
                <w:highlight w:val="none"/>
                <w:lang w:val="en-US" w:eastAsia="zh-CN"/>
              </w:rPr>
              <w:t>对清洗水进行更换，更换的废水作为危废处置，按照年更换</w:t>
            </w:r>
            <w:r>
              <w:rPr>
                <w:rFonts w:hint="eastAsia"/>
                <w:b w:val="0"/>
                <w:bCs w:val="0"/>
                <w:color w:val="auto"/>
                <w:sz w:val="24"/>
                <w:highlight w:val="none"/>
                <w:lang w:val="en-US" w:eastAsia="zh-CN"/>
              </w:rPr>
              <w:t>60</w:t>
            </w:r>
            <w:r>
              <w:rPr>
                <w:rFonts w:hint="default"/>
                <w:b w:val="0"/>
                <w:bCs w:val="0"/>
                <w:color w:val="auto"/>
                <w:sz w:val="24"/>
                <w:highlight w:val="none"/>
                <w:lang w:val="en-US" w:eastAsia="zh-CN"/>
              </w:rPr>
              <w:t>次核算，</w:t>
            </w:r>
            <w:r>
              <w:rPr>
                <w:rFonts w:hint="eastAsia"/>
                <w:color w:val="auto"/>
                <w:sz w:val="24"/>
                <w:szCs w:val="24"/>
                <w:highlight w:val="none"/>
                <w:lang w:val="en-US" w:eastAsia="zh-CN"/>
              </w:rPr>
              <w:t>更换的清洗废水作为危废送有资质的单位处理，更换用水为6m</w:t>
            </w:r>
            <w:r>
              <w:rPr>
                <w:rFonts w:hint="eastAsia"/>
                <w:color w:val="auto"/>
                <w:sz w:val="24"/>
                <w:szCs w:val="24"/>
                <w:highlight w:val="none"/>
                <w:vertAlign w:val="superscript"/>
                <w:lang w:val="en-US" w:eastAsia="zh-CN"/>
              </w:rPr>
              <w:t>3</w:t>
            </w:r>
            <w:r>
              <w:rPr>
                <w:rFonts w:hint="eastAsia"/>
                <w:color w:val="auto"/>
                <w:sz w:val="24"/>
                <w:szCs w:val="24"/>
                <w:highlight w:val="none"/>
                <w:lang w:val="en-US" w:eastAsia="zh-CN"/>
              </w:rPr>
              <w:t>/a。则清洗用水总量为12m</w:t>
            </w:r>
            <w:r>
              <w:rPr>
                <w:rFonts w:hint="eastAsia"/>
                <w:color w:val="auto"/>
                <w:sz w:val="24"/>
                <w:szCs w:val="24"/>
                <w:highlight w:val="none"/>
                <w:vertAlign w:val="superscript"/>
                <w:lang w:val="en-US" w:eastAsia="zh-CN"/>
              </w:rPr>
              <w:t>3</w:t>
            </w:r>
            <w:r>
              <w:rPr>
                <w:rFonts w:hint="eastAsia"/>
                <w:color w:val="auto"/>
                <w:sz w:val="24"/>
                <w:szCs w:val="24"/>
                <w:highlight w:val="none"/>
                <w:lang w:val="en-US" w:eastAsia="zh-CN"/>
              </w:rPr>
              <w:t>/a。</w:t>
            </w:r>
          </w:p>
          <w:p w14:paraId="4C6F904C">
            <w:pPr>
              <w:pStyle w:val="5"/>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color w:val="auto"/>
                <w:lang w:val="en-US" w:eastAsia="zh-CN"/>
              </w:rPr>
            </w:pPr>
            <w:r>
              <w:rPr>
                <w:rFonts w:hint="eastAsia" w:ascii="Times New Roman" w:hAnsi="Times New Roman" w:eastAsia="宋体" w:cs="Times New Roman"/>
                <w:color w:val="auto"/>
                <w:sz w:val="24"/>
                <w:szCs w:val="24"/>
                <w:highlight w:val="none"/>
                <w:lang w:val="en-US" w:eastAsia="zh-CN"/>
              </w:rPr>
              <w:t>间接冷却水：项目生产期间，注塑过程中采用水冷方式间接冷却，冷却水循环使用，其消耗方式主要为蒸发耗散，定期补充不外排。项目共设1台冷却塔，单台冷却塔水流量按2m</w:t>
            </w:r>
            <w:r>
              <w:rPr>
                <w:rFonts w:hint="eastAsia" w:ascii="Times New Roman" w:hAnsi="Times New Roman" w:eastAsia="宋体" w:cs="Times New Roman"/>
                <w:color w:val="auto"/>
                <w:sz w:val="24"/>
                <w:szCs w:val="24"/>
                <w:highlight w:val="none"/>
                <w:vertAlign w:val="superscript"/>
                <w:lang w:val="en-US" w:eastAsia="zh-CN"/>
              </w:rPr>
              <w:t>3</w:t>
            </w:r>
            <w:r>
              <w:rPr>
                <w:rFonts w:hint="eastAsia" w:ascii="Times New Roman" w:hAnsi="Times New Roman" w:eastAsia="宋体" w:cs="Times New Roman"/>
                <w:color w:val="auto"/>
                <w:sz w:val="24"/>
                <w:szCs w:val="24"/>
                <w:highlight w:val="none"/>
                <w:lang w:val="en-US" w:eastAsia="zh-CN"/>
              </w:rPr>
              <w:t>/h计，年运行时间4800小时，则冷却水年循环流量9600m</w:t>
            </w:r>
            <w:r>
              <w:rPr>
                <w:rFonts w:hint="eastAsia" w:ascii="Times New Roman" w:hAnsi="Times New Roman" w:eastAsia="宋体" w:cs="Times New Roman"/>
                <w:color w:val="auto"/>
                <w:sz w:val="24"/>
                <w:szCs w:val="24"/>
                <w:highlight w:val="none"/>
                <w:vertAlign w:val="superscript"/>
                <w:lang w:val="en-US" w:eastAsia="zh-CN"/>
              </w:rPr>
              <w:t>3</w:t>
            </w:r>
            <w:r>
              <w:rPr>
                <w:rFonts w:hint="eastAsia" w:ascii="Times New Roman" w:hAnsi="Times New Roman" w:eastAsia="宋体" w:cs="Times New Roman"/>
                <w:color w:val="auto"/>
                <w:sz w:val="24"/>
                <w:szCs w:val="24"/>
                <w:highlight w:val="none"/>
                <w:lang w:val="en-US" w:eastAsia="zh-CN"/>
              </w:rPr>
              <w:t>/a，蒸发损耗量按2%计，则冷却水损耗量192t/a，即新鲜水补充192t/a。</w:t>
            </w:r>
          </w:p>
          <w:p w14:paraId="2F3714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b w:val="0"/>
                <w:bCs w:val="0"/>
                <w:color w:val="auto"/>
                <w:sz w:val="24"/>
                <w:highlight w:val="none"/>
              </w:rPr>
            </w:pPr>
            <w:r>
              <w:rPr>
                <w:rFonts w:hint="default"/>
                <w:b w:val="0"/>
                <w:bCs w:val="0"/>
                <w:color w:val="auto"/>
                <w:sz w:val="24"/>
                <w:highlight w:val="none"/>
              </w:rPr>
              <w:t>（</w:t>
            </w:r>
            <w:r>
              <w:rPr>
                <w:rFonts w:hint="eastAsia"/>
                <w:b w:val="0"/>
                <w:bCs w:val="0"/>
                <w:color w:val="auto"/>
                <w:sz w:val="24"/>
                <w:highlight w:val="none"/>
                <w:lang w:val="en-US" w:eastAsia="zh-CN"/>
              </w:rPr>
              <w:t>3</w:t>
            </w:r>
            <w:r>
              <w:rPr>
                <w:rFonts w:hint="default"/>
                <w:b w:val="0"/>
                <w:bCs w:val="0"/>
                <w:color w:val="auto"/>
                <w:sz w:val="24"/>
                <w:highlight w:val="none"/>
              </w:rPr>
              <w:t>）</w:t>
            </w:r>
            <w:r>
              <w:rPr>
                <w:rFonts w:hint="eastAsia" w:ascii="Times New Roman" w:eastAsia="宋体"/>
                <w:color w:val="auto"/>
                <w:sz w:val="24"/>
                <w:highlight w:val="none"/>
                <w:lang w:val="en-US" w:eastAsia="zh-CN"/>
              </w:rPr>
              <w:t>废水治理设施技术可行性分析</w:t>
            </w:r>
          </w:p>
          <w:p w14:paraId="44FEBE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eastAsia="宋体"/>
                <w:b w:val="0"/>
                <w:bCs w:val="0"/>
                <w:color w:val="auto"/>
                <w:sz w:val="24"/>
                <w:highlight w:val="none"/>
                <w:lang w:val="en-US" w:eastAsia="zh-CN"/>
              </w:rPr>
            </w:pPr>
            <w:r>
              <w:rPr>
                <w:rFonts w:hint="eastAsia"/>
                <w:b w:val="0"/>
                <w:bCs w:val="0"/>
                <w:color w:val="auto"/>
                <w:sz w:val="24"/>
                <w:highlight w:val="none"/>
                <w:lang w:val="en-US" w:eastAsia="zh-CN"/>
              </w:rPr>
              <w:t>1</w:t>
            </w:r>
            <w:r>
              <w:rPr>
                <w:rFonts w:hint="eastAsia"/>
                <w:b w:val="0"/>
                <w:bCs w:val="0"/>
                <w:color w:val="auto"/>
                <w:sz w:val="24"/>
                <w:highlight w:val="none"/>
                <w:lang w:eastAsia="zh-CN"/>
              </w:rPr>
              <w:t>）</w:t>
            </w:r>
            <w:r>
              <w:rPr>
                <w:rFonts w:hint="default"/>
                <w:b w:val="0"/>
                <w:bCs w:val="0"/>
                <w:color w:val="auto"/>
                <w:sz w:val="24"/>
                <w:highlight w:val="none"/>
              </w:rPr>
              <w:t>生活污水</w:t>
            </w:r>
            <w:r>
              <w:rPr>
                <w:rFonts w:hint="eastAsia"/>
                <w:b w:val="0"/>
                <w:bCs w:val="0"/>
                <w:color w:val="auto"/>
                <w:sz w:val="24"/>
                <w:highlight w:val="none"/>
                <w:lang w:val="en-US" w:eastAsia="zh-CN"/>
              </w:rPr>
              <w:t>治理可行性</w:t>
            </w:r>
          </w:p>
          <w:p w14:paraId="2EF1B889">
            <w:pPr>
              <w:keepNext w:val="0"/>
              <w:keepLines w:val="0"/>
              <w:pageBreakBefore w:val="0"/>
              <w:widowControl w:val="0"/>
              <w:suppressLineNumbers w:val="0"/>
              <w:kinsoku/>
              <w:wordWrap/>
              <w:overflowPunct/>
              <w:topLinePunct w:val="0"/>
              <w:autoSpaceDE/>
              <w:autoSpaceDN/>
              <w:bidi w:val="0"/>
              <w:spacing w:before="0" w:beforeAutospacing="0" w:after="0" w:afterAutospacing="0" w:line="360" w:lineRule="auto"/>
              <w:ind w:left="0" w:right="0" w:firstLine="480" w:firstLineChars="200"/>
              <w:textAlignment w:val="auto"/>
              <w:rPr>
                <w:rFonts w:hint="eastAsia"/>
                <w:color w:val="auto"/>
                <w:spacing w:val="0"/>
                <w:sz w:val="24"/>
                <w:szCs w:val="24"/>
                <w:highlight w:val="none"/>
                <w:lang w:val="en-US" w:eastAsia="zh-CN"/>
              </w:rPr>
            </w:pPr>
            <w:r>
              <w:rPr>
                <w:rFonts w:hint="eastAsia"/>
                <w:color w:val="auto"/>
                <w:spacing w:val="0"/>
                <w:sz w:val="24"/>
                <w:szCs w:val="24"/>
                <w:highlight w:val="none"/>
                <w:lang w:val="en-US" w:eastAsia="zh-CN"/>
              </w:rPr>
              <w:t>本项目生活污水排放量19200</w:t>
            </w:r>
            <w:r>
              <w:rPr>
                <w:rFonts w:hint="default"/>
                <w:color w:val="auto"/>
                <w:spacing w:val="0"/>
                <w:sz w:val="24"/>
                <w:szCs w:val="24"/>
                <w:highlight w:val="none"/>
                <w:lang w:val="en-US" w:eastAsia="zh-CN"/>
              </w:rPr>
              <w:t>m</w:t>
            </w:r>
            <w:r>
              <w:rPr>
                <w:rFonts w:hint="default"/>
                <w:color w:val="auto"/>
                <w:spacing w:val="0"/>
                <w:sz w:val="24"/>
                <w:szCs w:val="24"/>
                <w:highlight w:val="none"/>
                <w:vertAlign w:val="superscript"/>
                <w:lang w:val="en-US" w:eastAsia="zh-CN"/>
              </w:rPr>
              <w:t>3</w:t>
            </w:r>
            <w:r>
              <w:rPr>
                <w:rFonts w:hint="default"/>
                <w:color w:val="auto"/>
                <w:spacing w:val="0"/>
                <w:sz w:val="24"/>
                <w:szCs w:val="24"/>
                <w:highlight w:val="none"/>
                <w:lang w:val="en-US" w:eastAsia="zh-CN"/>
              </w:rPr>
              <w:t>/a</w:t>
            </w:r>
            <w:r>
              <w:rPr>
                <w:rFonts w:hint="eastAsia"/>
                <w:color w:val="auto"/>
                <w:spacing w:val="0"/>
                <w:sz w:val="24"/>
                <w:szCs w:val="24"/>
                <w:highlight w:val="none"/>
                <w:lang w:val="en-US" w:eastAsia="zh-CN"/>
              </w:rPr>
              <w:t>，废水中主要污染物为pH、COD</w:t>
            </w:r>
            <w:r>
              <w:rPr>
                <w:rFonts w:hint="eastAsia"/>
                <w:color w:val="auto"/>
                <w:spacing w:val="0"/>
                <w:sz w:val="24"/>
                <w:szCs w:val="24"/>
                <w:highlight w:val="none"/>
                <w:vertAlign w:val="subscript"/>
                <w:lang w:val="en-US" w:eastAsia="zh-CN"/>
              </w:rPr>
              <w:t>Cr</w:t>
            </w:r>
            <w:r>
              <w:rPr>
                <w:rFonts w:hint="eastAsia"/>
                <w:color w:val="auto"/>
                <w:spacing w:val="0"/>
                <w:sz w:val="24"/>
                <w:szCs w:val="24"/>
                <w:highlight w:val="none"/>
                <w:lang w:val="en-US" w:eastAsia="zh-CN"/>
              </w:rPr>
              <w:t>、BOD</w:t>
            </w:r>
            <w:r>
              <w:rPr>
                <w:rFonts w:hint="eastAsia"/>
                <w:color w:val="auto"/>
                <w:spacing w:val="0"/>
                <w:sz w:val="24"/>
                <w:szCs w:val="24"/>
                <w:highlight w:val="none"/>
                <w:vertAlign w:val="subscript"/>
                <w:lang w:val="en-US" w:eastAsia="zh-CN"/>
              </w:rPr>
              <w:t>5</w:t>
            </w:r>
            <w:r>
              <w:rPr>
                <w:rFonts w:hint="eastAsia"/>
                <w:color w:val="auto"/>
                <w:spacing w:val="0"/>
                <w:sz w:val="24"/>
                <w:szCs w:val="24"/>
                <w:highlight w:val="none"/>
                <w:lang w:val="en-US" w:eastAsia="zh-CN"/>
              </w:rPr>
              <w:t>、氨氮</w:t>
            </w:r>
            <w:r>
              <w:rPr>
                <w:rFonts w:hint="eastAsia" w:ascii="Times New Roman" w:eastAsia="宋体"/>
                <w:color w:val="auto"/>
                <w:spacing w:val="0"/>
                <w:sz w:val="24"/>
                <w:szCs w:val="24"/>
                <w:highlight w:val="none"/>
                <w:lang w:val="en-US" w:eastAsia="zh-CN"/>
              </w:rPr>
              <w:t>、</w:t>
            </w:r>
            <w:r>
              <w:rPr>
                <w:rFonts w:hint="eastAsia"/>
                <w:color w:val="auto"/>
                <w:spacing w:val="0"/>
                <w:sz w:val="24"/>
                <w:szCs w:val="24"/>
                <w:highlight w:val="none"/>
                <w:lang w:val="en-US" w:eastAsia="zh-CN"/>
              </w:rPr>
              <w:t>SS、TP、动植物油等。生活污水经隔油池+化粪池处理后排入园区污水管网，接</w:t>
            </w:r>
            <w:r>
              <w:rPr>
                <w:rFonts w:hint="default"/>
                <w:color w:val="auto"/>
                <w:spacing w:val="0"/>
                <w:sz w:val="24"/>
                <w:szCs w:val="24"/>
                <w:highlight w:val="none"/>
                <w:lang w:val="en-US" w:eastAsia="zh-CN"/>
              </w:rPr>
              <w:t>入乐平市金山工业区</w:t>
            </w:r>
            <w:r>
              <w:rPr>
                <w:rFonts w:hint="eastAsia"/>
                <w:color w:val="auto"/>
                <w:spacing w:val="0"/>
                <w:sz w:val="24"/>
                <w:szCs w:val="24"/>
                <w:highlight w:val="none"/>
                <w:lang w:val="en-US" w:eastAsia="zh-CN"/>
              </w:rPr>
              <w:t>一期污水站处理。化粪池是一种利用沉淀和厌氧发酵的原理，去除生活污水中悬浮性有机物的处理设施，</w:t>
            </w:r>
            <w:r>
              <w:rPr>
                <w:rFonts w:hint="eastAsia" w:ascii="Times New Roman" w:hAnsi="Times New Roman" w:eastAsia="宋体" w:cs="Times New Roman"/>
                <w:color w:val="auto"/>
                <w:spacing w:val="0"/>
                <w:sz w:val="24"/>
                <w:szCs w:val="24"/>
                <w:highlight w:val="none"/>
                <w:lang w:val="en-US" w:eastAsia="zh-CN"/>
              </w:rPr>
              <w:t>属于初级的过渡性生活处理</w:t>
            </w:r>
            <w:r>
              <w:rPr>
                <w:rFonts w:hint="eastAsia" w:ascii="Times New Roman" w:hAnsi="Times New Roman" w:eastAsia="宋体" w:cs="Times New Roman"/>
                <w:color w:val="auto"/>
                <w:spacing w:val="0"/>
                <w:sz w:val="24"/>
                <w:szCs w:val="24"/>
                <w:highlight w:val="none"/>
                <w:u w:val="none"/>
                <w:lang w:val="en-US" w:eastAsia="zh-CN"/>
              </w:rPr>
              <w:t>构筑物</w:t>
            </w:r>
            <w:r>
              <w:rPr>
                <w:rFonts w:hint="eastAsia" w:eastAsia="宋体" w:cs="Times New Roman"/>
                <w:color w:val="auto"/>
                <w:spacing w:val="0"/>
                <w:sz w:val="24"/>
                <w:szCs w:val="24"/>
                <w:highlight w:val="none"/>
                <w:u w:val="none"/>
                <w:lang w:val="en-US" w:eastAsia="zh-CN"/>
              </w:rPr>
              <w:t>；隔油池是利用油与水的</w:t>
            </w:r>
            <w:r>
              <w:rPr>
                <w:rFonts w:hint="eastAsia" w:eastAsia="宋体" w:cs="Times New Roman"/>
                <w:color w:val="auto"/>
                <w:spacing w:val="0"/>
                <w:sz w:val="24"/>
                <w:szCs w:val="24"/>
                <w:highlight w:val="none"/>
                <w:u w:val="none"/>
                <w:lang w:val="en-US" w:eastAsia="zh-CN"/>
              </w:rPr>
              <w:fldChar w:fldCharType="begin"/>
            </w:r>
            <w:r>
              <w:rPr>
                <w:rFonts w:hint="eastAsia" w:eastAsia="宋体" w:cs="Times New Roman"/>
                <w:color w:val="auto"/>
                <w:spacing w:val="0"/>
                <w:sz w:val="24"/>
                <w:szCs w:val="24"/>
                <w:highlight w:val="none"/>
                <w:u w:val="none"/>
                <w:lang w:val="en-US" w:eastAsia="zh-CN"/>
              </w:rPr>
              <w:instrText xml:space="preserve"> HYPERLINK "http://www.so.com/s?q=%E6%AF%94%E9%87%8D&amp;ie=utf-8&amp;src=internal_wenda_recommend_textn" \t "https://wenda.so.com/q/_blank" </w:instrText>
            </w:r>
            <w:r>
              <w:rPr>
                <w:rFonts w:hint="eastAsia" w:eastAsia="宋体" w:cs="Times New Roman"/>
                <w:color w:val="auto"/>
                <w:spacing w:val="0"/>
                <w:sz w:val="24"/>
                <w:szCs w:val="24"/>
                <w:highlight w:val="none"/>
                <w:u w:val="none"/>
                <w:lang w:val="en-US" w:eastAsia="zh-CN"/>
              </w:rPr>
              <w:fldChar w:fldCharType="separate"/>
            </w:r>
            <w:r>
              <w:rPr>
                <w:rFonts w:hint="eastAsia" w:eastAsia="宋体" w:cs="Times New Roman"/>
                <w:color w:val="auto"/>
                <w:spacing w:val="0"/>
                <w:sz w:val="24"/>
                <w:szCs w:val="24"/>
                <w:highlight w:val="none"/>
                <w:u w:val="none"/>
                <w:lang w:val="en-US" w:eastAsia="zh-CN"/>
              </w:rPr>
              <w:t>比重</w:t>
            </w:r>
            <w:r>
              <w:rPr>
                <w:rFonts w:hint="eastAsia" w:eastAsia="宋体" w:cs="Times New Roman"/>
                <w:color w:val="auto"/>
                <w:spacing w:val="0"/>
                <w:sz w:val="24"/>
                <w:szCs w:val="24"/>
                <w:highlight w:val="none"/>
                <w:u w:val="none"/>
                <w:lang w:val="en-US" w:eastAsia="zh-CN"/>
              </w:rPr>
              <w:fldChar w:fldCharType="end"/>
            </w:r>
            <w:r>
              <w:rPr>
                <w:rFonts w:hint="eastAsia" w:eastAsia="宋体" w:cs="Times New Roman"/>
                <w:color w:val="auto"/>
                <w:spacing w:val="0"/>
                <w:sz w:val="24"/>
                <w:szCs w:val="24"/>
                <w:highlight w:val="none"/>
                <w:u w:val="none"/>
                <w:lang w:val="en-US" w:eastAsia="zh-CN"/>
              </w:rPr>
              <w:fldChar w:fldCharType="begin"/>
            </w:r>
            <w:r>
              <w:rPr>
                <w:rFonts w:hint="eastAsia" w:eastAsia="宋体" w:cs="Times New Roman"/>
                <w:color w:val="auto"/>
                <w:spacing w:val="0"/>
                <w:sz w:val="24"/>
                <w:szCs w:val="24"/>
                <w:highlight w:val="none"/>
                <w:u w:val="none"/>
                <w:lang w:val="en-US" w:eastAsia="zh-CN"/>
              </w:rPr>
              <w:instrText xml:space="preserve"> HYPERLINK "http://www.so.com/s?q=%E5%B7%AE%E5%BC%82&amp;ie=utf-8&amp;src=internal_wenda_recommend_textn" \t "https://wenda.so.com/q/_blank" </w:instrText>
            </w:r>
            <w:r>
              <w:rPr>
                <w:rFonts w:hint="eastAsia" w:eastAsia="宋体" w:cs="Times New Roman"/>
                <w:color w:val="auto"/>
                <w:spacing w:val="0"/>
                <w:sz w:val="24"/>
                <w:szCs w:val="24"/>
                <w:highlight w:val="none"/>
                <w:u w:val="none"/>
                <w:lang w:val="en-US" w:eastAsia="zh-CN"/>
              </w:rPr>
              <w:fldChar w:fldCharType="separate"/>
            </w:r>
            <w:r>
              <w:rPr>
                <w:rFonts w:hint="eastAsia" w:eastAsia="宋体" w:cs="Times New Roman"/>
                <w:color w:val="auto"/>
                <w:spacing w:val="0"/>
                <w:sz w:val="24"/>
                <w:szCs w:val="24"/>
                <w:highlight w:val="none"/>
                <w:u w:val="none"/>
                <w:lang w:val="en-US" w:eastAsia="zh-CN"/>
              </w:rPr>
              <w:t>差异</w:t>
            </w:r>
            <w:r>
              <w:rPr>
                <w:rFonts w:hint="eastAsia" w:eastAsia="宋体" w:cs="Times New Roman"/>
                <w:color w:val="auto"/>
                <w:spacing w:val="0"/>
                <w:sz w:val="24"/>
                <w:szCs w:val="24"/>
                <w:highlight w:val="none"/>
                <w:u w:val="none"/>
                <w:lang w:val="en-US" w:eastAsia="zh-CN"/>
              </w:rPr>
              <w:fldChar w:fldCharType="end"/>
            </w:r>
            <w:r>
              <w:rPr>
                <w:rFonts w:hint="eastAsia" w:eastAsia="宋体" w:cs="Times New Roman"/>
                <w:color w:val="auto"/>
                <w:spacing w:val="0"/>
                <w:sz w:val="24"/>
                <w:szCs w:val="24"/>
                <w:highlight w:val="none"/>
                <w:u w:val="none"/>
                <w:lang w:val="en-US" w:eastAsia="zh-CN"/>
              </w:rPr>
              <w:t>，分离去除</w:t>
            </w:r>
            <w:r>
              <w:rPr>
                <w:rFonts w:hint="eastAsia" w:eastAsia="宋体" w:cs="Times New Roman"/>
                <w:color w:val="auto"/>
                <w:spacing w:val="0"/>
                <w:sz w:val="24"/>
                <w:szCs w:val="24"/>
                <w:highlight w:val="none"/>
                <w:u w:val="none"/>
                <w:lang w:val="en-US" w:eastAsia="zh-CN"/>
              </w:rPr>
              <w:fldChar w:fldCharType="begin"/>
            </w:r>
            <w:r>
              <w:rPr>
                <w:rFonts w:hint="eastAsia" w:eastAsia="宋体" w:cs="Times New Roman"/>
                <w:color w:val="auto"/>
                <w:spacing w:val="0"/>
                <w:sz w:val="24"/>
                <w:szCs w:val="24"/>
                <w:highlight w:val="none"/>
                <w:u w:val="none"/>
                <w:lang w:val="en-US" w:eastAsia="zh-CN"/>
              </w:rPr>
              <w:instrText xml:space="preserve"> HYPERLINK "http://www.so.com/s?q=%E6%B1%A1%E6%B0%B4&amp;ie=utf-8&amp;src=internal_wenda_recommend_textn" \t "https://wenda.so.com/q/_blank" </w:instrText>
            </w:r>
            <w:r>
              <w:rPr>
                <w:rFonts w:hint="eastAsia" w:eastAsia="宋体" w:cs="Times New Roman"/>
                <w:color w:val="auto"/>
                <w:spacing w:val="0"/>
                <w:sz w:val="24"/>
                <w:szCs w:val="24"/>
                <w:highlight w:val="none"/>
                <w:u w:val="none"/>
                <w:lang w:val="en-US" w:eastAsia="zh-CN"/>
              </w:rPr>
              <w:fldChar w:fldCharType="separate"/>
            </w:r>
            <w:r>
              <w:rPr>
                <w:rFonts w:hint="eastAsia" w:eastAsia="宋体" w:cs="Times New Roman"/>
                <w:color w:val="auto"/>
                <w:spacing w:val="0"/>
                <w:sz w:val="24"/>
                <w:szCs w:val="24"/>
                <w:highlight w:val="none"/>
                <w:u w:val="none"/>
                <w:lang w:val="en-US" w:eastAsia="zh-CN"/>
              </w:rPr>
              <w:t>污水</w:t>
            </w:r>
            <w:r>
              <w:rPr>
                <w:rFonts w:hint="eastAsia" w:eastAsia="宋体" w:cs="Times New Roman"/>
                <w:color w:val="auto"/>
                <w:spacing w:val="0"/>
                <w:sz w:val="24"/>
                <w:szCs w:val="24"/>
                <w:highlight w:val="none"/>
                <w:u w:val="none"/>
                <w:lang w:val="en-US" w:eastAsia="zh-CN"/>
              </w:rPr>
              <w:fldChar w:fldCharType="end"/>
            </w:r>
            <w:r>
              <w:rPr>
                <w:rFonts w:hint="eastAsia" w:eastAsia="宋体" w:cs="Times New Roman"/>
                <w:color w:val="auto"/>
                <w:spacing w:val="0"/>
                <w:sz w:val="24"/>
                <w:szCs w:val="24"/>
                <w:highlight w:val="none"/>
                <w:u w:val="none"/>
                <w:lang w:val="en-US" w:eastAsia="zh-CN"/>
              </w:rPr>
              <w:t>中</w:t>
            </w:r>
            <w:r>
              <w:rPr>
                <w:rFonts w:hint="eastAsia" w:eastAsia="宋体" w:cs="Times New Roman"/>
                <w:color w:val="auto"/>
                <w:spacing w:val="0"/>
                <w:sz w:val="24"/>
                <w:szCs w:val="24"/>
                <w:highlight w:val="none"/>
                <w:u w:val="none"/>
                <w:lang w:val="en-US" w:eastAsia="zh-CN"/>
              </w:rPr>
              <w:fldChar w:fldCharType="begin"/>
            </w:r>
            <w:r>
              <w:rPr>
                <w:rFonts w:hint="eastAsia" w:eastAsia="宋体" w:cs="Times New Roman"/>
                <w:color w:val="auto"/>
                <w:spacing w:val="0"/>
                <w:sz w:val="24"/>
                <w:szCs w:val="24"/>
                <w:highlight w:val="none"/>
                <w:u w:val="none"/>
                <w:lang w:val="en-US" w:eastAsia="zh-CN"/>
              </w:rPr>
              <w:instrText xml:space="preserve"> HYPERLINK "http://www.so.com/s?q=%E9%A2%97%E7%B2%92&amp;ie=utf-8&amp;src=internal_wenda_recommend_textn" \t "https://wenda.so.com/q/_blank" </w:instrText>
            </w:r>
            <w:r>
              <w:rPr>
                <w:rFonts w:hint="eastAsia" w:eastAsia="宋体" w:cs="Times New Roman"/>
                <w:color w:val="auto"/>
                <w:spacing w:val="0"/>
                <w:sz w:val="24"/>
                <w:szCs w:val="24"/>
                <w:highlight w:val="none"/>
                <w:u w:val="none"/>
                <w:lang w:val="en-US" w:eastAsia="zh-CN"/>
              </w:rPr>
              <w:fldChar w:fldCharType="separate"/>
            </w:r>
            <w:r>
              <w:rPr>
                <w:rFonts w:hint="eastAsia" w:eastAsia="宋体" w:cs="Times New Roman"/>
                <w:color w:val="auto"/>
                <w:spacing w:val="0"/>
                <w:sz w:val="24"/>
                <w:szCs w:val="24"/>
                <w:highlight w:val="none"/>
                <w:u w:val="none"/>
                <w:lang w:val="en-US" w:eastAsia="zh-CN"/>
              </w:rPr>
              <w:t>颗粒</w:t>
            </w:r>
            <w:r>
              <w:rPr>
                <w:rFonts w:hint="eastAsia" w:eastAsia="宋体" w:cs="Times New Roman"/>
                <w:color w:val="auto"/>
                <w:spacing w:val="0"/>
                <w:sz w:val="24"/>
                <w:szCs w:val="24"/>
                <w:highlight w:val="none"/>
                <w:u w:val="none"/>
                <w:lang w:val="en-US" w:eastAsia="zh-CN"/>
              </w:rPr>
              <w:fldChar w:fldCharType="end"/>
            </w:r>
            <w:r>
              <w:rPr>
                <w:rFonts w:hint="eastAsia" w:eastAsia="宋体" w:cs="Times New Roman"/>
                <w:color w:val="auto"/>
                <w:spacing w:val="0"/>
                <w:sz w:val="24"/>
                <w:szCs w:val="24"/>
                <w:highlight w:val="none"/>
                <w:u w:val="none"/>
                <w:lang w:val="en-US" w:eastAsia="zh-CN"/>
              </w:rPr>
              <w:t>较大的悬浮油的一种处理</w:t>
            </w:r>
            <w:r>
              <w:rPr>
                <w:rFonts w:hint="eastAsia" w:eastAsia="宋体" w:cs="Times New Roman"/>
                <w:color w:val="auto"/>
                <w:spacing w:val="0"/>
                <w:sz w:val="24"/>
                <w:szCs w:val="24"/>
                <w:highlight w:val="none"/>
                <w:u w:val="none"/>
                <w:lang w:val="en-US" w:eastAsia="zh-CN"/>
              </w:rPr>
              <w:fldChar w:fldCharType="begin"/>
            </w:r>
            <w:r>
              <w:rPr>
                <w:rFonts w:hint="eastAsia" w:eastAsia="宋体" w:cs="Times New Roman"/>
                <w:color w:val="auto"/>
                <w:spacing w:val="0"/>
                <w:sz w:val="24"/>
                <w:szCs w:val="24"/>
                <w:highlight w:val="none"/>
                <w:u w:val="none"/>
                <w:lang w:val="en-US" w:eastAsia="zh-CN"/>
              </w:rPr>
              <w:instrText xml:space="preserve"> HYPERLINK "http://www.so.com/s?q=%E6%9E%84%E7%AD%91%E7%89%A9&amp;ie=utf-8&amp;src=internal_wenda_recommend_textn" \t "https://wenda.so.com/q/_blank" </w:instrText>
            </w:r>
            <w:r>
              <w:rPr>
                <w:rFonts w:hint="eastAsia" w:eastAsia="宋体" w:cs="Times New Roman"/>
                <w:color w:val="auto"/>
                <w:spacing w:val="0"/>
                <w:sz w:val="24"/>
                <w:szCs w:val="24"/>
                <w:highlight w:val="none"/>
                <w:u w:val="none"/>
                <w:lang w:val="en-US" w:eastAsia="zh-CN"/>
              </w:rPr>
              <w:fldChar w:fldCharType="separate"/>
            </w:r>
            <w:r>
              <w:rPr>
                <w:rFonts w:hint="eastAsia" w:eastAsia="宋体" w:cs="Times New Roman"/>
                <w:color w:val="auto"/>
                <w:spacing w:val="0"/>
                <w:sz w:val="24"/>
                <w:szCs w:val="24"/>
                <w:highlight w:val="none"/>
                <w:u w:val="none"/>
                <w:lang w:val="en-US" w:eastAsia="zh-CN"/>
              </w:rPr>
              <w:t>构筑物</w:t>
            </w:r>
            <w:r>
              <w:rPr>
                <w:rFonts w:hint="eastAsia" w:eastAsia="宋体" w:cs="Times New Roman"/>
                <w:color w:val="auto"/>
                <w:spacing w:val="0"/>
                <w:sz w:val="24"/>
                <w:szCs w:val="24"/>
                <w:highlight w:val="none"/>
                <w:u w:val="none"/>
                <w:lang w:val="en-US" w:eastAsia="zh-CN"/>
              </w:rPr>
              <w:fldChar w:fldCharType="end"/>
            </w:r>
            <w:r>
              <w:rPr>
                <w:rFonts w:hint="eastAsia"/>
                <w:color w:val="auto"/>
                <w:spacing w:val="0"/>
                <w:sz w:val="24"/>
                <w:szCs w:val="24"/>
                <w:highlight w:val="none"/>
                <w:lang w:val="en-US" w:eastAsia="zh-CN"/>
              </w:rPr>
              <w:t>。故本项目生活污水处理技术可行。</w:t>
            </w:r>
          </w:p>
          <w:p w14:paraId="398D8A62">
            <w:pPr>
              <w:keepNext w:val="0"/>
              <w:keepLines w:val="0"/>
              <w:suppressLineNumbers w:val="0"/>
              <w:bidi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rPr>
              <w:t>（</w:t>
            </w:r>
            <w:r>
              <w:rPr>
                <w:rFonts w:hint="eastAsia" w:ascii="Times New Roman" w:hAnsi="Times New Roman" w:eastAsia="宋体" w:cs="Times New Roman"/>
                <w:color w:val="auto"/>
                <w:sz w:val="24"/>
                <w:highlight w:val="none"/>
                <w:lang w:val="en-US" w:eastAsia="zh-CN"/>
              </w:rPr>
              <w:t>4</w:t>
            </w:r>
            <w:r>
              <w:rPr>
                <w:rFonts w:hint="eastAsia" w:ascii="Times New Roman" w:hAnsi="Times New Roman" w:eastAsia="宋体" w:cs="Times New Roman"/>
                <w:color w:val="auto"/>
                <w:sz w:val="24"/>
                <w:highlight w:val="none"/>
              </w:rPr>
              <w:t>）</w:t>
            </w:r>
            <w:r>
              <w:rPr>
                <w:rFonts w:hint="default" w:ascii="Times New Roman" w:hAnsi="Times New Roman" w:eastAsia="宋体" w:cs="Times New Roman"/>
                <w:color w:val="auto"/>
                <w:sz w:val="24"/>
                <w:highlight w:val="none"/>
              </w:rPr>
              <w:t>依托污水处理</w:t>
            </w:r>
            <w:r>
              <w:rPr>
                <w:rFonts w:hint="eastAsia" w:ascii="Times New Roman" w:hAnsi="Times New Roman" w:eastAsia="宋体" w:cs="Times New Roman"/>
                <w:color w:val="auto"/>
                <w:sz w:val="24"/>
                <w:highlight w:val="none"/>
                <w:lang w:val="en-US" w:eastAsia="zh-CN"/>
              </w:rPr>
              <w:t>站</w:t>
            </w:r>
            <w:r>
              <w:rPr>
                <w:rFonts w:hint="default" w:ascii="Times New Roman" w:hAnsi="Times New Roman" w:eastAsia="宋体" w:cs="Times New Roman"/>
                <w:color w:val="auto"/>
                <w:sz w:val="24"/>
                <w:highlight w:val="none"/>
              </w:rPr>
              <w:t>可行性分析</w:t>
            </w:r>
          </w:p>
          <w:p w14:paraId="207CECCE">
            <w:pPr>
              <w:pStyle w:val="5"/>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ascii="Times New Roman" w:hAnsi="Times New Roman" w:eastAsia="宋体" w:cs="Times New Roman"/>
                <w:color w:val="auto"/>
                <w:sz w:val="24"/>
                <w:lang w:val="en-US" w:eastAsia="zh-CN"/>
              </w:rPr>
            </w:pPr>
            <w:r>
              <w:rPr>
                <w:rFonts w:hint="eastAsia" w:ascii="Times New Roman" w:hAnsi="Times New Roman" w:eastAsia="宋体" w:cs="Times New Roman"/>
                <w:color w:val="auto"/>
                <w:sz w:val="24"/>
                <w:lang w:val="en-US" w:eastAsia="zh-CN"/>
              </w:rPr>
              <w:t>1</w:t>
            </w:r>
            <w:r>
              <w:rPr>
                <w:rFonts w:hint="default" w:ascii="Times New Roman" w:hAnsi="Times New Roman" w:eastAsia="宋体" w:cs="Times New Roman"/>
                <w:color w:val="auto"/>
                <w:sz w:val="24"/>
                <w:lang w:val="en-US" w:eastAsia="zh-CN"/>
              </w:rPr>
              <w:t>）近期</w:t>
            </w:r>
          </w:p>
          <w:p w14:paraId="5CB0E2C8">
            <w:pPr>
              <w:pStyle w:val="5"/>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ascii="Times New Roman" w:hAnsi="Times New Roman" w:eastAsia="宋体" w:cs="Times New Roman"/>
                <w:color w:val="auto"/>
                <w:sz w:val="24"/>
                <w:lang w:val="en-US" w:eastAsia="zh-CN"/>
              </w:rPr>
            </w:pPr>
            <w:r>
              <w:rPr>
                <w:rFonts w:hint="eastAsia" w:ascii="Times New Roman" w:hAnsi="Times New Roman" w:eastAsia="宋体" w:cs="Times New Roman"/>
                <w:color w:val="auto"/>
                <w:sz w:val="24"/>
                <w:lang w:val="en-US" w:eastAsia="zh-CN"/>
              </w:rPr>
              <w:t>①</w:t>
            </w:r>
            <w:r>
              <w:rPr>
                <w:rFonts w:hint="default" w:ascii="Times New Roman" w:hAnsi="Times New Roman" w:eastAsia="宋体" w:cs="Times New Roman"/>
                <w:color w:val="auto"/>
                <w:sz w:val="24"/>
                <w:lang w:val="en-US" w:eastAsia="zh-CN"/>
              </w:rPr>
              <w:t>废水水量依托可行性分析</w:t>
            </w:r>
          </w:p>
          <w:p w14:paraId="749CAF09">
            <w:pPr>
              <w:pStyle w:val="5"/>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ascii="Times New Roman" w:hAnsi="Times New Roman" w:eastAsia="宋体" w:cs="Times New Roman"/>
                <w:color w:val="auto"/>
                <w:sz w:val="24"/>
                <w:lang w:val="en-US" w:eastAsia="zh-CN"/>
              </w:rPr>
            </w:pPr>
            <w:r>
              <w:rPr>
                <w:rFonts w:hint="eastAsia" w:ascii="Times New Roman" w:hAnsi="Times New Roman" w:eastAsia="宋体" w:cs="Times New Roman"/>
                <w:color w:val="auto"/>
                <w:sz w:val="24"/>
                <w:lang w:val="en-US" w:eastAsia="zh-CN"/>
              </w:rPr>
              <w:t>金山工业园一期一体化污水处理站主要收集园区各企业的生活污水及生产废水，处理工艺为：调节池-厌氧池-缺氧池-好氧池-混凝反应池-斜管沉淀池-生物滤池-紫外消毒-达标排放。接水执行接管标准，出水执行《城镇污水处理厂污染物排放标准》（GB18918-2002）一级A标准，出水排入乐安河。金山工业园污水处理站</w:t>
            </w:r>
            <w:r>
              <w:rPr>
                <w:rFonts w:hint="default" w:ascii="Times New Roman" w:hAnsi="Times New Roman" w:eastAsia="宋体" w:cs="Times New Roman"/>
                <w:color w:val="auto"/>
                <w:sz w:val="24"/>
                <w:lang w:val="en-US" w:eastAsia="zh-CN"/>
              </w:rPr>
              <w:t>目前</w:t>
            </w:r>
            <w:r>
              <w:rPr>
                <w:rFonts w:hint="eastAsia" w:ascii="Times New Roman" w:hAnsi="Times New Roman" w:eastAsia="宋体" w:cs="Times New Roman"/>
                <w:color w:val="auto"/>
                <w:sz w:val="24"/>
                <w:lang w:val="en-US" w:eastAsia="zh-CN"/>
              </w:rPr>
              <w:t>污水处理规模500m</w:t>
            </w:r>
            <w:r>
              <w:rPr>
                <w:rFonts w:hint="eastAsia" w:ascii="Times New Roman" w:hAnsi="Times New Roman" w:eastAsia="宋体" w:cs="Times New Roman"/>
                <w:color w:val="auto"/>
                <w:sz w:val="24"/>
                <w:vertAlign w:val="superscript"/>
                <w:lang w:val="en-US" w:eastAsia="zh-CN"/>
              </w:rPr>
              <w:t>3</w:t>
            </w:r>
            <w:r>
              <w:rPr>
                <w:rFonts w:hint="eastAsia" w:ascii="Times New Roman" w:hAnsi="Times New Roman" w:eastAsia="宋体" w:cs="Times New Roman"/>
                <w:color w:val="auto"/>
                <w:sz w:val="24"/>
                <w:lang w:val="en-US" w:eastAsia="zh-CN"/>
              </w:rPr>
              <w:t>/d，剩余处理能力为150m</w:t>
            </w:r>
            <w:r>
              <w:rPr>
                <w:rFonts w:hint="eastAsia" w:ascii="Times New Roman" w:hAnsi="Times New Roman" w:eastAsia="宋体" w:cs="Times New Roman"/>
                <w:color w:val="auto"/>
                <w:sz w:val="24"/>
                <w:vertAlign w:val="superscript"/>
                <w:lang w:val="en-US" w:eastAsia="zh-CN"/>
              </w:rPr>
              <w:t>3</w:t>
            </w:r>
            <w:r>
              <w:rPr>
                <w:rFonts w:hint="eastAsia" w:ascii="Times New Roman" w:hAnsi="Times New Roman" w:eastAsia="宋体" w:cs="Times New Roman"/>
                <w:color w:val="auto"/>
                <w:sz w:val="24"/>
                <w:lang w:val="en-US" w:eastAsia="zh-CN"/>
              </w:rPr>
              <w:t>/d，</w:t>
            </w:r>
            <w:r>
              <w:rPr>
                <w:rFonts w:hint="default" w:ascii="Times New Roman" w:hAnsi="Times New Roman" w:eastAsia="宋体" w:cs="Times New Roman"/>
                <w:color w:val="auto"/>
                <w:sz w:val="24"/>
                <w:lang w:val="en-US" w:eastAsia="zh-CN"/>
              </w:rPr>
              <w:t>本项目污水排放量</w:t>
            </w:r>
            <w:r>
              <w:rPr>
                <w:rFonts w:hint="eastAsia" w:ascii="Times New Roman" w:hAnsi="Times New Roman" w:eastAsia="宋体" w:cs="Times New Roman"/>
                <w:color w:val="auto"/>
                <w:sz w:val="24"/>
                <w:lang w:val="en-US" w:eastAsia="zh-CN"/>
              </w:rPr>
              <w:t>约为64</w:t>
            </w:r>
            <w:r>
              <w:rPr>
                <w:rFonts w:hint="default" w:ascii="Times New Roman" w:hAnsi="Times New Roman" w:eastAsia="宋体" w:cs="Times New Roman"/>
                <w:color w:val="auto"/>
                <w:sz w:val="24"/>
                <w:lang w:val="en-US" w:eastAsia="zh-CN"/>
              </w:rPr>
              <w:t>t/d，占</w:t>
            </w:r>
            <w:r>
              <w:rPr>
                <w:rFonts w:hint="eastAsia" w:ascii="Times New Roman" w:hAnsi="Times New Roman" w:eastAsia="宋体" w:cs="Times New Roman"/>
                <w:color w:val="auto"/>
                <w:sz w:val="24"/>
                <w:lang w:val="en-US" w:eastAsia="zh-CN"/>
              </w:rPr>
              <w:t>剩余处理</w:t>
            </w:r>
            <w:r>
              <w:rPr>
                <w:rFonts w:hint="default" w:ascii="Times New Roman" w:hAnsi="Times New Roman" w:eastAsia="宋体" w:cs="Times New Roman"/>
                <w:color w:val="auto"/>
                <w:sz w:val="24"/>
                <w:lang w:val="en-US" w:eastAsia="zh-CN"/>
              </w:rPr>
              <w:t>水量的</w:t>
            </w:r>
            <w:r>
              <w:rPr>
                <w:rFonts w:hint="eastAsia" w:ascii="Times New Roman" w:hAnsi="Times New Roman" w:eastAsia="宋体" w:cs="Times New Roman"/>
                <w:color w:val="auto"/>
                <w:sz w:val="24"/>
                <w:lang w:val="en-US" w:eastAsia="zh-CN"/>
              </w:rPr>
              <w:t>42.67%</w:t>
            </w:r>
            <w:r>
              <w:rPr>
                <w:rFonts w:hint="default" w:ascii="Times New Roman" w:hAnsi="Times New Roman" w:eastAsia="宋体" w:cs="Times New Roman"/>
                <w:color w:val="auto"/>
                <w:sz w:val="24"/>
                <w:lang w:val="en-US" w:eastAsia="zh-CN"/>
              </w:rPr>
              <w:t>。本项目废水不会对</w:t>
            </w:r>
            <w:r>
              <w:rPr>
                <w:rFonts w:hint="eastAsia" w:ascii="Times New Roman" w:hAnsi="Times New Roman" w:eastAsia="宋体" w:cs="Times New Roman"/>
                <w:color w:val="auto"/>
                <w:sz w:val="24"/>
                <w:lang w:val="en-US" w:eastAsia="zh-CN"/>
              </w:rPr>
              <w:t>乐平市金山工业园一期污水处理站</w:t>
            </w:r>
            <w:r>
              <w:rPr>
                <w:rFonts w:hint="default" w:ascii="Times New Roman" w:hAnsi="Times New Roman" w:eastAsia="宋体" w:cs="Times New Roman"/>
                <w:color w:val="auto"/>
                <w:sz w:val="24"/>
                <w:lang w:val="en-US" w:eastAsia="zh-CN"/>
              </w:rPr>
              <w:t>处理工艺带来较大冲击，该污水处理</w:t>
            </w:r>
            <w:r>
              <w:rPr>
                <w:rFonts w:hint="eastAsia" w:ascii="Times New Roman" w:hAnsi="Times New Roman" w:eastAsia="宋体" w:cs="Times New Roman"/>
                <w:color w:val="auto"/>
                <w:sz w:val="24"/>
                <w:lang w:val="en-US" w:eastAsia="zh-CN"/>
              </w:rPr>
              <w:t>站</w:t>
            </w:r>
            <w:r>
              <w:rPr>
                <w:rFonts w:hint="default" w:ascii="Times New Roman" w:hAnsi="Times New Roman" w:eastAsia="宋体" w:cs="Times New Roman"/>
                <w:color w:val="auto"/>
                <w:sz w:val="24"/>
                <w:lang w:val="en-US" w:eastAsia="zh-CN"/>
              </w:rPr>
              <w:t>有余量接纳本项目废水。</w:t>
            </w:r>
          </w:p>
          <w:p w14:paraId="29789E27">
            <w:pPr>
              <w:pStyle w:val="5"/>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ascii="Times New Roman" w:hAnsi="Times New Roman" w:eastAsia="宋体" w:cs="Times New Roman"/>
                <w:color w:val="auto"/>
                <w:sz w:val="24"/>
                <w:lang w:val="en-US" w:eastAsia="zh-CN"/>
              </w:rPr>
            </w:pPr>
            <w:r>
              <w:rPr>
                <w:rFonts w:hint="eastAsia" w:ascii="Times New Roman" w:hAnsi="Times New Roman" w:eastAsia="宋体" w:cs="Times New Roman"/>
                <w:color w:val="auto"/>
                <w:sz w:val="24"/>
                <w:lang w:val="en-US" w:eastAsia="zh-CN"/>
              </w:rPr>
              <w:t>②</w:t>
            </w:r>
            <w:r>
              <w:rPr>
                <w:rFonts w:hint="default" w:ascii="Times New Roman" w:hAnsi="Times New Roman" w:eastAsia="宋体" w:cs="Times New Roman"/>
                <w:color w:val="auto"/>
                <w:sz w:val="24"/>
                <w:lang w:val="en-US" w:eastAsia="zh-CN"/>
              </w:rPr>
              <w:t>废水水质接纳可行性分析</w:t>
            </w:r>
          </w:p>
          <w:p w14:paraId="106C0C50">
            <w:pPr>
              <w:pStyle w:val="5"/>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ascii="Times New Roman" w:hAnsi="Times New Roman" w:eastAsia="宋体" w:cs="Times New Roman"/>
                <w:color w:val="auto"/>
                <w:sz w:val="24"/>
                <w:lang w:val="en-US" w:eastAsia="zh-CN"/>
              </w:rPr>
            </w:pPr>
            <w:r>
              <w:rPr>
                <w:rFonts w:hint="default" w:ascii="Times New Roman" w:hAnsi="Times New Roman" w:eastAsia="宋体" w:cs="Times New Roman"/>
                <w:color w:val="auto"/>
                <w:sz w:val="24"/>
                <w:lang w:val="en-US" w:eastAsia="zh-CN"/>
              </w:rPr>
              <w:t>本项目</w:t>
            </w:r>
            <w:r>
              <w:rPr>
                <w:rFonts w:hint="eastAsia" w:ascii="Times New Roman" w:hAnsi="Times New Roman" w:eastAsia="宋体" w:cs="Times New Roman"/>
                <w:color w:val="auto"/>
                <w:sz w:val="24"/>
                <w:lang w:val="en-US" w:eastAsia="zh-CN"/>
              </w:rPr>
              <w:t>生活污水</w:t>
            </w:r>
            <w:r>
              <w:rPr>
                <w:rFonts w:hint="default" w:ascii="Times New Roman" w:hAnsi="Times New Roman" w:eastAsia="宋体" w:cs="Times New Roman"/>
                <w:color w:val="auto"/>
                <w:sz w:val="24"/>
                <w:lang w:val="en-US" w:eastAsia="zh-CN"/>
              </w:rPr>
              <w:t>经处理后，水质能达到</w:t>
            </w:r>
            <w:r>
              <w:rPr>
                <w:rFonts w:hint="eastAsia" w:ascii="Times New Roman" w:hAnsi="Times New Roman" w:eastAsia="宋体" w:cs="Times New Roman"/>
                <w:color w:val="auto"/>
                <w:sz w:val="24"/>
                <w:lang w:val="en-US" w:eastAsia="zh-CN"/>
              </w:rPr>
              <w:t>金山工业园一期污水处理厂</w:t>
            </w:r>
            <w:r>
              <w:rPr>
                <w:rFonts w:hint="default" w:ascii="Times New Roman" w:hAnsi="Times New Roman" w:eastAsia="宋体" w:cs="Times New Roman"/>
                <w:color w:val="auto"/>
                <w:sz w:val="24"/>
                <w:lang w:val="en-US" w:eastAsia="zh-CN"/>
              </w:rPr>
              <w:t>接管标准（COD</w:t>
            </w:r>
            <w:r>
              <w:rPr>
                <w:rFonts w:hint="eastAsia" w:ascii="Times New Roman" w:hAnsi="Times New Roman" w:eastAsia="宋体" w:cs="Times New Roman"/>
                <w:color w:val="auto"/>
                <w:sz w:val="24"/>
                <w:vertAlign w:val="subscript"/>
                <w:lang w:val="en-US" w:eastAsia="zh-CN"/>
              </w:rPr>
              <w:t>Cr</w:t>
            </w:r>
            <w:r>
              <w:rPr>
                <w:rFonts w:hint="default" w:ascii="Times New Roman" w:hAnsi="Times New Roman" w:eastAsia="宋体" w:cs="Times New Roman"/>
                <w:color w:val="auto"/>
                <w:sz w:val="24"/>
                <w:lang w:val="en-US" w:eastAsia="zh-CN"/>
              </w:rPr>
              <w:t>≤</w:t>
            </w:r>
            <w:r>
              <w:rPr>
                <w:rFonts w:hint="eastAsia" w:ascii="Times New Roman" w:hAnsi="Times New Roman" w:eastAsia="宋体" w:cs="Times New Roman"/>
                <w:color w:val="auto"/>
                <w:sz w:val="24"/>
                <w:lang w:val="en-US" w:eastAsia="zh-CN"/>
              </w:rPr>
              <w:t>500</w:t>
            </w:r>
            <w:r>
              <w:rPr>
                <w:rFonts w:hint="default" w:ascii="Times New Roman" w:hAnsi="Times New Roman" w:eastAsia="宋体" w:cs="Times New Roman"/>
                <w:color w:val="auto"/>
                <w:sz w:val="24"/>
                <w:lang w:val="en-US" w:eastAsia="zh-CN"/>
              </w:rPr>
              <w:t>mg/L、BOD</w:t>
            </w:r>
            <w:r>
              <w:rPr>
                <w:rFonts w:hint="eastAsia" w:ascii="Times New Roman" w:hAnsi="Times New Roman" w:eastAsia="宋体" w:cs="Times New Roman"/>
                <w:color w:val="auto"/>
                <w:sz w:val="24"/>
                <w:vertAlign w:val="subscript"/>
                <w:lang w:val="en-US" w:eastAsia="zh-CN"/>
              </w:rPr>
              <w:t>5</w:t>
            </w:r>
            <w:r>
              <w:rPr>
                <w:rFonts w:hint="default" w:ascii="Times New Roman" w:hAnsi="Times New Roman" w:eastAsia="宋体" w:cs="Times New Roman"/>
                <w:color w:val="auto"/>
                <w:sz w:val="24"/>
                <w:lang w:val="en-US" w:eastAsia="zh-CN"/>
              </w:rPr>
              <w:t>≤</w:t>
            </w:r>
            <w:r>
              <w:rPr>
                <w:rFonts w:hint="eastAsia" w:ascii="Times New Roman" w:hAnsi="Times New Roman" w:eastAsia="宋体" w:cs="Times New Roman"/>
                <w:color w:val="auto"/>
                <w:sz w:val="24"/>
                <w:lang w:val="en-US" w:eastAsia="zh-CN"/>
              </w:rPr>
              <w:t>300</w:t>
            </w:r>
            <w:r>
              <w:rPr>
                <w:rFonts w:hint="default" w:ascii="Times New Roman" w:hAnsi="Times New Roman" w:eastAsia="宋体" w:cs="Times New Roman"/>
                <w:color w:val="auto"/>
                <w:sz w:val="24"/>
                <w:lang w:val="en-US" w:eastAsia="zh-CN"/>
              </w:rPr>
              <w:t>mg/L、SS≤</w:t>
            </w:r>
            <w:r>
              <w:rPr>
                <w:rFonts w:hint="eastAsia" w:ascii="Times New Roman" w:hAnsi="Times New Roman" w:eastAsia="宋体" w:cs="Times New Roman"/>
                <w:color w:val="auto"/>
                <w:sz w:val="24"/>
                <w:lang w:val="en-US" w:eastAsia="zh-CN"/>
              </w:rPr>
              <w:t>400</w:t>
            </w:r>
            <w:r>
              <w:rPr>
                <w:rFonts w:hint="default" w:ascii="Times New Roman" w:hAnsi="Times New Roman" w:eastAsia="宋体" w:cs="Times New Roman"/>
                <w:color w:val="auto"/>
                <w:sz w:val="24"/>
                <w:lang w:val="en-US" w:eastAsia="zh-CN"/>
              </w:rPr>
              <w:t>mg/L、pH6~9、NH</w:t>
            </w:r>
            <w:r>
              <w:rPr>
                <w:rFonts w:hint="default" w:ascii="Times New Roman" w:hAnsi="Times New Roman" w:eastAsia="宋体" w:cs="Times New Roman"/>
                <w:color w:val="auto"/>
                <w:sz w:val="24"/>
                <w:vertAlign w:val="subscript"/>
                <w:lang w:val="en-US" w:eastAsia="zh-CN"/>
              </w:rPr>
              <w:t>3</w:t>
            </w:r>
            <w:r>
              <w:rPr>
                <w:rFonts w:hint="default" w:ascii="Times New Roman" w:hAnsi="Times New Roman" w:eastAsia="宋体" w:cs="Times New Roman"/>
                <w:color w:val="auto"/>
                <w:sz w:val="24"/>
                <w:lang w:val="en-US" w:eastAsia="zh-CN"/>
              </w:rPr>
              <w:t>-N≤</w:t>
            </w:r>
            <w:r>
              <w:rPr>
                <w:rFonts w:hint="eastAsia" w:ascii="Times New Roman" w:hAnsi="Times New Roman" w:eastAsia="宋体" w:cs="Times New Roman"/>
                <w:color w:val="auto"/>
                <w:sz w:val="24"/>
                <w:lang w:val="en-US" w:eastAsia="zh-CN"/>
              </w:rPr>
              <w:t>50</w:t>
            </w:r>
            <w:r>
              <w:rPr>
                <w:rFonts w:hint="default" w:ascii="Times New Roman" w:hAnsi="Times New Roman" w:eastAsia="宋体" w:cs="Times New Roman"/>
                <w:color w:val="auto"/>
                <w:sz w:val="24"/>
                <w:lang w:val="en-US" w:eastAsia="zh-CN"/>
              </w:rPr>
              <w:t>mg/L</w:t>
            </w:r>
            <w:r>
              <w:rPr>
                <w:rFonts w:hint="eastAsia" w:ascii="Times New Roman" w:hAnsi="Times New Roman" w:eastAsia="宋体" w:cs="Times New Roman"/>
                <w:color w:val="auto"/>
                <w:sz w:val="24"/>
                <w:lang w:val="en-US" w:eastAsia="zh-CN"/>
              </w:rPr>
              <w:t>、TP</w:t>
            </w:r>
            <w:r>
              <w:rPr>
                <w:rFonts w:hint="default" w:ascii="Times New Roman" w:hAnsi="Times New Roman" w:eastAsia="宋体" w:cs="Times New Roman"/>
                <w:color w:val="auto"/>
                <w:sz w:val="24"/>
                <w:lang w:val="en-US" w:eastAsia="zh-CN"/>
              </w:rPr>
              <w:t>≤</w:t>
            </w:r>
            <w:r>
              <w:rPr>
                <w:rFonts w:hint="eastAsia" w:ascii="Times New Roman" w:hAnsi="Times New Roman" w:eastAsia="宋体" w:cs="Times New Roman"/>
                <w:color w:val="auto"/>
                <w:sz w:val="24"/>
                <w:lang w:val="en-US" w:eastAsia="zh-CN"/>
              </w:rPr>
              <w:t>8</w:t>
            </w:r>
            <w:r>
              <w:rPr>
                <w:rFonts w:hint="default" w:ascii="Times New Roman" w:hAnsi="Times New Roman" w:eastAsia="宋体" w:cs="Times New Roman"/>
                <w:color w:val="auto"/>
                <w:sz w:val="24"/>
                <w:lang w:val="en-US" w:eastAsia="zh-CN"/>
              </w:rPr>
              <w:t>mg/L</w:t>
            </w:r>
            <w:r>
              <w:rPr>
                <w:rFonts w:hint="eastAsia" w:ascii="Times New Roman" w:hAnsi="Times New Roman" w:eastAsia="宋体" w:cs="Times New Roman"/>
                <w:color w:val="auto"/>
                <w:sz w:val="24"/>
                <w:lang w:val="en-US" w:eastAsia="zh-CN"/>
              </w:rPr>
              <w:t>、动植物油</w:t>
            </w:r>
            <w:r>
              <w:rPr>
                <w:rFonts w:hint="default" w:ascii="Times New Roman" w:hAnsi="Times New Roman" w:eastAsia="宋体" w:cs="Times New Roman"/>
                <w:color w:val="auto"/>
                <w:sz w:val="24"/>
                <w:lang w:val="en-US" w:eastAsia="zh-CN"/>
              </w:rPr>
              <w:t>≤</w:t>
            </w:r>
            <w:r>
              <w:rPr>
                <w:rFonts w:hint="eastAsia" w:ascii="Times New Roman" w:hAnsi="Times New Roman" w:eastAsia="宋体" w:cs="Times New Roman"/>
                <w:color w:val="auto"/>
                <w:sz w:val="24"/>
                <w:lang w:val="en-US" w:eastAsia="zh-CN"/>
              </w:rPr>
              <w:t>100</w:t>
            </w:r>
            <w:r>
              <w:rPr>
                <w:rFonts w:hint="default" w:ascii="Times New Roman" w:hAnsi="Times New Roman" w:eastAsia="宋体" w:cs="Times New Roman"/>
                <w:color w:val="auto"/>
                <w:sz w:val="24"/>
                <w:lang w:val="en-US" w:eastAsia="zh-CN"/>
              </w:rPr>
              <w:t>mg/L），符合接管要求。</w:t>
            </w:r>
          </w:p>
          <w:p w14:paraId="69347372">
            <w:pPr>
              <w:pStyle w:val="5"/>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ascii="Times New Roman" w:hAnsi="Times New Roman" w:eastAsia="宋体" w:cs="Times New Roman"/>
                <w:color w:val="auto"/>
                <w:sz w:val="24"/>
                <w:lang w:val="en-US" w:eastAsia="zh-CN"/>
              </w:rPr>
            </w:pPr>
            <w:r>
              <w:rPr>
                <w:rFonts w:hint="eastAsia" w:ascii="Times New Roman" w:hAnsi="Times New Roman" w:eastAsia="宋体" w:cs="Times New Roman"/>
                <w:color w:val="auto"/>
                <w:sz w:val="24"/>
                <w:lang w:val="en-US" w:eastAsia="zh-CN"/>
              </w:rPr>
              <w:t>③管网配套可行性</w:t>
            </w:r>
          </w:p>
          <w:p w14:paraId="1C003D57">
            <w:pPr>
              <w:pStyle w:val="5"/>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ascii="Times New Roman" w:hAnsi="Times New Roman" w:eastAsia="宋体" w:cs="Times New Roman"/>
                <w:color w:val="auto"/>
                <w:sz w:val="24"/>
                <w:lang w:val="en-US" w:eastAsia="zh-CN"/>
              </w:rPr>
            </w:pPr>
            <w:r>
              <w:rPr>
                <w:rFonts w:hint="eastAsia" w:ascii="Times New Roman" w:hAnsi="Times New Roman" w:eastAsia="宋体" w:cs="Times New Roman"/>
                <w:color w:val="auto"/>
                <w:sz w:val="24"/>
                <w:lang w:val="en-US" w:eastAsia="zh-CN"/>
              </w:rPr>
              <w:t>项目处于金山工业园一期污水处理站纳污范围内，且管网已经铺设完毕</w:t>
            </w:r>
            <w:r>
              <w:rPr>
                <w:rFonts w:hint="default" w:ascii="Times New Roman" w:hAnsi="Times New Roman" w:eastAsia="宋体" w:cs="Times New Roman"/>
                <w:color w:val="auto"/>
                <w:sz w:val="24"/>
                <w:lang w:val="en-US" w:eastAsia="zh-CN"/>
              </w:rPr>
              <w:t>。因此，本项目</w:t>
            </w:r>
            <w:r>
              <w:rPr>
                <w:rFonts w:hint="eastAsia" w:ascii="Times New Roman" w:hAnsi="Times New Roman" w:eastAsia="宋体" w:cs="Times New Roman"/>
                <w:color w:val="auto"/>
                <w:sz w:val="24"/>
                <w:lang w:val="en-US" w:eastAsia="zh-CN"/>
              </w:rPr>
              <w:t>生活污水进</w:t>
            </w:r>
            <w:r>
              <w:rPr>
                <w:rFonts w:hint="default" w:ascii="Times New Roman" w:hAnsi="Times New Roman" w:eastAsia="宋体" w:cs="Times New Roman"/>
                <w:color w:val="auto"/>
                <w:sz w:val="24"/>
                <w:lang w:val="en-US" w:eastAsia="zh-CN"/>
              </w:rPr>
              <w:t>入</w:t>
            </w:r>
            <w:r>
              <w:rPr>
                <w:rFonts w:hint="eastAsia" w:ascii="Times New Roman" w:hAnsi="Times New Roman" w:eastAsia="宋体" w:cs="Times New Roman"/>
                <w:color w:val="auto"/>
                <w:sz w:val="24"/>
                <w:lang w:val="en-US" w:eastAsia="zh-CN"/>
              </w:rPr>
              <w:t>乐平市金山工业园一期污水处理站</w:t>
            </w:r>
            <w:r>
              <w:rPr>
                <w:rFonts w:hint="default" w:ascii="Times New Roman" w:hAnsi="Times New Roman" w:eastAsia="宋体" w:cs="Times New Roman"/>
                <w:color w:val="auto"/>
                <w:sz w:val="24"/>
                <w:lang w:val="en-US" w:eastAsia="zh-CN"/>
              </w:rPr>
              <w:t>集中处理是可行的</w:t>
            </w:r>
            <w:r>
              <w:rPr>
                <w:rFonts w:hint="eastAsia" w:ascii="Times New Roman" w:hAnsi="Times New Roman" w:eastAsia="宋体" w:cs="Times New Roman"/>
                <w:color w:val="auto"/>
                <w:sz w:val="24"/>
                <w:lang w:val="en-US" w:eastAsia="zh-CN"/>
              </w:rPr>
              <w:t>。</w:t>
            </w:r>
          </w:p>
          <w:p w14:paraId="08741AC4">
            <w:pPr>
              <w:pStyle w:val="5"/>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ascii="Times New Roman" w:hAnsi="Times New Roman" w:eastAsia="宋体" w:cs="Times New Roman"/>
                <w:color w:val="auto"/>
                <w:sz w:val="24"/>
                <w:lang w:val="en-US" w:eastAsia="zh-CN"/>
              </w:rPr>
            </w:pPr>
            <w:r>
              <w:rPr>
                <w:rFonts w:hint="default" w:ascii="Times New Roman" w:hAnsi="Times New Roman" w:eastAsia="宋体" w:cs="Times New Roman"/>
                <w:color w:val="auto"/>
                <w:sz w:val="24"/>
                <w:lang w:val="en-US" w:eastAsia="zh-CN"/>
              </w:rPr>
              <w:t>2）远期</w:t>
            </w:r>
          </w:p>
          <w:p w14:paraId="14BDD466">
            <w:pPr>
              <w:pStyle w:val="5"/>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ascii="Times New Roman" w:hAnsi="Times New Roman" w:eastAsia="宋体" w:cs="Times New Roman"/>
                <w:color w:val="auto"/>
                <w:sz w:val="24"/>
                <w:lang w:val="en-US" w:eastAsia="zh-CN"/>
              </w:rPr>
            </w:pPr>
            <w:r>
              <w:rPr>
                <w:rFonts w:hint="default" w:ascii="Times New Roman" w:hAnsi="Times New Roman" w:eastAsia="宋体" w:cs="Times New Roman"/>
                <w:color w:val="auto"/>
                <w:sz w:val="24"/>
                <w:lang w:val="en-US" w:eastAsia="zh-CN"/>
              </w:rPr>
              <w:t>根据规划环评，金山污水处理厂初步选址位于吴乐线和金环路西南侧，近期（2025年）设计规模1万t/d，尾水排放执行《城镇污水处理厂污染物排放标准》（GB18918-2002）一级A标准。本项目生活污水废水量为</w:t>
            </w:r>
            <w:r>
              <w:rPr>
                <w:rFonts w:hint="eastAsia" w:ascii="Times New Roman" w:hAnsi="Times New Roman" w:eastAsia="宋体" w:cs="Times New Roman"/>
                <w:color w:val="auto"/>
                <w:sz w:val="24"/>
                <w:lang w:val="en-US" w:eastAsia="zh-CN"/>
              </w:rPr>
              <w:t>64</w:t>
            </w:r>
            <w:r>
              <w:rPr>
                <w:rFonts w:hint="default" w:ascii="Times New Roman" w:hAnsi="Times New Roman" w:eastAsia="宋体" w:cs="Times New Roman"/>
                <w:color w:val="auto"/>
                <w:sz w:val="24"/>
                <w:lang w:val="en-US" w:eastAsia="zh-CN"/>
              </w:rPr>
              <w:t>m</w:t>
            </w:r>
            <w:r>
              <w:rPr>
                <w:rFonts w:hint="default" w:ascii="Times New Roman" w:hAnsi="Times New Roman" w:eastAsia="宋体" w:cs="Times New Roman"/>
                <w:color w:val="auto"/>
                <w:sz w:val="24"/>
                <w:vertAlign w:val="superscript"/>
                <w:lang w:val="en-US" w:eastAsia="zh-CN"/>
              </w:rPr>
              <w:t>3</w:t>
            </w:r>
            <w:r>
              <w:rPr>
                <w:rFonts w:hint="default" w:ascii="Times New Roman" w:hAnsi="Times New Roman" w:eastAsia="宋体" w:cs="Times New Roman"/>
                <w:color w:val="auto"/>
                <w:sz w:val="24"/>
                <w:lang w:val="en-US" w:eastAsia="zh-CN"/>
              </w:rPr>
              <w:t>/d，仅占该污水处理厂近期（2011-2030年）污水处理规模的0.</w:t>
            </w:r>
            <w:r>
              <w:rPr>
                <w:rFonts w:hint="eastAsia" w:ascii="Times New Roman" w:hAnsi="Times New Roman" w:eastAsia="宋体" w:cs="Times New Roman"/>
                <w:color w:val="auto"/>
                <w:sz w:val="24"/>
                <w:lang w:val="en-US" w:eastAsia="zh-CN"/>
              </w:rPr>
              <w:t>64</w:t>
            </w:r>
            <w:r>
              <w:rPr>
                <w:rFonts w:hint="default" w:ascii="Times New Roman" w:hAnsi="Times New Roman" w:eastAsia="宋体" w:cs="Times New Roman"/>
                <w:color w:val="auto"/>
                <w:sz w:val="24"/>
                <w:lang w:val="en-US" w:eastAsia="zh-CN"/>
              </w:rPr>
              <w:t>%，金山污水处理厂完全有能力容纳项目废水。</w:t>
            </w:r>
          </w:p>
          <w:p w14:paraId="2E3FE68F">
            <w:pPr>
              <w:pStyle w:val="5"/>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ascii="Times New Roman" w:hAnsi="Times New Roman" w:eastAsia="宋体" w:cs="Times New Roman"/>
                <w:color w:val="auto"/>
                <w:sz w:val="24"/>
                <w:lang w:val="en-US" w:eastAsia="zh-CN"/>
              </w:rPr>
            </w:pPr>
            <w:r>
              <w:rPr>
                <w:rFonts w:hint="default" w:ascii="Times New Roman" w:hAnsi="Times New Roman" w:eastAsia="宋体" w:cs="Times New Roman"/>
                <w:color w:val="auto"/>
                <w:sz w:val="24"/>
                <w:lang w:val="en-US" w:eastAsia="zh-CN"/>
              </w:rPr>
              <w:t>目前相关工程正在规划设计阶段，暂未选址。</w:t>
            </w:r>
          </w:p>
          <w:p w14:paraId="75431C77">
            <w:pPr>
              <w:pStyle w:val="5"/>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ascii="Times New Roman" w:hAnsi="Times New Roman" w:eastAsia="宋体" w:cs="Times New Roman"/>
                <w:color w:val="auto"/>
                <w:sz w:val="24"/>
                <w:lang w:val="en-US" w:eastAsia="zh-CN"/>
              </w:rPr>
            </w:pPr>
            <w:r>
              <w:rPr>
                <w:rFonts w:hint="default" w:ascii="Times New Roman" w:hAnsi="Times New Roman" w:eastAsia="宋体" w:cs="Times New Roman"/>
                <w:color w:val="auto"/>
                <w:sz w:val="24"/>
                <w:lang w:val="en-US" w:eastAsia="zh-CN"/>
              </w:rPr>
              <w:t>①从水质角度分析</w:t>
            </w:r>
          </w:p>
          <w:p w14:paraId="7E1547E0">
            <w:pPr>
              <w:pStyle w:val="5"/>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ascii="Times New Roman" w:hAnsi="Times New Roman" w:eastAsia="宋体" w:cs="Times New Roman"/>
                <w:color w:val="auto"/>
                <w:sz w:val="24"/>
                <w:lang w:val="en-US" w:eastAsia="zh-CN"/>
              </w:rPr>
            </w:pPr>
            <w:r>
              <w:rPr>
                <w:rFonts w:hint="default" w:ascii="Times New Roman" w:hAnsi="Times New Roman" w:eastAsia="宋体" w:cs="Times New Roman"/>
                <w:color w:val="auto"/>
                <w:sz w:val="24"/>
                <w:lang w:val="en-US" w:eastAsia="zh-CN"/>
              </w:rPr>
              <w:t>本项目纳管排放的废水为生活污水，</w:t>
            </w:r>
            <w:r>
              <w:rPr>
                <w:rFonts w:hint="eastAsia" w:ascii="Times New Roman" w:hAnsi="Times New Roman" w:eastAsia="宋体" w:cs="Times New Roman"/>
                <w:color w:val="auto"/>
                <w:sz w:val="24"/>
                <w:lang w:val="en-US" w:eastAsia="zh-CN"/>
              </w:rPr>
              <w:t>主要</w:t>
            </w:r>
            <w:r>
              <w:rPr>
                <w:rFonts w:hint="default" w:ascii="Times New Roman" w:hAnsi="Times New Roman" w:eastAsia="宋体" w:cs="Times New Roman"/>
                <w:color w:val="auto"/>
                <w:sz w:val="24"/>
                <w:lang w:val="en-US" w:eastAsia="zh-CN"/>
              </w:rPr>
              <w:t>污染物为COD</w:t>
            </w:r>
            <w:r>
              <w:rPr>
                <w:rFonts w:hint="default" w:ascii="Times New Roman" w:hAnsi="Times New Roman" w:eastAsia="宋体" w:cs="Times New Roman"/>
                <w:color w:val="auto"/>
                <w:sz w:val="24"/>
                <w:vertAlign w:val="subscript"/>
                <w:lang w:val="en-US" w:eastAsia="zh-CN"/>
              </w:rPr>
              <w:t>Cr</w:t>
            </w:r>
            <w:r>
              <w:rPr>
                <w:rFonts w:hint="default" w:ascii="Times New Roman" w:hAnsi="Times New Roman" w:eastAsia="宋体" w:cs="Times New Roman"/>
                <w:color w:val="auto"/>
                <w:sz w:val="24"/>
                <w:lang w:val="en-US" w:eastAsia="zh-CN"/>
              </w:rPr>
              <w:t>、BOD</w:t>
            </w:r>
            <w:r>
              <w:rPr>
                <w:rFonts w:hint="default" w:ascii="Times New Roman" w:hAnsi="Times New Roman" w:eastAsia="宋体" w:cs="Times New Roman"/>
                <w:color w:val="auto"/>
                <w:sz w:val="24"/>
                <w:vertAlign w:val="subscript"/>
                <w:lang w:val="en-US" w:eastAsia="zh-CN"/>
              </w:rPr>
              <w:t>5</w:t>
            </w:r>
            <w:r>
              <w:rPr>
                <w:rFonts w:hint="default" w:ascii="Times New Roman" w:hAnsi="Times New Roman" w:eastAsia="宋体" w:cs="Times New Roman"/>
                <w:color w:val="auto"/>
                <w:sz w:val="24"/>
                <w:lang w:val="en-US" w:eastAsia="zh-CN"/>
              </w:rPr>
              <w:t>、SS、NH</w:t>
            </w:r>
            <w:r>
              <w:rPr>
                <w:rFonts w:hint="default" w:ascii="Times New Roman" w:hAnsi="Times New Roman" w:eastAsia="宋体" w:cs="Times New Roman"/>
                <w:color w:val="auto"/>
                <w:sz w:val="24"/>
                <w:vertAlign w:val="subscript"/>
                <w:lang w:val="en-US" w:eastAsia="zh-CN"/>
              </w:rPr>
              <w:t>3</w:t>
            </w:r>
            <w:r>
              <w:rPr>
                <w:rFonts w:hint="default" w:ascii="Times New Roman" w:hAnsi="Times New Roman" w:eastAsia="宋体" w:cs="Times New Roman"/>
                <w:color w:val="auto"/>
                <w:sz w:val="24"/>
                <w:lang w:val="en-US" w:eastAsia="zh-CN"/>
              </w:rPr>
              <w:t>-N、TP</w:t>
            </w:r>
            <w:r>
              <w:rPr>
                <w:rFonts w:hint="eastAsia" w:ascii="Times New Roman" w:hAnsi="Times New Roman" w:eastAsia="宋体" w:cs="Times New Roman"/>
                <w:color w:val="auto"/>
                <w:sz w:val="24"/>
                <w:lang w:val="en-US" w:eastAsia="zh-CN"/>
              </w:rPr>
              <w:t>、动植物油</w:t>
            </w:r>
            <w:r>
              <w:rPr>
                <w:rFonts w:hint="default" w:ascii="Times New Roman" w:hAnsi="Times New Roman" w:eastAsia="宋体" w:cs="Times New Roman"/>
                <w:color w:val="auto"/>
                <w:sz w:val="24"/>
                <w:lang w:val="en-US" w:eastAsia="zh-CN"/>
              </w:rPr>
              <w:t>，水质较简单，生活污水经化粪池预处理后能够满足金山工业园污水处理厂接管标准。因此，从水质角度分析，项目废水处置可行。</w:t>
            </w:r>
          </w:p>
          <w:p w14:paraId="4BC26B55">
            <w:pPr>
              <w:pStyle w:val="5"/>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ascii="Times New Roman" w:hAnsi="Times New Roman" w:eastAsia="宋体" w:cs="Times New Roman"/>
                <w:color w:val="auto"/>
                <w:sz w:val="24"/>
                <w:lang w:val="en-US" w:eastAsia="zh-CN"/>
              </w:rPr>
            </w:pPr>
            <w:r>
              <w:rPr>
                <w:rFonts w:hint="default" w:ascii="Times New Roman" w:hAnsi="Times New Roman" w:eastAsia="宋体" w:cs="Times New Roman"/>
                <w:color w:val="auto"/>
                <w:sz w:val="24"/>
                <w:lang w:val="en-US" w:eastAsia="zh-CN"/>
              </w:rPr>
              <w:t>②从纳污管网角度分析</w:t>
            </w:r>
          </w:p>
          <w:p w14:paraId="11BE4F6D">
            <w:pPr>
              <w:pStyle w:val="5"/>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ascii="Times New Roman" w:hAnsi="Times New Roman" w:eastAsia="宋体" w:cs="Times New Roman"/>
                <w:color w:val="auto"/>
                <w:sz w:val="24"/>
                <w:lang w:val="en-US" w:eastAsia="zh-CN"/>
              </w:rPr>
            </w:pPr>
            <w:r>
              <w:rPr>
                <w:rFonts w:hint="default" w:ascii="Times New Roman" w:hAnsi="Times New Roman" w:eastAsia="宋体" w:cs="Times New Roman"/>
                <w:color w:val="auto"/>
                <w:sz w:val="24"/>
                <w:lang w:val="en-US" w:eastAsia="zh-CN"/>
              </w:rPr>
              <w:t>项目位于景德镇市乐平市金山工业园内，项目所在区域污水管网</w:t>
            </w:r>
            <w:r>
              <w:rPr>
                <w:rFonts w:hint="eastAsia" w:ascii="Times New Roman" w:hAnsi="Times New Roman" w:eastAsia="宋体" w:cs="Times New Roman"/>
                <w:color w:val="auto"/>
                <w:sz w:val="24"/>
                <w:lang w:val="en-US" w:eastAsia="zh-CN"/>
              </w:rPr>
              <w:t>已建设完成</w:t>
            </w:r>
            <w:r>
              <w:rPr>
                <w:rFonts w:hint="default" w:ascii="Times New Roman" w:hAnsi="Times New Roman" w:eastAsia="宋体" w:cs="Times New Roman"/>
                <w:color w:val="auto"/>
                <w:sz w:val="24"/>
                <w:lang w:val="en-US" w:eastAsia="zh-CN"/>
              </w:rPr>
              <w:t>，待</w:t>
            </w:r>
            <w:r>
              <w:rPr>
                <w:rFonts w:hint="eastAsia" w:ascii="Times New Roman" w:hAnsi="Times New Roman" w:eastAsia="宋体" w:cs="Times New Roman"/>
                <w:color w:val="auto"/>
                <w:sz w:val="24"/>
                <w:lang w:val="en-US" w:eastAsia="zh-CN"/>
              </w:rPr>
              <w:t>金山污水处理厂</w:t>
            </w:r>
            <w:r>
              <w:rPr>
                <w:rFonts w:hint="default" w:ascii="Times New Roman" w:hAnsi="Times New Roman" w:eastAsia="宋体" w:cs="Times New Roman"/>
                <w:color w:val="auto"/>
                <w:sz w:val="24"/>
                <w:lang w:val="en-US" w:eastAsia="zh-CN"/>
              </w:rPr>
              <w:t>投产时可</w:t>
            </w:r>
            <w:r>
              <w:rPr>
                <w:rFonts w:hint="eastAsia" w:ascii="Times New Roman" w:hAnsi="Times New Roman" w:eastAsia="宋体" w:cs="Times New Roman"/>
                <w:color w:val="auto"/>
                <w:sz w:val="24"/>
                <w:lang w:val="en-US" w:eastAsia="zh-CN"/>
              </w:rPr>
              <w:t>覆盖</w:t>
            </w:r>
            <w:r>
              <w:rPr>
                <w:rFonts w:hint="default" w:ascii="Times New Roman" w:hAnsi="Times New Roman" w:eastAsia="宋体" w:cs="Times New Roman"/>
                <w:color w:val="auto"/>
                <w:sz w:val="24"/>
                <w:lang w:val="en-US" w:eastAsia="zh-CN"/>
              </w:rPr>
              <w:t>本项目区域，能够接纳本项目外排废水。因此，从纳污管网角度分析，本项目外排废水处置方式可行。</w:t>
            </w:r>
          </w:p>
          <w:p w14:paraId="5DCA661B">
            <w:pPr>
              <w:keepNext w:val="0"/>
              <w:keepLines w:val="0"/>
              <w:pageBreakBefore w:val="0"/>
              <w:widowControl w:val="0"/>
              <w:numPr>
                <w:ilvl w:val="0"/>
                <w:numId w:val="8"/>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b w:val="0"/>
                <w:bCs w:val="0"/>
                <w:color w:val="auto"/>
                <w:sz w:val="24"/>
                <w:highlight w:val="none"/>
                <w:lang w:val="en-US" w:eastAsia="zh-CN"/>
              </w:rPr>
            </w:pPr>
            <w:r>
              <w:rPr>
                <w:rFonts w:hint="default" w:ascii="Times New Roman" w:hAnsi="Times New Roman" w:eastAsia="宋体" w:cs="Times New Roman"/>
                <w:b w:val="0"/>
                <w:bCs w:val="0"/>
                <w:color w:val="auto"/>
                <w:sz w:val="24"/>
                <w:highlight w:val="none"/>
                <w:lang w:val="en-US" w:eastAsia="zh-CN"/>
              </w:rPr>
              <w:t>废水监测要求</w:t>
            </w:r>
          </w:p>
          <w:p w14:paraId="101C1682">
            <w:pPr>
              <w:pStyle w:val="5"/>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ascii="Times New Roman" w:hAnsi="Times New Roman"/>
                <w:color w:val="auto"/>
                <w:sz w:val="24"/>
                <w:lang w:val="en-US" w:eastAsia="zh-CN"/>
              </w:rPr>
            </w:pPr>
            <w:r>
              <w:rPr>
                <w:rFonts w:hint="default" w:ascii="Times New Roman" w:hAnsi="Times New Roman"/>
                <w:color w:val="auto"/>
                <w:sz w:val="24"/>
                <w:lang w:val="en-US" w:eastAsia="zh-CN"/>
              </w:rPr>
              <w:t>根据《排污许可证申请与核发技术规范 制鞋工业》（HJ1123-2020），单独排入公共污水处理设施的生活污水可不开展自行监测。因此，本项目无需</w:t>
            </w:r>
            <w:r>
              <w:rPr>
                <w:rFonts w:hint="eastAsia" w:ascii="Times New Roman" w:hAnsi="Times New Roman"/>
                <w:color w:val="auto"/>
                <w:sz w:val="24"/>
                <w:lang w:val="en-US" w:eastAsia="zh-CN"/>
              </w:rPr>
              <w:t>开展</w:t>
            </w:r>
            <w:r>
              <w:rPr>
                <w:rFonts w:hint="default" w:ascii="Times New Roman" w:hAnsi="Times New Roman"/>
                <w:color w:val="auto"/>
                <w:sz w:val="24"/>
                <w:lang w:val="en-US" w:eastAsia="zh-CN"/>
              </w:rPr>
              <w:t>自行监测。</w:t>
            </w:r>
          </w:p>
          <w:p w14:paraId="3D1F6744">
            <w:pPr>
              <w:keepNext w:val="0"/>
              <w:keepLines w:val="0"/>
              <w:pageBreakBefore w:val="0"/>
              <w:widowControl w:val="0"/>
              <w:suppressLineNumbers w:val="0"/>
              <w:kinsoku/>
              <w:wordWrap/>
              <w:overflowPunct/>
              <w:topLinePunct w:val="0"/>
              <w:autoSpaceDE/>
              <w:autoSpaceDN/>
              <w:bidi w:val="0"/>
              <w:spacing w:before="0" w:beforeAutospacing="0" w:after="0" w:afterAutospacing="0" w:line="360" w:lineRule="auto"/>
              <w:ind w:left="0" w:right="0" w:firstLine="482" w:firstLineChars="200"/>
              <w:textAlignment w:val="auto"/>
              <w:rPr>
                <w:rFonts w:hint="default"/>
                <w:b/>
                <w:bCs/>
                <w:color w:val="auto"/>
                <w:sz w:val="24"/>
                <w:highlight w:val="none"/>
              </w:rPr>
            </w:pPr>
            <w:r>
              <w:rPr>
                <w:rFonts w:hint="default"/>
                <w:b/>
                <w:bCs/>
                <w:color w:val="auto"/>
                <w:sz w:val="24"/>
                <w:highlight w:val="none"/>
              </w:rPr>
              <w:t>3</w:t>
            </w:r>
            <w:r>
              <w:rPr>
                <w:rFonts w:hint="eastAsia" w:eastAsia="宋体"/>
                <w:b/>
                <w:bCs/>
                <w:color w:val="auto"/>
                <w:sz w:val="24"/>
                <w:highlight w:val="none"/>
                <w:lang w:eastAsia="zh-CN"/>
              </w:rPr>
              <w:t>、</w:t>
            </w:r>
            <w:r>
              <w:rPr>
                <w:rFonts w:hint="default"/>
                <w:b/>
                <w:bCs/>
                <w:color w:val="auto"/>
                <w:sz w:val="24"/>
                <w:highlight w:val="none"/>
              </w:rPr>
              <w:t>噪声</w:t>
            </w:r>
          </w:p>
          <w:p w14:paraId="55208288">
            <w:pPr>
              <w:keepNext w:val="0"/>
              <w:keepLines w:val="0"/>
              <w:suppressLineNumbers w:val="0"/>
              <w:adjustRightInd w:val="0"/>
              <w:snapToGrid w:val="0"/>
              <w:spacing w:before="0" w:beforeAutospacing="0" w:after="0" w:afterAutospacing="0" w:line="360" w:lineRule="auto"/>
              <w:ind w:left="0" w:right="0" w:firstLine="480" w:firstLineChars="200"/>
              <w:rPr>
                <w:rFonts w:hint="default" w:hAnsi="宋体"/>
                <w:color w:val="auto"/>
                <w:sz w:val="24"/>
                <w:highlight w:val="none"/>
              </w:rPr>
            </w:pPr>
            <w:r>
              <w:rPr>
                <w:rFonts w:hint="eastAsia" w:hAnsi="宋体"/>
                <w:color w:val="auto"/>
                <w:sz w:val="24"/>
                <w:highlight w:val="none"/>
              </w:rPr>
              <w:t>（1）</w:t>
            </w:r>
            <w:r>
              <w:rPr>
                <w:rFonts w:hint="default" w:hAnsi="宋体"/>
                <w:color w:val="auto"/>
                <w:sz w:val="24"/>
                <w:highlight w:val="none"/>
              </w:rPr>
              <w:t>噪声污染源情况</w:t>
            </w:r>
          </w:p>
          <w:p w14:paraId="6E5E355E">
            <w:pPr>
              <w:keepNext w:val="0"/>
              <w:keepLines w:val="0"/>
              <w:suppressLineNumbers w:val="0"/>
              <w:snapToGri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rPr>
            </w:pPr>
            <w:r>
              <w:rPr>
                <w:rFonts w:hint="eastAsia" w:ascii="Times New Roman" w:hAnsi="Times New Roman" w:eastAsia="宋体" w:cs="Times New Roman"/>
                <w:color w:val="auto"/>
                <w:sz w:val="24"/>
                <w:highlight w:val="none"/>
              </w:rPr>
              <w:t>本项目</w:t>
            </w:r>
            <w:r>
              <w:rPr>
                <w:rFonts w:hint="eastAsia" w:ascii="Times New Roman" w:hAnsi="Times New Roman" w:eastAsia="宋体" w:cs="Times New Roman"/>
                <w:color w:val="auto"/>
                <w:sz w:val="24"/>
                <w:highlight w:val="none"/>
                <w:lang w:val="en-US" w:eastAsia="zh-CN"/>
              </w:rPr>
              <w:t>室内</w:t>
            </w:r>
            <w:r>
              <w:rPr>
                <w:rFonts w:hint="eastAsia" w:ascii="Times New Roman" w:hAnsi="Times New Roman" w:eastAsia="宋体" w:cs="Times New Roman"/>
                <w:color w:val="auto"/>
                <w:sz w:val="24"/>
                <w:highlight w:val="none"/>
              </w:rPr>
              <w:t>噪声源主要为</w:t>
            </w:r>
            <w:r>
              <w:rPr>
                <w:rFonts w:hint="eastAsia" w:ascii="Times New Roman" w:hAnsi="Times New Roman" w:eastAsia="宋体" w:cs="Times New Roman"/>
                <w:color w:val="auto"/>
                <w:sz w:val="24"/>
                <w:highlight w:val="none"/>
                <w:lang w:val="en-US" w:eastAsia="zh-CN"/>
              </w:rPr>
              <w:t>注塑圆盘机、</w:t>
            </w:r>
            <w:r>
              <w:rPr>
                <w:rFonts w:hint="eastAsia" w:cs="Times New Roman"/>
                <w:color w:val="auto"/>
                <w:sz w:val="24"/>
                <w:highlight w:val="none"/>
                <w:lang w:val="en-US" w:eastAsia="zh-CN"/>
              </w:rPr>
              <w:t>精雕CNC裁断机</w:t>
            </w:r>
            <w:r>
              <w:rPr>
                <w:rFonts w:hint="eastAsia" w:ascii="Times New Roman" w:hAnsi="Times New Roman" w:eastAsia="宋体" w:cs="Times New Roman"/>
                <w:color w:val="auto"/>
                <w:sz w:val="24"/>
                <w:highlight w:val="none"/>
                <w:lang w:val="en-US" w:eastAsia="zh-CN"/>
              </w:rPr>
              <w:t>、下料机、针车、拔楦机</w:t>
            </w:r>
            <w:r>
              <w:rPr>
                <w:rFonts w:hint="default" w:ascii="Times New Roman" w:hAnsi="Times New Roman" w:eastAsia="宋体" w:cs="Times New Roman"/>
                <w:color w:val="auto"/>
                <w:sz w:val="24"/>
                <w:highlight w:val="none"/>
              </w:rPr>
              <w:t>等</w:t>
            </w:r>
            <w:r>
              <w:rPr>
                <w:rFonts w:hint="eastAsia" w:ascii="Times New Roman" w:hAnsi="Times New Roman" w:eastAsia="宋体" w:cs="Times New Roman"/>
                <w:color w:val="auto"/>
                <w:sz w:val="24"/>
                <w:highlight w:val="none"/>
                <w:lang w:val="en-US" w:eastAsia="zh-CN"/>
              </w:rPr>
              <w:t>机械</w:t>
            </w:r>
            <w:r>
              <w:rPr>
                <w:rFonts w:hint="default" w:ascii="Times New Roman" w:hAnsi="Times New Roman" w:eastAsia="宋体" w:cs="Times New Roman"/>
                <w:color w:val="auto"/>
                <w:sz w:val="24"/>
                <w:highlight w:val="none"/>
              </w:rPr>
              <w:t>设备</w:t>
            </w:r>
            <w:r>
              <w:rPr>
                <w:rFonts w:hint="eastAsia" w:ascii="Times New Roman" w:hAnsi="Times New Roman" w:eastAsia="宋体" w:cs="Times New Roman"/>
                <w:color w:val="auto"/>
                <w:sz w:val="24"/>
                <w:highlight w:val="none"/>
              </w:rPr>
              <w:t>，</w:t>
            </w:r>
            <w:r>
              <w:rPr>
                <w:rFonts w:hint="eastAsia" w:cs="Times New Roman"/>
                <w:color w:val="auto"/>
                <w:sz w:val="24"/>
                <w:highlight w:val="none"/>
                <w:lang w:val="en-US" w:eastAsia="zh-CN"/>
              </w:rPr>
              <w:t>根据设备厂商提供的设计资料，</w:t>
            </w:r>
            <w:r>
              <w:rPr>
                <w:rFonts w:hint="eastAsia" w:ascii="Times New Roman" w:hAnsi="Times New Roman" w:eastAsia="宋体" w:cs="Times New Roman"/>
                <w:color w:val="auto"/>
                <w:sz w:val="24"/>
                <w:highlight w:val="none"/>
              </w:rPr>
              <w:t>其等效声级值范围</w:t>
            </w:r>
            <w:r>
              <w:rPr>
                <w:rFonts w:hint="eastAsia" w:ascii="Times New Roman" w:hAnsi="Times New Roman" w:eastAsia="宋体" w:cs="Times New Roman"/>
                <w:color w:val="auto"/>
                <w:sz w:val="24"/>
                <w:highlight w:val="none"/>
                <w:lang w:val="en-US" w:eastAsia="zh-CN"/>
              </w:rPr>
              <w:t>65</w:t>
            </w:r>
            <w:r>
              <w:rPr>
                <w:rFonts w:hint="eastAsia" w:ascii="Times New Roman" w:hAnsi="Times New Roman" w:eastAsia="宋体" w:cs="Times New Roman"/>
                <w:color w:val="auto"/>
                <w:sz w:val="24"/>
                <w:highlight w:val="none"/>
              </w:rPr>
              <w:t>~</w:t>
            </w:r>
            <w:r>
              <w:rPr>
                <w:rFonts w:hint="eastAsia" w:ascii="Times New Roman" w:hAnsi="Times New Roman" w:eastAsia="宋体" w:cs="Times New Roman"/>
                <w:color w:val="auto"/>
                <w:sz w:val="24"/>
                <w:highlight w:val="none"/>
                <w:lang w:val="en-US" w:eastAsia="zh-CN"/>
              </w:rPr>
              <w:t>8</w:t>
            </w:r>
            <w:r>
              <w:rPr>
                <w:rFonts w:hint="eastAsia" w:ascii="Times New Roman" w:hAnsi="Times New Roman" w:eastAsia="宋体" w:cs="Times New Roman"/>
                <w:color w:val="auto"/>
                <w:sz w:val="24"/>
                <w:highlight w:val="none"/>
              </w:rPr>
              <w:t>5dB（A）。通过采取选用满足同一功能的低噪声设备、对所用高噪声设备进行基础减</w:t>
            </w:r>
            <w:r>
              <w:rPr>
                <w:rFonts w:hint="eastAsia" w:ascii="Times New Roman" w:hAnsi="Times New Roman" w:eastAsia="宋体" w:cs="Times New Roman"/>
                <w:color w:val="auto"/>
                <w:sz w:val="24"/>
                <w:highlight w:val="none"/>
                <w:lang w:val="en-US" w:eastAsia="zh-CN"/>
              </w:rPr>
              <w:t>振</w:t>
            </w:r>
            <w:r>
              <w:rPr>
                <w:rFonts w:hint="eastAsia" w:ascii="Times New Roman" w:hAnsi="Times New Roman" w:eastAsia="宋体" w:cs="Times New Roman"/>
                <w:color w:val="auto"/>
                <w:sz w:val="24"/>
                <w:highlight w:val="none"/>
              </w:rPr>
              <w:t>、安装消声器，以及合理布置噪声源等有效降噪措施后，噪声源强在</w:t>
            </w:r>
            <w:r>
              <w:rPr>
                <w:rFonts w:hint="eastAsia" w:ascii="Times New Roman" w:hAnsi="Times New Roman" w:eastAsia="宋体" w:cs="Times New Roman"/>
                <w:color w:val="auto"/>
                <w:sz w:val="24"/>
                <w:highlight w:val="none"/>
                <w:lang w:val="en-US" w:eastAsia="zh-CN"/>
              </w:rPr>
              <w:t>60</w:t>
            </w:r>
            <w:r>
              <w:rPr>
                <w:rFonts w:hint="eastAsia" w:ascii="Times New Roman" w:hAnsi="Times New Roman" w:eastAsia="宋体" w:cs="Times New Roman"/>
                <w:color w:val="auto"/>
                <w:sz w:val="24"/>
                <w:highlight w:val="none"/>
              </w:rPr>
              <w:t>~</w:t>
            </w:r>
            <w:r>
              <w:rPr>
                <w:rFonts w:hint="eastAsia" w:ascii="Times New Roman" w:hAnsi="Times New Roman" w:eastAsia="宋体" w:cs="Times New Roman"/>
                <w:color w:val="auto"/>
                <w:sz w:val="24"/>
                <w:highlight w:val="none"/>
                <w:lang w:val="en-US" w:eastAsia="zh-CN"/>
              </w:rPr>
              <w:t>70</w:t>
            </w:r>
            <w:r>
              <w:rPr>
                <w:rFonts w:hint="eastAsia" w:ascii="Times New Roman" w:hAnsi="Times New Roman" w:eastAsia="宋体" w:cs="Times New Roman"/>
                <w:color w:val="auto"/>
                <w:sz w:val="24"/>
                <w:highlight w:val="none"/>
              </w:rPr>
              <w:t>dB（A）。</w:t>
            </w:r>
          </w:p>
          <w:p w14:paraId="60228BA9">
            <w:pPr>
              <w:keepNext w:val="0"/>
              <w:keepLines w:val="0"/>
              <w:suppressLineNumbers w:val="0"/>
              <w:snapToGri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lang w:val="zh-CN"/>
              </w:rPr>
            </w:pPr>
            <w:r>
              <w:rPr>
                <w:rFonts w:hint="eastAsia" w:ascii="Times New Roman" w:hAnsi="Times New Roman" w:eastAsia="宋体" w:cs="Times New Roman"/>
                <w:color w:val="auto"/>
                <w:sz w:val="24"/>
                <w:highlight w:val="none"/>
                <w:lang w:val="zh-CN" w:eastAsia="zh-CN"/>
              </w:rPr>
              <w:t>根据深圳市交通局统计数据</w:t>
            </w:r>
            <w:r>
              <w:rPr>
                <w:rFonts w:hint="eastAsia" w:ascii="Times New Roman" w:hAnsi="Times New Roman" w:eastAsia="宋体" w:cs="Times New Roman"/>
                <w:color w:val="auto"/>
                <w:sz w:val="24"/>
                <w:highlight w:val="none"/>
                <w:lang w:val="en-US" w:eastAsia="zh-CN"/>
              </w:rPr>
              <w:t>，统计相关车辆段维修车间，应用插入损失指标设计的声屏障使轨道交通噪声降低8-12dB（A），本项目还采取将各类高噪声设备采用减震、消音、隔音装置等不同的措施，因此噪声值可降低值选取12dB（A）。</w:t>
            </w:r>
          </w:p>
          <w:p w14:paraId="42FAD215">
            <w:pPr>
              <w:keepNext w:val="0"/>
              <w:keepLines w:val="0"/>
              <w:suppressLineNumbers w:val="0"/>
              <w:snapToGri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lang w:val="zh-CN"/>
              </w:rPr>
              <w:t>本项目噪声空间相对坐标定义的原点坐标（</w:t>
            </w:r>
            <w:r>
              <w:rPr>
                <w:rFonts w:hint="default" w:ascii="Times New Roman" w:hAnsi="Times New Roman" w:eastAsia="宋体" w:cs="Times New Roman"/>
                <w:color w:val="auto"/>
                <w:sz w:val="24"/>
                <w:highlight w:val="none"/>
              </w:rPr>
              <w:t>0</w:t>
            </w:r>
            <w:r>
              <w:rPr>
                <w:rFonts w:hint="default" w:ascii="Times New Roman" w:hAnsi="Times New Roman" w:eastAsia="宋体" w:cs="Times New Roman"/>
                <w:color w:val="auto"/>
                <w:sz w:val="24"/>
                <w:highlight w:val="none"/>
                <w:lang w:val="zh-CN"/>
              </w:rPr>
              <w:t>，</w:t>
            </w:r>
            <w:r>
              <w:rPr>
                <w:rFonts w:hint="default" w:ascii="Times New Roman" w:hAnsi="Times New Roman" w:eastAsia="宋体" w:cs="Times New Roman"/>
                <w:color w:val="auto"/>
                <w:sz w:val="24"/>
                <w:highlight w:val="none"/>
              </w:rPr>
              <w:t>0</w:t>
            </w:r>
            <w:r>
              <w:rPr>
                <w:rFonts w:hint="default" w:ascii="Times New Roman" w:hAnsi="Times New Roman" w:eastAsia="宋体" w:cs="Times New Roman"/>
                <w:color w:val="auto"/>
                <w:sz w:val="24"/>
                <w:highlight w:val="none"/>
                <w:lang w:val="zh-CN"/>
              </w:rPr>
              <w:t>，</w:t>
            </w:r>
            <w:r>
              <w:rPr>
                <w:rFonts w:hint="default" w:ascii="Times New Roman" w:hAnsi="Times New Roman" w:eastAsia="宋体" w:cs="Times New Roman"/>
                <w:color w:val="auto"/>
                <w:sz w:val="24"/>
                <w:highlight w:val="none"/>
              </w:rPr>
              <w:t>0</w:t>
            </w:r>
            <w:r>
              <w:rPr>
                <w:rFonts w:hint="default" w:ascii="Times New Roman" w:hAnsi="Times New Roman" w:eastAsia="宋体" w:cs="Times New Roman"/>
                <w:color w:val="auto"/>
                <w:sz w:val="24"/>
                <w:highlight w:val="none"/>
                <w:lang w:val="zh-CN"/>
              </w:rPr>
              <w:t>）位于本项目中心位置，三维坐标系中</w:t>
            </w:r>
            <w:r>
              <w:rPr>
                <w:rFonts w:hint="default" w:ascii="Times New Roman" w:hAnsi="Times New Roman" w:eastAsia="宋体" w:cs="Times New Roman"/>
                <w:color w:val="auto"/>
                <w:sz w:val="24"/>
                <w:highlight w:val="none"/>
              </w:rPr>
              <w:t>X</w:t>
            </w:r>
            <w:r>
              <w:rPr>
                <w:rFonts w:hint="default" w:ascii="Times New Roman" w:hAnsi="Times New Roman" w:eastAsia="宋体" w:cs="Times New Roman"/>
                <w:color w:val="auto"/>
                <w:sz w:val="24"/>
                <w:highlight w:val="none"/>
                <w:lang w:val="zh-CN"/>
              </w:rPr>
              <w:t>坐标为东西走向，</w:t>
            </w:r>
            <w:r>
              <w:rPr>
                <w:rFonts w:hint="default" w:ascii="Times New Roman" w:hAnsi="Times New Roman" w:eastAsia="宋体" w:cs="Times New Roman"/>
                <w:color w:val="auto"/>
                <w:sz w:val="24"/>
                <w:highlight w:val="none"/>
              </w:rPr>
              <w:t>Y</w:t>
            </w:r>
            <w:r>
              <w:rPr>
                <w:rFonts w:hint="default" w:ascii="Times New Roman" w:hAnsi="Times New Roman" w:eastAsia="宋体" w:cs="Times New Roman"/>
                <w:color w:val="auto"/>
                <w:sz w:val="24"/>
                <w:highlight w:val="none"/>
                <w:lang w:val="zh-CN"/>
              </w:rPr>
              <w:t>坐标为南北走向，</w:t>
            </w:r>
            <w:r>
              <w:rPr>
                <w:rFonts w:hint="default" w:ascii="Times New Roman" w:hAnsi="Times New Roman" w:eastAsia="宋体" w:cs="Times New Roman"/>
                <w:color w:val="auto"/>
                <w:sz w:val="24"/>
                <w:highlight w:val="none"/>
              </w:rPr>
              <w:t>Z</w:t>
            </w:r>
            <w:r>
              <w:rPr>
                <w:rFonts w:hint="default" w:ascii="Times New Roman" w:hAnsi="Times New Roman" w:eastAsia="宋体" w:cs="Times New Roman"/>
                <w:color w:val="auto"/>
                <w:sz w:val="24"/>
                <w:highlight w:val="none"/>
                <w:lang w:val="zh-CN"/>
              </w:rPr>
              <w:t>坐标垂直于厂区水平地面，原点地理位置坐标为</w:t>
            </w:r>
            <w:r>
              <w:rPr>
                <w:rFonts w:hint="default" w:ascii="Times New Roman" w:hAnsi="Times New Roman" w:eastAsia="宋体" w:cs="Times New Roman"/>
                <w:color w:val="auto"/>
                <w:sz w:val="24"/>
                <w:highlight w:val="none"/>
                <w:lang w:val="zh-CN" w:eastAsia="zh-CN"/>
              </w:rPr>
              <w:t>E117°9′29.243″，N29°0′26.751″</w:t>
            </w:r>
            <w:r>
              <w:rPr>
                <w:rFonts w:hint="default" w:ascii="Times New Roman" w:hAnsi="Times New Roman" w:eastAsia="宋体" w:cs="Times New Roman"/>
                <w:color w:val="auto"/>
                <w:sz w:val="24"/>
                <w:highlight w:val="none"/>
              </w:rPr>
              <w:t>。</w:t>
            </w:r>
            <w:r>
              <w:rPr>
                <w:rFonts w:hint="eastAsia" w:ascii="Times New Roman" w:hAnsi="Times New Roman" w:eastAsia="宋体" w:cs="Times New Roman"/>
                <w:color w:val="auto"/>
                <w:sz w:val="24"/>
                <w:highlight w:val="none"/>
              </w:rPr>
              <w:t>本项目</w:t>
            </w:r>
            <w:r>
              <w:rPr>
                <w:rFonts w:hint="eastAsia" w:ascii="Times New Roman" w:hAnsi="Times New Roman" w:eastAsia="宋体" w:cs="Times New Roman"/>
                <w:color w:val="auto"/>
                <w:sz w:val="24"/>
                <w:highlight w:val="none"/>
                <w:lang w:val="en-US" w:eastAsia="zh-CN"/>
              </w:rPr>
              <w:t>室内、室外</w:t>
            </w:r>
            <w:r>
              <w:rPr>
                <w:rFonts w:hint="eastAsia" w:ascii="Times New Roman" w:hAnsi="Times New Roman" w:eastAsia="宋体" w:cs="Times New Roman"/>
                <w:color w:val="auto"/>
                <w:sz w:val="24"/>
                <w:highlight w:val="none"/>
              </w:rPr>
              <w:t>主要噪声源分布及相关参数</w:t>
            </w:r>
            <w:r>
              <w:rPr>
                <w:rFonts w:hint="default"/>
                <w:color w:val="auto"/>
                <w:sz w:val="24"/>
                <w:highlight w:val="none"/>
              </w:rPr>
              <w:t>见表4-</w:t>
            </w:r>
            <w:r>
              <w:rPr>
                <w:rFonts w:hint="eastAsia"/>
                <w:color w:val="auto"/>
                <w:sz w:val="24"/>
                <w:highlight w:val="none"/>
                <w:lang w:val="en-US" w:eastAsia="zh-CN"/>
              </w:rPr>
              <w:t>10~表4-11</w:t>
            </w:r>
            <w:r>
              <w:rPr>
                <w:rFonts w:hint="eastAsia" w:ascii="Times New Roman" w:hAnsi="Times New Roman" w:eastAsia="宋体" w:cs="Times New Roman"/>
                <w:color w:val="auto"/>
                <w:sz w:val="24"/>
                <w:highlight w:val="none"/>
                <w:lang w:val="en-US" w:eastAsia="zh-CN"/>
              </w:rPr>
              <w:t>。</w:t>
            </w:r>
          </w:p>
          <w:p w14:paraId="4AF70BD0">
            <w:pPr>
              <w:pStyle w:val="8"/>
              <w:keepNext w:val="0"/>
              <w:keepLines w:val="0"/>
              <w:suppressLineNumbers w:val="0"/>
              <w:bidi w:val="0"/>
              <w:spacing w:before="0" w:beforeAutospacing="0" w:after="0" w:afterAutospacing="0"/>
              <w:ind w:left="0" w:right="0"/>
              <w:jc w:val="center"/>
              <w:rPr>
                <w:rFonts w:hint="default"/>
                <w:b/>
                <w:bCs/>
                <w:color w:val="auto"/>
                <w:lang w:val="en-GB"/>
              </w:rPr>
            </w:pPr>
            <w:r>
              <w:rPr>
                <w:rFonts w:hint="default"/>
                <w:b/>
                <w:bCs/>
                <w:color w:val="auto"/>
                <w:lang w:val="en-GB"/>
              </w:rPr>
              <w:t>表4-</w:t>
            </w:r>
            <w:r>
              <w:rPr>
                <w:rFonts w:hint="eastAsia"/>
                <w:b/>
                <w:bCs/>
                <w:color w:val="auto"/>
                <w:lang w:val="en-US" w:eastAsia="zh-CN"/>
              </w:rPr>
              <w:t>10</w:t>
            </w:r>
            <w:r>
              <w:rPr>
                <w:rFonts w:hint="default"/>
                <w:b/>
                <w:bCs/>
                <w:color w:val="auto"/>
                <w:lang w:val="en-GB"/>
              </w:rPr>
              <w:t xml:space="preserve"> </w:t>
            </w:r>
            <w:r>
              <w:rPr>
                <w:rFonts w:hint="eastAsia"/>
                <w:b/>
                <w:bCs/>
                <w:color w:val="auto"/>
                <w:lang w:val="en-US" w:eastAsia="zh-CN"/>
              </w:rPr>
              <w:t xml:space="preserve">  </w:t>
            </w:r>
            <w:r>
              <w:rPr>
                <w:rFonts w:hint="default"/>
                <w:b/>
                <w:bCs/>
                <w:color w:val="auto"/>
                <w:lang w:val="en-GB"/>
              </w:rPr>
              <w:t>主要噪声设备一览表</w:t>
            </w:r>
            <w:r>
              <w:rPr>
                <w:rFonts w:hint="eastAsia"/>
                <w:b/>
                <w:bCs/>
                <w:color w:val="auto"/>
                <w:lang w:val="en-GB" w:eastAsia="zh-CN"/>
              </w:rPr>
              <w:t>（</w:t>
            </w:r>
            <w:r>
              <w:rPr>
                <w:rFonts w:hint="eastAsia"/>
                <w:b/>
                <w:bCs/>
                <w:color w:val="auto"/>
                <w:lang w:val="en-US" w:eastAsia="zh-CN"/>
              </w:rPr>
              <w:t>室内</w:t>
            </w:r>
            <w:r>
              <w:rPr>
                <w:rFonts w:hint="eastAsia"/>
                <w:b/>
                <w:bCs/>
                <w:color w:val="auto"/>
                <w:lang w:val="en-GB" w:eastAsia="zh-CN"/>
              </w:rPr>
              <w:t>）</w:t>
            </w:r>
            <w:r>
              <w:rPr>
                <w:rFonts w:hint="eastAsia"/>
                <w:b/>
                <w:bCs/>
                <w:color w:val="auto"/>
                <w:lang w:val="en-US" w:eastAsia="zh-CN"/>
              </w:rPr>
              <w:t xml:space="preserve"> </w:t>
            </w:r>
            <w:r>
              <w:rPr>
                <w:rFonts w:hint="eastAsia"/>
                <w:b/>
                <w:bCs/>
                <w:color w:val="auto"/>
                <w:lang w:val="en-GB"/>
              </w:rPr>
              <w:t xml:space="preserve"> </w:t>
            </w:r>
            <w:r>
              <w:rPr>
                <w:rFonts w:hint="default"/>
                <w:b/>
                <w:bCs/>
                <w:color w:val="auto"/>
                <w:lang w:val="en-GB"/>
              </w:rPr>
              <w:t>单位：dB</w:t>
            </w:r>
            <w:r>
              <w:rPr>
                <w:rFonts w:hint="eastAsia"/>
                <w:b/>
                <w:bCs/>
                <w:color w:val="auto"/>
                <w:lang w:val="en-GB" w:eastAsia="zh-CN"/>
              </w:rPr>
              <w:t>（</w:t>
            </w:r>
            <w:r>
              <w:rPr>
                <w:rFonts w:hint="default"/>
                <w:b/>
                <w:bCs/>
                <w:color w:val="auto"/>
                <w:lang w:val="en-GB"/>
              </w:rPr>
              <w:t>A</w:t>
            </w:r>
            <w:r>
              <w:rPr>
                <w:rFonts w:hint="eastAsia"/>
                <w:b/>
                <w:bCs/>
                <w:color w:val="auto"/>
                <w:lang w:val="en-GB" w:eastAsia="zh-CN"/>
              </w:rPr>
              <w:t>）</w:t>
            </w:r>
          </w:p>
          <w:tbl>
            <w:tblPr>
              <w:tblStyle w:val="26"/>
              <w:tblW w:w="502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425"/>
              <w:gridCol w:w="425"/>
              <w:gridCol w:w="504"/>
              <w:gridCol w:w="447"/>
              <w:gridCol w:w="688"/>
              <w:gridCol w:w="635"/>
              <w:gridCol w:w="496"/>
              <w:gridCol w:w="496"/>
              <w:gridCol w:w="585"/>
              <w:gridCol w:w="425"/>
              <w:gridCol w:w="736"/>
              <w:gridCol w:w="635"/>
              <w:gridCol w:w="736"/>
              <w:gridCol w:w="742"/>
              <w:gridCol w:w="420"/>
            </w:tblGrid>
            <w:tr w14:paraId="11C98A7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23" w:hRule="atLeast"/>
                <w:jc w:val="center"/>
              </w:trPr>
              <w:tc>
                <w:tcPr>
                  <w:tcW w:w="253" w:type="pct"/>
                  <w:vMerge w:val="restart"/>
                  <w:tcBorders>
                    <w:tl2br w:val="nil"/>
                    <w:tr2bl w:val="nil"/>
                  </w:tcBorders>
                  <w:vAlign w:val="center"/>
                </w:tcPr>
                <w:p w14:paraId="35CABE86">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b/>
                      <w:color w:val="auto"/>
                      <w:sz w:val="18"/>
                      <w:szCs w:val="18"/>
                    </w:rPr>
                  </w:pPr>
                  <w:r>
                    <w:rPr>
                      <w:rFonts w:hint="default" w:ascii="Times New Roman" w:hAnsi="Times New Roman" w:cs="Times New Roman"/>
                      <w:b/>
                      <w:color w:val="auto"/>
                      <w:sz w:val="18"/>
                      <w:szCs w:val="18"/>
                    </w:rPr>
                    <w:t>序号</w:t>
                  </w:r>
                </w:p>
              </w:tc>
              <w:tc>
                <w:tcPr>
                  <w:tcW w:w="253" w:type="pct"/>
                  <w:vMerge w:val="restart"/>
                  <w:tcBorders>
                    <w:tl2br w:val="nil"/>
                    <w:tr2bl w:val="nil"/>
                  </w:tcBorders>
                  <w:vAlign w:val="center"/>
                </w:tcPr>
                <w:p w14:paraId="1BC33E18">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color w:val="auto"/>
                      <w:sz w:val="18"/>
                      <w:szCs w:val="18"/>
                    </w:rPr>
                  </w:pPr>
                  <w:r>
                    <w:rPr>
                      <w:rFonts w:hint="default" w:ascii="Times New Roman" w:hAnsi="Times New Roman" w:eastAsia="宋体" w:cs="Times New Roman"/>
                      <w:b/>
                      <w:color w:val="auto"/>
                      <w:sz w:val="18"/>
                      <w:szCs w:val="18"/>
                    </w:rPr>
                    <w:t>建筑物</w:t>
                  </w:r>
                </w:p>
                <w:p w14:paraId="6912A62F">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color w:val="auto"/>
                      <w:sz w:val="18"/>
                      <w:szCs w:val="18"/>
                    </w:rPr>
                  </w:pPr>
                  <w:r>
                    <w:rPr>
                      <w:rFonts w:hint="default" w:ascii="Times New Roman" w:hAnsi="Times New Roman" w:eastAsia="宋体" w:cs="Times New Roman"/>
                      <w:b/>
                      <w:color w:val="auto"/>
                      <w:sz w:val="18"/>
                      <w:szCs w:val="18"/>
                    </w:rPr>
                    <w:t>名称</w:t>
                  </w:r>
                </w:p>
              </w:tc>
              <w:tc>
                <w:tcPr>
                  <w:tcW w:w="300" w:type="pct"/>
                  <w:vMerge w:val="restart"/>
                  <w:tcBorders>
                    <w:tl2br w:val="nil"/>
                    <w:tr2bl w:val="nil"/>
                  </w:tcBorders>
                  <w:vAlign w:val="center"/>
                </w:tcPr>
                <w:p w14:paraId="1B61EBC4">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color w:val="auto"/>
                      <w:sz w:val="18"/>
                      <w:szCs w:val="18"/>
                    </w:rPr>
                  </w:pPr>
                  <w:r>
                    <w:rPr>
                      <w:rFonts w:hint="default" w:ascii="Times New Roman" w:hAnsi="Times New Roman" w:eastAsia="宋体" w:cs="Times New Roman"/>
                      <w:b/>
                      <w:color w:val="auto"/>
                      <w:sz w:val="18"/>
                      <w:szCs w:val="18"/>
                    </w:rPr>
                    <w:t>声源名称</w:t>
                  </w:r>
                </w:p>
              </w:tc>
              <w:tc>
                <w:tcPr>
                  <w:tcW w:w="266" w:type="pct"/>
                  <w:vMerge w:val="restart"/>
                  <w:tcBorders>
                    <w:tl2br w:val="nil"/>
                    <w:tr2bl w:val="nil"/>
                  </w:tcBorders>
                  <w:vAlign w:val="center"/>
                </w:tcPr>
                <w:p w14:paraId="587CB906">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both"/>
                    <w:textAlignment w:val="auto"/>
                    <w:rPr>
                      <w:rFonts w:hint="eastAsia" w:ascii="Times New Roman" w:hAnsi="Times New Roman" w:eastAsia="宋体" w:cs="Times New Roman"/>
                      <w:b/>
                      <w:color w:val="auto"/>
                      <w:sz w:val="18"/>
                      <w:szCs w:val="18"/>
                      <w:lang w:eastAsia="zh-CN"/>
                    </w:rPr>
                  </w:pPr>
                  <w:r>
                    <w:rPr>
                      <w:rFonts w:hint="eastAsia" w:ascii="Times New Roman" w:hAnsi="Times New Roman" w:eastAsia="宋体" w:cs="Times New Roman"/>
                      <w:b/>
                      <w:color w:val="auto"/>
                      <w:sz w:val="18"/>
                      <w:szCs w:val="18"/>
                      <w:lang w:val="en-US" w:eastAsia="zh-CN"/>
                    </w:rPr>
                    <w:t>数量</w:t>
                  </w:r>
                </w:p>
              </w:tc>
              <w:tc>
                <w:tcPr>
                  <w:tcW w:w="409" w:type="pct"/>
                  <w:vMerge w:val="restart"/>
                  <w:tcBorders>
                    <w:tl2br w:val="nil"/>
                    <w:tr2bl w:val="nil"/>
                  </w:tcBorders>
                  <w:vAlign w:val="center"/>
                </w:tcPr>
                <w:p w14:paraId="6EB66E03">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color w:val="auto"/>
                      <w:sz w:val="18"/>
                      <w:szCs w:val="18"/>
                    </w:rPr>
                  </w:pPr>
                  <w:r>
                    <w:rPr>
                      <w:rFonts w:hint="default" w:ascii="Times New Roman" w:hAnsi="Times New Roman" w:eastAsia="宋体" w:cs="Times New Roman"/>
                      <w:b/>
                      <w:color w:val="auto"/>
                      <w:sz w:val="18"/>
                      <w:szCs w:val="18"/>
                    </w:rPr>
                    <w:t>声源</w:t>
                  </w:r>
                  <w:r>
                    <w:rPr>
                      <w:rFonts w:hint="eastAsia" w:ascii="Times New Roman" w:hAnsi="Times New Roman" w:eastAsia="宋体" w:cs="Times New Roman"/>
                      <w:b/>
                      <w:color w:val="auto"/>
                      <w:sz w:val="18"/>
                      <w:szCs w:val="18"/>
                      <w:lang w:eastAsia="zh-CN"/>
                    </w:rPr>
                    <w:t>声功率级</w:t>
                  </w:r>
                </w:p>
                <w:p w14:paraId="7D734A50">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color w:val="auto"/>
                      <w:sz w:val="18"/>
                      <w:szCs w:val="18"/>
                    </w:rPr>
                  </w:pPr>
                  <w:r>
                    <w:rPr>
                      <w:rFonts w:hint="default" w:ascii="Times New Roman" w:hAnsi="Times New Roman" w:eastAsia="宋体" w:cs="Times New Roman"/>
                      <w:b/>
                      <w:color w:val="auto"/>
                      <w:sz w:val="18"/>
                      <w:szCs w:val="18"/>
                    </w:rPr>
                    <w:t>dB(A)</w:t>
                  </w:r>
                </w:p>
              </w:tc>
              <w:tc>
                <w:tcPr>
                  <w:tcW w:w="378" w:type="pct"/>
                  <w:vMerge w:val="restart"/>
                  <w:tcBorders>
                    <w:tl2br w:val="nil"/>
                    <w:tr2bl w:val="nil"/>
                  </w:tcBorders>
                  <w:vAlign w:val="center"/>
                </w:tcPr>
                <w:p w14:paraId="123DDF44">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color w:val="auto"/>
                      <w:sz w:val="18"/>
                      <w:szCs w:val="18"/>
                    </w:rPr>
                  </w:pPr>
                  <w:r>
                    <w:rPr>
                      <w:rFonts w:hint="default" w:ascii="Times New Roman" w:hAnsi="Times New Roman" w:eastAsia="宋体" w:cs="Times New Roman"/>
                      <w:b/>
                      <w:color w:val="auto"/>
                      <w:sz w:val="18"/>
                      <w:szCs w:val="18"/>
                    </w:rPr>
                    <w:t>声源控</w:t>
                  </w:r>
                </w:p>
                <w:p w14:paraId="24271440">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color w:val="auto"/>
                      <w:sz w:val="18"/>
                      <w:szCs w:val="18"/>
                    </w:rPr>
                  </w:pPr>
                  <w:r>
                    <w:rPr>
                      <w:rFonts w:hint="default" w:ascii="Times New Roman" w:hAnsi="Times New Roman" w:eastAsia="宋体" w:cs="Times New Roman"/>
                      <w:b/>
                      <w:color w:val="auto"/>
                      <w:sz w:val="18"/>
                      <w:szCs w:val="18"/>
                    </w:rPr>
                    <w:t>制措施</w:t>
                  </w:r>
                </w:p>
              </w:tc>
              <w:tc>
                <w:tcPr>
                  <w:tcW w:w="938" w:type="pct"/>
                  <w:gridSpan w:val="3"/>
                  <w:tcBorders>
                    <w:tl2br w:val="nil"/>
                    <w:tr2bl w:val="nil"/>
                  </w:tcBorders>
                  <w:vAlign w:val="center"/>
                </w:tcPr>
                <w:p w14:paraId="6A320C99">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color w:val="auto"/>
                      <w:sz w:val="18"/>
                      <w:szCs w:val="18"/>
                    </w:rPr>
                  </w:pPr>
                  <w:r>
                    <w:rPr>
                      <w:rFonts w:hint="default" w:ascii="Times New Roman" w:hAnsi="Times New Roman" w:eastAsia="宋体" w:cs="Times New Roman"/>
                      <w:b/>
                      <w:color w:val="auto"/>
                      <w:sz w:val="18"/>
                      <w:szCs w:val="18"/>
                    </w:rPr>
                    <w:t>空间相对位置/m</w:t>
                  </w:r>
                </w:p>
              </w:tc>
              <w:tc>
                <w:tcPr>
                  <w:tcW w:w="253" w:type="pct"/>
                  <w:vMerge w:val="restart"/>
                  <w:tcBorders>
                    <w:tl2br w:val="nil"/>
                    <w:tr2bl w:val="nil"/>
                  </w:tcBorders>
                  <w:vAlign w:val="center"/>
                </w:tcPr>
                <w:p w14:paraId="77EF0A92">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color w:val="auto"/>
                      <w:sz w:val="18"/>
                      <w:szCs w:val="18"/>
                    </w:rPr>
                  </w:pPr>
                  <w:r>
                    <w:rPr>
                      <w:rFonts w:hint="default" w:ascii="Times New Roman" w:hAnsi="Times New Roman" w:eastAsia="宋体" w:cs="Times New Roman"/>
                      <w:b/>
                      <w:color w:val="auto"/>
                      <w:sz w:val="18"/>
                      <w:szCs w:val="18"/>
                    </w:rPr>
                    <w:t>距室内</w:t>
                  </w:r>
                </w:p>
                <w:p w14:paraId="0F1E9D1A">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color w:val="auto"/>
                      <w:sz w:val="18"/>
                      <w:szCs w:val="18"/>
                    </w:rPr>
                  </w:pPr>
                  <w:r>
                    <w:rPr>
                      <w:rFonts w:hint="default" w:ascii="Times New Roman" w:hAnsi="Times New Roman" w:eastAsia="宋体" w:cs="Times New Roman"/>
                      <w:b/>
                      <w:color w:val="auto"/>
                      <w:sz w:val="18"/>
                      <w:szCs w:val="18"/>
                    </w:rPr>
                    <w:t>边界距</w:t>
                  </w:r>
                </w:p>
                <w:p w14:paraId="49AC9FE2">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color w:val="auto"/>
                      <w:sz w:val="18"/>
                      <w:szCs w:val="18"/>
                    </w:rPr>
                  </w:pPr>
                  <w:r>
                    <w:rPr>
                      <w:rFonts w:hint="default" w:ascii="Times New Roman" w:hAnsi="Times New Roman" w:eastAsia="宋体" w:cs="Times New Roman"/>
                      <w:b/>
                      <w:color w:val="auto"/>
                      <w:sz w:val="18"/>
                      <w:szCs w:val="18"/>
                    </w:rPr>
                    <w:t>离/m</w:t>
                  </w:r>
                </w:p>
              </w:tc>
              <w:tc>
                <w:tcPr>
                  <w:tcW w:w="438" w:type="pct"/>
                  <w:vMerge w:val="restart"/>
                  <w:tcBorders>
                    <w:tl2br w:val="nil"/>
                    <w:tr2bl w:val="nil"/>
                  </w:tcBorders>
                  <w:vAlign w:val="center"/>
                </w:tcPr>
                <w:p w14:paraId="6B913CDC">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color w:val="auto"/>
                      <w:sz w:val="18"/>
                      <w:szCs w:val="18"/>
                    </w:rPr>
                  </w:pPr>
                  <w:r>
                    <w:rPr>
                      <w:rFonts w:hint="default" w:ascii="Times New Roman" w:hAnsi="Times New Roman" w:eastAsia="宋体" w:cs="Times New Roman"/>
                      <w:b/>
                      <w:color w:val="auto"/>
                      <w:sz w:val="18"/>
                      <w:szCs w:val="18"/>
                    </w:rPr>
                    <w:t>室内边</w:t>
                  </w:r>
                </w:p>
                <w:p w14:paraId="62FF7D85">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color w:val="auto"/>
                      <w:sz w:val="18"/>
                      <w:szCs w:val="18"/>
                    </w:rPr>
                  </w:pPr>
                  <w:r>
                    <w:rPr>
                      <w:rFonts w:hint="default" w:ascii="Times New Roman" w:hAnsi="Times New Roman" w:eastAsia="宋体" w:cs="Times New Roman"/>
                      <w:b/>
                      <w:color w:val="auto"/>
                      <w:sz w:val="18"/>
                      <w:szCs w:val="18"/>
                    </w:rPr>
                    <w:t>界声级</w:t>
                  </w:r>
                </w:p>
                <w:p w14:paraId="7515F43F">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color w:val="auto"/>
                      <w:sz w:val="18"/>
                      <w:szCs w:val="18"/>
                    </w:rPr>
                  </w:pPr>
                  <w:r>
                    <w:rPr>
                      <w:rFonts w:hint="default" w:ascii="Times New Roman" w:hAnsi="Times New Roman" w:eastAsia="宋体" w:cs="Times New Roman"/>
                      <w:b/>
                      <w:color w:val="auto"/>
                      <w:sz w:val="18"/>
                      <w:szCs w:val="18"/>
                    </w:rPr>
                    <w:t>/dB(A)</w:t>
                  </w:r>
                </w:p>
              </w:tc>
              <w:tc>
                <w:tcPr>
                  <w:tcW w:w="378" w:type="pct"/>
                  <w:vMerge w:val="restart"/>
                  <w:tcBorders>
                    <w:tl2br w:val="nil"/>
                    <w:tr2bl w:val="nil"/>
                  </w:tcBorders>
                  <w:vAlign w:val="center"/>
                </w:tcPr>
                <w:p w14:paraId="5CE82393">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color w:val="auto"/>
                      <w:sz w:val="18"/>
                      <w:szCs w:val="18"/>
                    </w:rPr>
                  </w:pPr>
                  <w:r>
                    <w:rPr>
                      <w:rFonts w:hint="default" w:ascii="Times New Roman" w:hAnsi="Times New Roman" w:eastAsia="宋体" w:cs="Times New Roman"/>
                      <w:b/>
                      <w:color w:val="auto"/>
                      <w:sz w:val="18"/>
                      <w:szCs w:val="18"/>
                    </w:rPr>
                    <w:t>运行</w:t>
                  </w:r>
                </w:p>
                <w:p w14:paraId="6879E71A">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color w:val="auto"/>
                      <w:sz w:val="18"/>
                      <w:szCs w:val="18"/>
                    </w:rPr>
                  </w:pPr>
                  <w:r>
                    <w:rPr>
                      <w:rFonts w:hint="default" w:ascii="Times New Roman" w:hAnsi="Times New Roman" w:eastAsia="宋体" w:cs="Times New Roman"/>
                      <w:b/>
                      <w:color w:val="auto"/>
                      <w:sz w:val="18"/>
                      <w:szCs w:val="18"/>
                    </w:rPr>
                    <w:t>时段</w:t>
                  </w:r>
                </w:p>
              </w:tc>
              <w:tc>
                <w:tcPr>
                  <w:tcW w:w="438" w:type="pct"/>
                  <w:vMerge w:val="restart"/>
                  <w:tcBorders>
                    <w:tl2br w:val="nil"/>
                    <w:tr2bl w:val="nil"/>
                  </w:tcBorders>
                  <w:vAlign w:val="center"/>
                </w:tcPr>
                <w:p w14:paraId="0E9FD7D6">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color w:val="auto"/>
                      <w:sz w:val="18"/>
                      <w:szCs w:val="18"/>
                    </w:rPr>
                  </w:pPr>
                  <w:r>
                    <w:rPr>
                      <w:rFonts w:hint="default" w:ascii="Times New Roman" w:hAnsi="Times New Roman" w:eastAsia="宋体" w:cs="Times New Roman"/>
                      <w:b/>
                      <w:color w:val="auto"/>
                      <w:sz w:val="18"/>
                      <w:szCs w:val="18"/>
                    </w:rPr>
                    <w:t>建筑物插</w:t>
                  </w:r>
                </w:p>
                <w:p w14:paraId="50276047">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color w:val="auto"/>
                      <w:sz w:val="18"/>
                      <w:szCs w:val="18"/>
                    </w:rPr>
                  </w:pPr>
                  <w:r>
                    <w:rPr>
                      <w:rFonts w:hint="default" w:ascii="Times New Roman" w:hAnsi="Times New Roman" w:eastAsia="宋体" w:cs="Times New Roman"/>
                      <w:b/>
                      <w:color w:val="auto"/>
                      <w:sz w:val="18"/>
                      <w:szCs w:val="18"/>
                    </w:rPr>
                    <w:t>入损失</w:t>
                  </w:r>
                </w:p>
                <w:p w14:paraId="1687E559">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color w:val="auto"/>
                      <w:sz w:val="18"/>
                      <w:szCs w:val="18"/>
                    </w:rPr>
                  </w:pPr>
                  <w:r>
                    <w:rPr>
                      <w:rFonts w:hint="default" w:ascii="Times New Roman" w:hAnsi="Times New Roman" w:eastAsia="宋体" w:cs="Times New Roman"/>
                      <w:b/>
                      <w:color w:val="auto"/>
                      <w:sz w:val="18"/>
                      <w:szCs w:val="18"/>
                    </w:rPr>
                    <w:t>/dB(A)</w:t>
                  </w:r>
                </w:p>
              </w:tc>
              <w:tc>
                <w:tcPr>
                  <w:tcW w:w="690" w:type="pct"/>
                  <w:gridSpan w:val="2"/>
                  <w:tcBorders>
                    <w:tl2br w:val="nil"/>
                    <w:tr2bl w:val="nil"/>
                  </w:tcBorders>
                  <w:vAlign w:val="center"/>
                </w:tcPr>
                <w:p w14:paraId="2357D27C">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color w:val="auto"/>
                      <w:sz w:val="18"/>
                      <w:szCs w:val="18"/>
                    </w:rPr>
                  </w:pPr>
                  <w:r>
                    <w:rPr>
                      <w:rFonts w:hint="default" w:ascii="Times New Roman" w:hAnsi="Times New Roman" w:eastAsia="宋体" w:cs="Times New Roman"/>
                      <w:b/>
                      <w:color w:val="auto"/>
                      <w:sz w:val="18"/>
                      <w:szCs w:val="18"/>
                    </w:rPr>
                    <w:t>建筑物外噪声</w:t>
                  </w:r>
                </w:p>
              </w:tc>
            </w:tr>
            <w:tr w14:paraId="275E104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253" w:type="pct"/>
                  <w:vMerge w:val="continue"/>
                  <w:tcBorders>
                    <w:tl2br w:val="nil"/>
                    <w:tr2bl w:val="nil"/>
                  </w:tcBorders>
                  <w:vAlign w:val="center"/>
                </w:tcPr>
                <w:p w14:paraId="1E6381FB">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jc w:val="center"/>
                    <w:textAlignment w:val="auto"/>
                    <w:rPr>
                      <w:rFonts w:hint="default" w:ascii="Times New Roman" w:hAnsi="Times New Roman" w:cs="Times New Roman"/>
                      <w:b/>
                      <w:color w:val="auto"/>
                      <w:sz w:val="18"/>
                      <w:szCs w:val="18"/>
                    </w:rPr>
                  </w:pPr>
                </w:p>
              </w:tc>
              <w:tc>
                <w:tcPr>
                  <w:tcW w:w="253" w:type="pct"/>
                  <w:vMerge w:val="continue"/>
                  <w:tcBorders>
                    <w:tl2br w:val="nil"/>
                    <w:tr2bl w:val="nil"/>
                  </w:tcBorders>
                  <w:vAlign w:val="center"/>
                </w:tcPr>
                <w:p w14:paraId="7688C886">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color w:val="auto"/>
                      <w:sz w:val="18"/>
                      <w:szCs w:val="18"/>
                    </w:rPr>
                  </w:pPr>
                </w:p>
              </w:tc>
              <w:tc>
                <w:tcPr>
                  <w:tcW w:w="300" w:type="pct"/>
                  <w:vMerge w:val="continue"/>
                  <w:tcBorders>
                    <w:tl2br w:val="nil"/>
                    <w:tr2bl w:val="nil"/>
                  </w:tcBorders>
                  <w:vAlign w:val="center"/>
                </w:tcPr>
                <w:p w14:paraId="23855373">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color w:val="auto"/>
                      <w:sz w:val="18"/>
                      <w:szCs w:val="18"/>
                    </w:rPr>
                  </w:pPr>
                </w:p>
              </w:tc>
              <w:tc>
                <w:tcPr>
                  <w:tcW w:w="266" w:type="pct"/>
                  <w:vMerge w:val="continue"/>
                  <w:tcBorders>
                    <w:tl2br w:val="nil"/>
                    <w:tr2bl w:val="nil"/>
                  </w:tcBorders>
                  <w:vAlign w:val="center"/>
                </w:tcPr>
                <w:p w14:paraId="5F6C0455">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color w:val="auto"/>
                      <w:sz w:val="18"/>
                      <w:szCs w:val="18"/>
                    </w:rPr>
                  </w:pPr>
                </w:p>
              </w:tc>
              <w:tc>
                <w:tcPr>
                  <w:tcW w:w="409" w:type="pct"/>
                  <w:vMerge w:val="continue"/>
                  <w:tcBorders>
                    <w:tl2br w:val="nil"/>
                    <w:tr2bl w:val="nil"/>
                  </w:tcBorders>
                  <w:vAlign w:val="center"/>
                </w:tcPr>
                <w:p w14:paraId="3831D745">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color w:val="auto"/>
                      <w:sz w:val="18"/>
                      <w:szCs w:val="18"/>
                    </w:rPr>
                  </w:pPr>
                </w:p>
              </w:tc>
              <w:tc>
                <w:tcPr>
                  <w:tcW w:w="378" w:type="pct"/>
                  <w:vMerge w:val="continue"/>
                  <w:tcBorders>
                    <w:tl2br w:val="nil"/>
                    <w:tr2bl w:val="nil"/>
                  </w:tcBorders>
                  <w:vAlign w:val="center"/>
                </w:tcPr>
                <w:p w14:paraId="6B640C16">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color w:val="auto"/>
                      <w:sz w:val="18"/>
                      <w:szCs w:val="18"/>
                    </w:rPr>
                  </w:pPr>
                </w:p>
              </w:tc>
              <w:tc>
                <w:tcPr>
                  <w:tcW w:w="295" w:type="pct"/>
                  <w:tcBorders>
                    <w:tl2br w:val="nil"/>
                    <w:tr2bl w:val="nil"/>
                  </w:tcBorders>
                  <w:vAlign w:val="center"/>
                </w:tcPr>
                <w:p w14:paraId="0E56F86E">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color w:val="auto"/>
                      <w:sz w:val="18"/>
                      <w:szCs w:val="18"/>
                    </w:rPr>
                  </w:pPr>
                  <w:r>
                    <w:rPr>
                      <w:rFonts w:hint="default" w:ascii="Times New Roman" w:hAnsi="Times New Roman" w:eastAsia="宋体" w:cs="Times New Roman"/>
                      <w:b/>
                      <w:color w:val="auto"/>
                      <w:sz w:val="18"/>
                      <w:szCs w:val="18"/>
                    </w:rPr>
                    <w:t>X</w:t>
                  </w:r>
                </w:p>
              </w:tc>
              <w:tc>
                <w:tcPr>
                  <w:tcW w:w="295" w:type="pct"/>
                  <w:tcBorders>
                    <w:tl2br w:val="nil"/>
                    <w:tr2bl w:val="nil"/>
                  </w:tcBorders>
                  <w:vAlign w:val="center"/>
                </w:tcPr>
                <w:p w14:paraId="7374A19C">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color w:val="auto"/>
                      <w:sz w:val="18"/>
                      <w:szCs w:val="18"/>
                    </w:rPr>
                  </w:pPr>
                  <w:r>
                    <w:rPr>
                      <w:rFonts w:hint="default" w:ascii="Times New Roman" w:hAnsi="Times New Roman" w:eastAsia="宋体" w:cs="Times New Roman"/>
                      <w:b/>
                      <w:color w:val="auto"/>
                      <w:sz w:val="18"/>
                      <w:szCs w:val="18"/>
                    </w:rPr>
                    <w:t>Y</w:t>
                  </w:r>
                </w:p>
              </w:tc>
              <w:tc>
                <w:tcPr>
                  <w:tcW w:w="347" w:type="pct"/>
                  <w:tcBorders>
                    <w:tl2br w:val="nil"/>
                    <w:tr2bl w:val="nil"/>
                  </w:tcBorders>
                  <w:vAlign w:val="center"/>
                </w:tcPr>
                <w:p w14:paraId="1B21B1CE">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color w:val="auto"/>
                      <w:sz w:val="18"/>
                      <w:szCs w:val="18"/>
                    </w:rPr>
                  </w:pPr>
                  <w:r>
                    <w:rPr>
                      <w:rFonts w:hint="default" w:ascii="Times New Roman" w:hAnsi="Times New Roman" w:eastAsia="宋体" w:cs="Times New Roman"/>
                      <w:b/>
                      <w:color w:val="auto"/>
                      <w:sz w:val="18"/>
                      <w:szCs w:val="18"/>
                    </w:rPr>
                    <w:t>Z</w:t>
                  </w:r>
                </w:p>
              </w:tc>
              <w:tc>
                <w:tcPr>
                  <w:tcW w:w="253" w:type="pct"/>
                  <w:vMerge w:val="continue"/>
                  <w:tcBorders>
                    <w:tl2br w:val="nil"/>
                    <w:tr2bl w:val="nil"/>
                  </w:tcBorders>
                  <w:vAlign w:val="center"/>
                </w:tcPr>
                <w:p w14:paraId="5E01F0B8">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color w:val="auto"/>
                      <w:sz w:val="18"/>
                      <w:szCs w:val="18"/>
                    </w:rPr>
                  </w:pPr>
                </w:p>
              </w:tc>
              <w:tc>
                <w:tcPr>
                  <w:tcW w:w="438" w:type="pct"/>
                  <w:vMerge w:val="continue"/>
                  <w:tcBorders>
                    <w:tl2br w:val="nil"/>
                    <w:tr2bl w:val="nil"/>
                  </w:tcBorders>
                  <w:vAlign w:val="center"/>
                </w:tcPr>
                <w:p w14:paraId="0F2B27B8">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color w:val="auto"/>
                      <w:sz w:val="18"/>
                      <w:szCs w:val="18"/>
                    </w:rPr>
                  </w:pPr>
                </w:p>
              </w:tc>
              <w:tc>
                <w:tcPr>
                  <w:tcW w:w="378" w:type="pct"/>
                  <w:vMerge w:val="continue"/>
                  <w:tcBorders>
                    <w:tl2br w:val="nil"/>
                    <w:tr2bl w:val="nil"/>
                  </w:tcBorders>
                  <w:vAlign w:val="center"/>
                </w:tcPr>
                <w:p w14:paraId="4584002F">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color w:val="auto"/>
                      <w:sz w:val="18"/>
                      <w:szCs w:val="18"/>
                    </w:rPr>
                  </w:pPr>
                </w:p>
              </w:tc>
              <w:tc>
                <w:tcPr>
                  <w:tcW w:w="438" w:type="pct"/>
                  <w:vMerge w:val="continue"/>
                  <w:tcBorders>
                    <w:tl2br w:val="nil"/>
                    <w:tr2bl w:val="nil"/>
                  </w:tcBorders>
                  <w:vAlign w:val="center"/>
                </w:tcPr>
                <w:p w14:paraId="3B444D01">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color w:val="auto"/>
                      <w:sz w:val="18"/>
                      <w:szCs w:val="18"/>
                    </w:rPr>
                  </w:pPr>
                </w:p>
              </w:tc>
              <w:tc>
                <w:tcPr>
                  <w:tcW w:w="441" w:type="pct"/>
                  <w:tcBorders>
                    <w:tl2br w:val="nil"/>
                    <w:tr2bl w:val="nil"/>
                  </w:tcBorders>
                  <w:vAlign w:val="center"/>
                </w:tcPr>
                <w:p w14:paraId="778578F7">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color w:val="auto"/>
                      <w:sz w:val="18"/>
                      <w:szCs w:val="18"/>
                    </w:rPr>
                  </w:pPr>
                  <w:r>
                    <w:rPr>
                      <w:rFonts w:hint="default" w:ascii="Times New Roman" w:hAnsi="Times New Roman" w:eastAsia="宋体" w:cs="Times New Roman"/>
                      <w:b/>
                      <w:color w:val="auto"/>
                      <w:sz w:val="18"/>
                      <w:szCs w:val="18"/>
                    </w:rPr>
                    <w:t>声压级</w:t>
                  </w:r>
                </w:p>
                <w:p w14:paraId="6DA13299">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color w:val="auto"/>
                      <w:sz w:val="18"/>
                      <w:szCs w:val="18"/>
                    </w:rPr>
                  </w:pPr>
                  <w:r>
                    <w:rPr>
                      <w:rFonts w:hint="default" w:ascii="Times New Roman" w:hAnsi="Times New Roman" w:eastAsia="宋体" w:cs="Times New Roman"/>
                      <w:b/>
                      <w:color w:val="auto"/>
                      <w:sz w:val="18"/>
                      <w:szCs w:val="18"/>
                    </w:rPr>
                    <w:t>/dB(A)</w:t>
                  </w:r>
                </w:p>
              </w:tc>
              <w:tc>
                <w:tcPr>
                  <w:tcW w:w="248" w:type="pct"/>
                  <w:tcBorders>
                    <w:tl2br w:val="nil"/>
                    <w:tr2bl w:val="nil"/>
                  </w:tcBorders>
                  <w:vAlign w:val="center"/>
                </w:tcPr>
                <w:p w14:paraId="5767A93C">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color w:val="auto"/>
                      <w:sz w:val="18"/>
                      <w:szCs w:val="18"/>
                    </w:rPr>
                  </w:pPr>
                  <w:r>
                    <w:rPr>
                      <w:rFonts w:hint="default" w:ascii="Times New Roman" w:hAnsi="Times New Roman" w:eastAsia="宋体" w:cs="Times New Roman"/>
                      <w:b/>
                      <w:color w:val="auto"/>
                      <w:sz w:val="18"/>
                      <w:szCs w:val="18"/>
                    </w:rPr>
                    <w:t>建筑物外</w:t>
                  </w:r>
                </w:p>
                <w:p w14:paraId="7C678859">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color w:val="auto"/>
                      <w:sz w:val="18"/>
                      <w:szCs w:val="18"/>
                    </w:rPr>
                  </w:pPr>
                  <w:r>
                    <w:rPr>
                      <w:rFonts w:hint="default" w:ascii="Times New Roman" w:hAnsi="Times New Roman" w:eastAsia="宋体" w:cs="Times New Roman"/>
                      <w:b/>
                      <w:color w:val="auto"/>
                      <w:sz w:val="18"/>
                      <w:szCs w:val="18"/>
                    </w:rPr>
                    <w:t>距离/m</w:t>
                  </w:r>
                </w:p>
              </w:tc>
            </w:tr>
            <w:tr w14:paraId="3CF3F60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53" w:type="pct"/>
                  <w:tcBorders>
                    <w:tl2br w:val="nil"/>
                    <w:tr2bl w:val="nil"/>
                  </w:tcBorders>
                  <w:vAlign w:val="center"/>
                </w:tcPr>
                <w:p w14:paraId="4165F6E8">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default" w:ascii="Times New Roman" w:hAnsi="Times New Roman" w:eastAsia="宋体" w:cs="Times New Roman"/>
                      <w:color w:val="auto"/>
                      <w:sz w:val="21"/>
                      <w:szCs w:val="21"/>
                      <w:lang w:val="en-US" w:eastAsia="zh-CN" w:bidi="en-US"/>
                    </w:rPr>
                    <w:t>1</w:t>
                  </w:r>
                </w:p>
              </w:tc>
              <w:tc>
                <w:tcPr>
                  <w:tcW w:w="253" w:type="pct"/>
                  <w:vMerge w:val="restart"/>
                  <w:tcBorders>
                    <w:tl2br w:val="nil"/>
                    <w:tr2bl w:val="nil"/>
                  </w:tcBorders>
                  <w:vAlign w:val="center"/>
                </w:tcPr>
                <w:p w14:paraId="634497C7">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cs="Times New Roman"/>
                      <w:color w:val="auto"/>
                      <w:sz w:val="21"/>
                      <w:szCs w:val="21"/>
                      <w:lang w:val="en-US" w:eastAsia="zh-CN" w:bidi="en-US"/>
                    </w:rPr>
                  </w:pPr>
                  <w:r>
                    <w:rPr>
                      <w:rFonts w:hint="eastAsia" w:cs="Times New Roman"/>
                      <w:color w:val="auto"/>
                      <w:sz w:val="21"/>
                      <w:szCs w:val="21"/>
                      <w:lang w:val="en-US" w:eastAsia="zh-CN" w:bidi="en-US"/>
                    </w:rPr>
                    <w:t>生产厂房</w:t>
                  </w:r>
                </w:p>
                <w:p w14:paraId="3BFA53DC">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300" w:type="pct"/>
                  <w:tcBorders>
                    <w:tl2br w:val="nil"/>
                    <w:tr2bl w:val="nil"/>
                  </w:tcBorders>
                  <w:vAlign w:val="center"/>
                </w:tcPr>
                <w:p w14:paraId="22D611F2">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color w:val="auto"/>
                      <w:sz w:val="21"/>
                      <w:szCs w:val="21"/>
                      <w:lang w:val="en-US" w:eastAsia="zh-CN" w:bidi="en-US"/>
                    </w:rPr>
                  </w:pPr>
                  <w:r>
                    <w:rPr>
                      <w:rFonts w:hint="eastAsia" w:ascii="Times New Roman" w:hAnsi="Times New Roman" w:eastAsia="宋体"/>
                      <w:color w:val="auto"/>
                      <w:sz w:val="21"/>
                      <w:szCs w:val="21"/>
                      <w:lang w:val="en-US" w:eastAsia="zh-CN"/>
                    </w:rPr>
                    <w:t>圆盘机注塑</w:t>
                  </w:r>
                </w:p>
              </w:tc>
              <w:tc>
                <w:tcPr>
                  <w:tcW w:w="266" w:type="pct"/>
                  <w:tcBorders>
                    <w:tl2br w:val="nil"/>
                    <w:tr2bl w:val="nil"/>
                  </w:tcBorders>
                  <w:vAlign w:val="center"/>
                </w:tcPr>
                <w:p w14:paraId="7AEB5A26">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10</w:t>
                  </w:r>
                </w:p>
              </w:tc>
              <w:tc>
                <w:tcPr>
                  <w:tcW w:w="409" w:type="pct"/>
                  <w:tcBorders>
                    <w:tl2br w:val="nil"/>
                    <w:tr2bl w:val="nil"/>
                  </w:tcBorders>
                  <w:vAlign w:val="center"/>
                </w:tcPr>
                <w:p w14:paraId="1A04B91C">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80</w:t>
                  </w:r>
                </w:p>
              </w:tc>
              <w:tc>
                <w:tcPr>
                  <w:tcW w:w="378" w:type="pct"/>
                  <w:vMerge w:val="restart"/>
                  <w:tcBorders>
                    <w:tl2br w:val="nil"/>
                    <w:tr2bl w:val="nil"/>
                  </w:tcBorders>
                  <w:vAlign w:val="center"/>
                </w:tcPr>
                <w:p w14:paraId="419F2248">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sz w:val="21"/>
                      <w:szCs w:val="21"/>
                      <w:lang w:val="en-US" w:eastAsia="zh-CN" w:bidi="en-US"/>
                    </w:rPr>
                  </w:pPr>
                  <w:r>
                    <w:rPr>
                      <w:rFonts w:hint="eastAsia" w:ascii="Times New Roman" w:hAnsi="Times New Roman" w:eastAsia="宋体" w:cs="Times New Roman"/>
                      <w:color w:val="auto"/>
                      <w:sz w:val="21"/>
                      <w:szCs w:val="21"/>
                      <w:lang w:val="en-US" w:eastAsia="zh-CN" w:bidi="en-US"/>
                    </w:rPr>
                    <w:t>厂房隔音、</w:t>
                  </w:r>
                  <w:r>
                    <w:rPr>
                      <w:rFonts w:hint="default" w:ascii="Times New Roman" w:hAnsi="Times New Roman" w:eastAsia="宋体" w:cs="Times New Roman"/>
                      <w:color w:val="auto"/>
                      <w:sz w:val="21"/>
                      <w:szCs w:val="21"/>
                      <w:lang w:val="en-US" w:eastAsia="zh-CN" w:bidi="en-US"/>
                    </w:rPr>
                    <w:t>减振、距离衰减</w:t>
                  </w:r>
                </w:p>
                <w:p w14:paraId="38662974">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295" w:type="pct"/>
                  <w:tcBorders>
                    <w:tl2br w:val="nil"/>
                    <w:tr2bl w:val="nil"/>
                  </w:tcBorders>
                  <w:vAlign w:val="center"/>
                </w:tcPr>
                <w:p w14:paraId="1E8B1978">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-45</w:t>
                  </w:r>
                </w:p>
              </w:tc>
              <w:tc>
                <w:tcPr>
                  <w:tcW w:w="295" w:type="pct"/>
                  <w:tcBorders>
                    <w:tl2br w:val="nil"/>
                    <w:tr2bl w:val="nil"/>
                  </w:tcBorders>
                  <w:vAlign w:val="center"/>
                </w:tcPr>
                <w:p w14:paraId="7539EE25">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60</w:t>
                  </w:r>
                </w:p>
              </w:tc>
              <w:tc>
                <w:tcPr>
                  <w:tcW w:w="347" w:type="pct"/>
                  <w:tcBorders>
                    <w:tl2br w:val="nil"/>
                    <w:tr2bl w:val="nil"/>
                  </w:tcBorders>
                  <w:vAlign w:val="center"/>
                </w:tcPr>
                <w:p w14:paraId="5C964206">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3.5</w:t>
                  </w:r>
                </w:p>
              </w:tc>
              <w:tc>
                <w:tcPr>
                  <w:tcW w:w="253" w:type="pct"/>
                  <w:tcBorders>
                    <w:tl2br w:val="nil"/>
                    <w:tr2bl w:val="nil"/>
                  </w:tcBorders>
                  <w:vAlign w:val="center"/>
                </w:tcPr>
                <w:p w14:paraId="07BFB3A5">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3</w:t>
                  </w:r>
                </w:p>
              </w:tc>
              <w:tc>
                <w:tcPr>
                  <w:tcW w:w="438" w:type="pct"/>
                  <w:tcBorders>
                    <w:tl2br w:val="nil"/>
                    <w:tr2bl w:val="nil"/>
                  </w:tcBorders>
                  <w:vAlign w:val="center"/>
                </w:tcPr>
                <w:p w14:paraId="1288BBAD">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79.45</w:t>
                  </w:r>
                </w:p>
              </w:tc>
              <w:tc>
                <w:tcPr>
                  <w:tcW w:w="378" w:type="pct"/>
                  <w:vMerge w:val="restart"/>
                  <w:tcBorders>
                    <w:tl2br w:val="nil"/>
                    <w:tr2bl w:val="nil"/>
                  </w:tcBorders>
                  <w:vAlign w:val="center"/>
                </w:tcPr>
                <w:p w14:paraId="0C492832">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color w:val="auto"/>
                      <w:kern w:val="21"/>
                      <w:sz w:val="21"/>
                      <w:szCs w:val="18"/>
                      <w:lang w:val="en-US" w:eastAsia="zh-CN"/>
                    </w:rPr>
                  </w:pPr>
                  <w:r>
                    <w:rPr>
                      <w:rFonts w:hint="eastAsia"/>
                      <w:color w:val="auto"/>
                      <w:kern w:val="21"/>
                      <w:sz w:val="21"/>
                      <w:szCs w:val="18"/>
                      <w:lang w:val="en-US" w:eastAsia="zh-CN"/>
                    </w:rPr>
                    <w:t>两班，每班8h</w:t>
                  </w:r>
                </w:p>
                <w:p w14:paraId="4784B39D">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1"/>
                      <w:lang w:val="en-US" w:eastAsia="zh-CN" w:bidi="en-US"/>
                    </w:rPr>
                  </w:pPr>
                </w:p>
              </w:tc>
              <w:tc>
                <w:tcPr>
                  <w:tcW w:w="438" w:type="pct"/>
                  <w:vMerge w:val="restart"/>
                  <w:tcBorders>
                    <w:tl2br w:val="nil"/>
                    <w:tr2bl w:val="nil"/>
                  </w:tcBorders>
                  <w:vAlign w:val="center"/>
                </w:tcPr>
                <w:p w14:paraId="24602FD5">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12</w:t>
                  </w:r>
                </w:p>
              </w:tc>
              <w:tc>
                <w:tcPr>
                  <w:tcW w:w="441" w:type="pct"/>
                  <w:tcBorders>
                    <w:tl2br w:val="nil"/>
                    <w:tr2bl w:val="nil"/>
                  </w:tcBorders>
                  <w:vAlign w:val="center"/>
                </w:tcPr>
                <w:p w14:paraId="43C38CE8">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67.45</w:t>
                  </w:r>
                </w:p>
              </w:tc>
              <w:tc>
                <w:tcPr>
                  <w:tcW w:w="248" w:type="pct"/>
                  <w:vMerge w:val="restart"/>
                  <w:tcBorders>
                    <w:tl2br w:val="nil"/>
                    <w:tr2bl w:val="nil"/>
                  </w:tcBorders>
                  <w:vAlign w:val="center"/>
                </w:tcPr>
                <w:p w14:paraId="50929A93">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default" w:ascii="Times New Roman" w:hAnsi="Times New Roman" w:eastAsia="宋体" w:cs="Times New Roman"/>
                      <w:color w:val="auto"/>
                      <w:sz w:val="21"/>
                      <w:szCs w:val="21"/>
                      <w:lang w:val="en-US" w:eastAsia="zh-CN" w:bidi="en-US"/>
                    </w:rPr>
                    <w:t>1</w:t>
                  </w:r>
                </w:p>
              </w:tc>
            </w:tr>
            <w:tr w14:paraId="726A4B4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53" w:type="pct"/>
                  <w:tcBorders>
                    <w:tl2br w:val="nil"/>
                    <w:tr2bl w:val="nil"/>
                  </w:tcBorders>
                  <w:vAlign w:val="center"/>
                </w:tcPr>
                <w:p w14:paraId="37A71C05">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default" w:ascii="Times New Roman" w:hAnsi="Times New Roman" w:eastAsia="宋体" w:cs="Times New Roman"/>
                      <w:color w:val="auto"/>
                      <w:sz w:val="21"/>
                      <w:szCs w:val="21"/>
                      <w:lang w:val="en-US" w:eastAsia="zh-CN" w:bidi="en-US"/>
                    </w:rPr>
                    <w:t>2</w:t>
                  </w:r>
                </w:p>
              </w:tc>
              <w:tc>
                <w:tcPr>
                  <w:tcW w:w="253" w:type="pct"/>
                  <w:vMerge w:val="continue"/>
                  <w:tcBorders>
                    <w:tl2br w:val="nil"/>
                    <w:tr2bl w:val="nil"/>
                  </w:tcBorders>
                  <w:vAlign w:val="center"/>
                </w:tcPr>
                <w:p w14:paraId="278D7538">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300" w:type="pct"/>
                  <w:tcBorders>
                    <w:tl2br w:val="nil"/>
                    <w:tr2bl w:val="nil"/>
                  </w:tcBorders>
                  <w:vAlign w:val="center"/>
                </w:tcPr>
                <w:p w14:paraId="7C7B246C">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color w:val="auto"/>
                      <w:sz w:val="21"/>
                      <w:szCs w:val="21"/>
                      <w:lang w:val="en-US" w:eastAsia="zh-CN" w:bidi="en-US"/>
                    </w:rPr>
                  </w:pPr>
                  <w:r>
                    <w:rPr>
                      <w:rFonts w:hint="eastAsia" w:ascii="Times New Roman" w:hAnsi="Times New Roman" w:eastAsia="宋体"/>
                      <w:color w:val="auto"/>
                      <w:sz w:val="21"/>
                      <w:szCs w:val="21"/>
                      <w:lang w:val="en-US" w:eastAsia="zh-CN"/>
                    </w:rPr>
                    <w:t>立式机注塑</w:t>
                  </w:r>
                </w:p>
              </w:tc>
              <w:tc>
                <w:tcPr>
                  <w:tcW w:w="266" w:type="pct"/>
                  <w:tcBorders>
                    <w:tl2br w:val="nil"/>
                    <w:tr2bl w:val="nil"/>
                  </w:tcBorders>
                  <w:vAlign w:val="center"/>
                </w:tcPr>
                <w:p w14:paraId="3FC164D8">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10</w:t>
                  </w:r>
                </w:p>
              </w:tc>
              <w:tc>
                <w:tcPr>
                  <w:tcW w:w="409" w:type="pct"/>
                  <w:tcBorders>
                    <w:tl2br w:val="nil"/>
                    <w:tr2bl w:val="nil"/>
                  </w:tcBorders>
                  <w:vAlign w:val="center"/>
                </w:tcPr>
                <w:p w14:paraId="317E9C53">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80</w:t>
                  </w:r>
                </w:p>
              </w:tc>
              <w:tc>
                <w:tcPr>
                  <w:tcW w:w="378" w:type="pct"/>
                  <w:vMerge w:val="continue"/>
                  <w:tcBorders>
                    <w:tl2br w:val="nil"/>
                    <w:tr2bl w:val="nil"/>
                  </w:tcBorders>
                  <w:vAlign w:val="center"/>
                </w:tcPr>
                <w:p w14:paraId="36FED326">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295" w:type="pct"/>
                  <w:tcBorders>
                    <w:tl2br w:val="nil"/>
                    <w:tr2bl w:val="nil"/>
                  </w:tcBorders>
                  <w:vAlign w:val="center"/>
                </w:tcPr>
                <w:p w14:paraId="061E43ED">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36</w:t>
                  </w:r>
                </w:p>
              </w:tc>
              <w:tc>
                <w:tcPr>
                  <w:tcW w:w="295" w:type="pct"/>
                  <w:tcBorders>
                    <w:tl2br w:val="nil"/>
                    <w:tr2bl w:val="nil"/>
                  </w:tcBorders>
                  <w:vAlign w:val="center"/>
                </w:tcPr>
                <w:p w14:paraId="773D1128">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55</w:t>
                  </w:r>
                </w:p>
              </w:tc>
              <w:tc>
                <w:tcPr>
                  <w:tcW w:w="347" w:type="pct"/>
                  <w:tcBorders>
                    <w:tl2br w:val="nil"/>
                    <w:tr2bl w:val="nil"/>
                  </w:tcBorders>
                  <w:vAlign w:val="center"/>
                </w:tcPr>
                <w:p w14:paraId="63DAEAE8">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3.5</w:t>
                  </w:r>
                </w:p>
              </w:tc>
              <w:tc>
                <w:tcPr>
                  <w:tcW w:w="253" w:type="pct"/>
                  <w:tcBorders>
                    <w:tl2br w:val="nil"/>
                    <w:tr2bl w:val="nil"/>
                  </w:tcBorders>
                  <w:vAlign w:val="center"/>
                </w:tcPr>
                <w:p w14:paraId="1977CF19">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3</w:t>
                  </w:r>
                </w:p>
              </w:tc>
              <w:tc>
                <w:tcPr>
                  <w:tcW w:w="438" w:type="pct"/>
                  <w:tcBorders>
                    <w:tl2br w:val="nil"/>
                    <w:tr2bl w:val="nil"/>
                  </w:tcBorders>
                  <w:vAlign w:val="center"/>
                </w:tcPr>
                <w:p w14:paraId="42FF2600">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79.45</w:t>
                  </w:r>
                </w:p>
              </w:tc>
              <w:tc>
                <w:tcPr>
                  <w:tcW w:w="378" w:type="pct"/>
                  <w:vMerge w:val="continue"/>
                  <w:tcBorders>
                    <w:tl2br w:val="nil"/>
                    <w:tr2bl w:val="nil"/>
                  </w:tcBorders>
                  <w:vAlign w:val="center"/>
                </w:tcPr>
                <w:p w14:paraId="76D1F60A">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438" w:type="pct"/>
                  <w:vMerge w:val="continue"/>
                  <w:tcBorders>
                    <w:tl2br w:val="nil"/>
                    <w:tr2bl w:val="nil"/>
                  </w:tcBorders>
                  <w:vAlign w:val="center"/>
                </w:tcPr>
                <w:p w14:paraId="6EA6896B">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441" w:type="pct"/>
                  <w:tcBorders>
                    <w:tl2br w:val="nil"/>
                    <w:tr2bl w:val="nil"/>
                  </w:tcBorders>
                  <w:vAlign w:val="center"/>
                </w:tcPr>
                <w:p w14:paraId="462CE6D6">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67.45</w:t>
                  </w:r>
                </w:p>
              </w:tc>
              <w:tc>
                <w:tcPr>
                  <w:tcW w:w="248" w:type="pct"/>
                  <w:vMerge w:val="continue"/>
                  <w:tcBorders>
                    <w:tl2br w:val="nil"/>
                    <w:tr2bl w:val="nil"/>
                  </w:tcBorders>
                  <w:vAlign w:val="center"/>
                </w:tcPr>
                <w:p w14:paraId="68FE265C">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r>
            <w:tr w14:paraId="3776EDB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53" w:type="pct"/>
                  <w:tcBorders>
                    <w:tl2br w:val="nil"/>
                    <w:tr2bl w:val="nil"/>
                  </w:tcBorders>
                  <w:vAlign w:val="center"/>
                </w:tcPr>
                <w:p w14:paraId="22054A08">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default" w:ascii="Times New Roman" w:hAnsi="Times New Roman" w:eastAsia="宋体" w:cs="Times New Roman"/>
                      <w:color w:val="auto"/>
                      <w:sz w:val="21"/>
                      <w:szCs w:val="21"/>
                      <w:lang w:val="en-US" w:eastAsia="zh-CN" w:bidi="en-US"/>
                    </w:rPr>
                    <w:t>3</w:t>
                  </w:r>
                </w:p>
              </w:tc>
              <w:tc>
                <w:tcPr>
                  <w:tcW w:w="253" w:type="pct"/>
                  <w:vMerge w:val="continue"/>
                  <w:tcBorders>
                    <w:tl2br w:val="nil"/>
                    <w:tr2bl w:val="nil"/>
                  </w:tcBorders>
                  <w:vAlign w:val="center"/>
                </w:tcPr>
                <w:p w14:paraId="51EA80FF">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300" w:type="pct"/>
                  <w:tcBorders>
                    <w:tl2br w:val="nil"/>
                    <w:tr2bl w:val="nil"/>
                  </w:tcBorders>
                  <w:vAlign w:val="center"/>
                </w:tcPr>
                <w:p w14:paraId="452D0067">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ascii="Times New Roman" w:hAnsi="Times New Roman" w:eastAsia="宋体" w:cs="Times New Roman"/>
                      <w:b w:val="0"/>
                      <w:bCs/>
                      <w:color w:val="auto"/>
                      <w:sz w:val="21"/>
                      <w:szCs w:val="21"/>
                      <w:lang w:val="en-US" w:eastAsia="zh-CN"/>
                    </w:rPr>
                    <w:t>拌料机</w:t>
                  </w:r>
                </w:p>
              </w:tc>
              <w:tc>
                <w:tcPr>
                  <w:tcW w:w="266" w:type="pct"/>
                  <w:tcBorders>
                    <w:tl2br w:val="nil"/>
                    <w:tr2bl w:val="nil"/>
                  </w:tcBorders>
                  <w:vAlign w:val="center"/>
                </w:tcPr>
                <w:p w14:paraId="5C97CE26">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7</w:t>
                  </w:r>
                </w:p>
              </w:tc>
              <w:tc>
                <w:tcPr>
                  <w:tcW w:w="409" w:type="pct"/>
                  <w:tcBorders>
                    <w:tl2br w:val="nil"/>
                    <w:tr2bl w:val="nil"/>
                  </w:tcBorders>
                  <w:vAlign w:val="center"/>
                </w:tcPr>
                <w:p w14:paraId="64CED66F">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60</w:t>
                  </w:r>
                </w:p>
              </w:tc>
              <w:tc>
                <w:tcPr>
                  <w:tcW w:w="378" w:type="pct"/>
                  <w:vMerge w:val="continue"/>
                  <w:tcBorders>
                    <w:tl2br w:val="nil"/>
                    <w:tr2bl w:val="nil"/>
                  </w:tcBorders>
                  <w:vAlign w:val="center"/>
                </w:tcPr>
                <w:p w14:paraId="116665BD">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295" w:type="pct"/>
                  <w:tcBorders>
                    <w:tl2br w:val="nil"/>
                    <w:tr2bl w:val="nil"/>
                  </w:tcBorders>
                  <w:vAlign w:val="center"/>
                </w:tcPr>
                <w:p w14:paraId="7CC62393">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-5</w:t>
                  </w:r>
                </w:p>
              </w:tc>
              <w:tc>
                <w:tcPr>
                  <w:tcW w:w="295" w:type="pct"/>
                  <w:tcBorders>
                    <w:tl2br w:val="nil"/>
                    <w:tr2bl w:val="nil"/>
                  </w:tcBorders>
                  <w:vAlign w:val="center"/>
                </w:tcPr>
                <w:p w14:paraId="45BBC4F5">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20</w:t>
                  </w:r>
                </w:p>
              </w:tc>
              <w:tc>
                <w:tcPr>
                  <w:tcW w:w="347" w:type="pct"/>
                  <w:tcBorders>
                    <w:tl2br w:val="nil"/>
                    <w:tr2bl w:val="nil"/>
                  </w:tcBorders>
                  <w:vAlign w:val="center"/>
                </w:tcPr>
                <w:p w14:paraId="1C1E7592">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3</w:t>
                  </w:r>
                </w:p>
              </w:tc>
              <w:tc>
                <w:tcPr>
                  <w:tcW w:w="253" w:type="pct"/>
                  <w:tcBorders>
                    <w:tl2br w:val="nil"/>
                    <w:tr2bl w:val="nil"/>
                  </w:tcBorders>
                  <w:vAlign w:val="center"/>
                </w:tcPr>
                <w:p w14:paraId="6D64D484">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2</w:t>
                  </w:r>
                </w:p>
              </w:tc>
              <w:tc>
                <w:tcPr>
                  <w:tcW w:w="438" w:type="pct"/>
                  <w:tcBorders>
                    <w:tl2br w:val="nil"/>
                    <w:tr2bl w:val="nil"/>
                  </w:tcBorders>
                  <w:vAlign w:val="center"/>
                </w:tcPr>
                <w:p w14:paraId="1BD06328">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69.54</w:t>
                  </w:r>
                </w:p>
              </w:tc>
              <w:tc>
                <w:tcPr>
                  <w:tcW w:w="378" w:type="pct"/>
                  <w:vMerge w:val="continue"/>
                  <w:tcBorders>
                    <w:tl2br w:val="nil"/>
                    <w:tr2bl w:val="nil"/>
                  </w:tcBorders>
                  <w:vAlign w:val="center"/>
                </w:tcPr>
                <w:p w14:paraId="6D9D609E">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438" w:type="pct"/>
                  <w:vMerge w:val="continue"/>
                  <w:tcBorders>
                    <w:tl2br w:val="nil"/>
                    <w:tr2bl w:val="nil"/>
                  </w:tcBorders>
                  <w:vAlign w:val="center"/>
                </w:tcPr>
                <w:p w14:paraId="29D5D995">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441" w:type="pct"/>
                  <w:tcBorders>
                    <w:tl2br w:val="nil"/>
                    <w:tr2bl w:val="nil"/>
                  </w:tcBorders>
                  <w:vAlign w:val="center"/>
                </w:tcPr>
                <w:p w14:paraId="158F7FC4">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57.54</w:t>
                  </w:r>
                </w:p>
              </w:tc>
              <w:tc>
                <w:tcPr>
                  <w:tcW w:w="248" w:type="pct"/>
                  <w:vMerge w:val="continue"/>
                  <w:tcBorders>
                    <w:tl2br w:val="nil"/>
                    <w:tr2bl w:val="nil"/>
                  </w:tcBorders>
                  <w:vAlign w:val="center"/>
                </w:tcPr>
                <w:p w14:paraId="3BE1F5B0">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r>
            <w:tr w14:paraId="333185C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53" w:type="pct"/>
                  <w:tcBorders>
                    <w:tl2br w:val="nil"/>
                    <w:tr2bl w:val="nil"/>
                  </w:tcBorders>
                  <w:vAlign w:val="center"/>
                </w:tcPr>
                <w:p w14:paraId="07634953">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ascii="Times New Roman" w:hAnsi="Times New Roman" w:eastAsia="宋体" w:cs="Times New Roman"/>
                      <w:color w:val="auto"/>
                      <w:sz w:val="21"/>
                      <w:szCs w:val="21"/>
                      <w:lang w:val="en-US" w:eastAsia="zh-CN" w:bidi="en-US"/>
                    </w:rPr>
                    <w:t>4</w:t>
                  </w:r>
                </w:p>
              </w:tc>
              <w:tc>
                <w:tcPr>
                  <w:tcW w:w="253" w:type="pct"/>
                  <w:vMerge w:val="continue"/>
                  <w:tcBorders>
                    <w:tl2br w:val="nil"/>
                    <w:tr2bl w:val="nil"/>
                  </w:tcBorders>
                  <w:vAlign w:val="center"/>
                </w:tcPr>
                <w:p w14:paraId="3A8409DE">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300" w:type="pct"/>
                  <w:tcBorders>
                    <w:tl2br w:val="nil"/>
                    <w:tr2bl w:val="nil"/>
                  </w:tcBorders>
                  <w:vAlign w:val="center"/>
                </w:tcPr>
                <w:p w14:paraId="0AE1859A">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sz w:val="21"/>
                      <w:szCs w:val="21"/>
                      <w:lang w:val="en-US" w:eastAsia="zh-CN" w:bidi="en-US"/>
                    </w:rPr>
                  </w:pPr>
                  <w:r>
                    <w:rPr>
                      <w:rFonts w:hint="eastAsia" w:cs="Times New Roman"/>
                      <w:color w:val="auto"/>
                      <w:kern w:val="2"/>
                      <w:sz w:val="21"/>
                      <w:szCs w:val="21"/>
                      <w:lang w:val="en-US" w:eastAsia="zh-CN" w:bidi="ar-SA"/>
                    </w:rPr>
                    <w:t>精雕CNC裁断机</w:t>
                  </w:r>
                </w:p>
              </w:tc>
              <w:tc>
                <w:tcPr>
                  <w:tcW w:w="266" w:type="pct"/>
                  <w:tcBorders>
                    <w:tl2br w:val="nil"/>
                    <w:tr2bl w:val="nil"/>
                  </w:tcBorders>
                  <w:vAlign w:val="center"/>
                </w:tcPr>
                <w:p w14:paraId="0A373F01">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20</w:t>
                  </w:r>
                </w:p>
              </w:tc>
              <w:tc>
                <w:tcPr>
                  <w:tcW w:w="409" w:type="pct"/>
                  <w:tcBorders>
                    <w:tl2br w:val="nil"/>
                    <w:tr2bl w:val="nil"/>
                  </w:tcBorders>
                  <w:vAlign w:val="center"/>
                </w:tcPr>
                <w:p w14:paraId="35DC8D78">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75</w:t>
                  </w:r>
                </w:p>
              </w:tc>
              <w:tc>
                <w:tcPr>
                  <w:tcW w:w="378" w:type="pct"/>
                  <w:vMerge w:val="continue"/>
                  <w:tcBorders>
                    <w:tl2br w:val="nil"/>
                    <w:tr2bl w:val="nil"/>
                  </w:tcBorders>
                  <w:vAlign w:val="center"/>
                </w:tcPr>
                <w:p w14:paraId="0786B218">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295" w:type="pct"/>
                  <w:tcBorders>
                    <w:tl2br w:val="nil"/>
                    <w:tr2bl w:val="nil"/>
                  </w:tcBorders>
                  <w:vAlign w:val="center"/>
                </w:tcPr>
                <w:p w14:paraId="0D6F514E">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0</w:t>
                  </w:r>
                </w:p>
              </w:tc>
              <w:tc>
                <w:tcPr>
                  <w:tcW w:w="295" w:type="pct"/>
                  <w:tcBorders>
                    <w:tl2br w:val="nil"/>
                    <w:tr2bl w:val="nil"/>
                  </w:tcBorders>
                  <w:vAlign w:val="center"/>
                </w:tcPr>
                <w:p w14:paraId="20C15458">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-30</w:t>
                  </w:r>
                </w:p>
              </w:tc>
              <w:tc>
                <w:tcPr>
                  <w:tcW w:w="347" w:type="pct"/>
                  <w:tcBorders>
                    <w:tl2br w:val="nil"/>
                    <w:tr2bl w:val="nil"/>
                  </w:tcBorders>
                  <w:vAlign w:val="center"/>
                </w:tcPr>
                <w:p w14:paraId="795F8D10">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2</w:t>
                  </w:r>
                </w:p>
              </w:tc>
              <w:tc>
                <w:tcPr>
                  <w:tcW w:w="253" w:type="pct"/>
                  <w:tcBorders>
                    <w:tl2br w:val="nil"/>
                    <w:tr2bl w:val="nil"/>
                  </w:tcBorders>
                  <w:vAlign w:val="center"/>
                </w:tcPr>
                <w:p w14:paraId="0BBB6D35">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ascii="Times New Roman" w:hAnsi="Times New Roman" w:eastAsia="宋体" w:cs="Times New Roman"/>
                      <w:color w:val="auto"/>
                      <w:sz w:val="21"/>
                      <w:szCs w:val="21"/>
                      <w:lang w:val="en-US" w:eastAsia="zh-CN" w:bidi="en-US"/>
                    </w:rPr>
                    <w:t>5</w:t>
                  </w:r>
                </w:p>
              </w:tc>
              <w:tc>
                <w:tcPr>
                  <w:tcW w:w="438" w:type="pct"/>
                  <w:tcBorders>
                    <w:tl2br w:val="nil"/>
                    <w:tr2bl w:val="nil"/>
                  </w:tcBorders>
                  <w:vAlign w:val="center"/>
                </w:tcPr>
                <w:p w14:paraId="3122C0F2">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86.14</w:t>
                  </w:r>
                </w:p>
              </w:tc>
              <w:tc>
                <w:tcPr>
                  <w:tcW w:w="378" w:type="pct"/>
                  <w:vMerge w:val="continue"/>
                  <w:tcBorders>
                    <w:tl2br w:val="nil"/>
                    <w:tr2bl w:val="nil"/>
                  </w:tcBorders>
                  <w:vAlign w:val="center"/>
                </w:tcPr>
                <w:p w14:paraId="2AC2D541">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sz w:val="21"/>
                      <w:szCs w:val="21"/>
                      <w:lang w:val="en-US" w:eastAsia="zh-CN" w:bidi="en-US"/>
                    </w:rPr>
                  </w:pPr>
                </w:p>
              </w:tc>
              <w:tc>
                <w:tcPr>
                  <w:tcW w:w="438" w:type="pct"/>
                  <w:vMerge w:val="continue"/>
                  <w:tcBorders>
                    <w:tl2br w:val="nil"/>
                    <w:tr2bl w:val="nil"/>
                  </w:tcBorders>
                  <w:vAlign w:val="center"/>
                </w:tcPr>
                <w:p w14:paraId="1B060E49">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441" w:type="pct"/>
                  <w:tcBorders>
                    <w:tl2br w:val="nil"/>
                    <w:tr2bl w:val="nil"/>
                  </w:tcBorders>
                  <w:vAlign w:val="center"/>
                </w:tcPr>
                <w:p w14:paraId="2458ED85">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75.14</w:t>
                  </w:r>
                </w:p>
              </w:tc>
              <w:tc>
                <w:tcPr>
                  <w:tcW w:w="248" w:type="pct"/>
                  <w:vMerge w:val="continue"/>
                  <w:tcBorders>
                    <w:tl2br w:val="nil"/>
                    <w:tr2bl w:val="nil"/>
                  </w:tcBorders>
                  <w:vAlign w:val="center"/>
                </w:tcPr>
                <w:p w14:paraId="2443B3B4">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r>
            <w:tr w14:paraId="3D6E28B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53" w:type="pct"/>
                  <w:tcBorders>
                    <w:tl2br w:val="nil"/>
                    <w:tr2bl w:val="nil"/>
                  </w:tcBorders>
                  <w:vAlign w:val="center"/>
                </w:tcPr>
                <w:p w14:paraId="4F7607AD">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ascii="Times New Roman" w:hAnsi="Times New Roman" w:cs="Times New Roman"/>
                      <w:color w:val="auto"/>
                      <w:sz w:val="21"/>
                      <w:szCs w:val="21"/>
                      <w:lang w:val="en-US" w:eastAsia="zh-CN" w:bidi="en-US"/>
                    </w:rPr>
                    <w:t>5</w:t>
                  </w:r>
                </w:p>
              </w:tc>
              <w:tc>
                <w:tcPr>
                  <w:tcW w:w="253" w:type="pct"/>
                  <w:vMerge w:val="continue"/>
                  <w:tcBorders>
                    <w:tl2br w:val="nil"/>
                    <w:tr2bl w:val="nil"/>
                  </w:tcBorders>
                  <w:vAlign w:val="center"/>
                </w:tcPr>
                <w:p w14:paraId="13494909">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300" w:type="pct"/>
                  <w:tcBorders>
                    <w:tl2br w:val="nil"/>
                    <w:tr2bl w:val="nil"/>
                  </w:tcBorders>
                  <w:vAlign w:val="center"/>
                </w:tcPr>
                <w:p w14:paraId="5372E457">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sz w:val="21"/>
                      <w:szCs w:val="21"/>
                      <w:lang w:val="en-US" w:eastAsia="zh-CN" w:bidi="en-US"/>
                    </w:rPr>
                  </w:pPr>
                  <w:r>
                    <w:rPr>
                      <w:rFonts w:hint="eastAsia" w:ascii="Times New Roman" w:hAnsi="Times New Roman" w:eastAsia="宋体" w:cs="Times New Roman"/>
                      <w:color w:val="auto"/>
                      <w:kern w:val="2"/>
                      <w:sz w:val="21"/>
                      <w:szCs w:val="21"/>
                      <w:lang w:val="en-US" w:eastAsia="zh-CN" w:bidi="ar-SA"/>
                    </w:rPr>
                    <w:t>下料机</w:t>
                  </w:r>
                </w:p>
              </w:tc>
              <w:tc>
                <w:tcPr>
                  <w:tcW w:w="266" w:type="pct"/>
                  <w:tcBorders>
                    <w:tl2br w:val="nil"/>
                    <w:tr2bl w:val="nil"/>
                  </w:tcBorders>
                  <w:vAlign w:val="center"/>
                </w:tcPr>
                <w:p w14:paraId="37E0BD82">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10</w:t>
                  </w:r>
                </w:p>
              </w:tc>
              <w:tc>
                <w:tcPr>
                  <w:tcW w:w="409" w:type="pct"/>
                  <w:tcBorders>
                    <w:tl2br w:val="nil"/>
                    <w:tr2bl w:val="nil"/>
                  </w:tcBorders>
                  <w:vAlign w:val="center"/>
                </w:tcPr>
                <w:p w14:paraId="4388B23E">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70</w:t>
                  </w:r>
                </w:p>
              </w:tc>
              <w:tc>
                <w:tcPr>
                  <w:tcW w:w="378" w:type="pct"/>
                  <w:vMerge w:val="continue"/>
                  <w:tcBorders>
                    <w:tl2br w:val="nil"/>
                    <w:tr2bl w:val="nil"/>
                  </w:tcBorders>
                  <w:vAlign w:val="center"/>
                </w:tcPr>
                <w:p w14:paraId="58743AD7">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295" w:type="pct"/>
                  <w:tcBorders>
                    <w:tl2br w:val="nil"/>
                    <w:tr2bl w:val="nil"/>
                  </w:tcBorders>
                  <w:vAlign w:val="center"/>
                </w:tcPr>
                <w:p w14:paraId="6BE14D57">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-15</w:t>
                  </w:r>
                </w:p>
              </w:tc>
              <w:tc>
                <w:tcPr>
                  <w:tcW w:w="295" w:type="pct"/>
                  <w:tcBorders>
                    <w:tl2br w:val="nil"/>
                    <w:tr2bl w:val="nil"/>
                  </w:tcBorders>
                  <w:vAlign w:val="center"/>
                </w:tcPr>
                <w:p w14:paraId="654175B5">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8</w:t>
                  </w:r>
                </w:p>
              </w:tc>
              <w:tc>
                <w:tcPr>
                  <w:tcW w:w="347" w:type="pct"/>
                  <w:tcBorders>
                    <w:tl2br w:val="nil"/>
                    <w:tr2bl w:val="nil"/>
                  </w:tcBorders>
                  <w:vAlign w:val="center"/>
                </w:tcPr>
                <w:p w14:paraId="2CBBB754">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2</w:t>
                  </w:r>
                </w:p>
              </w:tc>
              <w:tc>
                <w:tcPr>
                  <w:tcW w:w="253" w:type="pct"/>
                  <w:tcBorders>
                    <w:tl2br w:val="nil"/>
                    <w:tr2bl w:val="nil"/>
                  </w:tcBorders>
                  <w:vAlign w:val="center"/>
                </w:tcPr>
                <w:p w14:paraId="785A469E">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3</w:t>
                  </w:r>
                </w:p>
              </w:tc>
              <w:tc>
                <w:tcPr>
                  <w:tcW w:w="438" w:type="pct"/>
                  <w:tcBorders>
                    <w:tl2br w:val="nil"/>
                    <w:tr2bl w:val="nil"/>
                  </w:tcBorders>
                  <w:vAlign w:val="center"/>
                </w:tcPr>
                <w:p w14:paraId="6BFEB7B7">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69.99</w:t>
                  </w:r>
                </w:p>
              </w:tc>
              <w:tc>
                <w:tcPr>
                  <w:tcW w:w="378" w:type="pct"/>
                  <w:vMerge w:val="continue"/>
                  <w:tcBorders>
                    <w:tl2br w:val="nil"/>
                    <w:tr2bl w:val="nil"/>
                  </w:tcBorders>
                  <w:vAlign w:val="center"/>
                </w:tcPr>
                <w:p w14:paraId="706D8123">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sz w:val="21"/>
                      <w:szCs w:val="21"/>
                      <w:lang w:val="en-US" w:eastAsia="zh-CN" w:bidi="en-US"/>
                    </w:rPr>
                  </w:pPr>
                </w:p>
              </w:tc>
              <w:tc>
                <w:tcPr>
                  <w:tcW w:w="438" w:type="pct"/>
                  <w:vMerge w:val="continue"/>
                  <w:tcBorders>
                    <w:tl2br w:val="nil"/>
                    <w:tr2bl w:val="nil"/>
                  </w:tcBorders>
                  <w:vAlign w:val="center"/>
                </w:tcPr>
                <w:p w14:paraId="2FAE414A">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441" w:type="pct"/>
                  <w:tcBorders>
                    <w:tl2br w:val="nil"/>
                    <w:tr2bl w:val="nil"/>
                  </w:tcBorders>
                  <w:vAlign w:val="center"/>
                </w:tcPr>
                <w:p w14:paraId="00311DE1">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57.99</w:t>
                  </w:r>
                </w:p>
              </w:tc>
              <w:tc>
                <w:tcPr>
                  <w:tcW w:w="248" w:type="pct"/>
                  <w:vMerge w:val="continue"/>
                  <w:tcBorders>
                    <w:tl2br w:val="nil"/>
                    <w:tr2bl w:val="nil"/>
                  </w:tcBorders>
                  <w:vAlign w:val="center"/>
                </w:tcPr>
                <w:p w14:paraId="58A3A3C7">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r>
            <w:tr w14:paraId="2239B9D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53" w:type="pct"/>
                  <w:tcBorders>
                    <w:tl2br w:val="nil"/>
                    <w:tr2bl w:val="nil"/>
                  </w:tcBorders>
                  <w:vAlign w:val="center"/>
                </w:tcPr>
                <w:p w14:paraId="21B921B9">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ascii="Times New Roman" w:hAnsi="Times New Roman" w:cs="Times New Roman"/>
                      <w:color w:val="auto"/>
                      <w:sz w:val="21"/>
                      <w:szCs w:val="21"/>
                      <w:lang w:val="en-US" w:eastAsia="zh-CN" w:bidi="en-US"/>
                    </w:rPr>
                    <w:t>6</w:t>
                  </w:r>
                </w:p>
              </w:tc>
              <w:tc>
                <w:tcPr>
                  <w:tcW w:w="253" w:type="pct"/>
                  <w:vMerge w:val="continue"/>
                  <w:tcBorders>
                    <w:tl2br w:val="nil"/>
                    <w:tr2bl w:val="nil"/>
                  </w:tcBorders>
                  <w:vAlign w:val="center"/>
                </w:tcPr>
                <w:p w14:paraId="36680C07">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300" w:type="pct"/>
                  <w:tcBorders>
                    <w:tl2br w:val="nil"/>
                    <w:tr2bl w:val="nil"/>
                  </w:tcBorders>
                  <w:vAlign w:val="center"/>
                </w:tcPr>
                <w:p w14:paraId="4A4A7F74">
                  <w:pPr>
                    <w:keepNext w:val="0"/>
                    <w:keepLines w:val="0"/>
                    <w:pageBreakBefore w:val="0"/>
                    <w:suppressLineNumbers w:val="0"/>
                    <w:kinsoku/>
                    <w:wordWrap/>
                    <w:overflowPunct w:val="0"/>
                    <w:topLinePunct w:val="0"/>
                    <w:autoSpaceDE/>
                    <w:autoSpaceDN/>
                    <w:bidi w:val="0"/>
                    <w:adjustRightInd/>
                    <w:snapToGrid/>
                    <w:spacing w:before="0" w:beforeAutospacing="0" w:after="0" w:afterAutospacing="0" w:line="240" w:lineRule="auto"/>
                    <w:ind w:left="0" w:leftChars="0" w:right="0"/>
                    <w:jc w:val="center"/>
                    <w:textAlignment w:val="auto"/>
                    <w:rPr>
                      <w:rFonts w:hint="eastAsia" w:ascii="Times New Roman" w:hAnsi="Times New Roman" w:eastAsia="宋体" w:cs="Times New Roman"/>
                      <w:color w:val="auto"/>
                      <w:sz w:val="21"/>
                      <w:szCs w:val="21"/>
                      <w:lang w:val="en-US" w:eastAsia="zh-CN" w:bidi="en-US"/>
                    </w:rPr>
                  </w:pPr>
                  <w:r>
                    <w:rPr>
                      <w:rFonts w:hint="eastAsia" w:ascii="Times New Roman" w:hAnsi="Times New Roman" w:eastAsia="宋体"/>
                      <w:color w:val="auto"/>
                      <w:sz w:val="21"/>
                      <w:u w:val="none"/>
                    </w:rPr>
                    <w:t>针车</w:t>
                  </w:r>
                </w:p>
              </w:tc>
              <w:tc>
                <w:tcPr>
                  <w:tcW w:w="266" w:type="pct"/>
                  <w:tcBorders>
                    <w:tl2br w:val="nil"/>
                    <w:tr2bl w:val="nil"/>
                  </w:tcBorders>
                  <w:vAlign w:val="center"/>
                </w:tcPr>
                <w:p w14:paraId="4CE93AB2">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60</w:t>
                  </w:r>
                </w:p>
              </w:tc>
              <w:tc>
                <w:tcPr>
                  <w:tcW w:w="409" w:type="pct"/>
                  <w:tcBorders>
                    <w:tl2br w:val="nil"/>
                    <w:tr2bl w:val="nil"/>
                  </w:tcBorders>
                  <w:vAlign w:val="center"/>
                </w:tcPr>
                <w:p w14:paraId="0E55E277">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70</w:t>
                  </w:r>
                </w:p>
              </w:tc>
              <w:tc>
                <w:tcPr>
                  <w:tcW w:w="378" w:type="pct"/>
                  <w:vMerge w:val="continue"/>
                  <w:tcBorders>
                    <w:tl2br w:val="nil"/>
                    <w:tr2bl w:val="nil"/>
                  </w:tcBorders>
                  <w:vAlign w:val="center"/>
                </w:tcPr>
                <w:p w14:paraId="45AACA3D">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295" w:type="pct"/>
                  <w:tcBorders>
                    <w:tl2br w:val="nil"/>
                    <w:tr2bl w:val="nil"/>
                  </w:tcBorders>
                  <w:vAlign w:val="center"/>
                </w:tcPr>
                <w:p w14:paraId="66D40617">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-12</w:t>
                  </w:r>
                </w:p>
              </w:tc>
              <w:tc>
                <w:tcPr>
                  <w:tcW w:w="295" w:type="pct"/>
                  <w:tcBorders>
                    <w:tl2br w:val="nil"/>
                    <w:tr2bl w:val="nil"/>
                  </w:tcBorders>
                  <w:vAlign w:val="center"/>
                </w:tcPr>
                <w:p w14:paraId="4F9CC82D">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32</w:t>
                  </w:r>
                </w:p>
              </w:tc>
              <w:tc>
                <w:tcPr>
                  <w:tcW w:w="347" w:type="pct"/>
                  <w:tcBorders>
                    <w:tl2br w:val="nil"/>
                    <w:tr2bl w:val="nil"/>
                  </w:tcBorders>
                  <w:vAlign w:val="center"/>
                </w:tcPr>
                <w:p w14:paraId="581E099B">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2</w:t>
                  </w:r>
                </w:p>
              </w:tc>
              <w:tc>
                <w:tcPr>
                  <w:tcW w:w="253" w:type="pct"/>
                  <w:tcBorders>
                    <w:tl2br w:val="nil"/>
                    <w:tr2bl w:val="nil"/>
                  </w:tcBorders>
                  <w:vAlign w:val="center"/>
                </w:tcPr>
                <w:p w14:paraId="73050822">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5</w:t>
                  </w:r>
                </w:p>
              </w:tc>
              <w:tc>
                <w:tcPr>
                  <w:tcW w:w="438" w:type="pct"/>
                  <w:tcBorders>
                    <w:tl2br w:val="nil"/>
                    <w:tr2bl w:val="nil"/>
                  </w:tcBorders>
                  <w:vAlign w:val="center"/>
                </w:tcPr>
                <w:p w14:paraId="27A588D0">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88.04</w:t>
                  </w:r>
                </w:p>
              </w:tc>
              <w:tc>
                <w:tcPr>
                  <w:tcW w:w="378" w:type="pct"/>
                  <w:vMerge w:val="continue"/>
                  <w:tcBorders>
                    <w:tl2br w:val="nil"/>
                    <w:tr2bl w:val="nil"/>
                  </w:tcBorders>
                  <w:vAlign w:val="center"/>
                </w:tcPr>
                <w:p w14:paraId="2756BC8B">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sz w:val="21"/>
                      <w:szCs w:val="21"/>
                      <w:lang w:val="en-US" w:eastAsia="zh-CN" w:bidi="en-US"/>
                    </w:rPr>
                  </w:pPr>
                </w:p>
              </w:tc>
              <w:tc>
                <w:tcPr>
                  <w:tcW w:w="438" w:type="pct"/>
                  <w:vMerge w:val="continue"/>
                  <w:tcBorders>
                    <w:tl2br w:val="nil"/>
                    <w:tr2bl w:val="nil"/>
                  </w:tcBorders>
                  <w:vAlign w:val="center"/>
                </w:tcPr>
                <w:p w14:paraId="66B92DB9">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441" w:type="pct"/>
                  <w:tcBorders>
                    <w:tl2br w:val="nil"/>
                    <w:tr2bl w:val="nil"/>
                  </w:tcBorders>
                  <w:vAlign w:val="center"/>
                </w:tcPr>
                <w:p w14:paraId="5ADEEC32">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76.04</w:t>
                  </w:r>
                </w:p>
              </w:tc>
              <w:tc>
                <w:tcPr>
                  <w:tcW w:w="248" w:type="pct"/>
                  <w:vMerge w:val="continue"/>
                  <w:tcBorders>
                    <w:tl2br w:val="nil"/>
                    <w:tr2bl w:val="nil"/>
                  </w:tcBorders>
                  <w:vAlign w:val="center"/>
                </w:tcPr>
                <w:p w14:paraId="1DAF8A69">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r>
            <w:tr w14:paraId="714A185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53" w:type="pct"/>
                  <w:tcBorders>
                    <w:tl2br w:val="nil"/>
                    <w:tr2bl w:val="nil"/>
                  </w:tcBorders>
                  <w:vAlign w:val="center"/>
                </w:tcPr>
                <w:p w14:paraId="28B6635C">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cs="Times New Roman"/>
                      <w:color w:val="auto"/>
                      <w:sz w:val="21"/>
                      <w:szCs w:val="21"/>
                      <w:lang w:val="en-US" w:eastAsia="zh-CN" w:bidi="en-US"/>
                    </w:rPr>
                  </w:pPr>
                  <w:r>
                    <w:rPr>
                      <w:rFonts w:hint="eastAsia" w:cs="Times New Roman"/>
                      <w:color w:val="auto"/>
                      <w:sz w:val="21"/>
                      <w:szCs w:val="21"/>
                      <w:lang w:val="en-US" w:eastAsia="zh-CN" w:bidi="en-US"/>
                    </w:rPr>
                    <w:t>7</w:t>
                  </w:r>
                </w:p>
              </w:tc>
              <w:tc>
                <w:tcPr>
                  <w:tcW w:w="253" w:type="pct"/>
                  <w:vMerge w:val="continue"/>
                  <w:tcBorders>
                    <w:tl2br w:val="nil"/>
                    <w:tr2bl w:val="nil"/>
                  </w:tcBorders>
                  <w:vAlign w:val="center"/>
                </w:tcPr>
                <w:p w14:paraId="3F7638F6">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300" w:type="pct"/>
                  <w:tcBorders>
                    <w:tl2br w:val="nil"/>
                    <w:tr2bl w:val="nil"/>
                  </w:tcBorders>
                  <w:vAlign w:val="center"/>
                </w:tcPr>
                <w:p w14:paraId="68F58F41">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宋体"/>
                      <w:color w:val="auto"/>
                      <w:kern w:val="0"/>
                      <w:sz w:val="21"/>
                      <w:szCs w:val="20"/>
                      <w:lang w:val="en-US" w:eastAsia="zh-CN" w:bidi="ar"/>
                    </w:rPr>
                  </w:pPr>
                  <w:r>
                    <w:rPr>
                      <w:rFonts w:hint="eastAsia" w:ascii="Times New Roman" w:hAnsi="Times New Roman" w:eastAsia="宋体"/>
                      <w:color w:val="auto"/>
                      <w:sz w:val="21"/>
                      <w:szCs w:val="21"/>
                    </w:rPr>
                    <w:t>电子花样机</w:t>
                  </w:r>
                </w:p>
              </w:tc>
              <w:tc>
                <w:tcPr>
                  <w:tcW w:w="266" w:type="pct"/>
                  <w:tcBorders>
                    <w:tl2br w:val="nil"/>
                    <w:tr2bl w:val="nil"/>
                  </w:tcBorders>
                  <w:vAlign w:val="center"/>
                </w:tcPr>
                <w:p w14:paraId="21552B43">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60</w:t>
                  </w:r>
                </w:p>
              </w:tc>
              <w:tc>
                <w:tcPr>
                  <w:tcW w:w="409" w:type="pct"/>
                  <w:tcBorders>
                    <w:tl2br w:val="nil"/>
                    <w:tr2bl w:val="nil"/>
                  </w:tcBorders>
                  <w:vAlign w:val="center"/>
                </w:tcPr>
                <w:p w14:paraId="30DF8ECB">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70</w:t>
                  </w:r>
                </w:p>
              </w:tc>
              <w:tc>
                <w:tcPr>
                  <w:tcW w:w="378" w:type="pct"/>
                  <w:vMerge w:val="continue"/>
                  <w:tcBorders>
                    <w:tl2br w:val="nil"/>
                    <w:tr2bl w:val="nil"/>
                  </w:tcBorders>
                  <w:vAlign w:val="center"/>
                </w:tcPr>
                <w:p w14:paraId="522A14CF">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295" w:type="pct"/>
                  <w:tcBorders>
                    <w:tl2br w:val="nil"/>
                    <w:tr2bl w:val="nil"/>
                  </w:tcBorders>
                  <w:vAlign w:val="center"/>
                </w:tcPr>
                <w:p w14:paraId="0733B8B2">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-30</w:t>
                  </w:r>
                </w:p>
              </w:tc>
              <w:tc>
                <w:tcPr>
                  <w:tcW w:w="295" w:type="pct"/>
                  <w:tcBorders>
                    <w:tl2br w:val="nil"/>
                    <w:tr2bl w:val="nil"/>
                  </w:tcBorders>
                  <w:vAlign w:val="center"/>
                </w:tcPr>
                <w:p w14:paraId="2AE9FAA6">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26</w:t>
                  </w:r>
                </w:p>
              </w:tc>
              <w:tc>
                <w:tcPr>
                  <w:tcW w:w="347" w:type="pct"/>
                  <w:tcBorders>
                    <w:tl2br w:val="nil"/>
                    <w:tr2bl w:val="nil"/>
                  </w:tcBorders>
                  <w:vAlign w:val="center"/>
                </w:tcPr>
                <w:p w14:paraId="7737BE41">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2</w:t>
                  </w:r>
                </w:p>
              </w:tc>
              <w:tc>
                <w:tcPr>
                  <w:tcW w:w="253" w:type="pct"/>
                  <w:tcBorders>
                    <w:tl2br w:val="nil"/>
                    <w:tr2bl w:val="nil"/>
                  </w:tcBorders>
                  <w:vAlign w:val="center"/>
                </w:tcPr>
                <w:p w14:paraId="46BC5664">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5</w:t>
                  </w:r>
                </w:p>
              </w:tc>
              <w:tc>
                <w:tcPr>
                  <w:tcW w:w="438" w:type="pct"/>
                  <w:tcBorders>
                    <w:tl2br w:val="nil"/>
                    <w:tr2bl w:val="nil"/>
                  </w:tcBorders>
                  <w:vAlign w:val="center"/>
                </w:tcPr>
                <w:p w14:paraId="607AE031">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color w:val="auto"/>
                      <w:sz w:val="21"/>
                      <w:szCs w:val="21"/>
                      <w:lang w:val="en-US" w:eastAsia="zh-CN" w:bidi="en-US"/>
                    </w:rPr>
                  </w:pPr>
                  <w:r>
                    <w:rPr>
                      <w:rFonts w:hint="eastAsia" w:cs="Times New Roman"/>
                      <w:color w:val="auto"/>
                      <w:sz w:val="21"/>
                      <w:szCs w:val="21"/>
                      <w:lang w:val="en-US" w:eastAsia="zh-CN" w:bidi="en-US"/>
                    </w:rPr>
                    <w:t>88.04</w:t>
                  </w:r>
                </w:p>
              </w:tc>
              <w:tc>
                <w:tcPr>
                  <w:tcW w:w="378" w:type="pct"/>
                  <w:vMerge w:val="continue"/>
                  <w:tcBorders>
                    <w:tl2br w:val="nil"/>
                    <w:tr2bl w:val="nil"/>
                  </w:tcBorders>
                  <w:vAlign w:val="center"/>
                </w:tcPr>
                <w:p w14:paraId="64F74935">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sz w:val="21"/>
                      <w:szCs w:val="21"/>
                      <w:lang w:val="en-US" w:eastAsia="zh-CN" w:bidi="en-US"/>
                    </w:rPr>
                  </w:pPr>
                </w:p>
              </w:tc>
              <w:tc>
                <w:tcPr>
                  <w:tcW w:w="438" w:type="pct"/>
                  <w:vMerge w:val="continue"/>
                  <w:tcBorders>
                    <w:tl2br w:val="nil"/>
                    <w:tr2bl w:val="nil"/>
                  </w:tcBorders>
                  <w:vAlign w:val="center"/>
                </w:tcPr>
                <w:p w14:paraId="7A5DC4F2">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441" w:type="pct"/>
                  <w:tcBorders>
                    <w:tl2br w:val="nil"/>
                    <w:tr2bl w:val="nil"/>
                  </w:tcBorders>
                  <w:vAlign w:val="center"/>
                </w:tcPr>
                <w:p w14:paraId="0DFF4E82">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76.04</w:t>
                  </w:r>
                </w:p>
              </w:tc>
              <w:tc>
                <w:tcPr>
                  <w:tcW w:w="248" w:type="pct"/>
                  <w:vMerge w:val="continue"/>
                  <w:tcBorders>
                    <w:tl2br w:val="nil"/>
                    <w:tr2bl w:val="nil"/>
                  </w:tcBorders>
                  <w:vAlign w:val="center"/>
                </w:tcPr>
                <w:p w14:paraId="6CFAD7F3">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r>
            <w:tr w14:paraId="6BBFBBD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53" w:type="pct"/>
                  <w:tcBorders>
                    <w:tl2br w:val="nil"/>
                    <w:tr2bl w:val="nil"/>
                  </w:tcBorders>
                  <w:vAlign w:val="center"/>
                </w:tcPr>
                <w:p w14:paraId="6152E497">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cs="Times New Roman"/>
                      <w:color w:val="auto"/>
                      <w:sz w:val="21"/>
                      <w:szCs w:val="21"/>
                      <w:lang w:val="en-US" w:eastAsia="zh-CN" w:bidi="en-US"/>
                    </w:rPr>
                  </w:pPr>
                  <w:r>
                    <w:rPr>
                      <w:rFonts w:hint="eastAsia" w:cs="Times New Roman"/>
                      <w:color w:val="auto"/>
                      <w:sz w:val="21"/>
                      <w:szCs w:val="21"/>
                      <w:lang w:val="en-US" w:eastAsia="zh-CN" w:bidi="en-US"/>
                    </w:rPr>
                    <w:t>8</w:t>
                  </w:r>
                </w:p>
              </w:tc>
              <w:tc>
                <w:tcPr>
                  <w:tcW w:w="253" w:type="pct"/>
                  <w:vMerge w:val="continue"/>
                  <w:tcBorders>
                    <w:tl2br w:val="nil"/>
                    <w:tr2bl w:val="nil"/>
                  </w:tcBorders>
                  <w:vAlign w:val="center"/>
                </w:tcPr>
                <w:p w14:paraId="48968FA1">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300" w:type="pct"/>
                  <w:tcBorders>
                    <w:tl2br w:val="nil"/>
                    <w:tr2bl w:val="nil"/>
                  </w:tcBorders>
                  <w:vAlign w:val="center"/>
                </w:tcPr>
                <w:p w14:paraId="42BE55A4">
                  <w:pPr>
                    <w:keepNext w:val="0"/>
                    <w:keepLines w:val="0"/>
                    <w:pageBreakBefore w:val="0"/>
                    <w:suppressLineNumbers w:val="0"/>
                    <w:kinsoku/>
                    <w:wordWrap/>
                    <w:overflowPunct w:val="0"/>
                    <w:topLinePunct w:val="0"/>
                    <w:autoSpaceDE/>
                    <w:autoSpaceDN/>
                    <w:bidi w:val="0"/>
                    <w:adjustRightInd/>
                    <w:snapToGrid/>
                    <w:spacing w:before="0" w:beforeAutospacing="0" w:after="0" w:afterAutospacing="0" w:line="240" w:lineRule="auto"/>
                    <w:ind w:left="0" w:leftChars="0" w:right="0"/>
                    <w:jc w:val="center"/>
                    <w:textAlignment w:val="auto"/>
                    <w:rPr>
                      <w:rFonts w:hint="eastAsia" w:ascii="Times New Roman" w:hAnsi="Times New Roman" w:eastAsia="宋体" w:cs="宋体"/>
                      <w:color w:val="auto"/>
                      <w:kern w:val="0"/>
                      <w:sz w:val="21"/>
                      <w:szCs w:val="20"/>
                      <w:lang w:val="en-US" w:eastAsia="zh-CN" w:bidi="ar"/>
                    </w:rPr>
                  </w:pPr>
                  <w:r>
                    <w:rPr>
                      <w:rFonts w:hint="eastAsia" w:ascii="Times New Roman" w:hAnsi="Times New Roman" w:eastAsia="宋体"/>
                      <w:color w:val="auto"/>
                      <w:sz w:val="21"/>
                      <w:u w:val="none"/>
                    </w:rPr>
                    <w:t>拉邦机</w:t>
                  </w:r>
                </w:p>
              </w:tc>
              <w:tc>
                <w:tcPr>
                  <w:tcW w:w="266" w:type="pct"/>
                  <w:tcBorders>
                    <w:tl2br w:val="nil"/>
                    <w:tr2bl w:val="nil"/>
                  </w:tcBorders>
                  <w:vAlign w:val="center"/>
                </w:tcPr>
                <w:p w14:paraId="55C3F054">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cs="Times New Roman"/>
                      <w:color w:val="auto"/>
                      <w:sz w:val="21"/>
                      <w:szCs w:val="21"/>
                      <w:lang w:val="en-US" w:eastAsia="zh-CN" w:bidi="en-US"/>
                    </w:rPr>
                  </w:pPr>
                  <w:r>
                    <w:rPr>
                      <w:rFonts w:hint="eastAsia" w:ascii="Times New Roman" w:hAnsi="Times New Roman" w:eastAsia="宋体"/>
                      <w:color w:val="auto"/>
                      <w:sz w:val="21"/>
                      <w:szCs w:val="21"/>
                      <w:u w:val="none"/>
                      <w:lang w:val="en-US" w:eastAsia="zh-CN"/>
                    </w:rPr>
                    <w:t>12</w:t>
                  </w:r>
                </w:p>
              </w:tc>
              <w:tc>
                <w:tcPr>
                  <w:tcW w:w="409" w:type="pct"/>
                  <w:tcBorders>
                    <w:tl2br w:val="nil"/>
                    <w:tr2bl w:val="nil"/>
                  </w:tcBorders>
                  <w:vAlign w:val="center"/>
                </w:tcPr>
                <w:p w14:paraId="659EEDE7">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70</w:t>
                  </w:r>
                </w:p>
              </w:tc>
              <w:tc>
                <w:tcPr>
                  <w:tcW w:w="378" w:type="pct"/>
                  <w:vMerge w:val="continue"/>
                  <w:tcBorders>
                    <w:tl2br w:val="nil"/>
                    <w:tr2bl w:val="nil"/>
                  </w:tcBorders>
                  <w:vAlign w:val="center"/>
                </w:tcPr>
                <w:p w14:paraId="3D662012">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295" w:type="pct"/>
                  <w:tcBorders>
                    <w:tl2br w:val="nil"/>
                    <w:tr2bl w:val="nil"/>
                  </w:tcBorders>
                  <w:vAlign w:val="center"/>
                </w:tcPr>
                <w:p w14:paraId="03C785C4">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34</w:t>
                  </w:r>
                </w:p>
              </w:tc>
              <w:tc>
                <w:tcPr>
                  <w:tcW w:w="295" w:type="pct"/>
                  <w:tcBorders>
                    <w:tl2br w:val="nil"/>
                    <w:tr2bl w:val="nil"/>
                  </w:tcBorders>
                  <w:vAlign w:val="center"/>
                </w:tcPr>
                <w:p w14:paraId="3067525D">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30</w:t>
                  </w:r>
                </w:p>
              </w:tc>
              <w:tc>
                <w:tcPr>
                  <w:tcW w:w="347" w:type="pct"/>
                  <w:tcBorders>
                    <w:tl2br w:val="nil"/>
                    <w:tr2bl w:val="nil"/>
                  </w:tcBorders>
                  <w:vAlign w:val="center"/>
                </w:tcPr>
                <w:p w14:paraId="54CA5627">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2</w:t>
                  </w:r>
                </w:p>
              </w:tc>
              <w:tc>
                <w:tcPr>
                  <w:tcW w:w="253" w:type="pct"/>
                  <w:tcBorders>
                    <w:tl2br w:val="nil"/>
                    <w:tr2bl w:val="nil"/>
                  </w:tcBorders>
                  <w:vAlign w:val="center"/>
                </w:tcPr>
                <w:p w14:paraId="3419E1AF">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4</w:t>
                  </w:r>
                </w:p>
              </w:tc>
              <w:tc>
                <w:tcPr>
                  <w:tcW w:w="438" w:type="pct"/>
                  <w:tcBorders>
                    <w:tl2br w:val="nil"/>
                    <w:tr2bl w:val="nil"/>
                  </w:tcBorders>
                  <w:vAlign w:val="center"/>
                </w:tcPr>
                <w:p w14:paraId="2C19D936">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color w:val="auto"/>
                      <w:sz w:val="21"/>
                      <w:szCs w:val="21"/>
                      <w:lang w:val="en-US" w:eastAsia="zh-CN" w:bidi="en-US"/>
                    </w:rPr>
                  </w:pPr>
                  <w:r>
                    <w:rPr>
                      <w:rFonts w:hint="eastAsia" w:cs="Times New Roman"/>
                      <w:color w:val="auto"/>
                      <w:sz w:val="21"/>
                      <w:szCs w:val="21"/>
                      <w:lang w:val="en-US" w:eastAsia="zh-CN" w:bidi="en-US"/>
                    </w:rPr>
                    <w:t>82.04</w:t>
                  </w:r>
                </w:p>
              </w:tc>
              <w:tc>
                <w:tcPr>
                  <w:tcW w:w="378" w:type="pct"/>
                  <w:vMerge w:val="continue"/>
                  <w:tcBorders>
                    <w:tl2br w:val="nil"/>
                    <w:tr2bl w:val="nil"/>
                  </w:tcBorders>
                  <w:vAlign w:val="center"/>
                </w:tcPr>
                <w:p w14:paraId="190F1C8F">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sz w:val="21"/>
                      <w:szCs w:val="21"/>
                      <w:lang w:val="en-US" w:eastAsia="zh-CN" w:bidi="en-US"/>
                    </w:rPr>
                  </w:pPr>
                </w:p>
              </w:tc>
              <w:tc>
                <w:tcPr>
                  <w:tcW w:w="438" w:type="pct"/>
                  <w:vMerge w:val="continue"/>
                  <w:tcBorders>
                    <w:tl2br w:val="nil"/>
                    <w:tr2bl w:val="nil"/>
                  </w:tcBorders>
                  <w:vAlign w:val="center"/>
                </w:tcPr>
                <w:p w14:paraId="106B4D5D">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441" w:type="pct"/>
                  <w:tcBorders>
                    <w:tl2br w:val="nil"/>
                    <w:tr2bl w:val="nil"/>
                  </w:tcBorders>
                  <w:vAlign w:val="center"/>
                </w:tcPr>
                <w:p w14:paraId="6A029819">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70.04</w:t>
                  </w:r>
                </w:p>
              </w:tc>
              <w:tc>
                <w:tcPr>
                  <w:tcW w:w="248" w:type="pct"/>
                  <w:vMerge w:val="continue"/>
                  <w:tcBorders>
                    <w:tl2br w:val="nil"/>
                    <w:tr2bl w:val="nil"/>
                  </w:tcBorders>
                  <w:vAlign w:val="center"/>
                </w:tcPr>
                <w:p w14:paraId="5FF91811">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r>
            <w:tr w14:paraId="6910DD7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53" w:type="pct"/>
                  <w:tcBorders>
                    <w:tl2br w:val="nil"/>
                    <w:tr2bl w:val="nil"/>
                  </w:tcBorders>
                  <w:vAlign w:val="center"/>
                </w:tcPr>
                <w:p w14:paraId="38635D33">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cs="Times New Roman"/>
                      <w:color w:val="auto"/>
                      <w:sz w:val="21"/>
                      <w:szCs w:val="21"/>
                      <w:lang w:val="en-US" w:eastAsia="zh-CN" w:bidi="en-US"/>
                    </w:rPr>
                  </w:pPr>
                  <w:r>
                    <w:rPr>
                      <w:rFonts w:hint="eastAsia" w:cs="Times New Roman"/>
                      <w:color w:val="auto"/>
                      <w:sz w:val="21"/>
                      <w:szCs w:val="21"/>
                      <w:lang w:val="en-US" w:eastAsia="zh-CN" w:bidi="en-US"/>
                    </w:rPr>
                    <w:t>9</w:t>
                  </w:r>
                </w:p>
              </w:tc>
              <w:tc>
                <w:tcPr>
                  <w:tcW w:w="253" w:type="pct"/>
                  <w:vMerge w:val="continue"/>
                  <w:tcBorders>
                    <w:tl2br w:val="nil"/>
                    <w:tr2bl w:val="nil"/>
                  </w:tcBorders>
                  <w:vAlign w:val="center"/>
                </w:tcPr>
                <w:p w14:paraId="55880F29">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300" w:type="pct"/>
                  <w:tcBorders>
                    <w:tl2br w:val="nil"/>
                    <w:tr2bl w:val="nil"/>
                  </w:tcBorders>
                  <w:vAlign w:val="center"/>
                </w:tcPr>
                <w:p w14:paraId="47E4ADE0">
                  <w:pPr>
                    <w:keepNext w:val="0"/>
                    <w:keepLines w:val="0"/>
                    <w:pageBreakBefore w:val="0"/>
                    <w:suppressLineNumbers w:val="0"/>
                    <w:kinsoku/>
                    <w:wordWrap/>
                    <w:overflowPunct w:val="0"/>
                    <w:topLinePunct w:val="0"/>
                    <w:autoSpaceDE/>
                    <w:autoSpaceDN/>
                    <w:bidi w:val="0"/>
                    <w:adjustRightInd/>
                    <w:snapToGrid/>
                    <w:spacing w:before="0" w:beforeAutospacing="0" w:after="0" w:afterAutospacing="0" w:line="240" w:lineRule="auto"/>
                    <w:ind w:left="0" w:leftChars="0" w:right="0"/>
                    <w:jc w:val="center"/>
                    <w:textAlignment w:val="auto"/>
                    <w:rPr>
                      <w:rFonts w:hint="eastAsia" w:ascii="Times New Roman" w:hAnsi="Times New Roman" w:eastAsia="宋体" w:cs="宋体"/>
                      <w:color w:val="auto"/>
                      <w:kern w:val="0"/>
                      <w:sz w:val="21"/>
                      <w:szCs w:val="20"/>
                      <w:lang w:val="en-US" w:eastAsia="zh-CN" w:bidi="ar"/>
                    </w:rPr>
                  </w:pPr>
                  <w:r>
                    <w:rPr>
                      <w:rFonts w:hint="eastAsia" w:ascii="Times New Roman" w:hAnsi="Times New Roman" w:eastAsia="宋体"/>
                      <w:color w:val="auto"/>
                      <w:sz w:val="21"/>
                      <w:u w:val="none"/>
                      <w:lang w:val="en-US" w:eastAsia="zh-CN"/>
                    </w:rPr>
                    <w:t>覆压机</w:t>
                  </w:r>
                </w:p>
              </w:tc>
              <w:tc>
                <w:tcPr>
                  <w:tcW w:w="266" w:type="pct"/>
                  <w:tcBorders>
                    <w:tl2br w:val="nil"/>
                    <w:tr2bl w:val="nil"/>
                  </w:tcBorders>
                  <w:vAlign w:val="center"/>
                </w:tcPr>
                <w:p w14:paraId="27BC9D6E">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cs="Times New Roman"/>
                      <w:color w:val="auto"/>
                      <w:sz w:val="21"/>
                      <w:szCs w:val="21"/>
                      <w:lang w:val="en-US" w:eastAsia="zh-CN" w:bidi="en-US"/>
                    </w:rPr>
                  </w:pPr>
                  <w:r>
                    <w:rPr>
                      <w:rFonts w:hint="eastAsia" w:ascii="Times New Roman" w:hAnsi="Times New Roman" w:eastAsia="宋体"/>
                      <w:color w:val="auto"/>
                      <w:sz w:val="21"/>
                      <w:szCs w:val="21"/>
                      <w:u w:val="none"/>
                      <w:lang w:val="en-US" w:eastAsia="zh-CN"/>
                    </w:rPr>
                    <w:t>2</w:t>
                  </w:r>
                </w:p>
              </w:tc>
              <w:tc>
                <w:tcPr>
                  <w:tcW w:w="409" w:type="pct"/>
                  <w:tcBorders>
                    <w:tl2br w:val="nil"/>
                    <w:tr2bl w:val="nil"/>
                  </w:tcBorders>
                  <w:vAlign w:val="center"/>
                </w:tcPr>
                <w:p w14:paraId="1486B22E">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75</w:t>
                  </w:r>
                </w:p>
              </w:tc>
              <w:tc>
                <w:tcPr>
                  <w:tcW w:w="378" w:type="pct"/>
                  <w:vMerge w:val="continue"/>
                  <w:tcBorders>
                    <w:tl2br w:val="nil"/>
                    <w:tr2bl w:val="nil"/>
                  </w:tcBorders>
                  <w:vAlign w:val="center"/>
                </w:tcPr>
                <w:p w14:paraId="06126268">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295" w:type="pct"/>
                  <w:tcBorders>
                    <w:tl2br w:val="nil"/>
                    <w:tr2bl w:val="nil"/>
                  </w:tcBorders>
                  <w:vAlign w:val="center"/>
                </w:tcPr>
                <w:p w14:paraId="30C71CD7">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-20</w:t>
                  </w:r>
                </w:p>
              </w:tc>
              <w:tc>
                <w:tcPr>
                  <w:tcW w:w="295" w:type="pct"/>
                  <w:tcBorders>
                    <w:tl2br w:val="nil"/>
                    <w:tr2bl w:val="nil"/>
                  </w:tcBorders>
                  <w:vAlign w:val="center"/>
                </w:tcPr>
                <w:p w14:paraId="246AF4E4">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15</w:t>
                  </w:r>
                </w:p>
              </w:tc>
              <w:tc>
                <w:tcPr>
                  <w:tcW w:w="347" w:type="pct"/>
                  <w:tcBorders>
                    <w:tl2br w:val="nil"/>
                    <w:tr2bl w:val="nil"/>
                  </w:tcBorders>
                  <w:vAlign w:val="center"/>
                </w:tcPr>
                <w:p w14:paraId="2521A026">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2</w:t>
                  </w:r>
                </w:p>
              </w:tc>
              <w:tc>
                <w:tcPr>
                  <w:tcW w:w="253" w:type="pct"/>
                  <w:tcBorders>
                    <w:tl2br w:val="nil"/>
                    <w:tr2bl w:val="nil"/>
                  </w:tcBorders>
                  <w:vAlign w:val="center"/>
                </w:tcPr>
                <w:p w14:paraId="4FE780B0">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3</w:t>
                  </w:r>
                </w:p>
              </w:tc>
              <w:tc>
                <w:tcPr>
                  <w:tcW w:w="438" w:type="pct"/>
                  <w:tcBorders>
                    <w:tl2br w:val="nil"/>
                    <w:tr2bl w:val="nil"/>
                  </w:tcBorders>
                  <w:vAlign w:val="center"/>
                </w:tcPr>
                <w:p w14:paraId="47EFB88E">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color w:val="auto"/>
                      <w:sz w:val="21"/>
                      <w:szCs w:val="21"/>
                      <w:lang w:val="en-US" w:eastAsia="zh-CN" w:bidi="en-US"/>
                    </w:rPr>
                  </w:pPr>
                  <w:r>
                    <w:rPr>
                      <w:rFonts w:hint="eastAsia" w:cs="Times New Roman"/>
                      <w:color w:val="auto"/>
                      <w:sz w:val="21"/>
                      <w:szCs w:val="21"/>
                      <w:lang w:val="en-US" w:eastAsia="zh-CN" w:bidi="en-US"/>
                    </w:rPr>
                    <w:t>69.03</w:t>
                  </w:r>
                </w:p>
              </w:tc>
              <w:tc>
                <w:tcPr>
                  <w:tcW w:w="378" w:type="pct"/>
                  <w:vMerge w:val="continue"/>
                  <w:tcBorders>
                    <w:tl2br w:val="nil"/>
                    <w:tr2bl w:val="nil"/>
                  </w:tcBorders>
                  <w:vAlign w:val="center"/>
                </w:tcPr>
                <w:p w14:paraId="1C253B33">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sz w:val="21"/>
                      <w:szCs w:val="21"/>
                      <w:lang w:val="en-US" w:eastAsia="zh-CN" w:bidi="en-US"/>
                    </w:rPr>
                  </w:pPr>
                </w:p>
              </w:tc>
              <w:tc>
                <w:tcPr>
                  <w:tcW w:w="438" w:type="pct"/>
                  <w:vMerge w:val="continue"/>
                  <w:tcBorders>
                    <w:tl2br w:val="nil"/>
                    <w:tr2bl w:val="nil"/>
                  </w:tcBorders>
                  <w:vAlign w:val="center"/>
                </w:tcPr>
                <w:p w14:paraId="7884EDD4">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441" w:type="pct"/>
                  <w:tcBorders>
                    <w:tl2br w:val="nil"/>
                    <w:tr2bl w:val="nil"/>
                  </w:tcBorders>
                  <w:vAlign w:val="center"/>
                </w:tcPr>
                <w:p w14:paraId="255D824E">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57.03</w:t>
                  </w:r>
                </w:p>
              </w:tc>
              <w:tc>
                <w:tcPr>
                  <w:tcW w:w="248" w:type="pct"/>
                  <w:vMerge w:val="continue"/>
                  <w:tcBorders>
                    <w:tl2br w:val="nil"/>
                    <w:tr2bl w:val="nil"/>
                  </w:tcBorders>
                  <w:vAlign w:val="center"/>
                </w:tcPr>
                <w:p w14:paraId="79B63274">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r>
            <w:tr w14:paraId="401C4D7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53" w:type="pct"/>
                  <w:tcBorders>
                    <w:tl2br w:val="nil"/>
                    <w:tr2bl w:val="nil"/>
                  </w:tcBorders>
                  <w:vAlign w:val="center"/>
                </w:tcPr>
                <w:p w14:paraId="7AFFDE3D">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10</w:t>
                  </w:r>
                </w:p>
              </w:tc>
              <w:tc>
                <w:tcPr>
                  <w:tcW w:w="253" w:type="pct"/>
                  <w:vMerge w:val="continue"/>
                  <w:tcBorders>
                    <w:tl2br w:val="nil"/>
                    <w:tr2bl w:val="nil"/>
                  </w:tcBorders>
                  <w:vAlign w:val="center"/>
                </w:tcPr>
                <w:p w14:paraId="5C35EA8E">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300" w:type="pct"/>
                  <w:tcBorders>
                    <w:tl2br w:val="nil"/>
                    <w:tr2bl w:val="nil"/>
                  </w:tcBorders>
                  <w:vAlign w:val="center"/>
                </w:tcPr>
                <w:p w14:paraId="700B7D41">
                  <w:pPr>
                    <w:keepNext w:val="0"/>
                    <w:keepLines w:val="0"/>
                    <w:pageBreakBefore w:val="0"/>
                    <w:suppressLineNumbers w:val="0"/>
                    <w:kinsoku/>
                    <w:wordWrap/>
                    <w:overflowPunct w:val="0"/>
                    <w:topLinePunct w:val="0"/>
                    <w:autoSpaceDE/>
                    <w:autoSpaceDN/>
                    <w:bidi w:val="0"/>
                    <w:adjustRightInd/>
                    <w:snapToGrid/>
                    <w:spacing w:before="0" w:beforeAutospacing="0" w:after="0" w:afterAutospacing="0" w:line="240" w:lineRule="auto"/>
                    <w:ind w:left="0" w:leftChars="0" w:right="0"/>
                    <w:jc w:val="center"/>
                    <w:textAlignment w:val="auto"/>
                    <w:rPr>
                      <w:rFonts w:hint="eastAsia" w:ascii="Times New Roman" w:hAnsi="Times New Roman" w:eastAsia="宋体" w:cs="Times New Roman"/>
                      <w:color w:val="auto"/>
                      <w:sz w:val="21"/>
                      <w:szCs w:val="21"/>
                      <w:lang w:val="en-US" w:eastAsia="zh-CN" w:bidi="en-US"/>
                    </w:rPr>
                  </w:pPr>
                  <w:r>
                    <w:rPr>
                      <w:rFonts w:hint="eastAsia" w:ascii="Times New Roman" w:hAnsi="Times New Roman" w:eastAsia="宋体"/>
                      <w:color w:val="auto"/>
                      <w:sz w:val="21"/>
                      <w:u w:val="none"/>
                    </w:rPr>
                    <w:t>打磨机</w:t>
                  </w:r>
                </w:p>
              </w:tc>
              <w:tc>
                <w:tcPr>
                  <w:tcW w:w="266" w:type="pct"/>
                  <w:tcBorders>
                    <w:tl2br w:val="nil"/>
                    <w:tr2bl w:val="nil"/>
                  </w:tcBorders>
                  <w:vAlign w:val="center"/>
                </w:tcPr>
                <w:p w14:paraId="280AED13">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ascii="Times New Roman" w:hAnsi="Times New Roman" w:eastAsia="宋体"/>
                      <w:color w:val="auto"/>
                      <w:sz w:val="21"/>
                      <w:szCs w:val="21"/>
                      <w:u w:val="none"/>
                      <w:lang w:val="en-US" w:eastAsia="zh-CN"/>
                    </w:rPr>
                    <w:t>6</w:t>
                  </w:r>
                </w:p>
              </w:tc>
              <w:tc>
                <w:tcPr>
                  <w:tcW w:w="409" w:type="pct"/>
                  <w:tcBorders>
                    <w:tl2br w:val="nil"/>
                    <w:tr2bl w:val="nil"/>
                  </w:tcBorders>
                  <w:vAlign w:val="center"/>
                </w:tcPr>
                <w:p w14:paraId="4160C0DF">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80</w:t>
                  </w:r>
                </w:p>
              </w:tc>
              <w:tc>
                <w:tcPr>
                  <w:tcW w:w="378" w:type="pct"/>
                  <w:vMerge w:val="continue"/>
                  <w:tcBorders>
                    <w:tl2br w:val="nil"/>
                    <w:tr2bl w:val="nil"/>
                  </w:tcBorders>
                  <w:vAlign w:val="center"/>
                </w:tcPr>
                <w:p w14:paraId="5CFD9346">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295" w:type="pct"/>
                  <w:tcBorders>
                    <w:tl2br w:val="nil"/>
                    <w:tr2bl w:val="nil"/>
                  </w:tcBorders>
                  <w:vAlign w:val="center"/>
                </w:tcPr>
                <w:p w14:paraId="509CB495">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-6</w:t>
                  </w:r>
                </w:p>
              </w:tc>
              <w:tc>
                <w:tcPr>
                  <w:tcW w:w="295" w:type="pct"/>
                  <w:tcBorders>
                    <w:tl2br w:val="nil"/>
                    <w:tr2bl w:val="nil"/>
                  </w:tcBorders>
                  <w:vAlign w:val="center"/>
                </w:tcPr>
                <w:p w14:paraId="4A896F81">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25</w:t>
                  </w:r>
                </w:p>
              </w:tc>
              <w:tc>
                <w:tcPr>
                  <w:tcW w:w="347" w:type="pct"/>
                  <w:tcBorders>
                    <w:tl2br w:val="nil"/>
                    <w:tr2bl w:val="nil"/>
                  </w:tcBorders>
                  <w:vAlign w:val="center"/>
                </w:tcPr>
                <w:p w14:paraId="45280369">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1.5</w:t>
                  </w:r>
                </w:p>
              </w:tc>
              <w:tc>
                <w:tcPr>
                  <w:tcW w:w="253" w:type="pct"/>
                  <w:tcBorders>
                    <w:tl2br w:val="nil"/>
                    <w:tr2bl w:val="nil"/>
                  </w:tcBorders>
                  <w:vAlign w:val="center"/>
                </w:tcPr>
                <w:p w14:paraId="3BDA6A4A">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3</w:t>
                  </w:r>
                </w:p>
              </w:tc>
              <w:tc>
                <w:tcPr>
                  <w:tcW w:w="438" w:type="pct"/>
                  <w:tcBorders>
                    <w:tl2br w:val="nil"/>
                    <w:tr2bl w:val="nil"/>
                  </w:tcBorders>
                  <w:vAlign w:val="center"/>
                </w:tcPr>
                <w:p w14:paraId="5E4BC6C5">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74.08</w:t>
                  </w:r>
                </w:p>
              </w:tc>
              <w:tc>
                <w:tcPr>
                  <w:tcW w:w="378" w:type="pct"/>
                  <w:vMerge w:val="continue"/>
                  <w:tcBorders>
                    <w:tl2br w:val="nil"/>
                    <w:tr2bl w:val="nil"/>
                  </w:tcBorders>
                  <w:vAlign w:val="center"/>
                </w:tcPr>
                <w:p w14:paraId="7834A7B2">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sz w:val="21"/>
                      <w:szCs w:val="21"/>
                      <w:lang w:val="en-US" w:eastAsia="zh-CN" w:bidi="en-US"/>
                    </w:rPr>
                  </w:pPr>
                </w:p>
              </w:tc>
              <w:tc>
                <w:tcPr>
                  <w:tcW w:w="438" w:type="pct"/>
                  <w:vMerge w:val="continue"/>
                  <w:tcBorders>
                    <w:tl2br w:val="nil"/>
                    <w:tr2bl w:val="nil"/>
                  </w:tcBorders>
                  <w:vAlign w:val="center"/>
                </w:tcPr>
                <w:p w14:paraId="2EC1EA49">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441" w:type="pct"/>
                  <w:tcBorders>
                    <w:tl2br w:val="nil"/>
                    <w:tr2bl w:val="nil"/>
                  </w:tcBorders>
                  <w:vAlign w:val="center"/>
                </w:tcPr>
                <w:p w14:paraId="7AA89485">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67.08</w:t>
                  </w:r>
                </w:p>
              </w:tc>
              <w:tc>
                <w:tcPr>
                  <w:tcW w:w="248" w:type="pct"/>
                  <w:vMerge w:val="continue"/>
                  <w:tcBorders>
                    <w:tl2br w:val="nil"/>
                    <w:tr2bl w:val="nil"/>
                  </w:tcBorders>
                  <w:vAlign w:val="center"/>
                </w:tcPr>
                <w:p w14:paraId="076F12AB">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r>
            <w:tr w14:paraId="7DF2E08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53" w:type="pct"/>
                  <w:tcBorders>
                    <w:tl2br w:val="nil"/>
                    <w:tr2bl w:val="nil"/>
                  </w:tcBorders>
                  <w:vAlign w:val="center"/>
                </w:tcPr>
                <w:p w14:paraId="70CE9B19">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cs="Times New Roman"/>
                      <w:color w:val="auto"/>
                      <w:sz w:val="21"/>
                      <w:szCs w:val="21"/>
                      <w:lang w:val="en-US" w:eastAsia="zh-CN" w:bidi="en-US"/>
                    </w:rPr>
                  </w:pPr>
                  <w:r>
                    <w:rPr>
                      <w:rFonts w:hint="eastAsia" w:cs="Times New Roman"/>
                      <w:color w:val="auto"/>
                      <w:sz w:val="21"/>
                      <w:szCs w:val="21"/>
                      <w:lang w:val="en-US" w:eastAsia="zh-CN" w:bidi="en-US"/>
                    </w:rPr>
                    <w:t>11</w:t>
                  </w:r>
                </w:p>
              </w:tc>
              <w:tc>
                <w:tcPr>
                  <w:tcW w:w="253" w:type="pct"/>
                  <w:vMerge w:val="continue"/>
                  <w:tcBorders>
                    <w:tl2br w:val="nil"/>
                    <w:tr2bl w:val="nil"/>
                  </w:tcBorders>
                  <w:vAlign w:val="center"/>
                </w:tcPr>
                <w:p w14:paraId="4C757B2F">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300" w:type="pct"/>
                  <w:tcBorders>
                    <w:tl2br w:val="nil"/>
                    <w:tr2bl w:val="nil"/>
                  </w:tcBorders>
                  <w:vAlign w:val="center"/>
                </w:tcPr>
                <w:p w14:paraId="0320EE1A">
                  <w:pPr>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bidi="en-US"/>
                    </w:rPr>
                  </w:pPr>
                  <w:r>
                    <w:rPr>
                      <w:rFonts w:hint="eastAsia" w:ascii="Times New Roman" w:hAnsi="Times New Roman" w:eastAsia="宋体"/>
                      <w:color w:val="auto"/>
                      <w:sz w:val="21"/>
                      <w:szCs w:val="21"/>
                      <w:u w:val="none"/>
                    </w:rPr>
                    <w:t>鞋舌压标机</w:t>
                  </w:r>
                </w:p>
              </w:tc>
              <w:tc>
                <w:tcPr>
                  <w:tcW w:w="266" w:type="pct"/>
                  <w:tcBorders>
                    <w:tl2br w:val="nil"/>
                    <w:tr2bl w:val="nil"/>
                  </w:tcBorders>
                  <w:vAlign w:val="center"/>
                </w:tcPr>
                <w:p w14:paraId="6288540C">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bidi="en-US"/>
                    </w:rPr>
                  </w:pPr>
                  <w:r>
                    <w:rPr>
                      <w:rFonts w:hint="eastAsia" w:ascii="Times New Roman" w:hAnsi="Times New Roman" w:eastAsia="宋体"/>
                      <w:color w:val="auto"/>
                      <w:sz w:val="21"/>
                      <w:szCs w:val="21"/>
                      <w:u w:val="none"/>
                      <w:lang w:val="en-US" w:eastAsia="zh-CN"/>
                    </w:rPr>
                    <w:t>3</w:t>
                  </w:r>
                </w:p>
              </w:tc>
              <w:tc>
                <w:tcPr>
                  <w:tcW w:w="409" w:type="pct"/>
                  <w:tcBorders>
                    <w:tl2br w:val="nil"/>
                    <w:tr2bl w:val="nil"/>
                  </w:tcBorders>
                  <w:vAlign w:val="center"/>
                </w:tcPr>
                <w:p w14:paraId="1114BD21">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75</w:t>
                  </w:r>
                </w:p>
              </w:tc>
              <w:tc>
                <w:tcPr>
                  <w:tcW w:w="378" w:type="pct"/>
                  <w:vMerge w:val="continue"/>
                  <w:tcBorders>
                    <w:tl2br w:val="nil"/>
                    <w:tr2bl w:val="nil"/>
                  </w:tcBorders>
                  <w:vAlign w:val="center"/>
                </w:tcPr>
                <w:p w14:paraId="0104F1F2">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295" w:type="pct"/>
                  <w:tcBorders>
                    <w:tl2br w:val="nil"/>
                    <w:tr2bl w:val="nil"/>
                  </w:tcBorders>
                  <w:vAlign w:val="center"/>
                </w:tcPr>
                <w:p w14:paraId="156EAE18">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-44</w:t>
                  </w:r>
                </w:p>
              </w:tc>
              <w:tc>
                <w:tcPr>
                  <w:tcW w:w="295" w:type="pct"/>
                  <w:tcBorders>
                    <w:tl2br w:val="nil"/>
                    <w:tr2bl w:val="nil"/>
                  </w:tcBorders>
                  <w:vAlign w:val="center"/>
                </w:tcPr>
                <w:p w14:paraId="501C4498">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16</w:t>
                  </w:r>
                </w:p>
              </w:tc>
              <w:tc>
                <w:tcPr>
                  <w:tcW w:w="347" w:type="pct"/>
                  <w:tcBorders>
                    <w:tl2br w:val="nil"/>
                    <w:tr2bl w:val="nil"/>
                  </w:tcBorders>
                  <w:vAlign w:val="center"/>
                </w:tcPr>
                <w:p w14:paraId="20DED4A3">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2</w:t>
                  </w:r>
                </w:p>
              </w:tc>
              <w:tc>
                <w:tcPr>
                  <w:tcW w:w="253" w:type="pct"/>
                  <w:tcBorders>
                    <w:tl2br w:val="nil"/>
                    <w:tr2bl w:val="nil"/>
                  </w:tcBorders>
                  <w:vAlign w:val="center"/>
                </w:tcPr>
                <w:p w14:paraId="6BEF6937">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3</w:t>
                  </w:r>
                </w:p>
              </w:tc>
              <w:tc>
                <w:tcPr>
                  <w:tcW w:w="438" w:type="pct"/>
                  <w:tcBorders>
                    <w:tl2br w:val="nil"/>
                    <w:tr2bl w:val="nil"/>
                  </w:tcBorders>
                  <w:vAlign w:val="center"/>
                </w:tcPr>
                <w:p w14:paraId="403D1863">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75.16</w:t>
                  </w:r>
                </w:p>
              </w:tc>
              <w:tc>
                <w:tcPr>
                  <w:tcW w:w="378" w:type="pct"/>
                  <w:vMerge w:val="continue"/>
                  <w:tcBorders>
                    <w:tl2br w:val="nil"/>
                    <w:tr2bl w:val="nil"/>
                  </w:tcBorders>
                  <w:vAlign w:val="center"/>
                </w:tcPr>
                <w:p w14:paraId="13186576">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sz w:val="21"/>
                      <w:szCs w:val="21"/>
                      <w:lang w:val="en-US" w:eastAsia="zh-CN" w:bidi="en-US"/>
                    </w:rPr>
                  </w:pPr>
                </w:p>
              </w:tc>
              <w:tc>
                <w:tcPr>
                  <w:tcW w:w="438" w:type="pct"/>
                  <w:vMerge w:val="continue"/>
                  <w:tcBorders>
                    <w:tl2br w:val="nil"/>
                    <w:tr2bl w:val="nil"/>
                  </w:tcBorders>
                  <w:vAlign w:val="center"/>
                </w:tcPr>
                <w:p w14:paraId="633D8F5C">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441" w:type="pct"/>
                  <w:tcBorders>
                    <w:tl2br w:val="nil"/>
                    <w:tr2bl w:val="nil"/>
                  </w:tcBorders>
                  <w:vAlign w:val="center"/>
                </w:tcPr>
                <w:p w14:paraId="5FE55B5E">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63.16</w:t>
                  </w:r>
                </w:p>
              </w:tc>
              <w:tc>
                <w:tcPr>
                  <w:tcW w:w="248" w:type="pct"/>
                  <w:vMerge w:val="continue"/>
                  <w:tcBorders>
                    <w:tl2br w:val="nil"/>
                    <w:tr2bl w:val="nil"/>
                  </w:tcBorders>
                  <w:vAlign w:val="center"/>
                </w:tcPr>
                <w:p w14:paraId="56F65C6E">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r>
            <w:tr w14:paraId="40AB902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53" w:type="pct"/>
                  <w:tcBorders>
                    <w:tl2br w:val="nil"/>
                    <w:tr2bl w:val="nil"/>
                  </w:tcBorders>
                  <w:vAlign w:val="center"/>
                </w:tcPr>
                <w:p w14:paraId="64F37EE4">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cs="Times New Roman"/>
                      <w:color w:val="auto"/>
                      <w:sz w:val="21"/>
                      <w:szCs w:val="21"/>
                      <w:lang w:val="en-US" w:eastAsia="zh-CN" w:bidi="en-US"/>
                    </w:rPr>
                  </w:pPr>
                  <w:r>
                    <w:rPr>
                      <w:rFonts w:hint="eastAsia" w:cs="Times New Roman"/>
                      <w:color w:val="auto"/>
                      <w:sz w:val="21"/>
                      <w:szCs w:val="21"/>
                      <w:lang w:val="en-US" w:eastAsia="zh-CN" w:bidi="en-US"/>
                    </w:rPr>
                    <w:t>12</w:t>
                  </w:r>
                </w:p>
              </w:tc>
              <w:tc>
                <w:tcPr>
                  <w:tcW w:w="253" w:type="pct"/>
                  <w:vMerge w:val="continue"/>
                  <w:tcBorders>
                    <w:tl2br w:val="nil"/>
                    <w:tr2bl w:val="nil"/>
                  </w:tcBorders>
                  <w:vAlign w:val="center"/>
                </w:tcPr>
                <w:p w14:paraId="1FEADAA6">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300" w:type="pct"/>
                  <w:tcBorders>
                    <w:tl2br w:val="nil"/>
                    <w:tr2bl w:val="nil"/>
                  </w:tcBorders>
                  <w:vAlign w:val="center"/>
                </w:tcPr>
                <w:p w14:paraId="4DC336FC">
                  <w:pPr>
                    <w:keepNext w:val="0"/>
                    <w:keepLines w:val="0"/>
                    <w:suppressLineNumbers w:val="0"/>
                    <w:kinsoku/>
                    <w:overflowPunct w:val="0"/>
                    <w:spacing w:before="0" w:beforeAutospacing="0" w:after="0" w:afterAutospacing="0" w:line="260" w:lineRule="exact"/>
                    <w:ind w:left="21" w:leftChars="10" w:right="0"/>
                    <w:jc w:val="center"/>
                    <w:rPr>
                      <w:rFonts w:hint="eastAsia" w:cs="Times New Roman"/>
                      <w:color w:val="auto"/>
                      <w:sz w:val="21"/>
                      <w:szCs w:val="21"/>
                      <w:lang w:val="en-US" w:eastAsia="zh-CN" w:bidi="en-US"/>
                    </w:rPr>
                  </w:pPr>
                  <w:r>
                    <w:rPr>
                      <w:rFonts w:hint="eastAsia" w:ascii="Times New Roman" w:hAnsi="Times New Roman" w:eastAsia="宋体"/>
                      <w:color w:val="auto"/>
                      <w:sz w:val="21"/>
                      <w:u w:val="none"/>
                    </w:rPr>
                    <w:t>鞋头定型机</w:t>
                  </w:r>
                </w:p>
              </w:tc>
              <w:tc>
                <w:tcPr>
                  <w:tcW w:w="266" w:type="pct"/>
                  <w:tcBorders>
                    <w:tl2br w:val="nil"/>
                    <w:tr2bl w:val="nil"/>
                  </w:tcBorders>
                  <w:vAlign w:val="center"/>
                </w:tcPr>
                <w:p w14:paraId="7A6C3EAB">
                  <w:pPr>
                    <w:keepNext w:val="0"/>
                    <w:keepLines w:val="0"/>
                    <w:suppressLineNumbers w:val="0"/>
                    <w:kinsoku/>
                    <w:overflowPunct w:val="0"/>
                    <w:spacing w:before="0" w:beforeAutospacing="0" w:after="0" w:afterAutospacing="0" w:line="260" w:lineRule="exact"/>
                    <w:ind w:left="21" w:leftChars="10" w:right="0"/>
                    <w:jc w:val="center"/>
                    <w:rPr>
                      <w:rFonts w:hint="default" w:cs="Times New Roman"/>
                      <w:color w:val="auto"/>
                      <w:sz w:val="21"/>
                      <w:szCs w:val="21"/>
                      <w:lang w:val="en-US" w:eastAsia="zh-CN" w:bidi="en-US"/>
                    </w:rPr>
                  </w:pPr>
                  <w:r>
                    <w:rPr>
                      <w:rFonts w:hint="eastAsia" w:ascii="Times New Roman" w:hAnsi="Times New Roman" w:eastAsia="宋体"/>
                      <w:color w:val="auto"/>
                      <w:sz w:val="21"/>
                      <w:u w:val="none"/>
                      <w:lang w:val="en-US" w:eastAsia="zh-CN"/>
                    </w:rPr>
                    <w:t>6</w:t>
                  </w:r>
                </w:p>
              </w:tc>
              <w:tc>
                <w:tcPr>
                  <w:tcW w:w="409" w:type="pct"/>
                  <w:tcBorders>
                    <w:tl2br w:val="nil"/>
                    <w:tr2bl w:val="nil"/>
                  </w:tcBorders>
                  <w:vAlign w:val="center"/>
                </w:tcPr>
                <w:p w14:paraId="0C8D8853">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75</w:t>
                  </w:r>
                </w:p>
              </w:tc>
              <w:tc>
                <w:tcPr>
                  <w:tcW w:w="378" w:type="pct"/>
                  <w:vMerge w:val="continue"/>
                  <w:tcBorders>
                    <w:tl2br w:val="nil"/>
                    <w:tr2bl w:val="nil"/>
                  </w:tcBorders>
                  <w:vAlign w:val="center"/>
                </w:tcPr>
                <w:p w14:paraId="03295481">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295" w:type="pct"/>
                  <w:tcBorders>
                    <w:tl2br w:val="nil"/>
                    <w:tr2bl w:val="nil"/>
                  </w:tcBorders>
                  <w:vAlign w:val="center"/>
                </w:tcPr>
                <w:p w14:paraId="50EF4C59">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-20</w:t>
                  </w:r>
                </w:p>
              </w:tc>
              <w:tc>
                <w:tcPr>
                  <w:tcW w:w="295" w:type="pct"/>
                  <w:tcBorders>
                    <w:tl2br w:val="nil"/>
                    <w:tr2bl w:val="nil"/>
                  </w:tcBorders>
                  <w:vAlign w:val="center"/>
                </w:tcPr>
                <w:p w14:paraId="5D53F1CA">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20</w:t>
                  </w:r>
                </w:p>
              </w:tc>
              <w:tc>
                <w:tcPr>
                  <w:tcW w:w="347" w:type="pct"/>
                  <w:tcBorders>
                    <w:tl2br w:val="nil"/>
                    <w:tr2bl w:val="nil"/>
                  </w:tcBorders>
                  <w:vAlign w:val="center"/>
                </w:tcPr>
                <w:p w14:paraId="68E424A2">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2</w:t>
                  </w:r>
                </w:p>
              </w:tc>
              <w:tc>
                <w:tcPr>
                  <w:tcW w:w="253" w:type="pct"/>
                  <w:tcBorders>
                    <w:tl2br w:val="nil"/>
                    <w:tr2bl w:val="nil"/>
                  </w:tcBorders>
                  <w:vAlign w:val="center"/>
                </w:tcPr>
                <w:p w14:paraId="03B2A8CC">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5</w:t>
                  </w:r>
                </w:p>
              </w:tc>
              <w:tc>
                <w:tcPr>
                  <w:tcW w:w="438" w:type="pct"/>
                  <w:tcBorders>
                    <w:tl2br w:val="nil"/>
                    <w:tr2bl w:val="nil"/>
                  </w:tcBorders>
                  <w:vAlign w:val="center"/>
                </w:tcPr>
                <w:p w14:paraId="23F67239">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70.72</w:t>
                  </w:r>
                </w:p>
              </w:tc>
              <w:tc>
                <w:tcPr>
                  <w:tcW w:w="378" w:type="pct"/>
                  <w:vMerge w:val="continue"/>
                  <w:tcBorders>
                    <w:tl2br w:val="nil"/>
                    <w:tr2bl w:val="nil"/>
                  </w:tcBorders>
                  <w:vAlign w:val="center"/>
                </w:tcPr>
                <w:p w14:paraId="48E0B62F">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sz w:val="21"/>
                      <w:szCs w:val="21"/>
                      <w:lang w:val="en-US" w:eastAsia="zh-CN" w:bidi="en-US"/>
                    </w:rPr>
                  </w:pPr>
                </w:p>
              </w:tc>
              <w:tc>
                <w:tcPr>
                  <w:tcW w:w="438" w:type="pct"/>
                  <w:vMerge w:val="continue"/>
                  <w:tcBorders>
                    <w:tl2br w:val="nil"/>
                    <w:tr2bl w:val="nil"/>
                  </w:tcBorders>
                  <w:vAlign w:val="center"/>
                </w:tcPr>
                <w:p w14:paraId="21ABEC9A">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441" w:type="pct"/>
                  <w:tcBorders>
                    <w:tl2br w:val="nil"/>
                    <w:tr2bl w:val="nil"/>
                  </w:tcBorders>
                  <w:vAlign w:val="center"/>
                </w:tcPr>
                <w:p w14:paraId="4E002F1D">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58.72</w:t>
                  </w:r>
                </w:p>
              </w:tc>
              <w:tc>
                <w:tcPr>
                  <w:tcW w:w="248" w:type="pct"/>
                  <w:vMerge w:val="continue"/>
                  <w:tcBorders>
                    <w:tl2br w:val="nil"/>
                    <w:tr2bl w:val="nil"/>
                  </w:tcBorders>
                  <w:vAlign w:val="center"/>
                </w:tcPr>
                <w:p w14:paraId="4468A168">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r>
            <w:tr w14:paraId="7845281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53" w:type="pct"/>
                  <w:tcBorders>
                    <w:tl2br w:val="nil"/>
                    <w:tr2bl w:val="nil"/>
                  </w:tcBorders>
                  <w:vAlign w:val="center"/>
                </w:tcPr>
                <w:p w14:paraId="4B7A6D3A">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cs="Times New Roman"/>
                      <w:color w:val="auto"/>
                      <w:sz w:val="21"/>
                      <w:szCs w:val="21"/>
                      <w:lang w:val="en-US" w:eastAsia="zh-CN" w:bidi="en-US"/>
                    </w:rPr>
                  </w:pPr>
                  <w:r>
                    <w:rPr>
                      <w:rFonts w:hint="eastAsia" w:cs="Times New Roman"/>
                      <w:color w:val="auto"/>
                      <w:sz w:val="21"/>
                      <w:szCs w:val="21"/>
                      <w:lang w:val="en-US" w:eastAsia="zh-CN" w:bidi="en-US"/>
                    </w:rPr>
                    <w:t>13</w:t>
                  </w:r>
                </w:p>
              </w:tc>
              <w:tc>
                <w:tcPr>
                  <w:tcW w:w="253" w:type="pct"/>
                  <w:vMerge w:val="continue"/>
                  <w:tcBorders>
                    <w:tl2br w:val="nil"/>
                    <w:tr2bl w:val="nil"/>
                  </w:tcBorders>
                  <w:vAlign w:val="center"/>
                </w:tcPr>
                <w:p w14:paraId="4A294EF8">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300" w:type="pct"/>
                  <w:tcBorders>
                    <w:tl2br w:val="nil"/>
                    <w:tr2bl w:val="nil"/>
                  </w:tcBorders>
                  <w:vAlign w:val="center"/>
                </w:tcPr>
                <w:p w14:paraId="7D2FED8B">
                  <w:pPr>
                    <w:keepNext w:val="0"/>
                    <w:keepLines w:val="0"/>
                    <w:suppressLineNumbers w:val="0"/>
                    <w:kinsoku/>
                    <w:overflowPunct w:val="0"/>
                    <w:spacing w:before="0" w:beforeAutospacing="0" w:after="0" w:afterAutospacing="0" w:line="260" w:lineRule="exact"/>
                    <w:ind w:left="21" w:leftChars="10" w:right="0"/>
                    <w:jc w:val="center"/>
                    <w:rPr>
                      <w:rFonts w:hint="eastAsia" w:cs="Times New Roman"/>
                      <w:color w:val="auto"/>
                      <w:sz w:val="21"/>
                      <w:szCs w:val="21"/>
                      <w:lang w:val="en-US" w:eastAsia="zh-CN" w:bidi="en-US"/>
                    </w:rPr>
                  </w:pPr>
                  <w:r>
                    <w:rPr>
                      <w:rFonts w:hint="eastAsia" w:ascii="Times New Roman" w:hAnsi="Times New Roman" w:eastAsia="宋体"/>
                      <w:color w:val="auto"/>
                      <w:sz w:val="21"/>
                      <w:u w:val="none"/>
                    </w:rPr>
                    <w:t>后锤定型机</w:t>
                  </w:r>
                </w:p>
              </w:tc>
              <w:tc>
                <w:tcPr>
                  <w:tcW w:w="266" w:type="pct"/>
                  <w:tcBorders>
                    <w:tl2br w:val="nil"/>
                    <w:tr2bl w:val="nil"/>
                  </w:tcBorders>
                  <w:vAlign w:val="center"/>
                </w:tcPr>
                <w:p w14:paraId="0DE84BEC">
                  <w:pPr>
                    <w:keepNext w:val="0"/>
                    <w:keepLines w:val="0"/>
                    <w:suppressLineNumbers w:val="0"/>
                    <w:kinsoku/>
                    <w:overflowPunct w:val="0"/>
                    <w:spacing w:before="0" w:beforeAutospacing="0" w:after="0" w:afterAutospacing="0" w:line="260" w:lineRule="exact"/>
                    <w:ind w:left="21" w:leftChars="10" w:right="0"/>
                    <w:jc w:val="center"/>
                    <w:rPr>
                      <w:rFonts w:hint="default" w:cs="Times New Roman"/>
                      <w:color w:val="auto"/>
                      <w:sz w:val="21"/>
                      <w:szCs w:val="21"/>
                      <w:lang w:val="en-US" w:eastAsia="zh-CN" w:bidi="en-US"/>
                    </w:rPr>
                  </w:pPr>
                  <w:r>
                    <w:rPr>
                      <w:rFonts w:hint="eastAsia" w:ascii="Times New Roman" w:hAnsi="Times New Roman" w:eastAsia="宋体"/>
                      <w:color w:val="auto"/>
                      <w:sz w:val="21"/>
                      <w:u w:val="none"/>
                      <w:lang w:val="en-US" w:eastAsia="zh-CN"/>
                    </w:rPr>
                    <w:t>6</w:t>
                  </w:r>
                </w:p>
              </w:tc>
              <w:tc>
                <w:tcPr>
                  <w:tcW w:w="409" w:type="pct"/>
                  <w:tcBorders>
                    <w:tl2br w:val="nil"/>
                    <w:tr2bl w:val="nil"/>
                  </w:tcBorders>
                  <w:vAlign w:val="center"/>
                </w:tcPr>
                <w:p w14:paraId="468AF523">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cs="Times New Roman"/>
                      <w:color w:val="auto"/>
                      <w:sz w:val="21"/>
                      <w:szCs w:val="21"/>
                      <w:lang w:val="en-US" w:eastAsia="zh-CN" w:bidi="en-US"/>
                    </w:rPr>
                  </w:pPr>
                  <w:r>
                    <w:rPr>
                      <w:rFonts w:hint="eastAsia" w:cs="Times New Roman"/>
                      <w:color w:val="auto"/>
                      <w:sz w:val="21"/>
                      <w:szCs w:val="21"/>
                      <w:lang w:val="en-US" w:eastAsia="zh-CN" w:bidi="en-US"/>
                    </w:rPr>
                    <w:t>65</w:t>
                  </w:r>
                </w:p>
              </w:tc>
              <w:tc>
                <w:tcPr>
                  <w:tcW w:w="378" w:type="pct"/>
                  <w:vMerge w:val="continue"/>
                  <w:tcBorders>
                    <w:tl2br w:val="nil"/>
                    <w:tr2bl w:val="nil"/>
                  </w:tcBorders>
                  <w:vAlign w:val="center"/>
                </w:tcPr>
                <w:p w14:paraId="406F8E1E">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295" w:type="pct"/>
                  <w:tcBorders>
                    <w:tl2br w:val="nil"/>
                    <w:tr2bl w:val="nil"/>
                  </w:tcBorders>
                  <w:vAlign w:val="center"/>
                </w:tcPr>
                <w:p w14:paraId="307307E6">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-10</w:t>
                  </w:r>
                </w:p>
              </w:tc>
              <w:tc>
                <w:tcPr>
                  <w:tcW w:w="295" w:type="pct"/>
                  <w:tcBorders>
                    <w:tl2br w:val="nil"/>
                    <w:tr2bl w:val="nil"/>
                  </w:tcBorders>
                  <w:vAlign w:val="center"/>
                </w:tcPr>
                <w:p w14:paraId="6F7CFE73">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15</w:t>
                  </w:r>
                </w:p>
              </w:tc>
              <w:tc>
                <w:tcPr>
                  <w:tcW w:w="347" w:type="pct"/>
                  <w:tcBorders>
                    <w:tl2br w:val="nil"/>
                    <w:tr2bl w:val="nil"/>
                  </w:tcBorders>
                  <w:vAlign w:val="center"/>
                </w:tcPr>
                <w:p w14:paraId="1CD28B6C">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1.5</w:t>
                  </w:r>
                </w:p>
              </w:tc>
              <w:tc>
                <w:tcPr>
                  <w:tcW w:w="253" w:type="pct"/>
                  <w:tcBorders>
                    <w:tl2br w:val="nil"/>
                    <w:tr2bl w:val="nil"/>
                  </w:tcBorders>
                  <w:vAlign w:val="center"/>
                </w:tcPr>
                <w:p w14:paraId="591A8132">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1</w:t>
                  </w:r>
                </w:p>
              </w:tc>
              <w:tc>
                <w:tcPr>
                  <w:tcW w:w="438" w:type="pct"/>
                  <w:tcBorders>
                    <w:tl2br w:val="nil"/>
                    <w:tr2bl w:val="nil"/>
                  </w:tcBorders>
                  <w:vAlign w:val="center"/>
                </w:tcPr>
                <w:p w14:paraId="639EFA14">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65</w:t>
                  </w:r>
                </w:p>
              </w:tc>
              <w:tc>
                <w:tcPr>
                  <w:tcW w:w="378" w:type="pct"/>
                  <w:vMerge w:val="continue"/>
                  <w:tcBorders>
                    <w:tl2br w:val="nil"/>
                    <w:tr2bl w:val="nil"/>
                  </w:tcBorders>
                  <w:vAlign w:val="center"/>
                </w:tcPr>
                <w:p w14:paraId="49E2B36C">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sz w:val="21"/>
                      <w:szCs w:val="21"/>
                      <w:lang w:val="en-US" w:eastAsia="zh-CN" w:bidi="en-US"/>
                    </w:rPr>
                  </w:pPr>
                </w:p>
              </w:tc>
              <w:tc>
                <w:tcPr>
                  <w:tcW w:w="438" w:type="pct"/>
                  <w:vMerge w:val="continue"/>
                  <w:tcBorders>
                    <w:tl2br w:val="nil"/>
                    <w:tr2bl w:val="nil"/>
                  </w:tcBorders>
                  <w:vAlign w:val="center"/>
                </w:tcPr>
                <w:p w14:paraId="5CC72E81">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441" w:type="pct"/>
                  <w:tcBorders>
                    <w:tl2br w:val="nil"/>
                    <w:tr2bl w:val="nil"/>
                  </w:tcBorders>
                  <w:vAlign w:val="center"/>
                </w:tcPr>
                <w:p w14:paraId="443F5620">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53</w:t>
                  </w:r>
                </w:p>
              </w:tc>
              <w:tc>
                <w:tcPr>
                  <w:tcW w:w="248" w:type="pct"/>
                  <w:vMerge w:val="continue"/>
                  <w:tcBorders>
                    <w:tl2br w:val="nil"/>
                    <w:tr2bl w:val="nil"/>
                  </w:tcBorders>
                  <w:vAlign w:val="center"/>
                </w:tcPr>
                <w:p w14:paraId="1C6D4C22">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r>
            <w:tr w14:paraId="35BDD5B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53" w:type="pct"/>
                  <w:tcBorders>
                    <w:tl2br w:val="nil"/>
                    <w:tr2bl w:val="nil"/>
                  </w:tcBorders>
                  <w:vAlign w:val="center"/>
                </w:tcPr>
                <w:p w14:paraId="0AF441A3">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cs="Times New Roman"/>
                      <w:color w:val="auto"/>
                      <w:sz w:val="21"/>
                      <w:szCs w:val="21"/>
                      <w:lang w:val="en-US" w:eastAsia="zh-CN" w:bidi="en-US"/>
                    </w:rPr>
                  </w:pPr>
                  <w:r>
                    <w:rPr>
                      <w:rFonts w:hint="eastAsia" w:cs="Times New Roman"/>
                      <w:color w:val="auto"/>
                      <w:sz w:val="21"/>
                      <w:szCs w:val="21"/>
                      <w:lang w:val="en-US" w:eastAsia="zh-CN" w:bidi="en-US"/>
                    </w:rPr>
                    <w:t>14</w:t>
                  </w:r>
                </w:p>
              </w:tc>
              <w:tc>
                <w:tcPr>
                  <w:tcW w:w="253" w:type="pct"/>
                  <w:vMerge w:val="continue"/>
                  <w:tcBorders>
                    <w:tl2br w:val="nil"/>
                    <w:tr2bl w:val="nil"/>
                  </w:tcBorders>
                  <w:vAlign w:val="center"/>
                </w:tcPr>
                <w:p w14:paraId="2329CC9B">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300" w:type="pct"/>
                  <w:tcBorders>
                    <w:tl2br w:val="nil"/>
                    <w:tr2bl w:val="nil"/>
                  </w:tcBorders>
                  <w:vAlign w:val="center"/>
                </w:tcPr>
                <w:p w14:paraId="3A401DB4">
                  <w:pPr>
                    <w:pStyle w:val="6"/>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z w:val="21"/>
                      <w:lang w:val="en-US" w:eastAsia="zh-CN"/>
                    </w:rPr>
                  </w:pPr>
                  <w:r>
                    <w:rPr>
                      <w:rFonts w:hint="eastAsia" w:ascii="Times New Roman" w:hAnsi="Times New Roman" w:eastAsia="宋体"/>
                      <w:color w:val="auto"/>
                      <w:sz w:val="21"/>
                      <w:u w:val="none"/>
                      <w:lang w:val="en-US" w:eastAsia="zh-CN"/>
                    </w:rPr>
                    <w:t>自动急速</w:t>
                  </w:r>
                  <w:r>
                    <w:rPr>
                      <w:rFonts w:hint="eastAsia" w:ascii="Times New Roman" w:hAnsi="Times New Roman" w:eastAsia="宋体"/>
                      <w:color w:val="auto"/>
                      <w:sz w:val="21"/>
                      <w:u w:val="none"/>
                    </w:rPr>
                    <w:t>冷冻定型机</w:t>
                  </w:r>
                </w:p>
              </w:tc>
              <w:tc>
                <w:tcPr>
                  <w:tcW w:w="266" w:type="pct"/>
                  <w:tcBorders>
                    <w:tl2br w:val="nil"/>
                    <w:tr2bl w:val="nil"/>
                  </w:tcBorders>
                  <w:vAlign w:val="center"/>
                </w:tcPr>
                <w:p w14:paraId="7DA2A20D">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2</w:t>
                  </w:r>
                </w:p>
              </w:tc>
              <w:tc>
                <w:tcPr>
                  <w:tcW w:w="409" w:type="pct"/>
                  <w:tcBorders>
                    <w:tl2br w:val="nil"/>
                    <w:tr2bl w:val="nil"/>
                  </w:tcBorders>
                  <w:vAlign w:val="center"/>
                </w:tcPr>
                <w:p w14:paraId="477B31DA">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65</w:t>
                  </w:r>
                </w:p>
              </w:tc>
              <w:tc>
                <w:tcPr>
                  <w:tcW w:w="378" w:type="pct"/>
                  <w:vMerge w:val="continue"/>
                  <w:tcBorders>
                    <w:tl2br w:val="nil"/>
                    <w:tr2bl w:val="nil"/>
                  </w:tcBorders>
                  <w:vAlign w:val="center"/>
                </w:tcPr>
                <w:p w14:paraId="45B89BEB">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295" w:type="pct"/>
                  <w:tcBorders>
                    <w:tl2br w:val="nil"/>
                    <w:tr2bl w:val="nil"/>
                  </w:tcBorders>
                  <w:vAlign w:val="center"/>
                </w:tcPr>
                <w:p w14:paraId="0D66B715">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-20</w:t>
                  </w:r>
                </w:p>
              </w:tc>
              <w:tc>
                <w:tcPr>
                  <w:tcW w:w="295" w:type="pct"/>
                  <w:tcBorders>
                    <w:tl2br w:val="nil"/>
                    <w:tr2bl w:val="nil"/>
                  </w:tcBorders>
                  <w:vAlign w:val="center"/>
                </w:tcPr>
                <w:p w14:paraId="64C48D43">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2</w:t>
                  </w:r>
                </w:p>
              </w:tc>
              <w:tc>
                <w:tcPr>
                  <w:tcW w:w="347" w:type="pct"/>
                  <w:tcBorders>
                    <w:tl2br w:val="nil"/>
                    <w:tr2bl w:val="nil"/>
                  </w:tcBorders>
                  <w:vAlign w:val="center"/>
                </w:tcPr>
                <w:p w14:paraId="3B81DA06">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1.5</w:t>
                  </w:r>
                </w:p>
              </w:tc>
              <w:tc>
                <w:tcPr>
                  <w:tcW w:w="253" w:type="pct"/>
                  <w:tcBorders>
                    <w:tl2br w:val="nil"/>
                    <w:tr2bl w:val="nil"/>
                  </w:tcBorders>
                  <w:vAlign w:val="center"/>
                </w:tcPr>
                <w:p w14:paraId="1B130985">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1</w:t>
                  </w:r>
                </w:p>
              </w:tc>
              <w:tc>
                <w:tcPr>
                  <w:tcW w:w="438" w:type="pct"/>
                  <w:tcBorders>
                    <w:tl2br w:val="nil"/>
                    <w:tr2bl w:val="nil"/>
                  </w:tcBorders>
                  <w:vAlign w:val="center"/>
                </w:tcPr>
                <w:p w14:paraId="77079564">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65</w:t>
                  </w:r>
                </w:p>
              </w:tc>
              <w:tc>
                <w:tcPr>
                  <w:tcW w:w="378" w:type="pct"/>
                  <w:vMerge w:val="continue"/>
                  <w:tcBorders>
                    <w:tl2br w:val="nil"/>
                    <w:tr2bl w:val="nil"/>
                  </w:tcBorders>
                  <w:vAlign w:val="center"/>
                </w:tcPr>
                <w:p w14:paraId="6A893BCF">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sz w:val="21"/>
                      <w:szCs w:val="21"/>
                      <w:lang w:val="en-US" w:eastAsia="zh-CN" w:bidi="en-US"/>
                    </w:rPr>
                  </w:pPr>
                </w:p>
              </w:tc>
              <w:tc>
                <w:tcPr>
                  <w:tcW w:w="438" w:type="pct"/>
                  <w:vMerge w:val="continue"/>
                  <w:tcBorders>
                    <w:tl2br w:val="nil"/>
                    <w:tr2bl w:val="nil"/>
                  </w:tcBorders>
                  <w:vAlign w:val="center"/>
                </w:tcPr>
                <w:p w14:paraId="56D615EC">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441" w:type="pct"/>
                  <w:tcBorders>
                    <w:tl2br w:val="nil"/>
                    <w:tr2bl w:val="nil"/>
                  </w:tcBorders>
                  <w:vAlign w:val="center"/>
                </w:tcPr>
                <w:p w14:paraId="3E94DC96">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53</w:t>
                  </w:r>
                </w:p>
              </w:tc>
              <w:tc>
                <w:tcPr>
                  <w:tcW w:w="248" w:type="pct"/>
                  <w:vMerge w:val="continue"/>
                  <w:tcBorders>
                    <w:tl2br w:val="nil"/>
                    <w:tr2bl w:val="nil"/>
                  </w:tcBorders>
                  <w:vAlign w:val="center"/>
                </w:tcPr>
                <w:p w14:paraId="4ACA6864">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r>
            <w:tr w14:paraId="4CEA197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253" w:type="pct"/>
                  <w:tcBorders>
                    <w:tl2br w:val="nil"/>
                    <w:tr2bl w:val="nil"/>
                  </w:tcBorders>
                  <w:vAlign w:val="center"/>
                </w:tcPr>
                <w:p w14:paraId="3E766535">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15</w:t>
                  </w:r>
                </w:p>
              </w:tc>
              <w:tc>
                <w:tcPr>
                  <w:tcW w:w="253" w:type="pct"/>
                  <w:vMerge w:val="continue"/>
                  <w:tcBorders>
                    <w:tl2br w:val="nil"/>
                    <w:tr2bl w:val="nil"/>
                  </w:tcBorders>
                  <w:vAlign w:val="center"/>
                </w:tcPr>
                <w:p w14:paraId="5EB07836">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300" w:type="pct"/>
                  <w:tcBorders>
                    <w:tl2br w:val="nil"/>
                    <w:tr2bl w:val="nil"/>
                  </w:tcBorders>
                  <w:vAlign w:val="center"/>
                </w:tcPr>
                <w:p w14:paraId="4E306199">
                  <w:pPr>
                    <w:keepNext w:val="0"/>
                    <w:keepLines w:val="0"/>
                    <w:suppressLineNumbers w:val="0"/>
                    <w:kinsoku/>
                    <w:overflowPunct w:val="0"/>
                    <w:spacing w:before="0" w:beforeAutospacing="0" w:after="0" w:afterAutospacing="0" w:line="260" w:lineRule="exact"/>
                    <w:ind w:left="21" w:leftChars="10" w:right="0"/>
                    <w:jc w:val="center"/>
                    <w:rPr>
                      <w:rFonts w:hint="default" w:ascii="Times New Roman" w:hAnsi="Times New Roman" w:eastAsia="宋体" w:cs="Times New Roman"/>
                      <w:color w:val="auto"/>
                      <w:sz w:val="21"/>
                      <w:lang w:val="en-US" w:eastAsia="zh-CN"/>
                    </w:rPr>
                  </w:pPr>
                  <w:r>
                    <w:rPr>
                      <w:rFonts w:hint="eastAsia" w:ascii="Times New Roman" w:hAnsi="Times New Roman" w:eastAsia="宋体"/>
                      <w:color w:val="auto"/>
                      <w:sz w:val="21"/>
                      <w:u w:val="none"/>
                    </w:rPr>
                    <w:t>过胶机</w:t>
                  </w:r>
                </w:p>
              </w:tc>
              <w:tc>
                <w:tcPr>
                  <w:tcW w:w="266" w:type="pct"/>
                  <w:tcBorders>
                    <w:tl2br w:val="nil"/>
                    <w:tr2bl w:val="nil"/>
                  </w:tcBorders>
                  <w:vAlign w:val="center"/>
                </w:tcPr>
                <w:p w14:paraId="6C276B44">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cs="Times New Roman"/>
                      <w:color w:val="auto"/>
                      <w:sz w:val="21"/>
                      <w:szCs w:val="21"/>
                      <w:lang w:val="en-US" w:eastAsia="zh-CN" w:bidi="en-US"/>
                    </w:rPr>
                  </w:pPr>
                  <w:r>
                    <w:rPr>
                      <w:rFonts w:hint="eastAsia" w:cs="Times New Roman"/>
                      <w:color w:val="auto"/>
                      <w:sz w:val="21"/>
                      <w:szCs w:val="21"/>
                      <w:lang w:val="en-US" w:eastAsia="zh-CN" w:bidi="en-US"/>
                    </w:rPr>
                    <w:t>1</w:t>
                  </w:r>
                </w:p>
              </w:tc>
              <w:tc>
                <w:tcPr>
                  <w:tcW w:w="409" w:type="pct"/>
                  <w:tcBorders>
                    <w:tl2br w:val="nil"/>
                    <w:tr2bl w:val="nil"/>
                  </w:tcBorders>
                  <w:vAlign w:val="center"/>
                </w:tcPr>
                <w:p w14:paraId="3E09F654">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65</w:t>
                  </w:r>
                </w:p>
              </w:tc>
              <w:tc>
                <w:tcPr>
                  <w:tcW w:w="378" w:type="pct"/>
                  <w:vMerge w:val="continue"/>
                  <w:tcBorders>
                    <w:tl2br w:val="nil"/>
                    <w:tr2bl w:val="nil"/>
                  </w:tcBorders>
                  <w:vAlign w:val="center"/>
                </w:tcPr>
                <w:p w14:paraId="034D5552">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295" w:type="pct"/>
                  <w:tcBorders>
                    <w:tl2br w:val="nil"/>
                    <w:tr2bl w:val="nil"/>
                  </w:tcBorders>
                  <w:vAlign w:val="center"/>
                </w:tcPr>
                <w:p w14:paraId="3A4D5F26">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en-US"/>
                    </w:rPr>
                  </w:pPr>
                  <w:r>
                    <w:rPr>
                      <w:rFonts w:hint="eastAsia" w:cs="Times New Roman"/>
                      <w:color w:val="auto"/>
                      <w:kern w:val="2"/>
                      <w:sz w:val="21"/>
                      <w:szCs w:val="21"/>
                      <w:lang w:val="en-US" w:eastAsia="zh-CN" w:bidi="en-US"/>
                    </w:rPr>
                    <w:t>-30</w:t>
                  </w:r>
                </w:p>
              </w:tc>
              <w:tc>
                <w:tcPr>
                  <w:tcW w:w="295" w:type="pct"/>
                  <w:tcBorders>
                    <w:tl2br w:val="nil"/>
                    <w:tr2bl w:val="nil"/>
                  </w:tcBorders>
                  <w:vAlign w:val="center"/>
                </w:tcPr>
                <w:p w14:paraId="02B3F01D">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en-US"/>
                    </w:rPr>
                  </w:pPr>
                  <w:r>
                    <w:rPr>
                      <w:rFonts w:hint="eastAsia" w:cs="Times New Roman"/>
                      <w:color w:val="auto"/>
                      <w:kern w:val="2"/>
                      <w:sz w:val="21"/>
                      <w:szCs w:val="21"/>
                      <w:lang w:val="en-US" w:eastAsia="zh-CN" w:bidi="en-US"/>
                    </w:rPr>
                    <w:t>0</w:t>
                  </w:r>
                </w:p>
              </w:tc>
              <w:tc>
                <w:tcPr>
                  <w:tcW w:w="347" w:type="pct"/>
                  <w:tcBorders>
                    <w:tl2br w:val="nil"/>
                    <w:tr2bl w:val="nil"/>
                  </w:tcBorders>
                  <w:vAlign w:val="center"/>
                </w:tcPr>
                <w:p w14:paraId="30DE5BB7">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en-US"/>
                    </w:rPr>
                  </w:pPr>
                  <w:r>
                    <w:rPr>
                      <w:rFonts w:hint="eastAsia" w:cs="Times New Roman"/>
                      <w:color w:val="auto"/>
                      <w:kern w:val="2"/>
                      <w:sz w:val="21"/>
                      <w:szCs w:val="21"/>
                      <w:lang w:val="en-US" w:eastAsia="zh-CN" w:bidi="en-US"/>
                    </w:rPr>
                    <w:t>2</w:t>
                  </w:r>
                </w:p>
              </w:tc>
              <w:tc>
                <w:tcPr>
                  <w:tcW w:w="253" w:type="pct"/>
                  <w:tcBorders>
                    <w:tl2br w:val="nil"/>
                    <w:tr2bl w:val="nil"/>
                  </w:tcBorders>
                  <w:vAlign w:val="center"/>
                </w:tcPr>
                <w:p w14:paraId="77B6DB56">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en-US"/>
                    </w:rPr>
                  </w:pPr>
                  <w:r>
                    <w:rPr>
                      <w:rFonts w:hint="eastAsia" w:cs="Times New Roman"/>
                      <w:color w:val="auto"/>
                      <w:kern w:val="2"/>
                      <w:sz w:val="21"/>
                      <w:szCs w:val="21"/>
                      <w:lang w:val="en-US" w:eastAsia="zh-CN" w:bidi="en-US"/>
                    </w:rPr>
                    <w:t>10</w:t>
                  </w:r>
                </w:p>
              </w:tc>
              <w:tc>
                <w:tcPr>
                  <w:tcW w:w="438" w:type="pct"/>
                  <w:tcBorders>
                    <w:tl2br w:val="nil"/>
                    <w:tr2bl w:val="nil"/>
                  </w:tcBorders>
                  <w:vAlign w:val="center"/>
                </w:tcPr>
                <w:p w14:paraId="2019959E">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en-US"/>
                    </w:rPr>
                  </w:pPr>
                  <w:r>
                    <w:rPr>
                      <w:rFonts w:hint="eastAsia" w:cs="Times New Roman"/>
                      <w:color w:val="auto"/>
                      <w:kern w:val="2"/>
                      <w:sz w:val="21"/>
                      <w:szCs w:val="21"/>
                      <w:lang w:val="en-US" w:eastAsia="zh-CN" w:bidi="en-US"/>
                    </w:rPr>
                    <w:t>45</w:t>
                  </w:r>
                </w:p>
              </w:tc>
              <w:tc>
                <w:tcPr>
                  <w:tcW w:w="378" w:type="pct"/>
                  <w:vMerge w:val="continue"/>
                  <w:tcBorders>
                    <w:tl2br w:val="nil"/>
                    <w:tr2bl w:val="nil"/>
                  </w:tcBorders>
                  <w:vAlign w:val="center"/>
                </w:tcPr>
                <w:p w14:paraId="4578CD83">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sz w:val="21"/>
                      <w:szCs w:val="21"/>
                      <w:lang w:val="en-US" w:eastAsia="zh-CN" w:bidi="en-US"/>
                    </w:rPr>
                  </w:pPr>
                </w:p>
              </w:tc>
              <w:tc>
                <w:tcPr>
                  <w:tcW w:w="438" w:type="pct"/>
                  <w:vMerge w:val="continue"/>
                  <w:tcBorders>
                    <w:tl2br w:val="nil"/>
                    <w:tr2bl w:val="nil"/>
                  </w:tcBorders>
                  <w:vAlign w:val="center"/>
                </w:tcPr>
                <w:p w14:paraId="24743155">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441" w:type="pct"/>
                  <w:tcBorders>
                    <w:tl2br w:val="nil"/>
                    <w:tr2bl w:val="nil"/>
                  </w:tcBorders>
                  <w:vAlign w:val="center"/>
                </w:tcPr>
                <w:p w14:paraId="4D7AFA13">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38</w:t>
                  </w:r>
                </w:p>
              </w:tc>
              <w:tc>
                <w:tcPr>
                  <w:tcW w:w="248" w:type="pct"/>
                  <w:vMerge w:val="continue"/>
                  <w:tcBorders>
                    <w:tl2br w:val="nil"/>
                    <w:tr2bl w:val="nil"/>
                  </w:tcBorders>
                  <w:vAlign w:val="center"/>
                </w:tcPr>
                <w:p w14:paraId="7413386C">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r>
            <w:tr w14:paraId="16D6665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53" w:type="pct"/>
                  <w:tcBorders>
                    <w:tl2br w:val="nil"/>
                    <w:tr2bl w:val="nil"/>
                  </w:tcBorders>
                  <w:vAlign w:val="center"/>
                </w:tcPr>
                <w:p w14:paraId="6AFBADA0">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16</w:t>
                  </w:r>
                </w:p>
              </w:tc>
              <w:tc>
                <w:tcPr>
                  <w:tcW w:w="253" w:type="pct"/>
                  <w:vMerge w:val="continue"/>
                  <w:tcBorders>
                    <w:tl2br w:val="nil"/>
                    <w:tr2bl w:val="nil"/>
                  </w:tcBorders>
                  <w:vAlign w:val="center"/>
                </w:tcPr>
                <w:p w14:paraId="20DC8656">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300" w:type="pct"/>
                  <w:tcBorders>
                    <w:tl2br w:val="nil"/>
                    <w:tr2bl w:val="nil"/>
                  </w:tcBorders>
                  <w:vAlign w:val="center"/>
                </w:tcPr>
                <w:p w14:paraId="4EFE8218">
                  <w:pPr>
                    <w:keepNext w:val="0"/>
                    <w:keepLines w:val="0"/>
                    <w:suppressLineNumbers w:val="0"/>
                    <w:kinsoku/>
                    <w:overflowPunct w:val="0"/>
                    <w:spacing w:before="0" w:beforeAutospacing="0" w:after="0" w:afterAutospacing="0" w:line="260" w:lineRule="exact"/>
                    <w:ind w:left="21" w:leftChars="10" w:right="0"/>
                    <w:jc w:val="center"/>
                    <w:rPr>
                      <w:rFonts w:hint="eastAsia" w:ascii="Times New Roman" w:hAnsi="Times New Roman" w:eastAsia="宋体" w:cs="Times New Roman"/>
                      <w:color w:val="auto"/>
                      <w:sz w:val="21"/>
                      <w:szCs w:val="21"/>
                      <w:lang w:val="en-US" w:eastAsia="zh-CN" w:bidi="en-US"/>
                    </w:rPr>
                  </w:pPr>
                  <w:r>
                    <w:rPr>
                      <w:rFonts w:hint="eastAsia" w:ascii="Times New Roman" w:hAnsi="Times New Roman" w:eastAsia="宋体"/>
                      <w:color w:val="auto"/>
                      <w:sz w:val="21"/>
                      <w:u w:val="none"/>
                    </w:rPr>
                    <w:t>打扣机</w:t>
                  </w:r>
                </w:p>
              </w:tc>
              <w:tc>
                <w:tcPr>
                  <w:tcW w:w="266" w:type="pct"/>
                  <w:tcBorders>
                    <w:tl2br w:val="nil"/>
                    <w:tr2bl w:val="nil"/>
                  </w:tcBorders>
                  <w:vAlign w:val="center"/>
                </w:tcPr>
                <w:p w14:paraId="67C124AC">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2</w:t>
                  </w:r>
                </w:p>
              </w:tc>
              <w:tc>
                <w:tcPr>
                  <w:tcW w:w="409" w:type="pct"/>
                  <w:tcBorders>
                    <w:tl2br w:val="nil"/>
                    <w:tr2bl w:val="nil"/>
                  </w:tcBorders>
                  <w:vAlign w:val="center"/>
                </w:tcPr>
                <w:p w14:paraId="1EA25A4D">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85</w:t>
                  </w:r>
                </w:p>
              </w:tc>
              <w:tc>
                <w:tcPr>
                  <w:tcW w:w="378" w:type="pct"/>
                  <w:vMerge w:val="continue"/>
                  <w:tcBorders>
                    <w:tl2br w:val="nil"/>
                    <w:tr2bl w:val="nil"/>
                  </w:tcBorders>
                  <w:vAlign w:val="center"/>
                </w:tcPr>
                <w:p w14:paraId="2A32DD1E">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295" w:type="pct"/>
                  <w:tcBorders>
                    <w:tl2br w:val="nil"/>
                    <w:tr2bl w:val="nil"/>
                  </w:tcBorders>
                  <w:vAlign w:val="center"/>
                </w:tcPr>
                <w:p w14:paraId="3F9B5349">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32</w:t>
                  </w:r>
                </w:p>
              </w:tc>
              <w:tc>
                <w:tcPr>
                  <w:tcW w:w="295" w:type="pct"/>
                  <w:tcBorders>
                    <w:tl2br w:val="nil"/>
                    <w:tr2bl w:val="nil"/>
                  </w:tcBorders>
                  <w:vAlign w:val="center"/>
                </w:tcPr>
                <w:p w14:paraId="31D9952E">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74</w:t>
                  </w:r>
                </w:p>
              </w:tc>
              <w:tc>
                <w:tcPr>
                  <w:tcW w:w="347" w:type="pct"/>
                  <w:tcBorders>
                    <w:tl2br w:val="nil"/>
                    <w:tr2bl w:val="nil"/>
                  </w:tcBorders>
                  <w:vAlign w:val="center"/>
                </w:tcPr>
                <w:p w14:paraId="444900BD">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2</w:t>
                  </w:r>
                </w:p>
              </w:tc>
              <w:tc>
                <w:tcPr>
                  <w:tcW w:w="253" w:type="pct"/>
                  <w:tcBorders>
                    <w:tl2br w:val="nil"/>
                    <w:tr2bl w:val="nil"/>
                  </w:tcBorders>
                  <w:vAlign w:val="center"/>
                </w:tcPr>
                <w:p w14:paraId="0432F16F">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25</w:t>
                  </w:r>
                </w:p>
              </w:tc>
              <w:tc>
                <w:tcPr>
                  <w:tcW w:w="438" w:type="pct"/>
                  <w:tcBorders>
                    <w:tl2br w:val="nil"/>
                    <w:tr2bl w:val="nil"/>
                  </w:tcBorders>
                  <w:vAlign w:val="center"/>
                </w:tcPr>
                <w:p w14:paraId="2C01ED55">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74.03</w:t>
                  </w:r>
                </w:p>
              </w:tc>
              <w:tc>
                <w:tcPr>
                  <w:tcW w:w="378" w:type="pct"/>
                  <w:vMerge w:val="continue"/>
                  <w:tcBorders>
                    <w:tl2br w:val="nil"/>
                    <w:tr2bl w:val="nil"/>
                  </w:tcBorders>
                  <w:vAlign w:val="center"/>
                </w:tcPr>
                <w:p w14:paraId="2A394A93">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1"/>
                      <w:lang w:val="en-US" w:eastAsia="zh-CN" w:bidi="en-US"/>
                    </w:rPr>
                  </w:pPr>
                </w:p>
              </w:tc>
              <w:tc>
                <w:tcPr>
                  <w:tcW w:w="438" w:type="pct"/>
                  <w:vMerge w:val="continue"/>
                  <w:tcBorders>
                    <w:tl2br w:val="nil"/>
                    <w:tr2bl w:val="nil"/>
                  </w:tcBorders>
                  <w:vAlign w:val="center"/>
                </w:tcPr>
                <w:p w14:paraId="4F6BEC94">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441" w:type="pct"/>
                  <w:tcBorders>
                    <w:tl2br w:val="nil"/>
                    <w:tr2bl w:val="nil"/>
                  </w:tcBorders>
                  <w:vAlign w:val="center"/>
                </w:tcPr>
                <w:p w14:paraId="4DA143BC">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62.03</w:t>
                  </w:r>
                </w:p>
              </w:tc>
              <w:tc>
                <w:tcPr>
                  <w:tcW w:w="248" w:type="pct"/>
                  <w:vMerge w:val="continue"/>
                  <w:tcBorders>
                    <w:tl2br w:val="nil"/>
                    <w:tr2bl w:val="nil"/>
                  </w:tcBorders>
                  <w:vAlign w:val="center"/>
                </w:tcPr>
                <w:p w14:paraId="72B65198">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r>
            <w:tr w14:paraId="207E0C0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53" w:type="pct"/>
                  <w:tcBorders>
                    <w:tl2br w:val="nil"/>
                    <w:tr2bl w:val="nil"/>
                  </w:tcBorders>
                  <w:vAlign w:val="center"/>
                </w:tcPr>
                <w:p w14:paraId="79FAB69A">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17</w:t>
                  </w:r>
                </w:p>
              </w:tc>
              <w:tc>
                <w:tcPr>
                  <w:tcW w:w="253" w:type="pct"/>
                  <w:vMerge w:val="continue"/>
                  <w:tcBorders>
                    <w:tl2br w:val="nil"/>
                    <w:tr2bl w:val="nil"/>
                  </w:tcBorders>
                  <w:vAlign w:val="center"/>
                </w:tcPr>
                <w:p w14:paraId="5275716F">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300" w:type="pct"/>
                  <w:tcBorders>
                    <w:tl2br w:val="nil"/>
                    <w:tr2bl w:val="nil"/>
                  </w:tcBorders>
                  <w:vAlign w:val="center"/>
                </w:tcPr>
                <w:p w14:paraId="059C5683">
                  <w:pPr>
                    <w:keepNext w:val="0"/>
                    <w:keepLines w:val="0"/>
                    <w:suppressLineNumbers w:val="0"/>
                    <w:kinsoku/>
                    <w:overflowPunct w:val="0"/>
                    <w:spacing w:before="0" w:beforeAutospacing="0" w:after="0" w:afterAutospacing="0" w:line="260" w:lineRule="exact"/>
                    <w:ind w:left="21" w:leftChars="10" w:right="0"/>
                    <w:jc w:val="center"/>
                    <w:rPr>
                      <w:rFonts w:hint="eastAsia" w:ascii="Times New Roman" w:hAnsi="Times New Roman" w:eastAsia="宋体" w:cs="Times New Roman"/>
                      <w:color w:val="auto"/>
                      <w:sz w:val="21"/>
                      <w:szCs w:val="21"/>
                      <w:lang w:val="en-US" w:eastAsia="zh-CN" w:bidi="en-US"/>
                    </w:rPr>
                  </w:pPr>
                  <w:r>
                    <w:rPr>
                      <w:rFonts w:hint="eastAsia"/>
                      <w:color w:val="auto"/>
                      <w:sz w:val="21"/>
                      <w:u w:val="none"/>
                      <w:lang w:val="en-US" w:eastAsia="zh-CN"/>
                    </w:rPr>
                    <w:t>冲孔机</w:t>
                  </w:r>
                </w:p>
              </w:tc>
              <w:tc>
                <w:tcPr>
                  <w:tcW w:w="266" w:type="pct"/>
                  <w:tcBorders>
                    <w:tl2br w:val="nil"/>
                    <w:tr2bl w:val="nil"/>
                  </w:tcBorders>
                  <w:vAlign w:val="center"/>
                </w:tcPr>
                <w:p w14:paraId="36F43B5A">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cs="Times New Roman"/>
                      <w:color w:val="auto"/>
                      <w:sz w:val="21"/>
                      <w:szCs w:val="21"/>
                      <w:lang w:val="en-US" w:eastAsia="zh-CN" w:bidi="en-US"/>
                    </w:rPr>
                  </w:pPr>
                  <w:r>
                    <w:rPr>
                      <w:rFonts w:hint="eastAsia" w:cs="Times New Roman"/>
                      <w:color w:val="auto"/>
                      <w:sz w:val="21"/>
                      <w:szCs w:val="21"/>
                      <w:lang w:val="en-US" w:eastAsia="zh-CN" w:bidi="en-US"/>
                    </w:rPr>
                    <w:t>3</w:t>
                  </w:r>
                </w:p>
              </w:tc>
              <w:tc>
                <w:tcPr>
                  <w:tcW w:w="409" w:type="pct"/>
                  <w:tcBorders>
                    <w:tl2br w:val="nil"/>
                    <w:tr2bl w:val="nil"/>
                  </w:tcBorders>
                  <w:vAlign w:val="center"/>
                </w:tcPr>
                <w:p w14:paraId="0CF6F819">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cs="Times New Roman"/>
                      <w:color w:val="auto"/>
                      <w:sz w:val="21"/>
                      <w:szCs w:val="21"/>
                      <w:lang w:val="en-US" w:eastAsia="zh-CN" w:bidi="en-US"/>
                    </w:rPr>
                  </w:pPr>
                  <w:r>
                    <w:rPr>
                      <w:rFonts w:hint="eastAsia" w:cs="Times New Roman"/>
                      <w:color w:val="auto"/>
                      <w:sz w:val="21"/>
                      <w:szCs w:val="21"/>
                      <w:lang w:val="en-US" w:eastAsia="zh-CN" w:bidi="en-US"/>
                    </w:rPr>
                    <w:t>85</w:t>
                  </w:r>
                </w:p>
              </w:tc>
              <w:tc>
                <w:tcPr>
                  <w:tcW w:w="378" w:type="pct"/>
                  <w:vMerge w:val="continue"/>
                  <w:tcBorders>
                    <w:tl2br w:val="nil"/>
                    <w:tr2bl w:val="nil"/>
                  </w:tcBorders>
                  <w:vAlign w:val="center"/>
                </w:tcPr>
                <w:p w14:paraId="6BED4E1B">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295" w:type="pct"/>
                  <w:tcBorders>
                    <w:tl2br w:val="nil"/>
                    <w:tr2bl w:val="nil"/>
                  </w:tcBorders>
                  <w:vAlign w:val="center"/>
                </w:tcPr>
                <w:p w14:paraId="5DA0312F">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45</w:t>
                  </w:r>
                </w:p>
              </w:tc>
              <w:tc>
                <w:tcPr>
                  <w:tcW w:w="295" w:type="pct"/>
                  <w:tcBorders>
                    <w:tl2br w:val="nil"/>
                    <w:tr2bl w:val="nil"/>
                  </w:tcBorders>
                  <w:vAlign w:val="center"/>
                </w:tcPr>
                <w:p w14:paraId="011F552C">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50</w:t>
                  </w:r>
                </w:p>
              </w:tc>
              <w:tc>
                <w:tcPr>
                  <w:tcW w:w="347" w:type="pct"/>
                  <w:tcBorders>
                    <w:tl2br w:val="nil"/>
                    <w:tr2bl w:val="nil"/>
                  </w:tcBorders>
                  <w:vAlign w:val="center"/>
                </w:tcPr>
                <w:p w14:paraId="053A6263">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2</w:t>
                  </w:r>
                </w:p>
              </w:tc>
              <w:tc>
                <w:tcPr>
                  <w:tcW w:w="253" w:type="pct"/>
                  <w:tcBorders>
                    <w:tl2br w:val="nil"/>
                    <w:tr2bl w:val="nil"/>
                  </w:tcBorders>
                  <w:vAlign w:val="center"/>
                </w:tcPr>
                <w:p w14:paraId="27244BA1">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16</w:t>
                  </w:r>
                </w:p>
              </w:tc>
              <w:tc>
                <w:tcPr>
                  <w:tcW w:w="438" w:type="pct"/>
                  <w:tcBorders>
                    <w:tl2br w:val="nil"/>
                    <w:tr2bl w:val="nil"/>
                  </w:tcBorders>
                  <w:vAlign w:val="center"/>
                </w:tcPr>
                <w:p w14:paraId="0ADFE962">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77.73</w:t>
                  </w:r>
                </w:p>
              </w:tc>
              <w:tc>
                <w:tcPr>
                  <w:tcW w:w="378" w:type="pct"/>
                  <w:vMerge w:val="continue"/>
                  <w:tcBorders>
                    <w:tl2br w:val="nil"/>
                    <w:tr2bl w:val="nil"/>
                  </w:tcBorders>
                  <w:vAlign w:val="center"/>
                </w:tcPr>
                <w:p w14:paraId="421F219C">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sz w:val="21"/>
                      <w:szCs w:val="21"/>
                      <w:lang w:val="en-US" w:eastAsia="zh-CN" w:bidi="en-US"/>
                    </w:rPr>
                  </w:pPr>
                </w:p>
              </w:tc>
              <w:tc>
                <w:tcPr>
                  <w:tcW w:w="438" w:type="pct"/>
                  <w:vMerge w:val="continue"/>
                  <w:tcBorders>
                    <w:tl2br w:val="nil"/>
                    <w:tr2bl w:val="nil"/>
                  </w:tcBorders>
                  <w:vAlign w:val="center"/>
                </w:tcPr>
                <w:p w14:paraId="2E777DFA">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441" w:type="pct"/>
                  <w:tcBorders>
                    <w:tl2br w:val="nil"/>
                    <w:tr2bl w:val="nil"/>
                  </w:tcBorders>
                  <w:vAlign w:val="center"/>
                </w:tcPr>
                <w:p w14:paraId="7BE2C4B9">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65.72</w:t>
                  </w:r>
                </w:p>
              </w:tc>
              <w:tc>
                <w:tcPr>
                  <w:tcW w:w="248" w:type="pct"/>
                  <w:vMerge w:val="continue"/>
                  <w:tcBorders>
                    <w:tl2br w:val="nil"/>
                    <w:tr2bl w:val="nil"/>
                  </w:tcBorders>
                  <w:vAlign w:val="center"/>
                </w:tcPr>
                <w:p w14:paraId="18FB7554">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r>
            <w:tr w14:paraId="5450BF9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53" w:type="pct"/>
                  <w:tcBorders>
                    <w:tl2br w:val="nil"/>
                    <w:tr2bl w:val="nil"/>
                  </w:tcBorders>
                  <w:vAlign w:val="center"/>
                </w:tcPr>
                <w:p w14:paraId="7A6B6553">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18</w:t>
                  </w:r>
                </w:p>
              </w:tc>
              <w:tc>
                <w:tcPr>
                  <w:tcW w:w="253" w:type="pct"/>
                  <w:vMerge w:val="continue"/>
                  <w:tcBorders>
                    <w:tl2br w:val="nil"/>
                    <w:tr2bl w:val="nil"/>
                  </w:tcBorders>
                  <w:vAlign w:val="center"/>
                </w:tcPr>
                <w:p w14:paraId="50A24DC4">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300" w:type="pct"/>
                  <w:tcBorders>
                    <w:tl2br w:val="nil"/>
                    <w:tr2bl w:val="nil"/>
                  </w:tcBorders>
                  <w:vAlign w:val="center"/>
                </w:tcPr>
                <w:p w14:paraId="308EEEF7">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sz w:val="21"/>
                      <w:szCs w:val="21"/>
                      <w:lang w:val="en-US" w:eastAsia="zh-CN" w:bidi="en-US"/>
                    </w:rPr>
                  </w:pPr>
                  <w:r>
                    <w:rPr>
                      <w:rFonts w:hint="eastAsia"/>
                      <w:color w:val="auto"/>
                    </w:rPr>
                    <w:t>贴合机</w:t>
                  </w:r>
                </w:p>
              </w:tc>
              <w:tc>
                <w:tcPr>
                  <w:tcW w:w="266" w:type="pct"/>
                  <w:tcBorders>
                    <w:tl2br w:val="nil"/>
                    <w:tr2bl w:val="nil"/>
                  </w:tcBorders>
                  <w:vAlign w:val="center"/>
                </w:tcPr>
                <w:p w14:paraId="36726050">
                  <w:pPr>
                    <w:keepNext w:val="0"/>
                    <w:keepLines w:val="0"/>
                    <w:suppressLineNumbers w:val="0"/>
                    <w:kinsoku/>
                    <w:overflowPunct w:val="0"/>
                    <w:spacing w:before="0" w:beforeAutospacing="0" w:after="0" w:afterAutospacing="0" w:line="260" w:lineRule="exact"/>
                    <w:ind w:left="21" w:leftChars="10" w:right="0"/>
                    <w:jc w:val="center"/>
                    <w:rPr>
                      <w:rFonts w:hint="eastAsia" w:cs="Times New Roman"/>
                      <w:color w:val="auto"/>
                      <w:sz w:val="21"/>
                      <w:szCs w:val="21"/>
                      <w:lang w:val="en-US" w:eastAsia="zh-CN" w:bidi="en-US"/>
                    </w:rPr>
                  </w:pPr>
                  <w:r>
                    <w:rPr>
                      <w:rFonts w:hint="eastAsia" w:ascii="Times New Roman" w:hAnsi="Times New Roman" w:eastAsia="宋体"/>
                      <w:color w:val="auto"/>
                      <w:sz w:val="21"/>
                      <w:szCs w:val="21"/>
                      <w:u w:val="none"/>
                      <w:lang w:val="en-US" w:eastAsia="zh-CN"/>
                    </w:rPr>
                    <w:t>10</w:t>
                  </w:r>
                </w:p>
              </w:tc>
              <w:tc>
                <w:tcPr>
                  <w:tcW w:w="409" w:type="pct"/>
                  <w:tcBorders>
                    <w:tl2br w:val="nil"/>
                    <w:tr2bl w:val="nil"/>
                  </w:tcBorders>
                  <w:vAlign w:val="center"/>
                </w:tcPr>
                <w:p w14:paraId="455ED866">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cs="Times New Roman"/>
                      <w:color w:val="auto"/>
                      <w:sz w:val="21"/>
                      <w:szCs w:val="21"/>
                      <w:lang w:val="en-US" w:eastAsia="zh-CN" w:bidi="en-US"/>
                    </w:rPr>
                  </w:pPr>
                  <w:r>
                    <w:rPr>
                      <w:rFonts w:hint="eastAsia" w:cs="Times New Roman"/>
                      <w:color w:val="auto"/>
                      <w:sz w:val="21"/>
                      <w:szCs w:val="21"/>
                      <w:lang w:val="en-US" w:eastAsia="zh-CN" w:bidi="en-US"/>
                    </w:rPr>
                    <w:t>80</w:t>
                  </w:r>
                </w:p>
              </w:tc>
              <w:tc>
                <w:tcPr>
                  <w:tcW w:w="378" w:type="pct"/>
                  <w:vMerge w:val="continue"/>
                  <w:tcBorders>
                    <w:tl2br w:val="nil"/>
                    <w:tr2bl w:val="nil"/>
                  </w:tcBorders>
                  <w:vAlign w:val="center"/>
                </w:tcPr>
                <w:p w14:paraId="3A238619">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295" w:type="pct"/>
                  <w:tcBorders>
                    <w:tl2br w:val="nil"/>
                    <w:tr2bl w:val="nil"/>
                  </w:tcBorders>
                  <w:vAlign w:val="center"/>
                </w:tcPr>
                <w:p w14:paraId="47CBE2C7">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50</w:t>
                  </w:r>
                </w:p>
              </w:tc>
              <w:tc>
                <w:tcPr>
                  <w:tcW w:w="295" w:type="pct"/>
                  <w:tcBorders>
                    <w:tl2br w:val="nil"/>
                    <w:tr2bl w:val="nil"/>
                  </w:tcBorders>
                  <w:vAlign w:val="center"/>
                </w:tcPr>
                <w:p w14:paraId="1BD08E36">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80</w:t>
                  </w:r>
                </w:p>
              </w:tc>
              <w:tc>
                <w:tcPr>
                  <w:tcW w:w="347" w:type="pct"/>
                  <w:tcBorders>
                    <w:tl2br w:val="nil"/>
                    <w:tr2bl w:val="nil"/>
                  </w:tcBorders>
                  <w:vAlign w:val="center"/>
                </w:tcPr>
                <w:p w14:paraId="15FF250F">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1.5</w:t>
                  </w:r>
                </w:p>
              </w:tc>
              <w:tc>
                <w:tcPr>
                  <w:tcW w:w="253" w:type="pct"/>
                  <w:tcBorders>
                    <w:tl2br w:val="nil"/>
                    <w:tr2bl w:val="nil"/>
                  </w:tcBorders>
                  <w:vAlign w:val="center"/>
                </w:tcPr>
                <w:p w14:paraId="68D3AE17">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3</w:t>
                  </w:r>
                </w:p>
              </w:tc>
              <w:tc>
                <w:tcPr>
                  <w:tcW w:w="438" w:type="pct"/>
                  <w:tcBorders>
                    <w:tl2br w:val="nil"/>
                    <w:tr2bl w:val="nil"/>
                  </w:tcBorders>
                  <w:vAlign w:val="center"/>
                </w:tcPr>
                <w:p w14:paraId="234FB7CE">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75.23</w:t>
                  </w:r>
                </w:p>
              </w:tc>
              <w:tc>
                <w:tcPr>
                  <w:tcW w:w="378" w:type="pct"/>
                  <w:vMerge w:val="continue"/>
                  <w:tcBorders>
                    <w:tl2br w:val="nil"/>
                    <w:tr2bl w:val="nil"/>
                  </w:tcBorders>
                  <w:vAlign w:val="center"/>
                </w:tcPr>
                <w:p w14:paraId="6B2F9E77">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sz w:val="21"/>
                      <w:szCs w:val="21"/>
                      <w:lang w:val="en-US" w:eastAsia="zh-CN" w:bidi="en-US"/>
                    </w:rPr>
                  </w:pPr>
                </w:p>
              </w:tc>
              <w:tc>
                <w:tcPr>
                  <w:tcW w:w="438" w:type="pct"/>
                  <w:vMerge w:val="continue"/>
                  <w:tcBorders>
                    <w:tl2br w:val="nil"/>
                    <w:tr2bl w:val="nil"/>
                  </w:tcBorders>
                  <w:vAlign w:val="center"/>
                </w:tcPr>
                <w:p w14:paraId="2554E206">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441" w:type="pct"/>
                  <w:tcBorders>
                    <w:tl2br w:val="nil"/>
                    <w:tr2bl w:val="nil"/>
                  </w:tcBorders>
                  <w:vAlign w:val="center"/>
                </w:tcPr>
                <w:p w14:paraId="5979425D">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68.23</w:t>
                  </w:r>
                </w:p>
              </w:tc>
              <w:tc>
                <w:tcPr>
                  <w:tcW w:w="248" w:type="pct"/>
                  <w:vMerge w:val="continue"/>
                  <w:tcBorders>
                    <w:tl2br w:val="nil"/>
                    <w:tr2bl w:val="nil"/>
                  </w:tcBorders>
                  <w:vAlign w:val="center"/>
                </w:tcPr>
                <w:p w14:paraId="370FC666">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r>
            <w:tr w14:paraId="2ABAE24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53" w:type="pct"/>
                  <w:tcBorders>
                    <w:tl2br w:val="nil"/>
                    <w:tr2bl w:val="nil"/>
                  </w:tcBorders>
                  <w:vAlign w:val="center"/>
                </w:tcPr>
                <w:p w14:paraId="0B848F23">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19</w:t>
                  </w:r>
                </w:p>
              </w:tc>
              <w:tc>
                <w:tcPr>
                  <w:tcW w:w="253" w:type="pct"/>
                  <w:vMerge w:val="continue"/>
                  <w:tcBorders>
                    <w:tl2br w:val="nil"/>
                    <w:tr2bl w:val="nil"/>
                  </w:tcBorders>
                  <w:vAlign w:val="center"/>
                </w:tcPr>
                <w:p w14:paraId="7E69F16C">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300" w:type="pct"/>
                  <w:tcBorders>
                    <w:tl2br w:val="nil"/>
                    <w:tr2bl w:val="nil"/>
                  </w:tcBorders>
                  <w:vAlign w:val="center"/>
                </w:tcPr>
                <w:p w14:paraId="2FDF61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sz w:val="21"/>
                      <w:szCs w:val="21"/>
                      <w:lang w:val="en-US" w:eastAsia="zh-CN" w:bidi="en-US"/>
                    </w:rPr>
                  </w:pPr>
                  <w:r>
                    <w:rPr>
                      <w:rFonts w:hint="eastAsia"/>
                      <w:color w:val="auto"/>
                    </w:rPr>
                    <w:t>拔楦机</w:t>
                  </w:r>
                </w:p>
              </w:tc>
              <w:tc>
                <w:tcPr>
                  <w:tcW w:w="266" w:type="pct"/>
                  <w:tcBorders>
                    <w:tl2br w:val="nil"/>
                    <w:tr2bl w:val="nil"/>
                  </w:tcBorders>
                  <w:vAlign w:val="center"/>
                </w:tcPr>
                <w:p w14:paraId="76A43571">
                  <w:pPr>
                    <w:keepNext w:val="0"/>
                    <w:keepLines w:val="0"/>
                    <w:suppressLineNumbers w:val="0"/>
                    <w:kinsoku/>
                    <w:overflowPunct w:val="0"/>
                    <w:spacing w:before="0" w:beforeAutospacing="0" w:after="0" w:afterAutospacing="0" w:line="260" w:lineRule="exact"/>
                    <w:ind w:left="21" w:leftChars="10" w:right="0"/>
                    <w:jc w:val="center"/>
                    <w:rPr>
                      <w:rFonts w:hint="eastAsia" w:cs="Times New Roman"/>
                      <w:color w:val="auto"/>
                      <w:sz w:val="21"/>
                      <w:szCs w:val="21"/>
                      <w:lang w:val="en-US" w:eastAsia="zh-CN" w:bidi="en-US"/>
                    </w:rPr>
                  </w:pPr>
                  <w:r>
                    <w:rPr>
                      <w:rFonts w:hint="eastAsia" w:ascii="Times New Roman" w:hAnsi="Times New Roman" w:eastAsia="宋体"/>
                      <w:color w:val="auto"/>
                      <w:sz w:val="21"/>
                      <w:u w:val="none"/>
                      <w:lang w:val="en-US" w:eastAsia="zh-CN"/>
                    </w:rPr>
                    <w:t>10</w:t>
                  </w:r>
                </w:p>
              </w:tc>
              <w:tc>
                <w:tcPr>
                  <w:tcW w:w="409" w:type="pct"/>
                  <w:tcBorders>
                    <w:tl2br w:val="nil"/>
                    <w:tr2bl w:val="nil"/>
                  </w:tcBorders>
                  <w:vAlign w:val="center"/>
                </w:tcPr>
                <w:p w14:paraId="7F3699A0">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cs="Times New Roman"/>
                      <w:color w:val="auto"/>
                      <w:sz w:val="21"/>
                      <w:szCs w:val="21"/>
                      <w:lang w:val="en-US" w:eastAsia="zh-CN" w:bidi="en-US"/>
                    </w:rPr>
                  </w:pPr>
                  <w:r>
                    <w:rPr>
                      <w:rFonts w:hint="eastAsia" w:cs="Times New Roman"/>
                      <w:color w:val="auto"/>
                      <w:sz w:val="21"/>
                      <w:szCs w:val="21"/>
                      <w:lang w:val="en-US" w:eastAsia="zh-CN" w:bidi="en-US"/>
                    </w:rPr>
                    <w:t>85</w:t>
                  </w:r>
                </w:p>
              </w:tc>
              <w:tc>
                <w:tcPr>
                  <w:tcW w:w="378" w:type="pct"/>
                  <w:vMerge w:val="continue"/>
                  <w:tcBorders>
                    <w:tl2br w:val="nil"/>
                    <w:tr2bl w:val="nil"/>
                  </w:tcBorders>
                  <w:vAlign w:val="center"/>
                </w:tcPr>
                <w:p w14:paraId="7A9EF15E">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295" w:type="pct"/>
                  <w:tcBorders>
                    <w:tl2br w:val="nil"/>
                    <w:tr2bl w:val="nil"/>
                  </w:tcBorders>
                  <w:vAlign w:val="center"/>
                </w:tcPr>
                <w:p w14:paraId="63E387BA">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65</w:t>
                  </w:r>
                </w:p>
              </w:tc>
              <w:tc>
                <w:tcPr>
                  <w:tcW w:w="295" w:type="pct"/>
                  <w:tcBorders>
                    <w:tl2br w:val="nil"/>
                    <w:tr2bl w:val="nil"/>
                  </w:tcBorders>
                  <w:vAlign w:val="center"/>
                </w:tcPr>
                <w:p w14:paraId="7EC9561E">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50</w:t>
                  </w:r>
                </w:p>
              </w:tc>
              <w:tc>
                <w:tcPr>
                  <w:tcW w:w="347" w:type="pct"/>
                  <w:tcBorders>
                    <w:tl2br w:val="nil"/>
                    <w:tr2bl w:val="nil"/>
                  </w:tcBorders>
                  <w:vAlign w:val="center"/>
                </w:tcPr>
                <w:p w14:paraId="5C076CAF">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1.5</w:t>
                  </w:r>
                </w:p>
              </w:tc>
              <w:tc>
                <w:tcPr>
                  <w:tcW w:w="253" w:type="pct"/>
                  <w:tcBorders>
                    <w:tl2br w:val="nil"/>
                    <w:tr2bl w:val="nil"/>
                  </w:tcBorders>
                  <w:vAlign w:val="center"/>
                </w:tcPr>
                <w:p w14:paraId="58B5B4EF">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12</w:t>
                  </w:r>
                </w:p>
              </w:tc>
              <w:tc>
                <w:tcPr>
                  <w:tcW w:w="438" w:type="pct"/>
                  <w:tcBorders>
                    <w:tl2br w:val="nil"/>
                    <w:tr2bl w:val="nil"/>
                  </w:tcBorders>
                  <w:vAlign w:val="center"/>
                </w:tcPr>
                <w:p w14:paraId="510CDE02">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74.03</w:t>
                  </w:r>
                </w:p>
              </w:tc>
              <w:tc>
                <w:tcPr>
                  <w:tcW w:w="378" w:type="pct"/>
                  <w:vMerge w:val="continue"/>
                  <w:tcBorders>
                    <w:tl2br w:val="nil"/>
                    <w:tr2bl w:val="nil"/>
                  </w:tcBorders>
                  <w:vAlign w:val="center"/>
                </w:tcPr>
                <w:p w14:paraId="75545F50">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sz w:val="21"/>
                      <w:szCs w:val="21"/>
                      <w:lang w:val="en-US" w:eastAsia="zh-CN" w:bidi="en-US"/>
                    </w:rPr>
                  </w:pPr>
                </w:p>
              </w:tc>
              <w:tc>
                <w:tcPr>
                  <w:tcW w:w="438" w:type="pct"/>
                  <w:vMerge w:val="continue"/>
                  <w:tcBorders>
                    <w:tl2br w:val="nil"/>
                    <w:tr2bl w:val="nil"/>
                  </w:tcBorders>
                  <w:vAlign w:val="center"/>
                </w:tcPr>
                <w:p w14:paraId="036454E9">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441" w:type="pct"/>
                  <w:tcBorders>
                    <w:tl2br w:val="nil"/>
                    <w:tr2bl w:val="nil"/>
                  </w:tcBorders>
                  <w:vAlign w:val="center"/>
                </w:tcPr>
                <w:p w14:paraId="5B5A1FA8">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cs="Times New Roman"/>
                      <w:color w:val="auto"/>
                      <w:sz w:val="21"/>
                      <w:szCs w:val="21"/>
                      <w:lang w:val="en-US" w:eastAsia="zh-CN" w:bidi="en-US"/>
                    </w:rPr>
                  </w:pPr>
                  <w:r>
                    <w:rPr>
                      <w:rFonts w:hint="eastAsia" w:cs="Times New Roman"/>
                      <w:color w:val="auto"/>
                      <w:sz w:val="21"/>
                      <w:szCs w:val="21"/>
                      <w:lang w:val="en-US" w:eastAsia="zh-CN" w:bidi="en-US"/>
                    </w:rPr>
                    <w:t>62.03</w:t>
                  </w:r>
                </w:p>
              </w:tc>
              <w:tc>
                <w:tcPr>
                  <w:tcW w:w="248" w:type="pct"/>
                  <w:vMerge w:val="continue"/>
                  <w:tcBorders>
                    <w:tl2br w:val="nil"/>
                    <w:tr2bl w:val="nil"/>
                  </w:tcBorders>
                  <w:vAlign w:val="center"/>
                </w:tcPr>
                <w:p w14:paraId="7BF8372A">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r>
            <w:tr w14:paraId="2DCC2DD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53" w:type="pct"/>
                  <w:tcBorders>
                    <w:tl2br w:val="nil"/>
                    <w:tr2bl w:val="nil"/>
                  </w:tcBorders>
                  <w:vAlign w:val="center"/>
                </w:tcPr>
                <w:p w14:paraId="1C41EE73">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20</w:t>
                  </w:r>
                </w:p>
              </w:tc>
              <w:tc>
                <w:tcPr>
                  <w:tcW w:w="253" w:type="pct"/>
                  <w:vMerge w:val="continue"/>
                  <w:tcBorders>
                    <w:tl2br w:val="nil"/>
                    <w:tr2bl w:val="nil"/>
                  </w:tcBorders>
                  <w:vAlign w:val="center"/>
                </w:tcPr>
                <w:p w14:paraId="1DA9C933">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300" w:type="pct"/>
                  <w:tcBorders>
                    <w:tl2br w:val="nil"/>
                    <w:tr2bl w:val="nil"/>
                  </w:tcBorders>
                  <w:vAlign w:val="center"/>
                </w:tcPr>
                <w:p w14:paraId="001543CD">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sz w:val="21"/>
                      <w:szCs w:val="21"/>
                      <w:lang w:val="en-US" w:eastAsia="zh-CN" w:bidi="en-US"/>
                    </w:rPr>
                  </w:pPr>
                  <w:r>
                    <w:rPr>
                      <w:rFonts w:hint="eastAsia"/>
                      <w:color w:val="auto"/>
                    </w:rPr>
                    <w:t>修边机</w:t>
                  </w:r>
                </w:p>
              </w:tc>
              <w:tc>
                <w:tcPr>
                  <w:tcW w:w="266" w:type="pct"/>
                  <w:tcBorders>
                    <w:tl2br w:val="nil"/>
                    <w:tr2bl w:val="nil"/>
                  </w:tcBorders>
                  <w:vAlign w:val="center"/>
                </w:tcPr>
                <w:p w14:paraId="50E4DAA9">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bidi="en-US"/>
                    </w:rPr>
                  </w:pPr>
                  <w:r>
                    <w:rPr>
                      <w:rFonts w:hint="eastAsia" w:ascii="Times New Roman" w:hAnsi="Times New Roman" w:eastAsia="宋体"/>
                      <w:color w:val="auto"/>
                      <w:sz w:val="21"/>
                      <w:szCs w:val="21"/>
                      <w:lang w:val="en-US" w:eastAsia="zh-CN"/>
                    </w:rPr>
                    <w:t>3</w:t>
                  </w:r>
                </w:p>
              </w:tc>
              <w:tc>
                <w:tcPr>
                  <w:tcW w:w="409" w:type="pct"/>
                  <w:tcBorders>
                    <w:tl2br w:val="nil"/>
                    <w:tr2bl w:val="nil"/>
                  </w:tcBorders>
                  <w:vAlign w:val="center"/>
                </w:tcPr>
                <w:p w14:paraId="7378020E">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cs="Times New Roman"/>
                      <w:color w:val="auto"/>
                      <w:sz w:val="21"/>
                      <w:szCs w:val="21"/>
                      <w:lang w:val="en-US" w:eastAsia="zh-CN" w:bidi="en-US"/>
                    </w:rPr>
                  </w:pPr>
                  <w:r>
                    <w:rPr>
                      <w:rFonts w:hint="eastAsia" w:cs="Times New Roman"/>
                      <w:color w:val="auto"/>
                      <w:sz w:val="21"/>
                      <w:szCs w:val="21"/>
                      <w:lang w:val="en-US" w:eastAsia="zh-CN" w:bidi="en-US"/>
                    </w:rPr>
                    <w:t>75</w:t>
                  </w:r>
                </w:p>
              </w:tc>
              <w:tc>
                <w:tcPr>
                  <w:tcW w:w="378" w:type="pct"/>
                  <w:vMerge w:val="continue"/>
                  <w:tcBorders>
                    <w:tl2br w:val="nil"/>
                    <w:tr2bl w:val="nil"/>
                  </w:tcBorders>
                  <w:vAlign w:val="center"/>
                </w:tcPr>
                <w:p w14:paraId="0AD5ED1C">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295" w:type="pct"/>
                  <w:tcBorders>
                    <w:tl2br w:val="nil"/>
                    <w:tr2bl w:val="nil"/>
                  </w:tcBorders>
                  <w:vAlign w:val="center"/>
                </w:tcPr>
                <w:p w14:paraId="49A06102">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60</w:t>
                  </w:r>
                </w:p>
              </w:tc>
              <w:tc>
                <w:tcPr>
                  <w:tcW w:w="295" w:type="pct"/>
                  <w:tcBorders>
                    <w:tl2br w:val="nil"/>
                    <w:tr2bl w:val="nil"/>
                  </w:tcBorders>
                  <w:vAlign w:val="center"/>
                </w:tcPr>
                <w:p w14:paraId="7410ABC1">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60</w:t>
                  </w:r>
                </w:p>
              </w:tc>
              <w:tc>
                <w:tcPr>
                  <w:tcW w:w="347" w:type="pct"/>
                  <w:tcBorders>
                    <w:tl2br w:val="nil"/>
                    <w:tr2bl w:val="nil"/>
                  </w:tcBorders>
                  <w:vAlign w:val="center"/>
                </w:tcPr>
                <w:p w14:paraId="1B7B5F5E">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1.5</w:t>
                  </w:r>
                </w:p>
              </w:tc>
              <w:tc>
                <w:tcPr>
                  <w:tcW w:w="253" w:type="pct"/>
                  <w:tcBorders>
                    <w:tl2br w:val="nil"/>
                    <w:tr2bl w:val="nil"/>
                  </w:tcBorders>
                  <w:vAlign w:val="center"/>
                </w:tcPr>
                <w:p w14:paraId="79947929">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3</w:t>
                  </w:r>
                </w:p>
              </w:tc>
              <w:tc>
                <w:tcPr>
                  <w:tcW w:w="438" w:type="pct"/>
                  <w:tcBorders>
                    <w:tl2br w:val="nil"/>
                    <w:tr2bl w:val="nil"/>
                  </w:tcBorders>
                  <w:vAlign w:val="center"/>
                </w:tcPr>
                <w:p w14:paraId="02150573">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72.45</w:t>
                  </w:r>
                </w:p>
              </w:tc>
              <w:tc>
                <w:tcPr>
                  <w:tcW w:w="378" w:type="pct"/>
                  <w:vMerge w:val="continue"/>
                  <w:tcBorders>
                    <w:tl2br w:val="nil"/>
                    <w:tr2bl w:val="nil"/>
                  </w:tcBorders>
                  <w:vAlign w:val="center"/>
                </w:tcPr>
                <w:p w14:paraId="443EC3B1">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sz w:val="21"/>
                      <w:szCs w:val="21"/>
                      <w:lang w:val="en-US" w:eastAsia="zh-CN" w:bidi="en-US"/>
                    </w:rPr>
                  </w:pPr>
                </w:p>
              </w:tc>
              <w:tc>
                <w:tcPr>
                  <w:tcW w:w="438" w:type="pct"/>
                  <w:vMerge w:val="continue"/>
                  <w:tcBorders>
                    <w:tl2br w:val="nil"/>
                    <w:tr2bl w:val="nil"/>
                  </w:tcBorders>
                  <w:vAlign w:val="center"/>
                </w:tcPr>
                <w:p w14:paraId="326446A2">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441" w:type="pct"/>
                  <w:tcBorders>
                    <w:tl2br w:val="nil"/>
                    <w:tr2bl w:val="nil"/>
                  </w:tcBorders>
                  <w:vAlign w:val="center"/>
                </w:tcPr>
                <w:p w14:paraId="352B15EA">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50.45</w:t>
                  </w:r>
                </w:p>
              </w:tc>
              <w:tc>
                <w:tcPr>
                  <w:tcW w:w="248" w:type="pct"/>
                  <w:vMerge w:val="continue"/>
                  <w:tcBorders>
                    <w:tl2br w:val="nil"/>
                    <w:tr2bl w:val="nil"/>
                  </w:tcBorders>
                  <w:vAlign w:val="center"/>
                </w:tcPr>
                <w:p w14:paraId="58076185">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r>
            <w:tr w14:paraId="0BE8CB1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53" w:type="pct"/>
                  <w:tcBorders>
                    <w:tl2br w:val="nil"/>
                    <w:tr2bl w:val="nil"/>
                  </w:tcBorders>
                  <w:vAlign w:val="center"/>
                </w:tcPr>
                <w:p w14:paraId="65D46970">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21</w:t>
                  </w:r>
                </w:p>
              </w:tc>
              <w:tc>
                <w:tcPr>
                  <w:tcW w:w="253" w:type="pct"/>
                  <w:vMerge w:val="continue"/>
                  <w:tcBorders>
                    <w:tl2br w:val="nil"/>
                    <w:tr2bl w:val="nil"/>
                  </w:tcBorders>
                  <w:vAlign w:val="center"/>
                </w:tcPr>
                <w:p w14:paraId="2D03DE68">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300" w:type="pct"/>
                  <w:tcBorders>
                    <w:tl2br w:val="nil"/>
                    <w:tr2bl w:val="nil"/>
                  </w:tcBorders>
                  <w:vAlign w:val="center"/>
                </w:tcPr>
                <w:p w14:paraId="64C71EEB">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sz w:val="21"/>
                      <w:szCs w:val="21"/>
                      <w:lang w:val="en-US" w:eastAsia="zh-CN" w:bidi="en-US"/>
                    </w:rPr>
                  </w:pPr>
                  <w:r>
                    <w:rPr>
                      <w:rFonts w:hint="eastAsia"/>
                      <w:color w:val="auto"/>
                    </w:rPr>
                    <w:t>压烫机</w:t>
                  </w:r>
                </w:p>
              </w:tc>
              <w:tc>
                <w:tcPr>
                  <w:tcW w:w="266" w:type="pct"/>
                  <w:tcBorders>
                    <w:tl2br w:val="nil"/>
                    <w:tr2bl w:val="nil"/>
                  </w:tcBorders>
                  <w:vAlign w:val="center"/>
                </w:tcPr>
                <w:p w14:paraId="2F6797BC">
                  <w:pPr>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bidi="en-US"/>
                    </w:rPr>
                  </w:pPr>
                  <w:r>
                    <w:rPr>
                      <w:rFonts w:hint="eastAsia"/>
                      <w:color w:val="auto"/>
                      <w:sz w:val="21"/>
                      <w:szCs w:val="21"/>
                      <w:lang w:val="en-US" w:eastAsia="zh-CN"/>
                    </w:rPr>
                    <w:t>2</w:t>
                  </w:r>
                </w:p>
              </w:tc>
              <w:tc>
                <w:tcPr>
                  <w:tcW w:w="409" w:type="pct"/>
                  <w:tcBorders>
                    <w:tl2br w:val="nil"/>
                    <w:tr2bl w:val="nil"/>
                  </w:tcBorders>
                  <w:vAlign w:val="center"/>
                </w:tcPr>
                <w:p w14:paraId="7A68B902">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cs="Times New Roman"/>
                      <w:color w:val="auto"/>
                      <w:sz w:val="21"/>
                      <w:szCs w:val="21"/>
                      <w:lang w:val="en-US" w:eastAsia="zh-CN" w:bidi="en-US"/>
                    </w:rPr>
                  </w:pPr>
                  <w:r>
                    <w:rPr>
                      <w:rFonts w:hint="eastAsia" w:cs="Times New Roman"/>
                      <w:color w:val="auto"/>
                      <w:sz w:val="21"/>
                      <w:szCs w:val="21"/>
                      <w:lang w:val="en-US" w:eastAsia="zh-CN" w:bidi="en-US"/>
                    </w:rPr>
                    <w:t>80</w:t>
                  </w:r>
                </w:p>
              </w:tc>
              <w:tc>
                <w:tcPr>
                  <w:tcW w:w="378" w:type="pct"/>
                  <w:vMerge w:val="continue"/>
                  <w:tcBorders>
                    <w:tl2br w:val="nil"/>
                    <w:tr2bl w:val="nil"/>
                  </w:tcBorders>
                  <w:vAlign w:val="center"/>
                </w:tcPr>
                <w:p w14:paraId="613DB4AD">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295" w:type="pct"/>
                  <w:tcBorders>
                    <w:tl2br w:val="nil"/>
                    <w:tr2bl w:val="nil"/>
                  </w:tcBorders>
                  <w:vAlign w:val="center"/>
                </w:tcPr>
                <w:p w14:paraId="62FBFEF9">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60</w:t>
                  </w:r>
                </w:p>
              </w:tc>
              <w:tc>
                <w:tcPr>
                  <w:tcW w:w="295" w:type="pct"/>
                  <w:tcBorders>
                    <w:tl2br w:val="nil"/>
                    <w:tr2bl w:val="nil"/>
                  </w:tcBorders>
                  <w:vAlign w:val="center"/>
                </w:tcPr>
                <w:p w14:paraId="17FDC20A">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7</w:t>
                  </w:r>
                </w:p>
              </w:tc>
              <w:tc>
                <w:tcPr>
                  <w:tcW w:w="347" w:type="pct"/>
                  <w:tcBorders>
                    <w:tl2br w:val="nil"/>
                    <w:tr2bl w:val="nil"/>
                  </w:tcBorders>
                  <w:vAlign w:val="center"/>
                </w:tcPr>
                <w:p w14:paraId="73265DC1">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2</w:t>
                  </w:r>
                </w:p>
              </w:tc>
              <w:tc>
                <w:tcPr>
                  <w:tcW w:w="253" w:type="pct"/>
                  <w:tcBorders>
                    <w:tl2br w:val="nil"/>
                    <w:tr2bl w:val="nil"/>
                  </w:tcBorders>
                  <w:vAlign w:val="center"/>
                </w:tcPr>
                <w:p w14:paraId="1B1871F3">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3</w:t>
                  </w:r>
                </w:p>
              </w:tc>
              <w:tc>
                <w:tcPr>
                  <w:tcW w:w="438" w:type="pct"/>
                  <w:tcBorders>
                    <w:tl2br w:val="nil"/>
                    <w:tr2bl w:val="nil"/>
                  </w:tcBorders>
                  <w:vAlign w:val="center"/>
                </w:tcPr>
                <w:p w14:paraId="7E98B5E2">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77.45</w:t>
                  </w:r>
                </w:p>
              </w:tc>
              <w:tc>
                <w:tcPr>
                  <w:tcW w:w="378" w:type="pct"/>
                  <w:vMerge w:val="continue"/>
                  <w:tcBorders>
                    <w:tl2br w:val="nil"/>
                    <w:tr2bl w:val="nil"/>
                  </w:tcBorders>
                  <w:vAlign w:val="center"/>
                </w:tcPr>
                <w:p w14:paraId="31552355">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sz w:val="21"/>
                      <w:szCs w:val="21"/>
                      <w:lang w:val="en-US" w:eastAsia="zh-CN" w:bidi="en-US"/>
                    </w:rPr>
                  </w:pPr>
                </w:p>
              </w:tc>
              <w:tc>
                <w:tcPr>
                  <w:tcW w:w="438" w:type="pct"/>
                  <w:vMerge w:val="continue"/>
                  <w:tcBorders>
                    <w:tl2br w:val="nil"/>
                    <w:tr2bl w:val="nil"/>
                  </w:tcBorders>
                  <w:vAlign w:val="center"/>
                </w:tcPr>
                <w:p w14:paraId="0D2A0D3C">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441" w:type="pct"/>
                  <w:tcBorders>
                    <w:tl2br w:val="nil"/>
                    <w:tr2bl w:val="nil"/>
                  </w:tcBorders>
                  <w:vAlign w:val="center"/>
                </w:tcPr>
                <w:p w14:paraId="72C028EC">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70.45</w:t>
                  </w:r>
                </w:p>
              </w:tc>
              <w:tc>
                <w:tcPr>
                  <w:tcW w:w="248" w:type="pct"/>
                  <w:vMerge w:val="continue"/>
                  <w:tcBorders>
                    <w:tl2br w:val="nil"/>
                    <w:tr2bl w:val="nil"/>
                  </w:tcBorders>
                  <w:vAlign w:val="center"/>
                </w:tcPr>
                <w:p w14:paraId="703C4F43">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r>
            <w:tr w14:paraId="7ABAC83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97" w:hRule="atLeast"/>
                <w:jc w:val="center"/>
              </w:trPr>
              <w:tc>
                <w:tcPr>
                  <w:tcW w:w="253" w:type="pct"/>
                  <w:tcBorders>
                    <w:tl2br w:val="nil"/>
                    <w:tr2bl w:val="nil"/>
                  </w:tcBorders>
                  <w:vAlign w:val="center"/>
                </w:tcPr>
                <w:p w14:paraId="37DB2F75">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22</w:t>
                  </w:r>
                </w:p>
              </w:tc>
              <w:tc>
                <w:tcPr>
                  <w:tcW w:w="253" w:type="pct"/>
                  <w:vMerge w:val="continue"/>
                  <w:tcBorders>
                    <w:tl2br w:val="nil"/>
                    <w:tr2bl w:val="nil"/>
                  </w:tcBorders>
                  <w:vAlign w:val="center"/>
                </w:tcPr>
                <w:p w14:paraId="051161C9">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300" w:type="pct"/>
                  <w:tcBorders>
                    <w:tl2br w:val="nil"/>
                    <w:tr2bl w:val="nil"/>
                  </w:tcBorders>
                  <w:vAlign w:val="center"/>
                </w:tcPr>
                <w:p w14:paraId="6B863F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sz w:val="21"/>
                      <w:szCs w:val="21"/>
                      <w:lang w:val="en-US" w:eastAsia="zh-CN" w:bidi="en-US"/>
                    </w:rPr>
                  </w:pPr>
                  <w:r>
                    <w:rPr>
                      <w:rFonts w:hint="eastAsia"/>
                      <w:color w:val="auto"/>
                    </w:rPr>
                    <w:t>自动化聚氨酯机发泡机</w:t>
                  </w:r>
                </w:p>
              </w:tc>
              <w:tc>
                <w:tcPr>
                  <w:tcW w:w="266" w:type="pct"/>
                  <w:tcBorders>
                    <w:tl2br w:val="nil"/>
                    <w:tr2bl w:val="nil"/>
                  </w:tcBorders>
                  <w:vAlign w:val="center"/>
                </w:tcPr>
                <w:p w14:paraId="1523B06B">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bidi="en-US"/>
                    </w:rPr>
                  </w:pPr>
                  <w:r>
                    <w:rPr>
                      <w:rFonts w:hint="eastAsia" w:ascii="Times New Roman" w:hAnsi="Times New Roman" w:eastAsia="宋体"/>
                      <w:color w:val="auto"/>
                      <w:sz w:val="21"/>
                      <w:szCs w:val="21"/>
                      <w:lang w:val="en-US" w:eastAsia="zh-CN"/>
                    </w:rPr>
                    <w:t>2</w:t>
                  </w:r>
                </w:p>
              </w:tc>
              <w:tc>
                <w:tcPr>
                  <w:tcW w:w="409" w:type="pct"/>
                  <w:tcBorders>
                    <w:tl2br w:val="nil"/>
                    <w:tr2bl w:val="nil"/>
                  </w:tcBorders>
                  <w:vAlign w:val="center"/>
                </w:tcPr>
                <w:p w14:paraId="6D499343">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cs="Times New Roman"/>
                      <w:color w:val="auto"/>
                      <w:sz w:val="21"/>
                      <w:szCs w:val="21"/>
                      <w:lang w:val="en-US" w:eastAsia="zh-CN" w:bidi="en-US"/>
                    </w:rPr>
                  </w:pPr>
                  <w:r>
                    <w:rPr>
                      <w:rFonts w:hint="eastAsia" w:cs="Times New Roman"/>
                      <w:color w:val="auto"/>
                      <w:sz w:val="21"/>
                      <w:szCs w:val="21"/>
                      <w:lang w:val="en-US" w:eastAsia="zh-CN" w:bidi="en-US"/>
                    </w:rPr>
                    <w:t>80</w:t>
                  </w:r>
                </w:p>
              </w:tc>
              <w:tc>
                <w:tcPr>
                  <w:tcW w:w="378" w:type="pct"/>
                  <w:vMerge w:val="continue"/>
                  <w:tcBorders>
                    <w:tl2br w:val="nil"/>
                    <w:tr2bl w:val="nil"/>
                  </w:tcBorders>
                  <w:vAlign w:val="center"/>
                </w:tcPr>
                <w:p w14:paraId="02BC5963">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295" w:type="pct"/>
                  <w:tcBorders>
                    <w:tl2br w:val="nil"/>
                    <w:tr2bl w:val="nil"/>
                  </w:tcBorders>
                  <w:vAlign w:val="center"/>
                </w:tcPr>
                <w:p w14:paraId="7BF1A382">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60</w:t>
                  </w:r>
                </w:p>
              </w:tc>
              <w:tc>
                <w:tcPr>
                  <w:tcW w:w="295" w:type="pct"/>
                  <w:tcBorders>
                    <w:tl2br w:val="nil"/>
                    <w:tr2bl w:val="nil"/>
                  </w:tcBorders>
                  <w:vAlign w:val="center"/>
                </w:tcPr>
                <w:p w14:paraId="3ECB44D6">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82</w:t>
                  </w:r>
                </w:p>
              </w:tc>
              <w:tc>
                <w:tcPr>
                  <w:tcW w:w="347" w:type="pct"/>
                  <w:tcBorders>
                    <w:tl2br w:val="nil"/>
                    <w:tr2bl w:val="nil"/>
                  </w:tcBorders>
                  <w:vAlign w:val="center"/>
                </w:tcPr>
                <w:p w14:paraId="6E5B4A73">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3</w:t>
                  </w:r>
                </w:p>
              </w:tc>
              <w:tc>
                <w:tcPr>
                  <w:tcW w:w="253" w:type="pct"/>
                  <w:tcBorders>
                    <w:tl2br w:val="nil"/>
                    <w:tr2bl w:val="nil"/>
                  </w:tcBorders>
                  <w:vAlign w:val="center"/>
                </w:tcPr>
                <w:p w14:paraId="204BFB44">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20</w:t>
                  </w:r>
                </w:p>
              </w:tc>
              <w:tc>
                <w:tcPr>
                  <w:tcW w:w="438" w:type="pct"/>
                  <w:tcBorders>
                    <w:tl2br w:val="nil"/>
                    <w:tr2bl w:val="nil"/>
                  </w:tcBorders>
                  <w:vAlign w:val="center"/>
                </w:tcPr>
                <w:p w14:paraId="302BB8D9">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69.03</w:t>
                  </w:r>
                </w:p>
              </w:tc>
              <w:tc>
                <w:tcPr>
                  <w:tcW w:w="378" w:type="pct"/>
                  <w:vMerge w:val="continue"/>
                  <w:tcBorders>
                    <w:tl2br w:val="nil"/>
                    <w:tr2bl w:val="nil"/>
                  </w:tcBorders>
                  <w:vAlign w:val="center"/>
                </w:tcPr>
                <w:p w14:paraId="59605121">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sz w:val="21"/>
                      <w:szCs w:val="21"/>
                      <w:lang w:val="en-US" w:eastAsia="zh-CN" w:bidi="en-US"/>
                    </w:rPr>
                  </w:pPr>
                </w:p>
              </w:tc>
              <w:tc>
                <w:tcPr>
                  <w:tcW w:w="438" w:type="pct"/>
                  <w:vMerge w:val="continue"/>
                  <w:tcBorders>
                    <w:tl2br w:val="nil"/>
                    <w:tr2bl w:val="nil"/>
                  </w:tcBorders>
                  <w:vAlign w:val="center"/>
                </w:tcPr>
                <w:p w14:paraId="5A04804E">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c>
                <w:tcPr>
                  <w:tcW w:w="441" w:type="pct"/>
                  <w:tcBorders>
                    <w:tl2br w:val="nil"/>
                    <w:tr2bl w:val="nil"/>
                  </w:tcBorders>
                  <w:vAlign w:val="center"/>
                </w:tcPr>
                <w:p w14:paraId="0B7898E2">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cs="Times New Roman"/>
                      <w:color w:val="auto"/>
                      <w:sz w:val="21"/>
                      <w:szCs w:val="21"/>
                      <w:lang w:val="en-US" w:eastAsia="zh-CN" w:bidi="en-US"/>
                    </w:rPr>
                  </w:pPr>
                  <w:r>
                    <w:rPr>
                      <w:rFonts w:hint="eastAsia" w:cs="Times New Roman"/>
                      <w:color w:val="auto"/>
                      <w:sz w:val="21"/>
                      <w:szCs w:val="21"/>
                      <w:lang w:val="en-US" w:eastAsia="zh-CN" w:bidi="en-US"/>
                    </w:rPr>
                    <w:t>57.03</w:t>
                  </w:r>
                </w:p>
              </w:tc>
              <w:tc>
                <w:tcPr>
                  <w:tcW w:w="248" w:type="pct"/>
                  <w:vMerge w:val="continue"/>
                  <w:tcBorders>
                    <w:tl2br w:val="nil"/>
                    <w:tr2bl w:val="nil"/>
                  </w:tcBorders>
                  <w:vAlign w:val="center"/>
                </w:tcPr>
                <w:p w14:paraId="2D52680F">
                  <w:pPr>
                    <w:keepNext w:val="0"/>
                    <w:keepLines w:val="0"/>
                    <w:pageBreakBefore w:val="0"/>
                    <w:suppressLineNumbers w:val="0"/>
                    <w:kinsoku/>
                    <w:wordWrap/>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lang w:val="en-US" w:eastAsia="zh-CN" w:bidi="en-US"/>
                    </w:rPr>
                  </w:pPr>
                </w:p>
              </w:tc>
            </w:tr>
          </w:tbl>
          <w:p w14:paraId="5EBC0201">
            <w:pPr>
              <w:pStyle w:val="8"/>
              <w:keepNext w:val="0"/>
              <w:keepLines w:val="0"/>
              <w:suppressLineNumbers w:val="0"/>
              <w:bidi w:val="0"/>
              <w:spacing w:before="0" w:beforeAutospacing="0" w:after="0" w:afterAutospacing="0"/>
              <w:ind w:left="0" w:right="0"/>
              <w:jc w:val="center"/>
              <w:rPr>
                <w:rFonts w:hint="default"/>
                <w:b/>
                <w:bCs/>
                <w:color w:val="auto"/>
                <w:spacing w:val="0"/>
                <w:highlight w:val="none"/>
                <w:lang w:val="en-GB"/>
              </w:rPr>
            </w:pPr>
            <w:r>
              <w:rPr>
                <w:rFonts w:hint="default"/>
                <w:b/>
                <w:bCs/>
                <w:color w:val="auto"/>
                <w:spacing w:val="0"/>
                <w:highlight w:val="none"/>
                <w:lang w:val="en-GB"/>
              </w:rPr>
              <w:t>表4-</w:t>
            </w:r>
            <w:r>
              <w:rPr>
                <w:rFonts w:hint="eastAsia"/>
                <w:b/>
                <w:bCs/>
                <w:color w:val="auto"/>
                <w:spacing w:val="0"/>
                <w:highlight w:val="none"/>
                <w:lang w:val="en-US" w:eastAsia="zh-CN"/>
              </w:rPr>
              <w:t>11   工业企业噪声源强调查清单（室外声源）</w:t>
            </w:r>
            <w:r>
              <w:rPr>
                <w:rFonts w:hint="eastAsia"/>
                <w:b/>
                <w:bCs/>
                <w:color w:val="auto"/>
                <w:spacing w:val="0"/>
                <w:highlight w:val="none"/>
                <w:lang w:val="en-GB"/>
              </w:rPr>
              <w:t xml:space="preserve"> </w:t>
            </w:r>
            <w:r>
              <w:rPr>
                <w:rFonts w:hint="default"/>
                <w:b/>
                <w:bCs/>
                <w:color w:val="auto"/>
                <w:spacing w:val="0"/>
                <w:highlight w:val="none"/>
                <w:lang w:val="en-GB"/>
              </w:rPr>
              <w:t xml:space="preserve"> 单位：dB</w:t>
            </w:r>
            <w:r>
              <w:rPr>
                <w:rFonts w:hint="eastAsia"/>
                <w:b/>
                <w:bCs/>
                <w:color w:val="auto"/>
                <w:spacing w:val="0"/>
                <w:highlight w:val="none"/>
                <w:lang w:val="en-GB" w:eastAsia="zh-CN"/>
              </w:rPr>
              <w:t>（</w:t>
            </w:r>
            <w:r>
              <w:rPr>
                <w:rFonts w:hint="default"/>
                <w:b/>
                <w:bCs/>
                <w:color w:val="auto"/>
                <w:spacing w:val="0"/>
                <w:highlight w:val="none"/>
                <w:lang w:val="en-GB"/>
              </w:rPr>
              <w:t>A</w:t>
            </w:r>
            <w:r>
              <w:rPr>
                <w:rFonts w:hint="eastAsia"/>
                <w:b/>
                <w:bCs/>
                <w:color w:val="auto"/>
                <w:spacing w:val="0"/>
                <w:highlight w:val="none"/>
                <w:lang w:val="en-GB" w:eastAsia="zh-CN"/>
              </w:rPr>
              <w:t>）</w:t>
            </w:r>
          </w:p>
          <w:tbl>
            <w:tblPr>
              <w:tblStyle w:val="26"/>
              <w:tblW w:w="4922"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Layout w:type="fixed"/>
              <w:tblCellMar>
                <w:top w:w="0" w:type="dxa"/>
                <w:left w:w="28" w:type="dxa"/>
                <w:bottom w:w="0" w:type="dxa"/>
                <w:right w:w="28" w:type="dxa"/>
              </w:tblCellMar>
            </w:tblPr>
            <w:tblGrid>
              <w:gridCol w:w="616"/>
              <w:gridCol w:w="1524"/>
              <w:gridCol w:w="830"/>
              <w:gridCol w:w="2"/>
              <w:gridCol w:w="830"/>
              <w:gridCol w:w="2"/>
              <w:gridCol w:w="855"/>
              <w:gridCol w:w="1240"/>
              <w:gridCol w:w="1236"/>
              <w:gridCol w:w="1097"/>
            </w:tblGrid>
            <w:tr w14:paraId="7EAB5D93">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28" w:type="dxa"/>
                  <w:bottom w:w="0" w:type="dxa"/>
                  <w:right w:w="28" w:type="dxa"/>
                </w:tblCellMar>
              </w:tblPrEx>
              <w:trPr>
                <w:trHeight w:val="262" w:hRule="atLeast"/>
                <w:jc w:val="center"/>
              </w:trPr>
              <w:tc>
                <w:tcPr>
                  <w:tcW w:w="374" w:type="pct"/>
                  <w:vMerge w:val="restart"/>
                  <w:noWrap w:val="0"/>
                  <w:vAlign w:val="center"/>
                </w:tcPr>
                <w:p w14:paraId="3A852327">
                  <w:pPr>
                    <w:pStyle w:val="8"/>
                    <w:keepNext w:val="0"/>
                    <w:keepLines w:val="0"/>
                    <w:suppressLineNumbers w:val="0"/>
                    <w:bidi w:val="0"/>
                    <w:spacing w:before="0" w:beforeAutospacing="0" w:after="0" w:afterAutospacing="0"/>
                    <w:ind w:left="0" w:right="0"/>
                    <w:jc w:val="center"/>
                    <w:rPr>
                      <w:rFonts w:hint="default"/>
                      <w:b/>
                      <w:bCs/>
                      <w:color w:val="auto"/>
                      <w:spacing w:val="0"/>
                      <w:highlight w:val="none"/>
                    </w:rPr>
                  </w:pPr>
                  <w:r>
                    <w:rPr>
                      <w:rFonts w:hint="default"/>
                      <w:b/>
                      <w:bCs/>
                      <w:color w:val="auto"/>
                      <w:spacing w:val="0"/>
                      <w:highlight w:val="none"/>
                    </w:rPr>
                    <w:t>序号</w:t>
                  </w:r>
                </w:p>
              </w:tc>
              <w:tc>
                <w:tcPr>
                  <w:tcW w:w="925" w:type="pct"/>
                  <w:vMerge w:val="restart"/>
                  <w:noWrap w:val="0"/>
                  <w:vAlign w:val="center"/>
                </w:tcPr>
                <w:p w14:paraId="2488A773">
                  <w:pPr>
                    <w:pStyle w:val="8"/>
                    <w:keepNext w:val="0"/>
                    <w:keepLines w:val="0"/>
                    <w:suppressLineNumbers w:val="0"/>
                    <w:bidi w:val="0"/>
                    <w:spacing w:before="0" w:beforeAutospacing="0" w:after="0" w:afterAutospacing="0"/>
                    <w:ind w:left="0" w:right="0"/>
                    <w:jc w:val="center"/>
                    <w:rPr>
                      <w:rFonts w:hint="default"/>
                      <w:b/>
                      <w:bCs/>
                      <w:color w:val="auto"/>
                      <w:spacing w:val="0"/>
                      <w:highlight w:val="none"/>
                    </w:rPr>
                  </w:pPr>
                  <w:r>
                    <w:rPr>
                      <w:rFonts w:hint="eastAsia"/>
                      <w:b/>
                      <w:bCs/>
                      <w:color w:val="auto"/>
                      <w:spacing w:val="0"/>
                      <w:highlight w:val="none"/>
                      <w:lang w:val="en-US" w:eastAsia="zh-CN"/>
                    </w:rPr>
                    <w:t>声源</w:t>
                  </w:r>
                  <w:r>
                    <w:rPr>
                      <w:rFonts w:hint="default"/>
                      <w:b/>
                      <w:bCs/>
                      <w:color w:val="auto"/>
                      <w:spacing w:val="0"/>
                      <w:highlight w:val="none"/>
                    </w:rPr>
                    <w:t>名称</w:t>
                  </w:r>
                </w:p>
              </w:tc>
              <w:tc>
                <w:tcPr>
                  <w:tcW w:w="1529" w:type="pct"/>
                  <w:gridSpan w:val="5"/>
                  <w:noWrap w:val="0"/>
                  <w:vAlign w:val="center"/>
                </w:tcPr>
                <w:p w14:paraId="59CC4285">
                  <w:pPr>
                    <w:pStyle w:val="8"/>
                    <w:keepNext w:val="0"/>
                    <w:keepLines w:val="0"/>
                    <w:suppressLineNumbers w:val="0"/>
                    <w:bidi w:val="0"/>
                    <w:spacing w:before="0" w:beforeAutospacing="0" w:after="0" w:afterAutospacing="0"/>
                    <w:ind w:left="0" w:right="0"/>
                    <w:jc w:val="center"/>
                    <w:rPr>
                      <w:rFonts w:hint="eastAsia"/>
                      <w:b/>
                      <w:bCs/>
                      <w:color w:val="auto"/>
                      <w:spacing w:val="0"/>
                      <w:highlight w:val="none"/>
                      <w:lang w:val="en-US" w:eastAsia="zh-CN"/>
                    </w:rPr>
                  </w:pPr>
                  <w:r>
                    <w:rPr>
                      <w:rFonts w:hint="eastAsia"/>
                      <w:b/>
                      <w:bCs/>
                      <w:color w:val="auto"/>
                      <w:spacing w:val="0"/>
                      <w:highlight w:val="none"/>
                      <w:lang w:val="en-US" w:eastAsia="zh-CN"/>
                    </w:rPr>
                    <w:t>空间相对位置</w:t>
                  </w:r>
                </w:p>
              </w:tc>
              <w:tc>
                <w:tcPr>
                  <w:tcW w:w="753" w:type="pct"/>
                  <w:vMerge w:val="restart"/>
                  <w:noWrap w:val="0"/>
                  <w:vAlign w:val="center"/>
                </w:tcPr>
                <w:p w14:paraId="5B3A00EF">
                  <w:pPr>
                    <w:pStyle w:val="8"/>
                    <w:keepNext w:val="0"/>
                    <w:keepLines w:val="0"/>
                    <w:suppressLineNumbers w:val="0"/>
                    <w:bidi w:val="0"/>
                    <w:spacing w:before="0" w:beforeAutospacing="0" w:after="0" w:afterAutospacing="0"/>
                    <w:ind w:left="0" w:right="0"/>
                    <w:jc w:val="center"/>
                    <w:rPr>
                      <w:rFonts w:hint="default"/>
                      <w:b/>
                      <w:bCs/>
                      <w:color w:val="auto"/>
                      <w:spacing w:val="0"/>
                      <w:highlight w:val="none"/>
                      <w:lang w:val="en-US" w:eastAsia="zh-CN"/>
                    </w:rPr>
                  </w:pPr>
                  <w:r>
                    <w:rPr>
                      <w:rFonts w:hint="eastAsia"/>
                      <w:b/>
                      <w:bCs/>
                      <w:color w:val="auto"/>
                      <w:spacing w:val="0"/>
                      <w:highlight w:val="none"/>
                      <w:lang w:val="en-US" w:eastAsia="zh-CN"/>
                    </w:rPr>
                    <w:t>声源源强</w:t>
                  </w:r>
                </w:p>
              </w:tc>
              <w:tc>
                <w:tcPr>
                  <w:tcW w:w="750" w:type="pct"/>
                  <w:vMerge w:val="restart"/>
                  <w:noWrap w:val="0"/>
                  <w:vAlign w:val="center"/>
                </w:tcPr>
                <w:p w14:paraId="7DEC1A38">
                  <w:pPr>
                    <w:pStyle w:val="8"/>
                    <w:keepNext w:val="0"/>
                    <w:keepLines w:val="0"/>
                    <w:suppressLineNumbers w:val="0"/>
                    <w:bidi w:val="0"/>
                    <w:spacing w:before="0" w:beforeAutospacing="0" w:after="0" w:afterAutospacing="0"/>
                    <w:ind w:left="0" w:right="0"/>
                    <w:jc w:val="center"/>
                    <w:rPr>
                      <w:rFonts w:hint="default"/>
                      <w:b/>
                      <w:bCs/>
                      <w:color w:val="auto"/>
                      <w:spacing w:val="0"/>
                      <w:highlight w:val="none"/>
                      <w:lang w:val="en-US" w:eastAsia="zh-CN"/>
                    </w:rPr>
                  </w:pPr>
                  <w:r>
                    <w:rPr>
                      <w:rFonts w:hint="eastAsia"/>
                      <w:b/>
                      <w:bCs/>
                      <w:color w:val="auto"/>
                      <w:spacing w:val="0"/>
                      <w:highlight w:val="none"/>
                      <w:lang w:val="en-US" w:eastAsia="zh-CN"/>
                    </w:rPr>
                    <w:t>声源控制措施</w:t>
                  </w:r>
                </w:p>
              </w:tc>
              <w:tc>
                <w:tcPr>
                  <w:tcW w:w="666" w:type="pct"/>
                  <w:vMerge w:val="restart"/>
                  <w:noWrap w:val="0"/>
                  <w:vAlign w:val="center"/>
                </w:tcPr>
                <w:p w14:paraId="0B30A211">
                  <w:pPr>
                    <w:pStyle w:val="8"/>
                    <w:keepNext w:val="0"/>
                    <w:keepLines w:val="0"/>
                    <w:suppressLineNumbers w:val="0"/>
                    <w:bidi w:val="0"/>
                    <w:spacing w:before="0" w:beforeAutospacing="0" w:after="0" w:afterAutospacing="0"/>
                    <w:ind w:left="0" w:right="0"/>
                    <w:jc w:val="center"/>
                    <w:rPr>
                      <w:rFonts w:hint="default"/>
                      <w:b/>
                      <w:bCs/>
                      <w:color w:val="auto"/>
                      <w:spacing w:val="0"/>
                      <w:highlight w:val="none"/>
                      <w:lang w:val="en-US" w:eastAsia="zh-CN"/>
                    </w:rPr>
                  </w:pPr>
                  <w:r>
                    <w:rPr>
                      <w:rFonts w:hint="eastAsia"/>
                      <w:b/>
                      <w:bCs/>
                      <w:color w:val="auto"/>
                      <w:spacing w:val="0"/>
                      <w:highlight w:val="none"/>
                      <w:lang w:val="en-US" w:eastAsia="zh-CN"/>
                    </w:rPr>
                    <w:t>运行时段</w:t>
                  </w:r>
                </w:p>
              </w:tc>
            </w:tr>
            <w:tr w14:paraId="6041DAD2">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28" w:type="dxa"/>
                  <w:bottom w:w="0" w:type="dxa"/>
                  <w:right w:w="28" w:type="dxa"/>
                </w:tblCellMar>
              </w:tblPrEx>
              <w:trPr>
                <w:trHeight w:val="222" w:hRule="atLeast"/>
                <w:jc w:val="center"/>
              </w:trPr>
              <w:tc>
                <w:tcPr>
                  <w:tcW w:w="374" w:type="pct"/>
                  <w:vMerge w:val="continue"/>
                  <w:tcBorders>
                    <w:bottom w:val="single" w:color="000000" w:sz="12" w:space="0"/>
                  </w:tcBorders>
                  <w:noWrap w:val="0"/>
                  <w:vAlign w:val="center"/>
                </w:tcPr>
                <w:p w14:paraId="587A7C89">
                  <w:pPr>
                    <w:pStyle w:val="8"/>
                    <w:keepNext w:val="0"/>
                    <w:keepLines w:val="0"/>
                    <w:suppressLineNumbers w:val="0"/>
                    <w:bidi w:val="0"/>
                    <w:spacing w:before="0" w:beforeAutospacing="0" w:after="0" w:afterAutospacing="0"/>
                    <w:ind w:left="0" w:right="0"/>
                    <w:jc w:val="center"/>
                    <w:rPr>
                      <w:rFonts w:hint="default"/>
                      <w:color w:val="auto"/>
                      <w:spacing w:val="0"/>
                      <w:highlight w:val="none"/>
                    </w:rPr>
                  </w:pPr>
                </w:p>
              </w:tc>
              <w:tc>
                <w:tcPr>
                  <w:tcW w:w="925" w:type="pct"/>
                  <w:vMerge w:val="continue"/>
                  <w:tcBorders>
                    <w:bottom w:val="single" w:color="000000" w:sz="12" w:space="0"/>
                  </w:tcBorders>
                  <w:noWrap w:val="0"/>
                  <w:vAlign w:val="center"/>
                </w:tcPr>
                <w:p w14:paraId="1745FFF6">
                  <w:pPr>
                    <w:pStyle w:val="8"/>
                    <w:keepNext w:val="0"/>
                    <w:keepLines w:val="0"/>
                    <w:suppressLineNumbers w:val="0"/>
                    <w:bidi w:val="0"/>
                    <w:spacing w:before="0" w:beforeAutospacing="0" w:after="0" w:afterAutospacing="0"/>
                    <w:ind w:left="0" w:right="0"/>
                    <w:jc w:val="center"/>
                    <w:rPr>
                      <w:rFonts w:hint="default"/>
                      <w:color w:val="auto"/>
                      <w:spacing w:val="0"/>
                      <w:highlight w:val="none"/>
                    </w:rPr>
                  </w:pPr>
                </w:p>
              </w:tc>
              <w:tc>
                <w:tcPr>
                  <w:tcW w:w="505" w:type="pct"/>
                  <w:gridSpan w:val="2"/>
                  <w:tcBorders>
                    <w:bottom w:val="single" w:color="000000" w:sz="12" w:space="0"/>
                  </w:tcBorders>
                  <w:noWrap w:val="0"/>
                  <w:vAlign w:val="center"/>
                </w:tcPr>
                <w:p w14:paraId="7E4464B7">
                  <w:pPr>
                    <w:pStyle w:val="8"/>
                    <w:keepNext w:val="0"/>
                    <w:keepLines w:val="0"/>
                    <w:suppressLineNumbers w:val="0"/>
                    <w:bidi w:val="0"/>
                    <w:spacing w:before="0" w:beforeAutospacing="0" w:after="0" w:afterAutospacing="0"/>
                    <w:ind w:left="0" w:right="0"/>
                    <w:jc w:val="center"/>
                    <w:rPr>
                      <w:rFonts w:hint="eastAsia" w:eastAsia="宋体"/>
                      <w:b/>
                      <w:bCs/>
                      <w:color w:val="auto"/>
                      <w:spacing w:val="0"/>
                      <w:highlight w:val="none"/>
                      <w:lang w:val="en-US" w:eastAsia="zh-CN"/>
                    </w:rPr>
                  </w:pPr>
                  <w:r>
                    <w:rPr>
                      <w:rFonts w:hint="eastAsia"/>
                      <w:b/>
                      <w:bCs/>
                      <w:color w:val="auto"/>
                      <w:spacing w:val="0"/>
                      <w:highlight w:val="none"/>
                      <w:lang w:val="en-US" w:eastAsia="zh-CN"/>
                    </w:rPr>
                    <w:t>X</w:t>
                  </w:r>
                </w:p>
              </w:tc>
              <w:tc>
                <w:tcPr>
                  <w:tcW w:w="505" w:type="pct"/>
                  <w:gridSpan w:val="2"/>
                  <w:tcBorders>
                    <w:bottom w:val="single" w:color="000000" w:sz="12" w:space="0"/>
                  </w:tcBorders>
                  <w:noWrap w:val="0"/>
                  <w:vAlign w:val="center"/>
                </w:tcPr>
                <w:p w14:paraId="78500C4F">
                  <w:pPr>
                    <w:pStyle w:val="8"/>
                    <w:keepNext w:val="0"/>
                    <w:keepLines w:val="0"/>
                    <w:suppressLineNumbers w:val="0"/>
                    <w:bidi w:val="0"/>
                    <w:spacing w:before="0" w:beforeAutospacing="0" w:after="0" w:afterAutospacing="0"/>
                    <w:ind w:left="0" w:right="0"/>
                    <w:jc w:val="center"/>
                    <w:rPr>
                      <w:rFonts w:hint="eastAsia" w:eastAsia="宋体"/>
                      <w:b/>
                      <w:bCs/>
                      <w:color w:val="auto"/>
                      <w:spacing w:val="0"/>
                      <w:highlight w:val="none"/>
                      <w:lang w:val="en-US" w:eastAsia="zh-CN"/>
                    </w:rPr>
                  </w:pPr>
                  <w:r>
                    <w:rPr>
                      <w:rFonts w:hint="eastAsia"/>
                      <w:b/>
                      <w:bCs/>
                      <w:color w:val="auto"/>
                      <w:spacing w:val="0"/>
                      <w:highlight w:val="none"/>
                      <w:lang w:val="en-US" w:eastAsia="zh-CN"/>
                    </w:rPr>
                    <w:t>Y</w:t>
                  </w:r>
                </w:p>
              </w:tc>
              <w:tc>
                <w:tcPr>
                  <w:tcW w:w="517" w:type="pct"/>
                  <w:tcBorders>
                    <w:bottom w:val="single" w:color="000000" w:sz="12" w:space="0"/>
                  </w:tcBorders>
                  <w:noWrap w:val="0"/>
                  <w:vAlign w:val="center"/>
                </w:tcPr>
                <w:p w14:paraId="078220CD">
                  <w:pPr>
                    <w:pStyle w:val="8"/>
                    <w:keepNext w:val="0"/>
                    <w:keepLines w:val="0"/>
                    <w:suppressLineNumbers w:val="0"/>
                    <w:bidi w:val="0"/>
                    <w:spacing w:before="0" w:beforeAutospacing="0" w:after="0" w:afterAutospacing="0"/>
                    <w:ind w:left="0" w:right="0"/>
                    <w:jc w:val="center"/>
                    <w:rPr>
                      <w:rFonts w:hint="eastAsia" w:eastAsia="宋体"/>
                      <w:b/>
                      <w:bCs/>
                      <w:color w:val="auto"/>
                      <w:spacing w:val="0"/>
                      <w:highlight w:val="none"/>
                      <w:lang w:val="en-US" w:eastAsia="zh-CN"/>
                    </w:rPr>
                  </w:pPr>
                  <w:r>
                    <w:rPr>
                      <w:rFonts w:hint="eastAsia"/>
                      <w:b/>
                      <w:bCs/>
                      <w:color w:val="auto"/>
                      <w:spacing w:val="0"/>
                      <w:highlight w:val="none"/>
                      <w:lang w:val="en-US" w:eastAsia="zh-CN"/>
                    </w:rPr>
                    <w:t>Z</w:t>
                  </w:r>
                </w:p>
              </w:tc>
              <w:tc>
                <w:tcPr>
                  <w:tcW w:w="753" w:type="pct"/>
                  <w:vMerge w:val="continue"/>
                  <w:tcBorders>
                    <w:bottom w:val="single" w:color="000000" w:sz="12" w:space="0"/>
                  </w:tcBorders>
                  <w:noWrap w:val="0"/>
                  <w:vAlign w:val="center"/>
                </w:tcPr>
                <w:p w14:paraId="18D24455">
                  <w:pPr>
                    <w:pStyle w:val="8"/>
                    <w:keepNext w:val="0"/>
                    <w:keepLines w:val="0"/>
                    <w:suppressLineNumbers w:val="0"/>
                    <w:bidi w:val="0"/>
                    <w:spacing w:before="0" w:beforeAutospacing="0" w:after="0" w:afterAutospacing="0"/>
                    <w:ind w:left="0" w:right="0"/>
                    <w:jc w:val="center"/>
                    <w:rPr>
                      <w:rFonts w:hint="default"/>
                      <w:color w:val="auto"/>
                      <w:spacing w:val="0"/>
                      <w:highlight w:val="none"/>
                    </w:rPr>
                  </w:pPr>
                </w:p>
              </w:tc>
              <w:tc>
                <w:tcPr>
                  <w:tcW w:w="750" w:type="pct"/>
                  <w:vMerge w:val="continue"/>
                  <w:tcBorders>
                    <w:bottom w:val="single" w:color="000000" w:sz="12" w:space="0"/>
                  </w:tcBorders>
                  <w:noWrap w:val="0"/>
                  <w:vAlign w:val="center"/>
                </w:tcPr>
                <w:p w14:paraId="1F345224">
                  <w:pPr>
                    <w:pStyle w:val="8"/>
                    <w:keepNext w:val="0"/>
                    <w:keepLines w:val="0"/>
                    <w:suppressLineNumbers w:val="0"/>
                    <w:bidi w:val="0"/>
                    <w:spacing w:before="0" w:beforeAutospacing="0" w:after="0" w:afterAutospacing="0"/>
                    <w:ind w:left="0" w:right="0"/>
                    <w:jc w:val="center"/>
                    <w:rPr>
                      <w:rFonts w:hint="default"/>
                      <w:color w:val="auto"/>
                      <w:spacing w:val="0"/>
                      <w:highlight w:val="none"/>
                    </w:rPr>
                  </w:pPr>
                </w:p>
              </w:tc>
              <w:tc>
                <w:tcPr>
                  <w:tcW w:w="666" w:type="pct"/>
                  <w:vMerge w:val="continue"/>
                  <w:tcBorders>
                    <w:bottom w:val="single" w:color="000000" w:sz="12" w:space="0"/>
                  </w:tcBorders>
                  <w:noWrap w:val="0"/>
                  <w:vAlign w:val="center"/>
                </w:tcPr>
                <w:p w14:paraId="050BA7DE">
                  <w:pPr>
                    <w:pStyle w:val="8"/>
                    <w:keepNext w:val="0"/>
                    <w:keepLines w:val="0"/>
                    <w:suppressLineNumbers w:val="0"/>
                    <w:bidi w:val="0"/>
                    <w:spacing w:before="0" w:beforeAutospacing="0" w:after="0" w:afterAutospacing="0"/>
                    <w:ind w:left="0" w:right="0"/>
                    <w:jc w:val="center"/>
                    <w:rPr>
                      <w:rFonts w:hint="default"/>
                      <w:color w:val="auto"/>
                      <w:spacing w:val="0"/>
                      <w:highlight w:val="none"/>
                    </w:rPr>
                  </w:pPr>
                </w:p>
              </w:tc>
            </w:tr>
            <w:tr w14:paraId="47A18979">
              <w:tblPrEx>
                <w:tblBorders>
                  <w:top w:val="single" w:color="000000" w:sz="12" w:space="0"/>
                  <w:left w:val="none" w:color="auto" w:sz="0" w:space="0"/>
                  <w:bottom w:val="single" w:color="000000" w:sz="12" w:space="0"/>
                  <w:right w:val="none" w:color="auto" w:sz="0" w:space="0"/>
                  <w:insideH w:val="single" w:color="000000" w:sz="4" w:space="0"/>
                  <w:insideV w:val="single" w:color="000000" w:sz="2" w:space="0"/>
                </w:tblBorders>
                <w:tblCellMar>
                  <w:top w:w="0" w:type="dxa"/>
                  <w:left w:w="28" w:type="dxa"/>
                  <w:bottom w:w="0" w:type="dxa"/>
                  <w:right w:w="28" w:type="dxa"/>
                </w:tblCellMar>
              </w:tblPrEx>
              <w:trPr>
                <w:trHeight w:val="262" w:hRule="atLeast"/>
                <w:jc w:val="center"/>
              </w:trPr>
              <w:tc>
                <w:tcPr>
                  <w:tcW w:w="374" w:type="pct"/>
                  <w:tcBorders>
                    <w:top w:val="single" w:color="000000" w:sz="12" w:space="0"/>
                    <w:bottom w:val="single" w:color="000000" w:sz="12" w:space="0"/>
                    <w:tl2br w:val="nil"/>
                    <w:tr2bl w:val="nil"/>
                  </w:tcBorders>
                  <w:noWrap w:val="0"/>
                  <w:vAlign w:val="center"/>
                </w:tcPr>
                <w:p w14:paraId="0492A50C">
                  <w:pPr>
                    <w:pStyle w:val="8"/>
                    <w:keepNext w:val="0"/>
                    <w:keepLines w:val="0"/>
                    <w:suppressLineNumbers w:val="0"/>
                    <w:bidi w:val="0"/>
                    <w:spacing w:before="0" w:beforeAutospacing="0" w:after="0" w:afterAutospacing="0"/>
                    <w:ind w:left="0" w:right="0"/>
                    <w:jc w:val="center"/>
                    <w:rPr>
                      <w:rFonts w:hint="default" w:ascii="Times New Roman" w:hAnsi="Times New Roman" w:eastAsia="宋体" w:cs="Times New Roman"/>
                      <w:color w:val="auto"/>
                      <w:spacing w:val="0"/>
                      <w:highlight w:val="none"/>
                      <w:lang w:val="en-US" w:eastAsia="zh-CN"/>
                    </w:rPr>
                  </w:pPr>
                  <w:r>
                    <w:rPr>
                      <w:rFonts w:hint="default" w:ascii="Times New Roman" w:hAnsi="Times New Roman" w:eastAsia="宋体" w:cs="Times New Roman"/>
                      <w:color w:val="auto"/>
                      <w:spacing w:val="0"/>
                      <w:highlight w:val="none"/>
                      <w:lang w:val="en-US" w:eastAsia="zh-CN"/>
                    </w:rPr>
                    <w:t>1</w:t>
                  </w:r>
                </w:p>
              </w:tc>
              <w:tc>
                <w:tcPr>
                  <w:tcW w:w="925" w:type="pct"/>
                  <w:tcBorders>
                    <w:top w:val="single" w:color="000000" w:sz="12" w:space="0"/>
                    <w:bottom w:val="single" w:color="000000" w:sz="12" w:space="0"/>
                    <w:tl2br w:val="nil"/>
                    <w:tr2bl w:val="nil"/>
                  </w:tcBorders>
                  <w:noWrap w:val="0"/>
                  <w:vAlign w:val="center"/>
                </w:tcPr>
                <w:p w14:paraId="5F67256D">
                  <w:pPr>
                    <w:pStyle w:val="8"/>
                    <w:keepNext w:val="0"/>
                    <w:keepLines w:val="0"/>
                    <w:suppressLineNumbers w:val="0"/>
                    <w:bidi w:val="0"/>
                    <w:spacing w:before="0" w:beforeAutospacing="0" w:after="0" w:afterAutospacing="0"/>
                    <w:ind w:left="0" w:right="0"/>
                    <w:jc w:val="center"/>
                    <w:rPr>
                      <w:rFonts w:hint="default" w:ascii="Times New Roman" w:hAnsi="Times New Roman" w:eastAsia="宋体" w:cs="Times New Roman"/>
                      <w:color w:val="auto"/>
                      <w:spacing w:val="0"/>
                      <w:highlight w:val="none"/>
                      <w:lang w:val="en-US" w:eastAsia="zh-CN"/>
                    </w:rPr>
                  </w:pPr>
                  <w:r>
                    <w:rPr>
                      <w:rFonts w:hint="eastAsia" w:ascii="Times New Roman" w:hAnsi="Times New Roman" w:eastAsia="宋体" w:cs="Times New Roman"/>
                      <w:color w:val="auto"/>
                      <w:spacing w:val="0"/>
                      <w:highlight w:val="none"/>
                      <w:lang w:val="en-US" w:eastAsia="zh-CN"/>
                    </w:rPr>
                    <w:t>风机</w:t>
                  </w:r>
                </w:p>
              </w:tc>
              <w:tc>
                <w:tcPr>
                  <w:tcW w:w="504" w:type="pct"/>
                  <w:tcBorders>
                    <w:top w:val="single" w:color="000000" w:sz="12" w:space="0"/>
                    <w:bottom w:val="single" w:color="000000" w:sz="12" w:space="0"/>
                    <w:tl2br w:val="nil"/>
                    <w:tr2bl w:val="nil"/>
                  </w:tcBorders>
                  <w:noWrap w:val="0"/>
                  <w:vAlign w:val="center"/>
                </w:tcPr>
                <w:p w14:paraId="3F6BD48D">
                  <w:pPr>
                    <w:pStyle w:val="8"/>
                    <w:keepNext w:val="0"/>
                    <w:keepLines w:val="0"/>
                    <w:suppressLineNumbers w:val="0"/>
                    <w:bidi w:val="0"/>
                    <w:spacing w:before="0" w:beforeAutospacing="0" w:after="0" w:afterAutospacing="0"/>
                    <w:ind w:left="0" w:right="0"/>
                    <w:jc w:val="center"/>
                    <w:rPr>
                      <w:rFonts w:hint="default" w:ascii="Times New Roman" w:hAnsi="Times New Roman" w:eastAsia="宋体" w:cs="Times New Roman"/>
                      <w:color w:val="auto"/>
                      <w:spacing w:val="0"/>
                      <w:highlight w:val="none"/>
                      <w:lang w:val="en-US" w:eastAsia="zh-CN"/>
                    </w:rPr>
                  </w:pPr>
                  <w:r>
                    <w:rPr>
                      <w:rFonts w:hint="eastAsia" w:cs="Times New Roman"/>
                      <w:color w:val="auto"/>
                      <w:spacing w:val="0"/>
                      <w:highlight w:val="none"/>
                      <w:lang w:val="en-US" w:eastAsia="zh-CN"/>
                    </w:rPr>
                    <w:t>50</w:t>
                  </w:r>
                </w:p>
              </w:tc>
              <w:tc>
                <w:tcPr>
                  <w:tcW w:w="505" w:type="pct"/>
                  <w:gridSpan w:val="2"/>
                  <w:tcBorders>
                    <w:top w:val="single" w:color="000000" w:sz="12" w:space="0"/>
                    <w:bottom w:val="single" w:color="000000" w:sz="12" w:space="0"/>
                    <w:tl2br w:val="nil"/>
                    <w:tr2bl w:val="nil"/>
                  </w:tcBorders>
                  <w:noWrap w:val="0"/>
                  <w:vAlign w:val="center"/>
                </w:tcPr>
                <w:p w14:paraId="6CCA23D0">
                  <w:pPr>
                    <w:pStyle w:val="8"/>
                    <w:keepNext w:val="0"/>
                    <w:keepLines w:val="0"/>
                    <w:suppressLineNumbers w:val="0"/>
                    <w:bidi w:val="0"/>
                    <w:spacing w:before="0" w:beforeAutospacing="0" w:after="0" w:afterAutospacing="0"/>
                    <w:ind w:left="0" w:right="0"/>
                    <w:jc w:val="center"/>
                    <w:rPr>
                      <w:rFonts w:hint="default" w:ascii="Times New Roman" w:hAnsi="Times New Roman" w:eastAsia="宋体" w:cs="Times New Roman"/>
                      <w:color w:val="auto"/>
                      <w:spacing w:val="0"/>
                      <w:highlight w:val="none"/>
                      <w:lang w:val="en-US" w:eastAsia="zh-CN"/>
                    </w:rPr>
                  </w:pPr>
                  <w:r>
                    <w:rPr>
                      <w:rFonts w:hint="eastAsia" w:cs="Times New Roman"/>
                      <w:color w:val="auto"/>
                      <w:spacing w:val="0"/>
                      <w:highlight w:val="none"/>
                      <w:lang w:val="en-US" w:eastAsia="zh-CN"/>
                    </w:rPr>
                    <w:t>55</w:t>
                  </w:r>
                </w:p>
              </w:tc>
              <w:tc>
                <w:tcPr>
                  <w:tcW w:w="519" w:type="pct"/>
                  <w:gridSpan w:val="2"/>
                  <w:tcBorders>
                    <w:top w:val="single" w:color="000000" w:sz="12" w:space="0"/>
                    <w:bottom w:val="single" w:color="000000" w:sz="12" w:space="0"/>
                    <w:tl2br w:val="nil"/>
                    <w:tr2bl w:val="nil"/>
                  </w:tcBorders>
                  <w:noWrap w:val="0"/>
                  <w:vAlign w:val="center"/>
                </w:tcPr>
                <w:p w14:paraId="6B5B589D">
                  <w:pPr>
                    <w:pStyle w:val="8"/>
                    <w:keepNext w:val="0"/>
                    <w:keepLines w:val="0"/>
                    <w:suppressLineNumbers w:val="0"/>
                    <w:bidi w:val="0"/>
                    <w:spacing w:before="0" w:beforeAutospacing="0" w:after="0" w:afterAutospacing="0"/>
                    <w:ind w:left="0" w:right="0"/>
                    <w:jc w:val="center"/>
                    <w:rPr>
                      <w:rFonts w:hint="default" w:ascii="Times New Roman" w:hAnsi="Times New Roman" w:eastAsia="宋体" w:cs="Times New Roman"/>
                      <w:color w:val="auto"/>
                      <w:spacing w:val="0"/>
                      <w:highlight w:val="none"/>
                      <w:lang w:val="en-US" w:eastAsia="zh-CN"/>
                    </w:rPr>
                  </w:pPr>
                  <w:r>
                    <w:rPr>
                      <w:rFonts w:hint="eastAsia" w:ascii="Times New Roman" w:hAnsi="Times New Roman" w:eastAsia="宋体" w:cs="Times New Roman"/>
                      <w:color w:val="auto"/>
                      <w:spacing w:val="0"/>
                      <w:highlight w:val="none"/>
                      <w:lang w:val="en-US" w:eastAsia="zh-CN"/>
                    </w:rPr>
                    <w:t>2</w:t>
                  </w:r>
                </w:p>
              </w:tc>
              <w:tc>
                <w:tcPr>
                  <w:tcW w:w="753" w:type="pct"/>
                  <w:tcBorders>
                    <w:top w:val="single" w:color="000000" w:sz="12" w:space="0"/>
                    <w:bottom w:val="single" w:color="000000" w:sz="12" w:space="0"/>
                    <w:tl2br w:val="nil"/>
                    <w:tr2bl w:val="nil"/>
                  </w:tcBorders>
                  <w:noWrap w:val="0"/>
                  <w:vAlign w:val="center"/>
                </w:tcPr>
                <w:p w14:paraId="06C82808">
                  <w:pPr>
                    <w:pStyle w:val="8"/>
                    <w:keepNext w:val="0"/>
                    <w:keepLines w:val="0"/>
                    <w:suppressLineNumbers w:val="0"/>
                    <w:bidi w:val="0"/>
                    <w:spacing w:before="0" w:beforeAutospacing="0" w:after="0" w:afterAutospacing="0"/>
                    <w:ind w:left="0" w:right="0"/>
                    <w:jc w:val="center"/>
                    <w:rPr>
                      <w:rFonts w:hint="eastAsia" w:ascii="Times New Roman" w:hAnsi="Times New Roman" w:eastAsia="宋体" w:cs="Times New Roman"/>
                      <w:color w:val="auto"/>
                      <w:spacing w:val="0"/>
                      <w:highlight w:val="none"/>
                      <w:lang w:val="en-US" w:eastAsia="zh-CN"/>
                    </w:rPr>
                  </w:pPr>
                  <w:r>
                    <w:rPr>
                      <w:rFonts w:hint="eastAsia" w:ascii="Times New Roman" w:hAnsi="Times New Roman" w:eastAsia="宋体" w:cs="Times New Roman"/>
                      <w:color w:val="auto"/>
                      <w:spacing w:val="0"/>
                      <w:highlight w:val="none"/>
                      <w:lang w:val="en-US" w:eastAsia="zh-CN"/>
                    </w:rPr>
                    <w:t>80</w:t>
                  </w:r>
                </w:p>
              </w:tc>
              <w:tc>
                <w:tcPr>
                  <w:tcW w:w="750" w:type="pct"/>
                  <w:tcBorders>
                    <w:top w:val="single" w:color="000000" w:sz="12" w:space="0"/>
                    <w:bottom w:val="single" w:color="000000" w:sz="12" w:space="0"/>
                    <w:tl2br w:val="nil"/>
                    <w:tr2bl w:val="nil"/>
                  </w:tcBorders>
                  <w:noWrap w:val="0"/>
                  <w:vAlign w:val="center"/>
                </w:tcPr>
                <w:p w14:paraId="35388EA5">
                  <w:pPr>
                    <w:pStyle w:val="8"/>
                    <w:keepNext w:val="0"/>
                    <w:keepLines w:val="0"/>
                    <w:suppressLineNumbers w:val="0"/>
                    <w:bidi w:val="0"/>
                    <w:spacing w:before="0" w:beforeAutospacing="0" w:after="0" w:afterAutospacing="0"/>
                    <w:ind w:left="0" w:right="0"/>
                    <w:jc w:val="center"/>
                    <w:rPr>
                      <w:rFonts w:hint="eastAsia" w:cs="Times New Roman"/>
                      <w:color w:val="auto"/>
                      <w:spacing w:val="0"/>
                      <w:highlight w:val="none"/>
                      <w:lang w:val="en-US" w:eastAsia="zh-CN"/>
                    </w:rPr>
                  </w:pPr>
                  <w:r>
                    <w:rPr>
                      <w:rFonts w:hint="eastAsia" w:cs="Times New Roman"/>
                      <w:color w:val="auto"/>
                      <w:spacing w:val="0"/>
                      <w:highlight w:val="none"/>
                      <w:lang w:val="en-US" w:eastAsia="zh-CN"/>
                    </w:rPr>
                    <w:t>减振、隔声、距离衰减</w:t>
                  </w:r>
                </w:p>
              </w:tc>
              <w:tc>
                <w:tcPr>
                  <w:tcW w:w="666" w:type="pct"/>
                  <w:tcBorders>
                    <w:top w:val="single" w:color="000000" w:sz="12" w:space="0"/>
                    <w:bottom w:val="single" w:color="000000" w:sz="12" w:space="0"/>
                    <w:tl2br w:val="nil"/>
                    <w:tr2bl w:val="nil"/>
                  </w:tcBorders>
                  <w:noWrap w:val="0"/>
                  <w:vAlign w:val="center"/>
                </w:tcPr>
                <w:p w14:paraId="728735A8">
                  <w:pPr>
                    <w:pStyle w:val="8"/>
                    <w:keepNext w:val="0"/>
                    <w:keepLines w:val="0"/>
                    <w:suppressLineNumbers w:val="0"/>
                    <w:bidi w:val="0"/>
                    <w:spacing w:before="0" w:beforeAutospacing="0" w:after="0" w:afterAutospacing="0"/>
                    <w:ind w:left="0" w:right="0"/>
                    <w:jc w:val="center"/>
                    <w:rPr>
                      <w:rFonts w:hint="default" w:ascii="Times New Roman" w:hAnsi="Times New Roman" w:eastAsia="宋体" w:cs="Times New Roman"/>
                      <w:color w:val="auto"/>
                      <w:spacing w:val="0"/>
                      <w:highlight w:val="none"/>
                      <w:lang w:val="en-US" w:eastAsia="zh-CN"/>
                    </w:rPr>
                  </w:pPr>
                  <w:r>
                    <w:rPr>
                      <w:rFonts w:hint="eastAsia" w:cs="Times New Roman"/>
                      <w:color w:val="auto"/>
                      <w:spacing w:val="0"/>
                      <w:highlight w:val="none"/>
                      <w:lang w:val="en-US" w:eastAsia="zh-CN"/>
                    </w:rPr>
                    <w:t>2班共16h</w:t>
                  </w:r>
                </w:p>
              </w:tc>
            </w:tr>
          </w:tbl>
          <w:p w14:paraId="676DD2BD">
            <w:pPr>
              <w:keepNext w:val="0"/>
              <w:keepLines w:val="0"/>
              <w:suppressLineNumbers w:val="0"/>
              <w:spacing w:before="0" w:beforeAutospacing="0" w:after="0" w:afterAutospacing="0" w:line="360" w:lineRule="auto"/>
              <w:ind w:left="0" w:right="0" w:firstLine="480" w:firstLineChars="200"/>
              <w:rPr>
                <w:rFonts w:hint="default"/>
                <w:color w:val="auto"/>
                <w:sz w:val="24"/>
                <w:highlight w:val="none"/>
              </w:rPr>
            </w:pPr>
            <w:r>
              <w:rPr>
                <w:rFonts w:hint="eastAsia"/>
                <w:color w:val="auto"/>
                <w:sz w:val="24"/>
                <w:highlight w:val="none"/>
              </w:rPr>
              <w:t>（2）</w:t>
            </w:r>
            <w:r>
              <w:rPr>
                <w:rFonts w:hint="default"/>
                <w:color w:val="auto"/>
                <w:sz w:val="24"/>
                <w:highlight w:val="none"/>
              </w:rPr>
              <w:t>噪声排放达标分析</w:t>
            </w:r>
          </w:p>
          <w:p w14:paraId="750258A9">
            <w:pPr>
              <w:keepNext w:val="0"/>
              <w:keepLines w:val="0"/>
              <w:suppressLineNumbers w:val="0"/>
              <w:bidi w:val="0"/>
              <w:spacing w:before="0" w:beforeAutospacing="0" w:after="0" w:afterAutospacing="0" w:line="360" w:lineRule="auto"/>
              <w:ind w:left="0" w:right="0" w:firstLine="480" w:firstLineChars="200"/>
              <w:rPr>
                <w:rFonts w:hint="default" w:ascii="Times New Roman" w:hAnsi="Times New Roman" w:cs="Times New Roman"/>
                <w:color w:val="auto"/>
                <w:sz w:val="24"/>
                <w:highlight w:val="none"/>
              </w:rPr>
            </w:pPr>
            <w:r>
              <w:rPr>
                <w:rFonts w:hint="eastAsia"/>
                <w:color w:val="auto"/>
                <w:sz w:val="24"/>
                <w:highlight w:val="none"/>
                <w:lang w:eastAsia="zh-CN"/>
              </w:rPr>
              <w:t>厂</w:t>
            </w:r>
            <w:r>
              <w:rPr>
                <w:rFonts w:hint="default"/>
                <w:color w:val="auto"/>
                <w:sz w:val="24"/>
                <w:highlight w:val="none"/>
              </w:rPr>
              <w:t>界50m范围内无声环境保护目标</w:t>
            </w:r>
            <w:r>
              <w:rPr>
                <w:rFonts w:hint="eastAsia"/>
                <w:color w:val="auto"/>
                <w:sz w:val="24"/>
                <w:highlight w:val="none"/>
              </w:rPr>
              <w:t>，项目的噪声源主要为室内的固定声源。</w:t>
            </w:r>
            <w:r>
              <w:rPr>
                <w:rFonts w:hint="default" w:ascii="Times New Roman" w:hAnsi="Times New Roman" w:cs="Times New Roman"/>
                <w:color w:val="auto"/>
                <w:sz w:val="24"/>
                <w:highlight w:val="none"/>
              </w:rPr>
              <w:t>根据《环境影响评价技术导则 声环境》（HJ2.4-20</w:t>
            </w:r>
            <w:r>
              <w:rPr>
                <w:rFonts w:hint="eastAsia" w:ascii="Times New Roman" w:hAnsi="Times New Roman" w:cs="Times New Roman"/>
                <w:color w:val="auto"/>
                <w:sz w:val="24"/>
                <w:highlight w:val="none"/>
                <w:lang w:val="en-US" w:eastAsia="zh-CN"/>
              </w:rPr>
              <w:t>21</w:t>
            </w:r>
            <w:r>
              <w:rPr>
                <w:rFonts w:hint="default" w:ascii="Times New Roman" w:hAnsi="Times New Roman" w:cs="Times New Roman"/>
                <w:color w:val="auto"/>
                <w:sz w:val="24"/>
                <w:highlight w:val="none"/>
              </w:rPr>
              <w:t>）的有关规定，采用点声源等距离噪声衰减预测模式，预测项目</w:t>
            </w:r>
            <w:r>
              <w:rPr>
                <w:rFonts w:hint="eastAsia" w:ascii="Times New Roman" w:hAnsi="Times New Roman" w:cs="Times New Roman"/>
                <w:color w:val="auto"/>
                <w:sz w:val="24"/>
                <w:highlight w:val="none"/>
                <w:lang w:eastAsia="zh-CN"/>
              </w:rPr>
              <w:t>运营期</w:t>
            </w:r>
            <w:r>
              <w:rPr>
                <w:rFonts w:hint="default" w:ascii="Times New Roman" w:hAnsi="Times New Roman" w:cs="Times New Roman"/>
                <w:color w:val="auto"/>
                <w:sz w:val="24"/>
                <w:highlight w:val="none"/>
              </w:rPr>
              <w:t>厂界噪声</w:t>
            </w:r>
            <w:r>
              <w:rPr>
                <w:rFonts w:hint="eastAsia" w:ascii="Times New Roman" w:hAnsi="Times New Roman" w:cs="Times New Roman"/>
                <w:color w:val="auto"/>
                <w:sz w:val="24"/>
                <w:highlight w:val="none"/>
                <w:lang w:eastAsia="zh-CN"/>
              </w:rPr>
              <w:t>贡献值，评价其超标和达标情况</w:t>
            </w:r>
            <w:r>
              <w:rPr>
                <w:rFonts w:hint="default" w:ascii="Times New Roman" w:hAnsi="Times New Roman" w:cs="Times New Roman"/>
                <w:color w:val="auto"/>
                <w:sz w:val="24"/>
                <w:highlight w:val="none"/>
              </w:rPr>
              <w:t>。预测中应用的主要计算公式有：</w:t>
            </w:r>
          </w:p>
          <w:p w14:paraId="07ACAE8A">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eastAsia="宋体" w:cs="Times New Roman"/>
                <w:color w:val="auto"/>
                <w:kern w:val="2"/>
                <w:sz w:val="24"/>
                <w:szCs w:val="24"/>
                <w:highlight w:val="none"/>
                <w:lang w:val="en-US" w:eastAsia="zh-CN" w:bidi="ar-SA"/>
              </w:rPr>
            </w:pPr>
            <w:r>
              <w:rPr>
                <w:rFonts w:hint="eastAsia" w:ascii="Times New Roman" w:hAnsi="Times New Roman" w:eastAsia="宋体" w:cs="Times New Roman"/>
                <w:color w:val="auto"/>
                <w:kern w:val="2"/>
                <w:sz w:val="24"/>
                <w:szCs w:val="24"/>
                <w:highlight w:val="none"/>
                <w:lang w:val="en-US" w:eastAsia="zh-CN" w:bidi="ar-SA"/>
              </w:rPr>
              <w:t>1）</w:t>
            </w:r>
            <w:r>
              <w:rPr>
                <w:rFonts w:hint="default" w:ascii="Times New Roman" w:hAnsi="Times New Roman" w:eastAsia="宋体" w:cs="Times New Roman"/>
                <w:color w:val="auto"/>
                <w:kern w:val="2"/>
                <w:sz w:val="24"/>
                <w:szCs w:val="24"/>
                <w:highlight w:val="none"/>
                <w:lang w:val="en-US" w:eastAsia="zh-CN" w:bidi="ar-SA"/>
              </w:rPr>
              <w:t>室内声压级计算公式：</w:t>
            </w:r>
          </w:p>
          <w:p w14:paraId="22B01358">
            <w:pPr>
              <w:keepNext w:val="0"/>
              <w:keepLines w:val="0"/>
              <w:widowControl w:val="0"/>
              <w:suppressLineNumbers w:val="0"/>
              <w:spacing w:before="0" w:beforeAutospacing="0" w:after="0" w:afterAutospacing="0" w:line="360" w:lineRule="auto"/>
              <w:ind w:left="0" w:right="0" w:firstLine="0" w:firstLineChars="0"/>
              <w:jc w:val="center"/>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position w:val="-28"/>
                <w:sz w:val="24"/>
                <w:szCs w:val="24"/>
                <w:highlight w:val="none"/>
                <w:lang w:val="en-US" w:eastAsia="zh-CN" w:bidi="ar-SA"/>
              </w:rPr>
              <w:object>
                <v:shape id="_x0000_i1025" o:spt="75" type="#_x0000_t75" style="height:33.75pt;width:160.8pt;" o:ole="t" filled="f" o:preferrelative="t" stroked="f" coordsize="21600,21600">
                  <v:path/>
                  <v:fill on="f" focussize="0,0"/>
                  <v:stroke on="f"/>
                  <v:imagedata r:id="rId19" o:title=""/>
                  <o:lock v:ext="edit" aspectratio="t"/>
                  <w10:wrap type="none"/>
                  <w10:anchorlock/>
                </v:shape>
                <o:OLEObject Type="Embed" ProgID="Equation.3" ShapeID="_x0000_i1025" DrawAspect="Content" ObjectID="_1468075725" r:id="rId18">
                  <o:LockedField>false</o:LockedField>
                </o:OLEObject>
              </w:object>
            </w:r>
          </w:p>
          <w:p w14:paraId="54FF91CE">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式中：L</w:t>
            </w:r>
            <w:r>
              <w:rPr>
                <w:rFonts w:hint="default" w:ascii="Times New Roman" w:hAnsi="Times New Roman" w:eastAsia="宋体" w:cs="Times New Roman"/>
                <w:color w:val="auto"/>
                <w:kern w:val="2"/>
                <w:sz w:val="24"/>
                <w:szCs w:val="24"/>
                <w:highlight w:val="none"/>
                <w:vertAlign w:val="subscript"/>
                <w:lang w:val="en-US" w:eastAsia="zh-CN" w:bidi="ar-SA"/>
              </w:rPr>
              <w:t>p1</w:t>
            </w:r>
            <w:r>
              <w:rPr>
                <w:rFonts w:hint="default" w:ascii="Times New Roman" w:hAnsi="Times New Roman" w:eastAsia="宋体" w:cs="Times New Roman"/>
                <w:color w:val="auto"/>
                <w:kern w:val="2"/>
                <w:sz w:val="24"/>
                <w:szCs w:val="24"/>
                <w:highlight w:val="none"/>
                <w:lang w:val="en-US" w:eastAsia="zh-CN" w:bidi="ar-SA"/>
              </w:rPr>
              <w:t>—靠近开口处（或窗户）室内某倍频带的声压级或A声级，dB；</w:t>
            </w:r>
          </w:p>
          <w:p w14:paraId="31FE5DAF">
            <w:pPr>
              <w:keepNext w:val="0"/>
              <w:keepLines w:val="0"/>
              <w:widowControl w:val="0"/>
              <w:suppressLineNumbers w:val="0"/>
              <w:spacing w:before="0" w:beforeAutospacing="0" w:after="0" w:afterAutospacing="0" w:line="360" w:lineRule="auto"/>
              <w:ind w:left="0" w:right="0" w:firstLine="720" w:firstLineChars="300"/>
              <w:jc w:val="both"/>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L</w:t>
            </w:r>
            <w:r>
              <w:rPr>
                <w:rFonts w:hint="default" w:ascii="Times New Roman" w:hAnsi="Times New Roman" w:eastAsia="宋体" w:cs="Times New Roman"/>
                <w:color w:val="auto"/>
                <w:kern w:val="2"/>
                <w:sz w:val="24"/>
                <w:szCs w:val="24"/>
                <w:highlight w:val="none"/>
                <w:vertAlign w:val="subscript"/>
                <w:lang w:val="en-US" w:eastAsia="zh-CN" w:bidi="ar-SA"/>
              </w:rPr>
              <w:t>w</w:t>
            </w:r>
            <w:r>
              <w:rPr>
                <w:rFonts w:hint="default" w:ascii="Times New Roman" w:hAnsi="Times New Roman" w:eastAsia="宋体" w:cs="Times New Roman"/>
                <w:color w:val="auto"/>
                <w:kern w:val="2"/>
                <w:sz w:val="24"/>
                <w:szCs w:val="24"/>
                <w:highlight w:val="none"/>
                <w:lang w:val="en-US" w:eastAsia="zh-CN" w:bidi="ar-SA"/>
              </w:rPr>
              <w:t>—点声源声功率级（A计权或倍频带），dB；</w:t>
            </w:r>
          </w:p>
          <w:p w14:paraId="4A56E969">
            <w:pPr>
              <w:keepNext w:val="0"/>
              <w:keepLines w:val="0"/>
              <w:widowControl w:val="0"/>
              <w:suppressLineNumbers w:val="0"/>
              <w:spacing w:before="0" w:beforeAutospacing="0" w:after="0" w:afterAutospacing="0" w:line="360" w:lineRule="auto"/>
              <w:ind w:left="0" w:right="0" w:firstLine="720" w:firstLineChars="300"/>
              <w:jc w:val="both"/>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Q—指向性因数；通常对无指向性声源，当声源放在房间中心时，Q=1；当放在一面墙的中心时，Q=2；当放在两面墙夹角处时，Q=4；当放在三面墙夹角处时，Q=8；</w:t>
            </w:r>
          </w:p>
          <w:p w14:paraId="75DE8BBD">
            <w:pPr>
              <w:keepNext w:val="0"/>
              <w:keepLines w:val="0"/>
              <w:widowControl w:val="0"/>
              <w:suppressLineNumbers w:val="0"/>
              <w:spacing w:before="0" w:beforeAutospacing="0" w:after="0" w:afterAutospacing="0" w:line="360" w:lineRule="auto"/>
              <w:ind w:left="0" w:right="0" w:firstLine="720" w:firstLineChars="300"/>
              <w:jc w:val="both"/>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R—房间常数；R</w:t>
            </w:r>
            <w:r>
              <w:rPr>
                <w:rFonts w:hint="eastAsia" w:ascii="Times New Roman" w:hAnsi="Times New Roman" w:eastAsia="宋体" w:cs="Times New Roman"/>
                <w:color w:val="auto"/>
                <w:kern w:val="2"/>
                <w:sz w:val="24"/>
                <w:szCs w:val="24"/>
                <w:highlight w:val="none"/>
                <w:lang w:val="en-US" w:eastAsia="zh-CN" w:bidi="ar-SA"/>
              </w:rPr>
              <w:t>=</w:t>
            </w:r>
            <w:r>
              <w:rPr>
                <w:rFonts w:hint="default" w:ascii="Times New Roman" w:hAnsi="Times New Roman" w:eastAsia="宋体" w:cs="Times New Roman"/>
                <w:color w:val="auto"/>
                <w:kern w:val="2"/>
                <w:sz w:val="24"/>
                <w:szCs w:val="24"/>
                <w:highlight w:val="none"/>
                <w:lang w:val="en-US" w:eastAsia="zh-CN" w:bidi="ar-SA"/>
              </w:rPr>
              <w:t>Sα/</w:t>
            </w:r>
            <w:r>
              <w:rPr>
                <w:rFonts w:hint="eastAsia" w:ascii="Times New Roman" w:hAnsi="Times New Roman" w:eastAsia="宋体" w:cs="Times New Roman"/>
                <w:color w:val="auto"/>
                <w:kern w:val="2"/>
                <w:sz w:val="24"/>
                <w:szCs w:val="24"/>
                <w:highlight w:val="none"/>
                <w:lang w:val="en-US" w:eastAsia="zh-CN" w:bidi="ar-SA"/>
              </w:rPr>
              <w:t>（</w:t>
            </w:r>
            <w:r>
              <w:rPr>
                <w:rFonts w:hint="default" w:ascii="Times New Roman" w:hAnsi="Times New Roman" w:eastAsia="宋体" w:cs="Times New Roman"/>
                <w:color w:val="auto"/>
                <w:kern w:val="2"/>
                <w:sz w:val="24"/>
                <w:szCs w:val="24"/>
                <w:highlight w:val="none"/>
                <w:lang w:val="en-US" w:eastAsia="zh-CN" w:bidi="ar-SA"/>
              </w:rPr>
              <w:t>1</w:t>
            </w:r>
            <w:r>
              <w:rPr>
                <w:rFonts w:hint="eastAsia" w:ascii="Times New Roman" w:hAnsi="Times New Roman" w:eastAsia="宋体" w:cs="Times New Roman"/>
                <w:color w:val="auto"/>
                <w:kern w:val="2"/>
                <w:sz w:val="24"/>
                <w:szCs w:val="24"/>
                <w:highlight w:val="none"/>
                <w:lang w:val="en-US" w:eastAsia="zh-CN" w:bidi="ar-SA"/>
              </w:rPr>
              <w:t>-</w:t>
            </w:r>
            <w:r>
              <w:rPr>
                <w:rFonts w:hint="default" w:ascii="Times New Roman" w:hAnsi="Times New Roman" w:eastAsia="宋体" w:cs="Times New Roman"/>
                <w:color w:val="auto"/>
                <w:kern w:val="2"/>
                <w:sz w:val="24"/>
                <w:szCs w:val="24"/>
                <w:highlight w:val="none"/>
                <w:lang w:val="en-US" w:eastAsia="zh-CN" w:bidi="ar-SA"/>
              </w:rPr>
              <w:t>α</w:t>
            </w:r>
            <w:r>
              <w:rPr>
                <w:rFonts w:hint="eastAsia" w:ascii="Times New Roman" w:hAnsi="Times New Roman" w:eastAsia="宋体" w:cs="Times New Roman"/>
                <w:color w:val="auto"/>
                <w:kern w:val="2"/>
                <w:sz w:val="24"/>
                <w:szCs w:val="24"/>
                <w:highlight w:val="none"/>
                <w:lang w:val="en-US" w:eastAsia="zh-CN" w:bidi="ar-SA"/>
              </w:rPr>
              <w:t>）</w:t>
            </w:r>
            <w:r>
              <w:rPr>
                <w:rFonts w:hint="default" w:ascii="Times New Roman" w:hAnsi="Times New Roman" w:eastAsia="宋体" w:cs="Times New Roman"/>
                <w:color w:val="auto"/>
                <w:kern w:val="2"/>
                <w:sz w:val="24"/>
                <w:szCs w:val="24"/>
                <w:highlight w:val="none"/>
                <w:lang w:val="en-US" w:eastAsia="zh-CN" w:bidi="ar-SA"/>
              </w:rPr>
              <w:t>，S为房间内表面面积，m</w:t>
            </w:r>
            <w:r>
              <w:rPr>
                <w:rFonts w:hint="default" w:ascii="Times New Roman" w:hAnsi="Times New Roman" w:eastAsia="宋体" w:cs="Times New Roman"/>
                <w:color w:val="auto"/>
                <w:kern w:val="2"/>
                <w:sz w:val="24"/>
                <w:szCs w:val="24"/>
                <w:highlight w:val="none"/>
                <w:vertAlign w:val="superscript"/>
                <w:lang w:val="en-US" w:eastAsia="zh-CN" w:bidi="ar-SA"/>
              </w:rPr>
              <w:t>2</w:t>
            </w:r>
            <w:r>
              <w:rPr>
                <w:rFonts w:hint="default" w:ascii="Times New Roman" w:hAnsi="Times New Roman" w:eastAsia="宋体" w:cs="Times New Roman"/>
                <w:color w:val="auto"/>
                <w:kern w:val="2"/>
                <w:sz w:val="24"/>
                <w:szCs w:val="24"/>
                <w:highlight w:val="none"/>
                <w:lang w:val="en-US" w:eastAsia="zh-CN" w:bidi="ar-SA"/>
              </w:rPr>
              <w:t>；α为平均吸声系数；</w:t>
            </w:r>
          </w:p>
          <w:p w14:paraId="50715505">
            <w:pPr>
              <w:keepNext w:val="0"/>
              <w:keepLines w:val="0"/>
              <w:widowControl w:val="0"/>
              <w:suppressLineNumbers w:val="0"/>
              <w:spacing w:before="0" w:beforeAutospacing="0" w:after="0" w:afterAutospacing="0" w:line="360" w:lineRule="auto"/>
              <w:ind w:left="0" w:right="0" w:firstLine="720" w:firstLineChars="300"/>
              <w:jc w:val="both"/>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r—声源到靠近围护结构某点处的距离，m。</w:t>
            </w:r>
          </w:p>
          <w:p w14:paraId="3361C33D">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eastAsia="宋体" w:cs="Times New Roman"/>
                <w:color w:val="auto"/>
                <w:kern w:val="2"/>
                <w:sz w:val="24"/>
                <w:szCs w:val="24"/>
                <w:highlight w:val="none"/>
                <w:lang w:val="en-US" w:eastAsia="zh-CN" w:bidi="ar-SA"/>
              </w:rPr>
            </w:pPr>
            <w:r>
              <w:rPr>
                <w:rFonts w:hint="eastAsia" w:ascii="Times New Roman" w:hAnsi="Times New Roman" w:eastAsia="宋体" w:cs="Times New Roman"/>
                <w:color w:val="auto"/>
                <w:kern w:val="2"/>
                <w:sz w:val="24"/>
                <w:szCs w:val="24"/>
                <w:highlight w:val="none"/>
                <w:lang w:val="en-US" w:eastAsia="zh-CN" w:bidi="ar-SA"/>
              </w:rPr>
              <w:t>2）室内声源在围护结构处产生的i倍频带叠加声压级计算公式</w:t>
            </w:r>
            <w:r>
              <w:rPr>
                <w:rFonts w:hint="default" w:ascii="Times New Roman" w:hAnsi="Times New Roman" w:eastAsia="宋体" w:cs="Times New Roman"/>
                <w:color w:val="auto"/>
                <w:kern w:val="2"/>
                <w:sz w:val="24"/>
                <w:szCs w:val="24"/>
                <w:highlight w:val="none"/>
                <w:lang w:val="en-US" w:eastAsia="zh-CN" w:bidi="ar-SA"/>
              </w:rPr>
              <w:t>：</w:t>
            </w:r>
          </w:p>
          <w:p w14:paraId="4CCA19C3">
            <w:pPr>
              <w:keepNext w:val="0"/>
              <w:keepLines w:val="0"/>
              <w:widowControl w:val="0"/>
              <w:suppressLineNumbers w:val="0"/>
              <w:spacing w:before="0" w:beforeAutospacing="0" w:after="0" w:afterAutospacing="0" w:line="360" w:lineRule="auto"/>
              <w:ind w:left="0" w:right="0" w:firstLine="199" w:firstLineChars="83"/>
              <w:jc w:val="center"/>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position w:val="-30"/>
                <w:sz w:val="24"/>
                <w:szCs w:val="24"/>
                <w:highlight w:val="none"/>
                <w:lang w:val="en-US" w:eastAsia="zh-CN" w:bidi="ar-SA"/>
              </w:rPr>
              <w:object>
                <v:shape id="_x0000_i1026" o:spt="75" type="#_x0000_t75" style="height:34.5pt;width:125.65pt;" o:ole="t" filled="f" o:preferrelative="t" stroked="f" coordsize="21600,21600">
                  <v:path/>
                  <v:fill on="f" focussize="0,0"/>
                  <v:stroke on="f"/>
                  <v:imagedata r:id="rId21" o:title=""/>
                  <o:lock v:ext="edit" aspectratio="t"/>
                  <w10:wrap type="none"/>
                  <w10:anchorlock/>
                </v:shape>
                <o:OLEObject Type="Embed" ProgID="Equation.3" ShapeID="_x0000_i1026" DrawAspect="Content" ObjectID="_1468075726" r:id="rId20">
                  <o:LockedField>false</o:LockedField>
                </o:OLEObject>
              </w:object>
            </w:r>
          </w:p>
          <w:p w14:paraId="76932F8C">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式中：L</w:t>
            </w:r>
            <w:r>
              <w:rPr>
                <w:rFonts w:hint="default" w:ascii="Times New Roman" w:hAnsi="Times New Roman" w:eastAsia="宋体" w:cs="Times New Roman"/>
                <w:color w:val="auto"/>
                <w:kern w:val="2"/>
                <w:sz w:val="24"/>
                <w:szCs w:val="24"/>
                <w:highlight w:val="none"/>
                <w:vertAlign w:val="subscript"/>
                <w:lang w:val="en-US" w:eastAsia="zh-CN" w:bidi="ar-SA"/>
              </w:rPr>
              <w:t>p</w:t>
            </w:r>
            <w:r>
              <w:rPr>
                <w:rFonts w:hint="eastAsia" w:ascii="Times New Roman" w:hAnsi="Times New Roman" w:eastAsia="宋体" w:cs="Times New Roman"/>
                <w:color w:val="auto"/>
                <w:kern w:val="2"/>
                <w:sz w:val="24"/>
                <w:szCs w:val="24"/>
                <w:highlight w:val="none"/>
                <w:vertAlign w:val="subscript"/>
                <w:lang w:val="en-US" w:eastAsia="zh-CN" w:bidi="ar-SA"/>
              </w:rPr>
              <w:t>1</w:t>
            </w:r>
            <w:r>
              <w:rPr>
                <w:rFonts w:hint="default" w:ascii="Times New Roman" w:hAnsi="Times New Roman" w:eastAsia="宋体" w:cs="Times New Roman"/>
                <w:color w:val="auto"/>
                <w:kern w:val="2"/>
                <w:sz w:val="24"/>
                <w:szCs w:val="24"/>
                <w:highlight w:val="none"/>
                <w:vertAlign w:val="subscript"/>
                <w:lang w:val="en-US" w:eastAsia="zh-CN" w:bidi="ar-SA"/>
              </w:rPr>
              <w:t>i</w:t>
            </w:r>
            <w:r>
              <w:rPr>
                <w:rFonts w:hint="eastAsia" w:ascii="Times New Roman" w:hAnsi="Times New Roman" w:eastAsia="宋体" w:cs="Times New Roman"/>
                <w:color w:val="auto"/>
                <w:kern w:val="2"/>
                <w:sz w:val="24"/>
                <w:szCs w:val="24"/>
                <w:highlight w:val="none"/>
                <w:lang w:val="en-US" w:eastAsia="zh-CN" w:bidi="ar-SA"/>
              </w:rPr>
              <w:t>（</w:t>
            </w:r>
            <w:r>
              <w:rPr>
                <w:rFonts w:hint="default" w:ascii="Times New Roman" w:hAnsi="Times New Roman" w:eastAsia="宋体" w:cs="Times New Roman"/>
                <w:color w:val="auto"/>
                <w:kern w:val="2"/>
                <w:sz w:val="24"/>
                <w:szCs w:val="24"/>
                <w:highlight w:val="none"/>
                <w:lang w:val="en-US" w:eastAsia="zh-CN" w:bidi="ar-SA"/>
              </w:rPr>
              <w:t>T</w:t>
            </w:r>
            <w:r>
              <w:rPr>
                <w:rFonts w:hint="eastAsia" w:ascii="Times New Roman" w:hAnsi="Times New Roman" w:eastAsia="宋体" w:cs="Times New Roman"/>
                <w:color w:val="auto"/>
                <w:kern w:val="2"/>
                <w:sz w:val="24"/>
                <w:szCs w:val="24"/>
                <w:highlight w:val="none"/>
                <w:lang w:val="en-US" w:eastAsia="zh-CN" w:bidi="ar-SA"/>
              </w:rPr>
              <w:t>）</w:t>
            </w:r>
            <w:r>
              <w:rPr>
                <w:rFonts w:hint="default" w:ascii="Times New Roman" w:hAnsi="Times New Roman" w:eastAsia="宋体" w:cs="Times New Roman"/>
                <w:color w:val="auto"/>
                <w:kern w:val="2"/>
                <w:sz w:val="24"/>
                <w:szCs w:val="24"/>
                <w:highlight w:val="none"/>
                <w:lang w:val="en-US" w:eastAsia="zh-CN" w:bidi="ar-SA"/>
              </w:rPr>
              <w:t>—靠近围护结构处室内N个声源i倍频带的叠加声压级，dB；</w:t>
            </w:r>
          </w:p>
          <w:p w14:paraId="2EDE7BE8">
            <w:pPr>
              <w:keepNext w:val="0"/>
              <w:keepLines w:val="0"/>
              <w:widowControl w:val="0"/>
              <w:suppressLineNumbers w:val="0"/>
              <w:spacing w:before="0" w:beforeAutospacing="0" w:after="0" w:afterAutospacing="0" w:line="360" w:lineRule="auto"/>
              <w:ind w:left="0" w:right="0" w:firstLine="720" w:firstLineChars="300"/>
              <w:jc w:val="both"/>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L</w:t>
            </w:r>
            <w:r>
              <w:rPr>
                <w:rFonts w:hint="default" w:ascii="Times New Roman" w:hAnsi="Times New Roman" w:eastAsia="宋体" w:cs="Times New Roman"/>
                <w:color w:val="auto"/>
                <w:kern w:val="2"/>
                <w:sz w:val="24"/>
                <w:szCs w:val="24"/>
                <w:highlight w:val="none"/>
                <w:vertAlign w:val="subscript"/>
                <w:lang w:val="en-US" w:eastAsia="zh-CN" w:bidi="ar-SA"/>
              </w:rPr>
              <w:t>p</w:t>
            </w:r>
            <w:r>
              <w:rPr>
                <w:rFonts w:hint="eastAsia" w:ascii="Times New Roman" w:hAnsi="Times New Roman" w:eastAsia="宋体" w:cs="Times New Roman"/>
                <w:color w:val="auto"/>
                <w:kern w:val="2"/>
                <w:sz w:val="24"/>
                <w:szCs w:val="24"/>
                <w:highlight w:val="none"/>
                <w:vertAlign w:val="subscript"/>
                <w:lang w:val="en-US" w:eastAsia="zh-CN" w:bidi="ar-SA"/>
              </w:rPr>
              <w:t>1</w:t>
            </w:r>
            <w:r>
              <w:rPr>
                <w:rFonts w:hint="default" w:ascii="Times New Roman" w:hAnsi="Times New Roman" w:eastAsia="宋体" w:cs="Times New Roman"/>
                <w:color w:val="auto"/>
                <w:kern w:val="2"/>
                <w:sz w:val="24"/>
                <w:szCs w:val="24"/>
                <w:highlight w:val="none"/>
                <w:vertAlign w:val="subscript"/>
                <w:lang w:val="en-US" w:eastAsia="zh-CN" w:bidi="ar-SA"/>
              </w:rPr>
              <w:t>ij</w:t>
            </w:r>
            <w:r>
              <w:rPr>
                <w:rFonts w:hint="default" w:ascii="Times New Roman" w:hAnsi="Times New Roman" w:eastAsia="宋体" w:cs="Times New Roman"/>
                <w:color w:val="auto"/>
                <w:kern w:val="2"/>
                <w:sz w:val="24"/>
                <w:szCs w:val="24"/>
                <w:highlight w:val="none"/>
                <w:lang w:val="en-US" w:eastAsia="zh-CN" w:bidi="ar-SA"/>
              </w:rPr>
              <w:t>——室内j声源i倍频带的声压级，dB；</w:t>
            </w:r>
          </w:p>
          <w:p w14:paraId="7C9EB247">
            <w:pPr>
              <w:keepNext w:val="0"/>
              <w:keepLines w:val="0"/>
              <w:widowControl w:val="0"/>
              <w:suppressLineNumbers w:val="0"/>
              <w:spacing w:before="0" w:beforeAutospacing="0" w:after="0" w:afterAutospacing="0" w:line="360" w:lineRule="auto"/>
              <w:ind w:left="0" w:right="0" w:firstLine="720" w:firstLineChars="300"/>
              <w:jc w:val="both"/>
              <w:rPr>
                <w:rFonts w:hint="default" w:ascii="Times New Roman" w:hAnsi="Times New Roman" w:eastAsia="宋体" w:cs="Times New Roman"/>
                <w:color w:val="auto"/>
                <w:kern w:val="2"/>
                <w:sz w:val="24"/>
                <w:szCs w:val="24"/>
                <w:highlight w:val="none"/>
                <w:lang w:val="en-US" w:eastAsia="zh-CN" w:bidi="ar-SA"/>
              </w:rPr>
            </w:pPr>
            <w:r>
              <w:rPr>
                <w:rFonts w:hint="eastAsia" w:ascii="Times New Roman" w:hAnsi="Times New Roman" w:eastAsia="宋体" w:cs="Times New Roman"/>
                <w:color w:val="auto"/>
                <w:kern w:val="2"/>
                <w:sz w:val="24"/>
                <w:szCs w:val="24"/>
                <w:highlight w:val="none"/>
                <w:lang w:val="en-US" w:eastAsia="zh-CN" w:bidi="ar-SA"/>
              </w:rPr>
              <w:t>N</w:t>
            </w:r>
            <w:r>
              <w:rPr>
                <w:rFonts w:hint="default" w:ascii="Times New Roman" w:hAnsi="Times New Roman" w:eastAsia="宋体" w:cs="Times New Roman"/>
                <w:color w:val="auto"/>
                <w:kern w:val="2"/>
                <w:sz w:val="24"/>
                <w:szCs w:val="24"/>
                <w:highlight w:val="none"/>
                <w:lang w:val="en-US" w:eastAsia="zh-CN" w:bidi="ar-SA"/>
              </w:rPr>
              <w:t>——室内声源总数。</w:t>
            </w:r>
          </w:p>
          <w:p w14:paraId="16DBBF5A">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eastAsia="宋体" w:cs="Times New Roman"/>
                <w:color w:val="auto"/>
                <w:kern w:val="2"/>
                <w:sz w:val="24"/>
                <w:szCs w:val="24"/>
                <w:highlight w:val="none"/>
                <w:lang w:val="en-US" w:eastAsia="zh-CN" w:bidi="ar-SA"/>
              </w:rPr>
            </w:pPr>
            <w:r>
              <w:rPr>
                <w:rFonts w:hint="eastAsia" w:ascii="Times New Roman" w:hAnsi="Times New Roman" w:eastAsia="宋体" w:cs="Times New Roman"/>
                <w:color w:val="auto"/>
                <w:kern w:val="2"/>
                <w:sz w:val="24"/>
                <w:szCs w:val="24"/>
                <w:highlight w:val="none"/>
                <w:lang w:val="en-US" w:eastAsia="zh-CN" w:bidi="ar-SA"/>
              </w:rPr>
              <w:t>3）靠近室外围护结构处的声压级计算公式</w:t>
            </w:r>
            <w:r>
              <w:rPr>
                <w:rFonts w:hint="default" w:ascii="Times New Roman" w:hAnsi="Times New Roman" w:eastAsia="宋体" w:cs="Times New Roman"/>
                <w:color w:val="auto"/>
                <w:kern w:val="2"/>
                <w:sz w:val="24"/>
                <w:szCs w:val="24"/>
                <w:highlight w:val="none"/>
                <w:lang w:val="en-US" w:eastAsia="zh-CN" w:bidi="ar-SA"/>
              </w:rPr>
              <w:t>：</w:t>
            </w:r>
          </w:p>
          <w:p w14:paraId="24AE0941">
            <w:pPr>
              <w:keepNext w:val="0"/>
              <w:keepLines w:val="0"/>
              <w:widowControl w:val="0"/>
              <w:suppressLineNumbers w:val="0"/>
              <w:spacing w:before="0" w:beforeAutospacing="0" w:after="0" w:afterAutospacing="0" w:line="360" w:lineRule="auto"/>
              <w:ind w:left="0" w:right="0" w:firstLine="0" w:firstLineChars="0"/>
              <w:jc w:val="center"/>
              <w:rPr>
                <w:rFonts w:hint="default" w:ascii="Times New Roman" w:hAnsi="Times New Roman" w:eastAsia="宋体" w:cs="Times New Roman"/>
                <w:color w:val="auto"/>
                <w:kern w:val="2"/>
                <w:position w:val="-24"/>
                <w:sz w:val="24"/>
                <w:szCs w:val="24"/>
                <w:highlight w:val="none"/>
                <w:lang w:val="en-US" w:eastAsia="zh-CN" w:bidi="ar-SA"/>
              </w:rPr>
            </w:pPr>
            <w:r>
              <w:rPr>
                <w:rFonts w:hint="default" w:ascii="Times New Roman" w:hAnsi="Times New Roman" w:eastAsia="宋体" w:cs="Times New Roman"/>
                <w:color w:val="auto"/>
                <w:kern w:val="2"/>
                <w:position w:val="-14"/>
                <w:sz w:val="24"/>
                <w:szCs w:val="24"/>
                <w:highlight w:val="none"/>
                <w:lang w:val="en-US" w:eastAsia="zh-CN" w:bidi="ar-SA"/>
              </w:rPr>
              <w:object>
                <v:shape id="_x0000_i1027" o:spt="75" type="#_x0000_t75" style="height:18.85pt;width:132.25pt;" o:ole="t" filled="f" o:preferrelative="t" stroked="f" coordsize="21600,21600">
                  <v:path/>
                  <v:fill on="f" focussize="0,0"/>
                  <v:stroke on="f"/>
                  <v:imagedata r:id="rId23" o:title=""/>
                  <o:lock v:ext="edit" aspectratio="t"/>
                  <w10:wrap type="none"/>
                  <w10:anchorlock/>
                </v:shape>
                <o:OLEObject Type="Embed" ProgID="Equation.3" ShapeID="_x0000_i1027" DrawAspect="Content" ObjectID="_1468075727" r:id="rId22">
                  <o:LockedField>false</o:LockedField>
                </o:OLEObject>
              </w:object>
            </w:r>
          </w:p>
          <w:p w14:paraId="6B30B299">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式中：L</w:t>
            </w:r>
            <w:r>
              <w:rPr>
                <w:rFonts w:hint="default" w:ascii="Times New Roman" w:hAnsi="Times New Roman" w:eastAsia="宋体" w:cs="Times New Roman"/>
                <w:color w:val="auto"/>
                <w:kern w:val="2"/>
                <w:sz w:val="24"/>
                <w:szCs w:val="24"/>
                <w:highlight w:val="none"/>
                <w:vertAlign w:val="subscript"/>
                <w:lang w:val="en-US" w:eastAsia="zh-CN" w:bidi="ar-SA"/>
              </w:rPr>
              <w:t>p</w:t>
            </w:r>
            <w:r>
              <w:rPr>
                <w:rFonts w:hint="eastAsia" w:ascii="Times New Roman" w:hAnsi="Times New Roman" w:eastAsia="宋体" w:cs="Times New Roman"/>
                <w:color w:val="auto"/>
                <w:kern w:val="2"/>
                <w:sz w:val="24"/>
                <w:szCs w:val="24"/>
                <w:highlight w:val="none"/>
                <w:vertAlign w:val="subscript"/>
                <w:lang w:val="en-US" w:eastAsia="zh-CN" w:bidi="ar-SA"/>
              </w:rPr>
              <w:t>2</w:t>
            </w:r>
            <w:r>
              <w:rPr>
                <w:rFonts w:hint="default" w:ascii="Times New Roman" w:hAnsi="Times New Roman" w:eastAsia="宋体" w:cs="Times New Roman"/>
                <w:color w:val="auto"/>
                <w:kern w:val="2"/>
                <w:sz w:val="24"/>
                <w:szCs w:val="24"/>
                <w:highlight w:val="none"/>
                <w:vertAlign w:val="subscript"/>
                <w:lang w:val="en-US" w:eastAsia="zh-CN" w:bidi="ar-SA"/>
              </w:rPr>
              <w:t>i</w:t>
            </w:r>
            <w:r>
              <w:rPr>
                <w:rFonts w:hint="eastAsia" w:ascii="Times New Roman" w:hAnsi="Times New Roman" w:eastAsia="宋体" w:cs="Times New Roman"/>
                <w:color w:val="auto"/>
                <w:kern w:val="2"/>
                <w:sz w:val="24"/>
                <w:szCs w:val="24"/>
                <w:highlight w:val="none"/>
                <w:lang w:val="en-US" w:eastAsia="zh-CN" w:bidi="ar-SA"/>
              </w:rPr>
              <w:t>（T）</w:t>
            </w:r>
            <w:r>
              <w:rPr>
                <w:rFonts w:hint="default" w:ascii="Times New Roman" w:hAnsi="Times New Roman" w:eastAsia="宋体" w:cs="Times New Roman"/>
                <w:color w:val="auto"/>
                <w:kern w:val="2"/>
                <w:sz w:val="24"/>
                <w:szCs w:val="24"/>
                <w:highlight w:val="none"/>
                <w:lang w:val="en-US" w:eastAsia="zh-CN" w:bidi="ar-SA"/>
              </w:rPr>
              <w:t>—靠近围护结构处室外N个声源i倍频带的叠加声压级，dB；</w:t>
            </w:r>
          </w:p>
          <w:p w14:paraId="1B839249">
            <w:pPr>
              <w:keepNext w:val="0"/>
              <w:keepLines w:val="0"/>
              <w:widowControl w:val="0"/>
              <w:suppressLineNumbers w:val="0"/>
              <w:spacing w:before="0" w:beforeAutospacing="0" w:after="0" w:afterAutospacing="0" w:line="360" w:lineRule="auto"/>
              <w:ind w:left="0" w:right="0" w:firstLine="720" w:firstLineChars="300"/>
              <w:jc w:val="both"/>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L</w:t>
            </w:r>
            <w:r>
              <w:rPr>
                <w:rFonts w:hint="default" w:ascii="Times New Roman" w:hAnsi="Times New Roman" w:eastAsia="宋体" w:cs="Times New Roman"/>
                <w:color w:val="auto"/>
                <w:kern w:val="2"/>
                <w:sz w:val="24"/>
                <w:szCs w:val="24"/>
                <w:highlight w:val="none"/>
                <w:vertAlign w:val="subscript"/>
                <w:lang w:val="en-US" w:eastAsia="zh-CN" w:bidi="ar-SA"/>
              </w:rPr>
              <w:t>p</w:t>
            </w:r>
            <w:r>
              <w:rPr>
                <w:rFonts w:hint="eastAsia" w:ascii="Times New Roman" w:hAnsi="Times New Roman" w:eastAsia="宋体" w:cs="Times New Roman"/>
                <w:color w:val="auto"/>
                <w:kern w:val="2"/>
                <w:sz w:val="24"/>
                <w:szCs w:val="24"/>
                <w:highlight w:val="none"/>
                <w:vertAlign w:val="subscript"/>
                <w:lang w:val="en-US" w:eastAsia="zh-CN" w:bidi="ar-SA"/>
              </w:rPr>
              <w:t>1</w:t>
            </w:r>
            <w:r>
              <w:rPr>
                <w:rFonts w:hint="default" w:ascii="Times New Roman" w:hAnsi="Times New Roman" w:eastAsia="宋体" w:cs="Times New Roman"/>
                <w:color w:val="auto"/>
                <w:kern w:val="2"/>
                <w:sz w:val="24"/>
                <w:szCs w:val="24"/>
                <w:highlight w:val="none"/>
                <w:vertAlign w:val="subscript"/>
                <w:lang w:val="en-US" w:eastAsia="zh-CN" w:bidi="ar-SA"/>
              </w:rPr>
              <w:t>i</w:t>
            </w:r>
            <w:r>
              <w:rPr>
                <w:rFonts w:hint="eastAsia" w:ascii="Times New Roman" w:hAnsi="Times New Roman" w:eastAsia="宋体" w:cs="Times New Roman"/>
                <w:color w:val="auto"/>
                <w:kern w:val="2"/>
                <w:sz w:val="24"/>
                <w:szCs w:val="24"/>
                <w:highlight w:val="none"/>
                <w:lang w:val="en-US" w:eastAsia="zh-CN" w:bidi="ar-SA"/>
              </w:rPr>
              <w:t>（T）</w:t>
            </w:r>
            <w:r>
              <w:rPr>
                <w:rFonts w:hint="default" w:ascii="Times New Roman" w:hAnsi="Times New Roman" w:eastAsia="宋体" w:cs="Times New Roman"/>
                <w:color w:val="auto"/>
                <w:kern w:val="2"/>
                <w:sz w:val="24"/>
                <w:szCs w:val="24"/>
                <w:highlight w:val="none"/>
                <w:lang w:val="en-US" w:eastAsia="zh-CN" w:bidi="ar-SA"/>
              </w:rPr>
              <w:t>—靠近围护结构处室内N个声源i倍频带的叠加声压级，dB；</w:t>
            </w:r>
          </w:p>
          <w:p w14:paraId="1BBBB010">
            <w:pPr>
              <w:keepNext w:val="0"/>
              <w:keepLines w:val="0"/>
              <w:widowControl w:val="0"/>
              <w:suppressLineNumbers w:val="0"/>
              <w:spacing w:before="0" w:beforeAutospacing="0" w:after="0" w:afterAutospacing="0" w:line="360" w:lineRule="auto"/>
              <w:ind w:left="0" w:right="0" w:firstLine="720" w:firstLineChars="300"/>
              <w:jc w:val="both"/>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TL</w:t>
            </w:r>
            <w:r>
              <w:rPr>
                <w:rFonts w:hint="default" w:ascii="Times New Roman" w:hAnsi="Times New Roman" w:eastAsia="宋体" w:cs="Times New Roman"/>
                <w:color w:val="auto"/>
                <w:kern w:val="2"/>
                <w:sz w:val="24"/>
                <w:szCs w:val="24"/>
                <w:highlight w:val="none"/>
                <w:vertAlign w:val="subscript"/>
                <w:lang w:val="en-US" w:eastAsia="zh-CN" w:bidi="ar-SA"/>
              </w:rPr>
              <w:t>i</w:t>
            </w:r>
            <w:r>
              <w:rPr>
                <w:rFonts w:hint="default" w:ascii="Times New Roman" w:hAnsi="Times New Roman" w:eastAsia="宋体" w:cs="Times New Roman"/>
                <w:color w:val="auto"/>
                <w:kern w:val="2"/>
                <w:sz w:val="24"/>
                <w:szCs w:val="24"/>
                <w:highlight w:val="none"/>
                <w:lang w:val="en-US" w:eastAsia="zh-CN" w:bidi="ar-SA"/>
              </w:rPr>
              <w:t>—围护结构i倍频带的隔声量，dB。</w:t>
            </w:r>
          </w:p>
          <w:p w14:paraId="4BD01E04">
            <w:pPr>
              <w:keepNext w:val="0"/>
              <w:keepLines w:val="0"/>
              <w:widowControl w:val="0"/>
              <w:suppressLineNumbers w:val="0"/>
              <w:spacing w:before="0" w:beforeAutospacing="0" w:after="0" w:afterAutospacing="0" w:line="360" w:lineRule="auto"/>
              <w:ind w:left="0" w:right="0" w:firstLine="0" w:firstLineChars="0"/>
              <w:jc w:val="center"/>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position w:val="-14"/>
                <w:sz w:val="24"/>
                <w:szCs w:val="24"/>
                <w:highlight w:val="none"/>
                <w:lang w:val="en-US" w:eastAsia="zh-CN" w:bidi="ar-SA"/>
              </w:rPr>
              <w:object>
                <v:shape id="_x0000_i1028" o:spt="75" type="#_x0000_t75" style="height:18.85pt;width:101.2pt;" o:ole="t" filled="f" o:preferrelative="t" stroked="f" coordsize="21600,21600">
                  <v:path/>
                  <v:fill on="f" focussize="0,0"/>
                  <v:stroke on="f"/>
                  <v:imagedata r:id="rId25" o:title=""/>
                  <o:lock v:ext="edit" aspectratio="t"/>
                  <w10:wrap type="none"/>
                  <w10:anchorlock/>
                </v:shape>
                <o:OLEObject Type="Embed" ProgID="Equation.3" ShapeID="_x0000_i1028" DrawAspect="Content" ObjectID="_1468075728" r:id="rId24">
                  <o:LockedField>false</o:LockedField>
                </o:OLEObject>
              </w:object>
            </w:r>
          </w:p>
          <w:p w14:paraId="586D8C2C">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式中：L</w:t>
            </w:r>
            <w:r>
              <w:rPr>
                <w:rFonts w:hint="default" w:ascii="Times New Roman" w:hAnsi="Times New Roman" w:eastAsia="宋体" w:cs="Times New Roman"/>
                <w:color w:val="auto"/>
                <w:kern w:val="2"/>
                <w:sz w:val="24"/>
                <w:szCs w:val="24"/>
                <w:highlight w:val="none"/>
                <w:vertAlign w:val="subscript"/>
                <w:lang w:val="en-US" w:eastAsia="zh-CN" w:bidi="ar-SA"/>
              </w:rPr>
              <w:t>w</w:t>
            </w:r>
            <w:r>
              <w:rPr>
                <w:rFonts w:hint="default" w:ascii="Times New Roman" w:hAnsi="Times New Roman" w:eastAsia="宋体" w:cs="Times New Roman"/>
                <w:color w:val="auto"/>
                <w:kern w:val="2"/>
                <w:sz w:val="24"/>
                <w:szCs w:val="24"/>
                <w:highlight w:val="none"/>
                <w:lang w:val="en-US" w:eastAsia="zh-CN" w:bidi="ar-SA"/>
              </w:rPr>
              <w:t>—中心位置位于透声面积（S）处的等效声源的倍频带声功率级，dB；</w:t>
            </w:r>
          </w:p>
          <w:p w14:paraId="55B201D4">
            <w:pPr>
              <w:keepNext w:val="0"/>
              <w:keepLines w:val="0"/>
              <w:widowControl w:val="0"/>
              <w:suppressLineNumbers w:val="0"/>
              <w:spacing w:before="0" w:beforeAutospacing="0" w:after="0" w:afterAutospacing="0" w:line="360" w:lineRule="auto"/>
              <w:ind w:left="0" w:right="0" w:firstLine="720" w:firstLineChars="300"/>
              <w:jc w:val="both"/>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L</w:t>
            </w:r>
            <w:r>
              <w:rPr>
                <w:rFonts w:hint="default" w:ascii="Times New Roman" w:hAnsi="Times New Roman" w:eastAsia="宋体" w:cs="Times New Roman"/>
                <w:color w:val="auto"/>
                <w:kern w:val="2"/>
                <w:sz w:val="24"/>
                <w:szCs w:val="24"/>
                <w:highlight w:val="none"/>
                <w:vertAlign w:val="subscript"/>
                <w:lang w:val="en-US" w:eastAsia="zh-CN" w:bidi="ar-SA"/>
              </w:rPr>
              <w:t>p2</w:t>
            </w:r>
            <w:r>
              <w:rPr>
                <w:rFonts w:hint="eastAsia" w:ascii="Times New Roman" w:hAnsi="Times New Roman" w:eastAsia="宋体" w:cs="Times New Roman"/>
                <w:color w:val="auto"/>
                <w:kern w:val="2"/>
                <w:sz w:val="24"/>
                <w:szCs w:val="24"/>
                <w:highlight w:val="none"/>
                <w:lang w:val="en-US" w:eastAsia="zh-CN" w:bidi="ar-SA"/>
              </w:rPr>
              <w:t>（T）</w:t>
            </w:r>
            <w:r>
              <w:rPr>
                <w:rFonts w:hint="default" w:ascii="Times New Roman" w:hAnsi="Times New Roman" w:eastAsia="宋体" w:cs="Times New Roman"/>
                <w:color w:val="auto"/>
                <w:kern w:val="2"/>
                <w:sz w:val="24"/>
                <w:szCs w:val="24"/>
                <w:highlight w:val="none"/>
                <w:lang w:val="en-US" w:eastAsia="zh-CN" w:bidi="ar-SA"/>
              </w:rPr>
              <w:t>—靠近围护结构处室外声源的声压级，dB；</w:t>
            </w:r>
          </w:p>
          <w:p w14:paraId="3D9ACA01">
            <w:pPr>
              <w:keepNext w:val="0"/>
              <w:keepLines w:val="0"/>
              <w:widowControl w:val="0"/>
              <w:suppressLineNumbers w:val="0"/>
              <w:spacing w:before="0" w:beforeAutospacing="0" w:after="0" w:afterAutospacing="0" w:line="360" w:lineRule="auto"/>
              <w:ind w:left="0" w:right="0" w:firstLine="720" w:firstLineChars="300"/>
              <w:jc w:val="both"/>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S——透声面积，m</w:t>
            </w:r>
            <w:r>
              <w:rPr>
                <w:rFonts w:hint="default" w:ascii="Times New Roman" w:hAnsi="Times New Roman" w:eastAsia="宋体" w:cs="Times New Roman"/>
                <w:color w:val="auto"/>
                <w:kern w:val="2"/>
                <w:sz w:val="24"/>
                <w:szCs w:val="24"/>
                <w:highlight w:val="none"/>
                <w:vertAlign w:val="superscript"/>
                <w:lang w:val="en-US" w:eastAsia="zh-CN" w:bidi="ar-SA"/>
              </w:rPr>
              <w:t>2</w:t>
            </w:r>
            <w:r>
              <w:rPr>
                <w:rFonts w:hint="default" w:ascii="Times New Roman" w:hAnsi="Times New Roman" w:eastAsia="宋体" w:cs="Times New Roman"/>
                <w:color w:val="auto"/>
                <w:kern w:val="2"/>
                <w:sz w:val="24"/>
                <w:szCs w:val="24"/>
                <w:highlight w:val="none"/>
                <w:lang w:val="en-US" w:eastAsia="zh-CN" w:bidi="ar-SA"/>
              </w:rPr>
              <w:t>。</w:t>
            </w:r>
          </w:p>
          <w:p w14:paraId="27E62851">
            <w:pPr>
              <w:keepNext w:val="0"/>
              <w:keepLines w:val="0"/>
              <w:suppressLineNumbers w:val="0"/>
              <w:bidi w:val="0"/>
              <w:spacing w:before="0" w:beforeAutospacing="0" w:after="0" w:afterAutospacing="0" w:line="360" w:lineRule="auto"/>
              <w:ind w:left="0" w:right="0" w:firstLine="480" w:firstLineChars="200"/>
              <w:rPr>
                <w:rFonts w:hint="default" w:ascii="Times New Roman" w:hAnsi="Times New Roman" w:cs="Times New Roman"/>
                <w:color w:val="auto"/>
                <w:sz w:val="24"/>
                <w:highlight w:val="none"/>
              </w:rPr>
            </w:pPr>
            <w:r>
              <w:rPr>
                <w:rFonts w:hint="eastAsia" w:cs="Times New Roman"/>
                <w:color w:val="auto"/>
                <w:sz w:val="24"/>
                <w:highlight w:val="none"/>
                <w:lang w:val="en-US" w:eastAsia="zh-CN"/>
              </w:rPr>
              <w:t>4</w:t>
            </w:r>
            <w:r>
              <w:rPr>
                <w:rFonts w:hint="eastAsia" w:ascii="Times New Roman" w:hAnsi="Times New Roman" w:cs="Times New Roman"/>
                <w:color w:val="auto"/>
                <w:sz w:val="24"/>
                <w:highlight w:val="none"/>
                <w:lang w:eastAsia="zh-CN"/>
              </w:rPr>
              <w:t>）</w:t>
            </w:r>
            <w:r>
              <w:rPr>
                <w:rFonts w:hint="eastAsia" w:ascii="Times New Roman" w:hAnsi="Times New Roman" w:cs="Times New Roman"/>
                <w:color w:val="auto"/>
                <w:sz w:val="24"/>
                <w:highlight w:val="none"/>
                <w:lang w:val="en-US" w:eastAsia="zh-CN"/>
              </w:rPr>
              <w:t>工业企业多点声源</w:t>
            </w:r>
            <w:r>
              <w:rPr>
                <w:rFonts w:hint="default" w:ascii="Times New Roman" w:hAnsi="Times New Roman" w:cs="Times New Roman"/>
                <w:color w:val="auto"/>
                <w:sz w:val="24"/>
                <w:highlight w:val="none"/>
              </w:rPr>
              <w:t>叠加模式</w:t>
            </w:r>
          </w:p>
          <w:p w14:paraId="68CE465C">
            <w:pPr>
              <w:keepNext w:val="0"/>
              <w:keepLines w:val="0"/>
              <w:suppressLineNumbers w:val="0"/>
              <w:autoSpaceDE w:val="0"/>
              <w:autoSpaceDN w:val="0"/>
              <w:adjustRightInd w:val="0"/>
              <w:spacing w:before="0" w:beforeAutospacing="0" w:after="0" w:afterAutospacing="0" w:line="360" w:lineRule="auto"/>
              <w:ind w:left="0" w:right="0" w:firstLine="480" w:firstLineChars="200"/>
              <w:jc w:val="left"/>
              <w:rPr>
                <w:rFonts w:hint="default" w:cs="宋体"/>
                <w:bCs/>
                <w:color w:val="auto"/>
                <w:sz w:val="24"/>
                <w:szCs w:val="21"/>
                <w:highlight w:val="none"/>
              </w:rPr>
            </w:pPr>
            <w:r>
              <w:rPr>
                <w:rFonts w:hint="default" w:cs="宋体"/>
                <w:bCs/>
                <w:color w:val="auto"/>
                <w:sz w:val="24"/>
                <w:szCs w:val="21"/>
                <w:highlight w:val="none"/>
              </w:rPr>
              <w:t>设第i个室外声源在预测点产生的A声级为L</w:t>
            </w:r>
            <w:r>
              <w:rPr>
                <w:rFonts w:hint="default" w:cs="宋体"/>
                <w:bCs/>
                <w:color w:val="auto"/>
                <w:sz w:val="24"/>
                <w:szCs w:val="21"/>
                <w:highlight w:val="none"/>
                <w:vertAlign w:val="subscript"/>
              </w:rPr>
              <w:t>Ai</w:t>
            </w:r>
            <w:r>
              <w:rPr>
                <w:rFonts w:hint="default" w:cs="宋体"/>
                <w:bCs/>
                <w:color w:val="auto"/>
                <w:sz w:val="24"/>
                <w:szCs w:val="21"/>
                <w:highlight w:val="none"/>
              </w:rPr>
              <w:t>，在T时间内该声源工作时间为t</w:t>
            </w:r>
            <w:r>
              <w:rPr>
                <w:rFonts w:hint="default" w:cs="宋体"/>
                <w:bCs/>
                <w:color w:val="auto"/>
                <w:sz w:val="24"/>
                <w:szCs w:val="21"/>
                <w:highlight w:val="none"/>
                <w:vertAlign w:val="subscript"/>
              </w:rPr>
              <w:t>i</w:t>
            </w:r>
            <w:r>
              <w:rPr>
                <w:rFonts w:hint="default" w:cs="宋体"/>
                <w:bCs/>
                <w:color w:val="auto"/>
                <w:sz w:val="24"/>
                <w:szCs w:val="21"/>
                <w:highlight w:val="none"/>
              </w:rPr>
              <w:t>；第j个等效室外声源在预测点产生的A声级为L</w:t>
            </w:r>
            <w:r>
              <w:rPr>
                <w:rFonts w:hint="default" w:cs="宋体"/>
                <w:bCs/>
                <w:color w:val="auto"/>
                <w:sz w:val="24"/>
                <w:szCs w:val="21"/>
                <w:highlight w:val="none"/>
                <w:vertAlign w:val="subscript"/>
              </w:rPr>
              <w:t>Aj</w:t>
            </w:r>
            <w:r>
              <w:rPr>
                <w:rFonts w:hint="default" w:cs="宋体"/>
                <w:bCs/>
                <w:color w:val="auto"/>
                <w:sz w:val="24"/>
                <w:szCs w:val="21"/>
                <w:highlight w:val="none"/>
              </w:rPr>
              <w:t>，在T时间内该声源工作时间为t</w:t>
            </w:r>
            <w:r>
              <w:rPr>
                <w:rFonts w:hint="default" w:cs="宋体"/>
                <w:bCs/>
                <w:color w:val="auto"/>
                <w:sz w:val="24"/>
                <w:szCs w:val="21"/>
                <w:highlight w:val="none"/>
                <w:vertAlign w:val="subscript"/>
              </w:rPr>
              <w:t>j</w:t>
            </w:r>
            <w:r>
              <w:rPr>
                <w:rFonts w:hint="default" w:cs="宋体"/>
                <w:bCs/>
                <w:color w:val="auto"/>
                <w:sz w:val="24"/>
                <w:szCs w:val="21"/>
                <w:highlight w:val="none"/>
              </w:rPr>
              <w:t>，则工程声源对预测点产生的贡献值（L</w:t>
            </w:r>
            <w:r>
              <w:rPr>
                <w:rFonts w:hint="default" w:cs="宋体"/>
                <w:bCs/>
                <w:color w:val="auto"/>
                <w:sz w:val="24"/>
                <w:szCs w:val="21"/>
                <w:highlight w:val="none"/>
                <w:vertAlign w:val="subscript"/>
              </w:rPr>
              <w:t>eqg</w:t>
            </w:r>
            <w:r>
              <w:rPr>
                <w:rFonts w:hint="default" w:cs="宋体"/>
                <w:bCs/>
                <w:color w:val="auto"/>
                <w:sz w:val="24"/>
                <w:szCs w:val="21"/>
                <w:highlight w:val="none"/>
              </w:rPr>
              <w:t>）为：</w:t>
            </w:r>
          </w:p>
          <w:p w14:paraId="0B455BEF">
            <w:pPr>
              <w:keepNext w:val="0"/>
              <w:keepLines w:val="0"/>
              <w:suppressLineNumbers w:val="0"/>
              <w:spacing w:before="0" w:beforeAutospacing="0" w:after="0" w:afterAutospacing="0" w:line="360" w:lineRule="auto"/>
              <w:ind w:left="0" w:right="0"/>
              <w:jc w:val="center"/>
              <w:rPr>
                <w:rFonts w:hint="default"/>
                <w:color w:val="auto"/>
                <w:sz w:val="24"/>
                <w:highlight w:val="none"/>
              </w:rPr>
            </w:pPr>
            <w:r>
              <w:rPr>
                <w:rFonts w:hint="default"/>
                <w:color w:val="auto"/>
                <w:position w:val="-34"/>
                <w:sz w:val="24"/>
                <w:highlight w:val="none"/>
              </w:rPr>
              <w:object>
                <v:shape id="_x0000_i1029" o:spt="75" type="#_x0000_t75" style="height:39pt;width:242.5pt;" o:ole="t" filled="f" o:preferrelative="t" stroked="f" coordsize="21600,21600">
                  <v:path/>
                  <v:fill on="f" focussize="0,0"/>
                  <v:stroke on="f"/>
                  <v:imagedata r:id="rId27" o:title=""/>
                  <o:lock v:ext="edit" aspectratio="t"/>
                  <w10:wrap type="none"/>
                  <w10:anchorlock/>
                </v:shape>
                <o:OLEObject Type="Embed" ProgID="Equation.3" ShapeID="_x0000_i1029" DrawAspect="Content" ObjectID="_1468075729" r:id="rId26">
                  <o:LockedField>false</o:LockedField>
                </o:OLEObject>
              </w:object>
            </w:r>
          </w:p>
          <w:p w14:paraId="7301A083">
            <w:pPr>
              <w:keepNext w:val="0"/>
              <w:keepLines w:val="0"/>
              <w:suppressLineNumbers w:val="0"/>
              <w:spacing w:before="0" w:beforeAutospacing="0" w:after="0" w:afterAutospacing="0" w:line="360" w:lineRule="auto"/>
              <w:ind w:left="0" w:right="0" w:firstLine="480" w:firstLineChars="200"/>
              <w:rPr>
                <w:rFonts w:hint="default"/>
                <w:color w:val="auto"/>
                <w:sz w:val="24"/>
                <w:highlight w:val="none"/>
              </w:rPr>
            </w:pPr>
            <w:r>
              <w:rPr>
                <w:rFonts w:hint="default"/>
                <w:color w:val="auto"/>
                <w:sz w:val="24"/>
                <w:highlight w:val="none"/>
              </w:rPr>
              <w:t>式中：L</w:t>
            </w:r>
            <w:r>
              <w:rPr>
                <w:rFonts w:hint="default"/>
                <w:color w:val="auto"/>
                <w:sz w:val="24"/>
                <w:highlight w:val="none"/>
                <w:vertAlign w:val="subscript"/>
              </w:rPr>
              <w:t>eqg</w:t>
            </w:r>
            <w:r>
              <w:rPr>
                <w:rFonts w:hint="default"/>
                <w:color w:val="auto"/>
                <w:sz w:val="24"/>
                <w:highlight w:val="none"/>
              </w:rPr>
              <w:t>—建设项目声源在预测点产生的噪声贡献值，dB；</w:t>
            </w:r>
          </w:p>
          <w:p w14:paraId="77680145">
            <w:pPr>
              <w:keepNext w:val="0"/>
              <w:keepLines w:val="0"/>
              <w:suppressLineNumbers w:val="0"/>
              <w:spacing w:before="0" w:beforeAutospacing="0" w:after="0" w:afterAutospacing="0" w:line="360" w:lineRule="auto"/>
              <w:ind w:left="0" w:right="0" w:firstLine="1200" w:firstLineChars="500"/>
              <w:rPr>
                <w:rFonts w:hint="default"/>
                <w:color w:val="auto"/>
                <w:sz w:val="24"/>
                <w:highlight w:val="none"/>
              </w:rPr>
            </w:pPr>
            <w:r>
              <w:rPr>
                <w:rFonts w:hint="default"/>
                <w:color w:val="auto"/>
                <w:sz w:val="24"/>
                <w:highlight w:val="none"/>
              </w:rPr>
              <w:t>T—用于计算等效声级的时间，s；</w:t>
            </w:r>
          </w:p>
          <w:p w14:paraId="1A07A6C2">
            <w:pPr>
              <w:keepNext w:val="0"/>
              <w:keepLines w:val="0"/>
              <w:suppressLineNumbers w:val="0"/>
              <w:spacing w:before="0" w:beforeAutospacing="0" w:after="0" w:afterAutospacing="0" w:line="360" w:lineRule="auto"/>
              <w:ind w:left="0" w:right="0" w:firstLine="1200" w:firstLineChars="500"/>
              <w:rPr>
                <w:rFonts w:hint="default"/>
                <w:color w:val="auto"/>
                <w:sz w:val="24"/>
                <w:highlight w:val="none"/>
              </w:rPr>
            </w:pPr>
            <w:r>
              <w:rPr>
                <w:rFonts w:hint="default"/>
                <w:color w:val="auto"/>
                <w:sz w:val="24"/>
                <w:highlight w:val="none"/>
              </w:rPr>
              <w:t>N—室外声源个数；</w:t>
            </w:r>
          </w:p>
          <w:p w14:paraId="68C8903C">
            <w:pPr>
              <w:keepNext w:val="0"/>
              <w:keepLines w:val="0"/>
              <w:suppressLineNumbers w:val="0"/>
              <w:spacing w:before="0" w:beforeAutospacing="0" w:after="0" w:afterAutospacing="0" w:line="360" w:lineRule="auto"/>
              <w:ind w:left="0" w:right="0" w:firstLine="1200" w:firstLineChars="500"/>
              <w:rPr>
                <w:rFonts w:hint="default"/>
                <w:color w:val="auto"/>
                <w:sz w:val="24"/>
                <w:highlight w:val="none"/>
              </w:rPr>
            </w:pPr>
            <w:r>
              <w:rPr>
                <w:rFonts w:hint="default"/>
                <w:color w:val="auto"/>
                <w:sz w:val="24"/>
                <w:highlight w:val="none"/>
              </w:rPr>
              <w:t>t</w:t>
            </w:r>
            <w:r>
              <w:rPr>
                <w:rFonts w:hint="default"/>
                <w:color w:val="auto"/>
                <w:sz w:val="24"/>
                <w:highlight w:val="none"/>
                <w:vertAlign w:val="subscript"/>
              </w:rPr>
              <w:t>i</w:t>
            </w:r>
            <w:r>
              <w:rPr>
                <w:rFonts w:hint="default"/>
                <w:color w:val="auto"/>
                <w:sz w:val="24"/>
                <w:highlight w:val="none"/>
              </w:rPr>
              <w:t>—在T时间内i声源工作时间，s；</w:t>
            </w:r>
          </w:p>
          <w:p w14:paraId="211D2128">
            <w:pPr>
              <w:keepNext w:val="0"/>
              <w:keepLines w:val="0"/>
              <w:suppressLineNumbers w:val="0"/>
              <w:spacing w:before="0" w:beforeAutospacing="0" w:after="0" w:afterAutospacing="0" w:line="360" w:lineRule="auto"/>
              <w:ind w:left="0" w:right="0" w:firstLine="1200" w:firstLineChars="500"/>
              <w:rPr>
                <w:rFonts w:hint="default"/>
                <w:color w:val="auto"/>
                <w:sz w:val="24"/>
                <w:highlight w:val="none"/>
              </w:rPr>
            </w:pPr>
            <w:r>
              <w:rPr>
                <w:rFonts w:hint="default"/>
                <w:color w:val="auto"/>
                <w:sz w:val="24"/>
                <w:highlight w:val="none"/>
              </w:rPr>
              <w:t>M—等效室外声源个数；</w:t>
            </w:r>
          </w:p>
          <w:p w14:paraId="32271FBA">
            <w:pPr>
              <w:keepNext w:val="0"/>
              <w:keepLines w:val="0"/>
              <w:suppressLineNumbers w:val="0"/>
              <w:spacing w:before="0" w:beforeAutospacing="0" w:after="0" w:afterAutospacing="0" w:line="360" w:lineRule="auto"/>
              <w:ind w:left="0" w:right="0" w:firstLine="1200" w:firstLineChars="500"/>
              <w:rPr>
                <w:rFonts w:hint="default"/>
                <w:color w:val="auto"/>
                <w:sz w:val="24"/>
                <w:highlight w:val="none"/>
              </w:rPr>
            </w:pPr>
            <w:r>
              <w:rPr>
                <w:rFonts w:hint="default"/>
                <w:color w:val="auto"/>
                <w:sz w:val="24"/>
                <w:highlight w:val="none"/>
              </w:rPr>
              <w:t>t</w:t>
            </w:r>
            <w:r>
              <w:rPr>
                <w:rFonts w:hint="default"/>
                <w:color w:val="auto"/>
                <w:sz w:val="24"/>
                <w:highlight w:val="none"/>
                <w:vertAlign w:val="subscript"/>
              </w:rPr>
              <w:t>j</w:t>
            </w:r>
            <w:r>
              <w:rPr>
                <w:rFonts w:hint="default"/>
                <w:color w:val="auto"/>
                <w:sz w:val="24"/>
                <w:highlight w:val="none"/>
              </w:rPr>
              <w:t>—在T时间内j声源工作时间，s。</w:t>
            </w:r>
          </w:p>
          <w:p w14:paraId="0872BCAC">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根据本工程噪声源的分布，对项目厂址的厂界四周噪声影响进行预测计算。</w:t>
            </w:r>
            <w:r>
              <w:rPr>
                <w:rFonts w:hint="eastAsia" w:ascii="Times New Roman" w:hAnsi="Times New Roman" w:eastAsia="宋体" w:cs="Times New Roman"/>
                <w:color w:val="auto"/>
                <w:sz w:val="24"/>
                <w:highlight w:val="none"/>
              </w:rPr>
              <w:t>本</w:t>
            </w:r>
            <w:r>
              <w:rPr>
                <w:rFonts w:hint="default" w:ascii="Times New Roman" w:hAnsi="Times New Roman" w:eastAsia="宋体" w:cs="Times New Roman"/>
                <w:color w:val="auto"/>
                <w:sz w:val="24"/>
                <w:highlight w:val="none"/>
              </w:rPr>
              <w:t>项目厂界噪声预测结果和达标评价见表4-</w:t>
            </w:r>
            <w:r>
              <w:rPr>
                <w:rFonts w:hint="eastAsia" w:cs="Times New Roman"/>
                <w:color w:val="auto"/>
                <w:sz w:val="24"/>
                <w:highlight w:val="none"/>
                <w:lang w:val="en-US" w:eastAsia="zh-CN"/>
              </w:rPr>
              <w:t>12</w:t>
            </w:r>
            <w:r>
              <w:rPr>
                <w:rFonts w:hint="default" w:ascii="Times New Roman" w:hAnsi="Times New Roman" w:eastAsia="宋体" w:cs="Times New Roman"/>
                <w:color w:val="auto"/>
                <w:sz w:val="24"/>
                <w:highlight w:val="none"/>
              </w:rPr>
              <w:t>。</w:t>
            </w:r>
          </w:p>
          <w:p w14:paraId="1D3BB748">
            <w:pPr>
              <w:pStyle w:val="8"/>
              <w:keepNext w:val="0"/>
              <w:keepLines w:val="0"/>
              <w:suppressLineNumbers w:val="0"/>
              <w:bidi w:val="0"/>
              <w:spacing w:before="0" w:beforeAutospacing="0" w:after="0" w:afterAutospacing="0"/>
              <w:ind w:left="0" w:right="0"/>
              <w:jc w:val="center"/>
              <w:rPr>
                <w:rFonts w:hint="eastAsia"/>
                <w:b/>
                <w:bCs/>
                <w:color w:val="auto"/>
                <w:lang w:val="en-GB" w:eastAsia="zh-CN"/>
              </w:rPr>
            </w:pPr>
            <w:r>
              <w:rPr>
                <w:rFonts w:hint="default"/>
                <w:b/>
                <w:bCs/>
                <w:color w:val="auto"/>
                <w:lang w:val="en-GB"/>
              </w:rPr>
              <w:t>表</w:t>
            </w:r>
            <w:r>
              <w:rPr>
                <w:rFonts w:hint="eastAsia"/>
                <w:b/>
                <w:bCs/>
                <w:color w:val="auto"/>
                <w:lang w:val="en-GB"/>
              </w:rPr>
              <w:t>4-</w:t>
            </w:r>
            <w:r>
              <w:rPr>
                <w:rFonts w:hint="eastAsia"/>
                <w:b/>
                <w:bCs/>
                <w:color w:val="auto"/>
                <w:lang w:val="en-US" w:eastAsia="zh-CN"/>
              </w:rPr>
              <w:t xml:space="preserve">12  </w:t>
            </w:r>
            <w:r>
              <w:rPr>
                <w:rFonts w:hint="default"/>
                <w:b/>
                <w:bCs/>
                <w:color w:val="auto"/>
                <w:lang w:val="en-GB"/>
              </w:rPr>
              <w:t>项目厂界噪声预测结果一览表</w:t>
            </w:r>
          </w:p>
          <w:tbl>
            <w:tblPr>
              <w:tblStyle w:val="26"/>
              <w:tblW w:w="4997" w:type="pct"/>
              <w:tblInd w:w="5"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948"/>
              <w:gridCol w:w="1496"/>
              <w:gridCol w:w="746"/>
              <w:gridCol w:w="766"/>
              <w:gridCol w:w="669"/>
              <w:gridCol w:w="789"/>
              <w:gridCol w:w="757"/>
              <w:gridCol w:w="806"/>
              <w:gridCol w:w="594"/>
              <w:gridCol w:w="786"/>
            </w:tblGrid>
            <w:tr w14:paraId="33A0A0D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571" w:hRule="exact"/>
              </w:trPr>
              <w:tc>
                <w:tcPr>
                  <w:tcW w:w="567" w:type="pct"/>
                  <w:vMerge w:val="restart"/>
                  <w:tcBorders>
                    <w:tl2br w:val="nil"/>
                    <w:tr2bl w:val="nil"/>
                  </w:tcBorders>
                  <w:noWrap w:val="0"/>
                  <w:vAlign w:val="center"/>
                </w:tcPr>
                <w:p w14:paraId="46793298">
                  <w:pPr>
                    <w:keepNext w:val="0"/>
                    <w:keepLines w:val="0"/>
                    <w:suppressLineNumbers w:val="0"/>
                    <w:spacing w:before="0" w:beforeAutospacing="0" w:after="0" w:afterAutospacing="0" w:line="320" w:lineRule="exact"/>
                    <w:ind w:left="0" w:leftChars="0" w:right="0" w:firstLine="0" w:firstLineChars="0"/>
                    <w:jc w:val="center"/>
                    <w:rPr>
                      <w:rFonts w:hint="eastAsia" w:ascii="Times New Roman" w:hAnsi="Times New Roman" w:eastAsia="宋体" w:cs="Times New Roman"/>
                      <w:b/>
                      <w:bCs/>
                      <w:color w:val="auto"/>
                      <w:sz w:val="21"/>
                      <w:szCs w:val="21"/>
                      <w:lang w:val="en-US" w:eastAsia="zh-CN" w:bidi="en-US"/>
                    </w:rPr>
                  </w:pPr>
                  <w:r>
                    <w:rPr>
                      <w:rFonts w:hint="eastAsia" w:ascii="Times New Roman" w:hAnsi="Times New Roman" w:eastAsia="宋体" w:cs="Times New Roman"/>
                      <w:b/>
                      <w:bCs/>
                      <w:color w:val="auto"/>
                      <w:sz w:val="21"/>
                      <w:szCs w:val="21"/>
                      <w:lang w:val="en-US" w:eastAsia="zh-CN" w:bidi="en-US"/>
                    </w:rPr>
                    <w:t>噪声源</w:t>
                  </w:r>
                </w:p>
              </w:tc>
              <w:tc>
                <w:tcPr>
                  <w:tcW w:w="894" w:type="pct"/>
                  <w:vMerge w:val="restart"/>
                  <w:tcBorders>
                    <w:tl2br w:val="nil"/>
                    <w:tr2bl w:val="nil"/>
                  </w:tcBorders>
                  <w:noWrap w:val="0"/>
                  <w:vAlign w:val="center"/>
                </w:tcPr>
                <w:p w14:paraId="0B18DD44">
                  <w:pPr>
                    <w:keepNext w:val="0"/>
                    <w:keepLines w:val="0"/>
                    <w:suppressLineNumbers w:val="0"/>
                    <w:spacing w:before="0" w:beforeAutospacing="0" w:after="0" w:afterAutospacing="0" w:line="320" w:lineRule="exact"/>
                    <w:ind w:left="0" w:leftChars="0" w:right="0" w:firstLine="0" w:firstLineChars="0"/>
                    <w:jc w:val="center"/>
                    <w:rPr>
                      <w:rFonts w:hint="default" w:ascii="Times New Roman" w:hAnsi="Times New Roman" w:eastAsia="宋体" w:cs="Times New Roman"/>
                      <w:b/>
                      <w:bCs/>
                      <w:color w:val="auto"/>
                      <w:sz w:val="21"/>
                      <w:szCs w:val="21"/>
                      <w:lang w:val="en-US" w:eastAsia="zh-CN" w:bidi="en-US"/>
                    </w:rPr>
                  </w:pPr>
                  <w:r>
                    <w:rPr>
                      <w:rFonts w:hint="default" w:ascii="Times New Roman" w:hAnsi="Times New Roman" w:eastAsia="宋体" w:cs="Times New Roman"/>
                      <w:b/>
                      <w:bCs/>
                      <w:color w:val="auto"/>
                      <w:sz w:val="21"/>
                      <w:szCs w:val="21"/>
                      <w:lang w:val="en-US" w:eastAsia="zh-CN" w:bidi="en-US"/>
                    </w:rPr>
                    <w:t>源强</w:t>
                  </w:r>
                </w:p>
                <w:p w14:paraId="51916C60">
                  <w:pPr>
                    <w:keepNext w:val="0"/>
                    <w:keepLines w:val="0"/>
                    <w:suppressLineNumbers w:val="0"/>
                    <w:spacing w:before="0" w:beforeAutospacing="0" w:after="0" w:afterAutospacing="0" w:line="320" w:lineRule="exact"/>
                    <w:ind w:left="0" w:leftChars="0" w:right="0" w:firstLine="0" w:firstLineChars="0"/>
                    <w:jc w:val="center"/>
                    <w:rPr>
                      <w:rFonts w:hint="default" w:ascii="Times New Roman" w:hAnsi="Times New Roman" w:eastAsia="宋体" w:cs="Times New Roman"/>
                      <w:b/>
                      <w:bCs/>
                      <w:color w:val="auto"/>
                      <w:sz w:val="21"/>
                      <w:szCs w:val="21"/>
                      <w:lang w:val="en-US" w:eastAsia="zh-CN" w:bidi="en-US"/>
                    </w:rPr>
                  </w:pPr>
                  <w:r>
                    <w:rPr>
                      <w:rFonts w:hint="default" w:ascii="Times New Roman" w:hAnsi="Times New Roman" w:eastAsia="宋体" w:cs="Times New Roman"/>
                      <w:b/>
                      <w:bCs/>
                      <w:color w:val="auto"/>
                      <w:sz w:val="21"/>
                      <w:szCs w:val="21"/>
                      <w:lang w:val="en-US" w:eastAsia="zh-CN" w:bidi="en-US"/>
                    </w:rPr>
                    <w:t>（治理、房间屏蔽吸收后）</w:t>
                  </w:r>
                </w:p>
              </w:tc>
              <w:tc>
                <w:tcPr>
                  <w:tcW w:w="904" w:type="pct"/>
                  <w:gridSpan w:val="2"/>
                  <w:tcBorders>
                    <w:tl2br w:val="nil"/>
                    <w:tr2bl w:val="nil"/>
                  </w:tcBorders>
                  <w:noWrap w:val="0"/>
                  <w:vAlign w:val="center"/>
                </w:tcPr>
                <w:p w14:paraId="708D1AD5">
                  <w:pPr>
                    <w:keepNext w:val="0"/>
                    <w:keepLines w:val="0"/>
                    <w:suppressLineNumbers w:val="0"/>
                    <w:spacing w:before="0" w:beforeAutospacing="0" w:after="0" w:afterAutospacing="0" w:line="320" w:lineRule="exact"/>
                    <w:ind w:left="0" w:leftChars="0" w:right="0" w:firstLine="0" w:firstLineChars="0"/>
                    <w:jc w:val="center"/>
                    <w:rPr>
                      <w:rFonts w:hint="default" w:ascii="Times New Roman" w:hAnsi="Times New Roman" w:eastAsia="宋体" w:cs="Times New Roman"/>
                      <w:b/>
                      <w:bCs/>
                      <w:color w:val="auto"/>
                      <w:sz w:val="21"/>
                      <w:szCs w:val="21"/>
                      <w:lang w:val="en-US" w:eastAsia="zh-CN" w:bidi="en-US"/>
                    </w:rPr>
                  </w:pPr>
                  <w:r>
                    <w:rPr>
                      <w:rFonts w:hint="eastAsia" w:ascii="Times New Roman" w:hAnsi="Times New Roman" w:eastAsia="宋体" w:cs="Times New Roman"/>
                      <w:b/>
                      <w:bCs/>
                      <w:color w:val="auto"/>
                      <w:sz w:val="21"/>
                      <w:szCs w:val="21"/>
                      <w:lang w:val="en-US" w:eastAsia="zh-CN" w:bidi="en-US"/>
                    </w:rPr>
                    <w:t>厂</w:t>
                  </w:r>
                  <w:r>
                    <w:rPr>
                      <w:rFonts w:hint="default" w:ascii="Times New Roman" w:hAnsi="Times New Roman" w:eastAsia="宋体" w:cs="Times New Roman"/>
                      <w:b/>
                      <w:bCs/>
                      <w:color w:val="auto"/>
                      <w:sz w:val="21"/>
                      <w:szCs w:val="21"/>
                      <w:lang w:val="en-US" w:eastAsia="zh-CN" w:bidi="en-US"/>
                    </w:rPr>
                    <w:t>界东</w:t>
                  </w:r>
                </w:p>
              </w:tc>
              <w:tc>
                <w:tcPr>
                  <w:tcW w:w="872" w:type="pct"/>
                  <w:gridSpan w:val="2"/>
                  <w:tcBorders>
                    <w:tl2br w:val="nil"/>
                    <w:tr2bl w:val="nil"/>
                  </w:tcBorders>
                  <w:noWrap w:val="0"/>
                  <w:vAlign w:val="center"/>
                </w:tcPr>
                <w:p w14:paraId="5A0DE75F">
                  <w:pPr>
                    <w:keepNext w:val="0"/>
                    <w:keepLines w:val="0"/>
                    <w:suppressLineNumbers w:val="0"/>
                    <w:spacing w:before="0" w:beforeAutospacing="0" w:after="0" w:afterAutospacing="0" w:line="320" w:lineRule="exact"/>
                    <w:ind w:left="0" w:leftChars="0" w:right="0" w:firstLine="0" w:firstLineChars="0"/>
                    <w:jc w:val="center"/>
                    <w:rPr>
                      <w:rFonts w:hint="default" w:ascii="Times New Roman" w:hAnsi="Times New Roman" w:eastAsia="宋体" w:cs="Times New Roman"/>
                      <w:b/>
                      <w:bCs/>
                      <w:color w:val="auto"/>
                      <w:sz w:val="21"/>
                      <w:szCs w:val="21"/>
                      <w:lang w:val="en-US" w:eastAsia="zh-CN" w:bidi="en-US"/>
                    </w:rPr>
                  </w:pPr>
                  <w:r>
                    <w:rPr>
                      <w:rFonts w:hint="eastAsia" w:ascii="Times New Roman" w:hAnsi="Times New Roman" w:eastAsia="宋体" w:cs="Times New Roman"/>
                      <w:b/>
                      <w:bCs/>
                      <w:color w:val="auto"/>
                      <w:sz w:val="21"/>
                      <w:szCs w:val="21"/>
                      <w:lang w:val="en-US" w:eastAsia="zh-CN" w:bidi="en-US"/>
                    </w:rPr>
                    <w:t>厂</w:t>
                  </w:r>
                  <w:r>
                    <w:rPr>
                      <w:rFonts w:hint="default" w:ascii="Times New Roman" w:hAnsi="Times New Roman" w:eastAsia="宋体" w:cs="Times New Roman"/>
                      <w:b/>
                      <w:bCs/>
                      <w:color w:val="auto"/>
                      <w:sz w:val="21"/>
                      <w:szCs w:val="21"/>
                      <w:lang w:val="en-US" w:eastAsia="zh-CN" w:bidi="en-US"/>
                    </w:rPr>
                    <w:t>界南</w:t>
                  </w:r>
                </w:p>
              </w:tc>
              <w:tc>
                <w:tcPr>
                  <w:tcW w:w="935" w:type="pct"/>
                  <w:gridSpan w:val="2"/>
                  <w:tcBorders>
                    <w:tl2br w:val="nil"/>
                    <w:tr2bl w:val="nil"/>
                  </w:tcBorders>
                  <w:noWrap w:val="0"/>
                  <w:vAlign w:val="center"/>
                </w:tcPr>
                <w:p w14:paraId="639F7766">
                  <w:pPr>
                    <w:keepNext w:val="0"/>
                    <w:keepLines w:val="0"/>
                    <w:suppressLineNumbers w:val="0"/>
                    <w:spacing w:before="0" w:beforeAutospacing="0" w:after="0" w:afterAutospacing="0" w:line="320" w:lineRule="exact"/>
                    <w:ind w:left="0" w:leftChars="0" w:right="0" w:firstLine="0" w:firstLineChars="0"/>
                    <w:jc w:val="center"/>
                    <w:rPr>
                      <w:rFonts w:hint="default" w:ascii="Times New Roman" w:hAnsi="Times New Roman" w:eastAsia="宋体" w:cs="Times New Roman"/>
                      <w:b/>
                      <w:bCs/>
                      <w:color w:val="auto"/>
                      <w:sz w:val="21"/>
                      <w:szCs w:val="21"/>
                      <w:lang w:val="en-US" w:eastAsia="zh-CN" w:bidi="en-US"/>
                    </w:rPr>
                  </w:pPr>
                  <w:r>
                    <w:rPr>
                      <w:rFonts w:hint="eastAsia" w:ascii="Times New Roman" w:hAnsi="Times New Roman" w:eastAsia="宋体" w:cs="Times New Roman"/>
                      <w:b/>
                      <w:bCs/>
                      <w:color w:val="auto"/>
                      <w:sz w:val="21"/>
                      <w:szCs w:val="21"/>
                      <w:lang w:val="en-US" w:eastAsia="zh-CN" w:bidi="en-US"/>
                    </w:rPr>
                    <w:t>厂</w:t>
                  </w:r>
                  <w:r>
                    <w:rPr>
                      <w:rFonts w:hint="default" w:ascii="Times New Roman" w:hAnsi="Times New Roman" w:eastAsia="宋体" w:cs="Times New Roman"/>
                      <w:b/>
                      <w:bCs/>
                      <w:color w:val="auto"/>
                      <w:sz w:val="21"/>
                      <w:szCs w:val="21"/>
                      <w:lang w:val="en-US" w:eastAsia="zh-CN" w:bidi="en-US"/>
                    </w:rPr>
                    <w:t>界西</w:t>
                  </w:r>
                </w:p>
              </w:tc>
              <w:tc>
                <w:tcPr>
                  <w:tcW w:w="825" w:type="pct"/>
                  <w:gridSpan w:val="2"/>
                  <w:tcBorders>
                    <w:tl2br w:val="nil"/>
                    <w:tr2bl w:val="nil"/>
                  </w:tcBorders>
                  <w:noWrap w:val="0"/>
                  <w:vAlign w:val="center"/>
                </w:tcPr>
                <w:p w14:paraId="73955667">
                  <w:pPr>
                    <w:keepNext w:val="0"/>
                    <w:keepLines w:val="0"/>
                    <w:suppressLineNumbers w:val="0"/>
                    <w:spacing w:before="0" w:beforeAutospacing="0" w:after="0" w:afterAutospacing="0" w:line="320" w:lineRule="exact"/>
                    <w:ind w:left="0" w:leftChars="0" w:right="0" w:firstLine="0" w:firstLineChars="0"/>
                    <w:jc w:val="center"/>
                    <w:rPr>
                      <w:rFonts w:hint="default" w:ascii="Times New Roman" w:hAnsi="Times New Roman" w:eastAsia="宋体" w:cs="Times New Roman"/>
                      <w:b/>
                      <w:bCs/>
                      <w:color w:val="auto"/>
                      <w:sz w:val="21"/>
                      <w:szCs w:val="21"/>
                      <w:lang w:val="en-US" w:eastAsia="zh-CN" w:bidi="en-US"/>
                    </w:rPr>
                  </w:pPr>
                  <w:r>
                    <w:rPr>
                      <w:rFonts w:hint="eastAsia" w:ascii="Times New Roman" w:hAnsi="Times New Roman" w:eastAsia="宋体" w:cs="Times New Roman"/>
                      <w:b/>
                      <w:bCs/>
                      <w:color w:val="auto"/>
                      <w:sz w:val="21"/>
                      <w:szCs w:val="21"/>
                      <w:lang w:val="en-US" w:eastAsia="zh-CN" w:bidi="en-US"/>
                    </w:rPr>
                    <w:t>厂</w:t>
                  </w:r>
                  <w:r>
                    <w:rPr>
                      <w:rFonts w:hint="default" w:ascii="Times New Roman" w:hAnsi="Times New Roman" w:eastAsia="宋体" w:cs="Times New Roman"/>
                      <w:b/>
                      <w:bCs/>
                      <w:color w:val="auto"/>
                      <w:sz w:val="21"/>
                      <w:szCs w:val="21"/>
                      <w:lang w:val="en-US" w:eastAsia="zh-CN" w:bidi="en-US"/>
                    </w:rPr>
                    <w:t>界北</w:t>
                  </w:r>
                </w:p>
              </w:tc>
            </w:tr>
            <w:tr w14:paraId="74275C1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1063" w:hRule="exact"/>
              </w:trPr>
              <w:tc>
                <w:tcPr>
                  <w:tcW w:w="567" w:type="pct"/>
                  <w:vMerge w:val="continue"/>
                  <w:tcBorders>
                    <w:tl2br w:val="nil"/>
                    <w:tr2bl w:val="nil"/>
                  </w:tcBorders>
                  <w:noWrap w:val="0"/>
                  <w:vAlign w:val="center"/>
                </w:tcPr>
                <w:p w14:paraId="77A287F7">
                  <w:pPr>
                    <w:keepNext w:val="0"/>
                    <w:keepLines w:val="0"/>
                    <w:suppressLineNumbers w:val="0"/>
                    <w:spacing w:before="0" w:beforeAutospacing="0" w:after="0" w:afterAutospacing="0" w:line="320" w:lineRule="exact"/>
                    <w:ind w:left="0" w:leftChars="0" w:right="0" w:firstLine="0" w:firstLineChars="0"/>
                    <w:jc w:val="center"/>
                    <w:rPr>
                      <w:rFonts w:hint="default" w:ascii="Times New Roman" w:hAnsi="Times New Roman" w:eastAsia="宋体" w:cs="Times New Roman"/>
                      <w:b/>
                      <w:bCs/>
                      <w:color w:val="auto"/>
                      <w:sz w:val="21"/>
                      <w:szCs w:val="21"/>
                      <w:lang w:val="en-US" w:eastAsia="zh-CN" w:bidi="en-US"/>
                    </w:rPr>
                  </w:pPr>
                </w:p>
              </w:tc>
              <w:tc>
                <w:tcPr>
                  <w:tcW w:w="894" w:type="pct"/>
                  <w:vMerge w:val="continue"/>
                  <w:tcBorders>
                    <w:tl2br w:val="nil"/>
                    <w:tr2bl w:val="nil"/>
                  </w:tcBorders>
                  <w:noWrap w:val="0"/>
                  <w:vAlign w:val="center"/>
                </w:tcPr>
                <w:p w14:paraId="2F9CCED7">
                  <w:pPr>
                    <w:keepNext w:val="0"/>
                    <w:keepLines w:val="0"/>
                    <w:suppressLineNumbers w:val="0"/>
                    <w:spacing w:before="0" w:beforeAutospacing="0" w:after="0" w:afterAutospacing="0" w:line="320" w:lineRule="exact"/>
                    <w:ind w:left="0" w:leftChars="0" w:right="0" w:firstLine="0" w:firstLineChars="0"/>
                    <w:jc w:val="center"/>
                    <w:rPr>
                      <w:rFonts w:hint="default" w:ascii="Times New Roman" w:hAnsi="Times New Roman" w:eastAsia="宋体" w:cs="Times New Roman"/>
                      <w:b/>
                      <w:bCs/>
                      <w:color w:val="auto"/>
                      <w:sz w:val="21"/>
                      <w:szCs w:val="21"/>
                      <w:lang w:val="en-US" w:eastAsia="zh-CN" w:bidi="en-US"/>
                    </w:rPr>
                  </w:pPr>
                </w:p>
              </w:tc>
              <w:tc>
                <w:tcPr>
                  <w:tcW w:w="446" w:type="pct"/>
                  <w:tcBorders>
                    <w:tl2br w:val="nil"/>
                    <w:tr2bl w:val="nil"/>
                  </w:tcBorders>
                  <w:noWrap w:val="0"/>
                  <w:vAlign w:val="center"/>
                </w:tcPr>
                <w:p w14:paraId="612C0046">
                  <w:pPr>
                    <w:keepNext w:val="0"/>
                    <w:keepLines w:val="0"/>
                    <w:suppressLineNumbers w:val="0"/>
                    <w:spacing w:before="0" w:beforeAutospacing="0" w:after="0" w:afterAutospacing="0" w:line="320" w:lineRule="exact"/>
                    <w:ind w:left="0" w:leftChars="0" w:right="0" w:firstLine="0" w:firstLineChars="0"/>
                    <w:jc w:val="center"/>
                    <w:rPr>
                      <w:rFonts w:hint="default" w:ascii="Times New Roman" w:hAnsi="Times New Roman" w:eastAsia="宋体" w:cs="Times New Roman"/>
                      <w:b/>
                      <w:bCs/>
                      <w:color w:val="auto"/>
                      <w:sz w:val="21"/>
                      <w:szCs w:val="21"/>
                      <w:lang w:val="en-US" w:eastAsia="zh-CN" w:bidi="en-US"/>
                    </w:rPr>
                  </w:pPr>
                  <w:r>
                    <w:rPr>
                      <w:rFonts w:hint="default" w:ascii="Times New Roman" w:hAnsi="Times New Roman" w:eastAsia="宋体" w:cs="Times New Roman"/>
                      <w:b/>
                      <w:bCs/>
                      <w:color w:val="auto"/>
                      <w:sz w:val="21"/>
                      <w:szCs w:val="21"/>
                      <w:lang w:val="en-US" w:eastAsia="zh-CN" w:bidi="en-US"/>
                    </w:rPr>
                    <w:t>距离</w:t>
                  </w:r>
                </w:p>
                <w:p w14:paraId="35C2D550">
                  <w:pPr>
                    <w:keepNext w:val="0"/>
                    <w:keepLines w:val="0"/>
                    <w:suppressLineNumbers w:val="0"/>
                    <w:spacing w:before="0" w:beforeAutospacing="0" w:after="0" w:afterAutospacing="0" w:line="320" w:lineRule="exact"/>
                    <w:ind w:left="0" w:leftChars="0" w:right="0" w:firstLine="0" w:firstLineChars="0"/>
                    <w:jc w:val="center"/>
                    <w:rPr>
                      <w:rFonts w:hint="default" w:ascii="Times New Roman" w:hAnsi="Times New Roman" w:eastAsia="宋体" w:cs="Times New Roman"/>
                      <w:b/>
                      <w:bCs/>
                      <w:color w:val="auto"/>
                      <w:sz w:val="21"/>
                      <w:szCs w:val="21"/>
                      <w:lang w:val="en-US" w:eastAsia="zh-CN" w:bidi="en-US"/>
                    </w:rPr>
                  </w:pPr>
                  <w:r>
                    <w:rPr>
                      <w:rFonts w:hint="default" w:ascii="Times New Roman" w:hAnsi="Times New Roman" w:eastAsia="宋体" w:cs="Times New Roman"/>
                      <w:b/>
                      <w:bCs/>
                      <w:color w:val="auto"/>
                      <w:sz w:val="21"/>
                      <w:szCs w:val="21"/>
                      <w:lang w:val="en-US" w:eastAsia="zh-CN" w:bidi="en-US"/>
                    </w:rPr>
                    <w:t>m</w:t>
                  </w:r>
                </w:p>
              </w:tc>
              <w:tc>
                <w:tcPr>
                  <w:tcW w:w="457" w:type="pct"/>
                  <w:tcBorders>
                    <w:tl2br w:val="nil"/>
                    <w:tr2bl w:val="nil"/>
                  </w:tcBorders>
                  <w:noWrap w:val="0"/>
                  <w:vAlign w:val="center"/>
                </w:tcPr>
                <w:p w14:paraId="6B7AF193">
                  <w:pPr>
                    <w:keepNext w:val="0"/>
                    <w:keepLines w:val="0"/>
                    <w:suppressLineNumbers w:val="0"/>
                    <w:spacing w:before="0" w:beforeAutospacing="0" w:after="0" w:afterAutospacing="0" w:line="320" w:lineRule="exact"/>
                    <w:ind w:left="0" w:leftChars="0" w:right="0" w:firstLine="0" w:firstLineChars="0"/>
                    <w:jc w:val="center"/>
                    <w:rPr>
                      <w:rFonts w:hint="default" w:ascii="Times New Roman" w:hAnsi="Times New Roman" w:eastAsia="宋体" w:cs="Times New Roman"/>
                      <w:b/>
                      <w:bCs/>
                      <w:color w:val="auto"/>
                      <w:sz w:val="21"/>
                      <w:szCs w:val="21"/>
                      <w:lang w:val="en-US" w:eastAsia="zh-CN" w:bidi="en-US"/>
                    </w:rPr>
                  </w:pPr>
                  <w:r>
                    <w:rPr>
                      <w:rFonts w:hint="default" w:ascii="Times New Roman" w:hAnsi="Times New Roman" w:eastAsia="宋体" w:cs="Times New Roman"/>
                      <w:b/>
                      <w:bCs/>
                      <w:color w:val="auto"/>
                      <w:sz w:val="21"/>
                      <w:szCs w:val="21"/>
                      <w:lang w:val="en-US" w:eastAsia="zh-CN" w:bidi="en-US"/>
                    </w:rPr>
                    <w:t>贡献值</w:t>
                  </w:r>
                </w:p>
                <w:p w14:paraId="4D42ADEB">
                  <w:pPr>
                    <w:keepNext w:val="0"/>
                    <w:keepLines w:val="0"/>
                    <w:suppressLineNumbers w:val="0"/>
                    <w:spacing w:before="0" w:beforeAutospacing="0" w:after="0" w:afterAutospacing="0" w:line="320" w:lineRule="exact"/>
                    <w:ind w:left="0" w:leftChars="0" w:right="0" w:firstLine="0" w:firstLineChars="0"/>
                    <w:jc w:val="center"/>
                    <w:rPr>
                      <w:rFonts w:hint="default" w:ascii="Times New Roman" w:hAnsi="Times New Roman" w:eastAsia="宋体" w:cs="Times New Roman"/>
                      <w:b/>
                      <w:bCs/>
                      <w:color w:val="auto"/>
                      <w:sz w:val="21"/>
                      <w:szCs w:val="21"/>
                      <w:lang w:val="en-US" w:eastAsia="zh-CN" w:bidi="en-US"/>
                    </w:rPr>
                  </w:pPr>
                  <w:r>
                    <w:rPr>
                      <w:rFonts w:hint="default" w:ascii="Times New Roman" w:hAnsi="Times New Roman" w:eastAsia="宋体" w:cs="Times New Roman"/>
                      <w:b/>
                      <w:bCs/>
                      <w:color w:val="auto"/>
                      <w:sz w:val="21"/>
                      <w:szCs w:val="21"/>
                      <w:lang w:val="en-US" w:eastAsia="zh-CN" w:bidi="en-US"/>
                    </w:rPr>
                    <w:t>dB(A)</w:t>
                  </w:r>
                </w:p>
              </w:tc>
              <w:tc>
                <w:tcPr>
                  <w:tcW w:w="400" w:type="pct"/>
                  <w:tcBorders>
                    <w:tl2br w:val="nil"/>
                    <w:tr2bl w:val="nil"/>
                  </w:tcBorders>
                  <w:noWrap w:val="0"/>
                  <w:vAlign w:val="center"/>
                </w:tcPr>
                <w:p w14:paraId="4D2D388E">
                  <w:pPr>
                    <w:keepNext w:val="0"/>
                    <w:keepLines w:val="0"/>
                    <w:suppressLineNumbers w:val="0"/>
                    <w:spacing w:before="0" w:beforeAutospacing="0" w:after="0" w:afterAutospacing="0" w:line="320" w:lineRule="exact"/>
                    <w:ind w:left="0" w:leftChars="0" w:right="0" w:firstLine="0" w:firstLineChars="0"/>
                    <w:jc w:val="center"/>
                    <w:rPr>
                      <w:rFonts w:hint="default" w:ascii="Times New Roman" w:hAnsi="Times New Roman" w:eastAsia="宋体" w:cs="Times New Roman"/>
                      <w:b/>
                      <w:bCs/>
                      <w:color w:val="auto"/>
                      <w:sz w:val="21"/>
                      <w:szCs w:val="21"/>
                      <w:lang w:val="en-US" w:eastAsia="zh-CN" w:bidi="en-US"/>
                    </w:rPr>
                  </w:pPr>
                  <w:r>
                    <w:rPr>
                      <w:rFonts w:hint="default" w:ascii="Times New Roman" w:hAnsi="Times New Roman" w:eastAsia="宋体" w:cs="Times New Roman"/>
                      <w:b/>
                      <w:bCs/>
                      <w:color w:val="auto"/>
                      <w:sz w:val="21"/>
                      <w:szCs w:val="21"/>
                      <w:lang w:val="en-US" w:eastAsia="zh-CN" w:bidi="en-US"/>
                    </w:rPr>
                    <w:t>距离</w:t>
                  </w:r>
                </w:p>
                <w:p w14:paraId="423D9B5A">
                  <w:pPr>
                    <w:keepNext w:val="0"/>
                    <w:keepLines w:val="0"/>
                    <w:suppressLineNumbers w:val="0"/>
                    <w:spacing w:before="0" w:beforeAutospacing="0" w:after="0" w:afterAutospacing="0" w:line="320" w:lineRule="exact"/>
                    <w:ind w:left="0" w:leftChars="0" w:right="0" w:firstLine="0" w:firstLineChars="0"/>
                    <w:jc w:val="center"/>
                    <w:rPr>
                      <w:rFonts w:hint="default" w:ascii="Times New Roman" w:hAnsi="Times New Roman" w:eastAsia="宋体" w:cs="Times New Roman"/>
                      <w:b/>
                      <w:bCs/>
                      <w:color w:val="auto"/>
                      <w:sz w:val="21"/>
                      <w:szCs w:val="21"/>
                      <w:lang w:val="en-US" w:eastAsia="zh-CN" w:bidi="en-US"/>
                    </w:rPr>
                  </w:pPr>
                  <w:r>
                    <w:rPr>
                      <w:rFonts w:hint="default" w:ascii="Times New Roman" w:hAnsi="Times New Roman" w:eastAsia="宋体" w:cs="Times New Roman"/>
                      <w:b/>
                      <w:bCs/>
                      <w:color w:val="auto"/>
                      <w:sz w:val="21"/>
                      <w:szCs w:val="21"/>
                      <w:lang w:val="en-US" w:eastAsia="zh-CN" w:bidi="en-US"/>
                    </w:rPr>
                    <w:t>m</w:t>
                  </w:r>
                </w:p>
              </w:tc>
              <w:tc>
                <w:tcPr>
                  <w:tcW w:w="472" w:type="pct"/>
                  <w:tcBorders>
                    <w:tl2br w:val="nil"/>
                    <w:tr2bl w:val="nil"/>
                  </w:tcBorders>
                  <w:noWrap w:val="0"/>
                  <w:vAlign w:val="center"/>
                </w:tcPr>
                <w:p w14:paraId="5EABD182">
                  <w:pPr>
                    <w:keepNext w:val="0"/>
                    <w:keepLines w:val="0"/>
                    <w:suppressLineNumbers w:val="0"/>
                    <w:spacing w:before="0" w:beforeAutospacing="0" w:after="0" w:afterAutospacing="0" w:line="320" w:lineRule="exact"/>
                    <w:ind w:left="0" w:leftChars="0" w:right="0" w:firstLine="0" w:firstLineChars="0"/>
                    <w:jc w:val="center"/>
                    <w:rPr>
                      <w:rFonts w:hint="default" w:ascii="Times New Roman" w:hAnsi="Times New Roman" w:eastAsia="宋体" w:cs="Times New Roman"/>
                      <w:b/>
                      <w:bCs/>
                      <w:color w:val="auto"/>
                      <w:sz w:val="21"/>
                      <w:szCs w:val="21"/>
                      <w:lang w:val="en-US" w:eastAsia="zh-CN" w:bidi="en-US"/>
                    </w:rPr>
                  </w:pPr>
                  <w:r>
                    <w:rPr>
                      <w:rFonts w:hint="default" w:ascii="Times New Roman" w:hAnsi="Times New Roman" w:eastAsia="宋体" w:cs="Times New Roman"/>
                      <w:b/>
                      <w:bCs/>
                      <w:color w:val="auto"/>
                      <w:sz w:val="21"/>
                      <w:szCs w:val="21"/>
                      <w:lang w:val="en-US" w:eastAsia="zh-CN" w:bidi="en-US"/>
                    </w:rPr>
                    <w:t>贡献值</w:t>
                  </w:r>
                </w:p>
                <w:p w14:paraId="0B500FA4">
                  <w:pPr>
                    <w:keepNext w:val="0"/>
                    <w:keepLines w:val="0"/>
                    <w:suppressLineNumbers w:val="0"/>
                    <w:spacing w:before="0" w:beforeAutospacing="0" w:after="0" w:afterAutospacing="0" w:line="320" w:lineRule="exact"/>
                    <w:ind w:left="0" w:leftChars="0" w:right="0" w:firstLine="0" w:firstLineChars="0"/>
                    <w:jc w:val="center"/>
                    <w:rPr>
                      <w:rFonts w:hint="default" w:ascii="Times New Roman" w:hAnsi="Times New Roman" w:eastAsia="宋体" w:cs="Times New Roman"/>
                      <w:b/>
                      <w:bCs/>
                      <w:color w:val="auto"/>
                      <w:sz w:val="21"/>
                      <w:szCs w:val="21"/>
                      <w:lang w:val="en-US" w:eastAsia="zh-CN" w:bidi="en-US"/>
                    </w:rPr>
                  </w:pPr>
                  <w:r>
                    <w:rPr>
                      <w:rFonts w:hint="default" w:ascii="Times New Roman" w:hAnsi="Times New Roman" w:eastAsia="宋体" w:cs="Times New Roman"/>
                      <w:b/>
                      <w:bCs/>
                      <w:color w:val="auto"/>
                      <w:sz w:val="21"/>
                      <w:szCs w:val="21"/>
                      <w:lang w:val="en-US" w:eastAsia="zh-CN" w:bidi="en-US"/>
                    </w:rPr>
                    <w:t>dB(A)</w:t>
                  </w:r>
                </w:p>
              </w:tc>
              <w:tc>
                <w:tcPr>
                  <w:tcW w:w="453" w:type="pct"/>
                  <w:tcBorders>
                    <w:tl2br w:val="nil"/>
                    <w:tr2bl w:val="nil"/>
                  </w:tcBorders>
                  <w:noWrap w:val="0"/>
                  <w:vAlign w:val="center"/>
                </w:tcPr>
                <w:p w14:paraId="605E21D6">
                  <w:pPr>
                    <w:keepNext w:val="0"/>
                    <w:keepLines w:val="0"/>
                    <w:suppressLineNumbers w:val="0"/>
                    <w:spacing w:before="0" w:beforeAutospacing="0" w:after="0" w:afterAutospacing="0" w:line="320" w:lineRule="exact"/>
                    <w:ind w:left="0" w:leftChars="0" w:right="0" w:firstLine="0" w:firstLineChars="0"/>
                    <w:jc w:val="center"/>
                    <w:rPr>
                      <w:rFonts w:hint="default" w:ascii="Times New Roman" w:hAnsi="Times New Roman" w:eastAsia="宋体" w:cs="Times New Roman"/>
                      <w:b/>
                      <w:bCs/>
                      <w:color w:val="auto"/>
                      <w:sz w:val="21"/>
                      <w:szCs w:val="21"/>
                      <w:lang w:val="en-US" w:eastAsia="zh-CN" w:bidi="en-US"/>
                    </w:rPr>
                  </w:pPr>
                  <w:r>
                    <w:rPr>
                      <w:rFonts w:hint="default" w:ascii="Times New Roman" w:hAnsi="Times New Roman" w:eastAsia="宋体" w:cs="Times New Roman"/>
                      <w:b/>
                      <w:bCs/>
                      <w:color w:val="auto"/>
                      <w:sz w:val="21"/>
                      <w:szCs w:val="21"/>
                      <w:lang w:val="en-US" w:eastAsia="zh-CN" w:bidi="en-US"/>
                    </w:rPr>
                    <w:t>距离</w:t>
                  </w:r>
                </w:p>
                <w:p w14:paraId="0A2187EC">
                  <w:pPr>
                    <w:keepNext w:val="0"/>
                    <w:keepLines w:val="0"/>
                    <w:suppressLineNumbers w:val="0"/>
                    <w:spacing w:before="0" w:beforeAutospacing="0" w:after="0" w:afterAutospacing="0" w:line="320" w:lineRule="exact"/>
                    <w:ind w:left="0" w:leftChars="0" w:right="0" w:firstLine="0" w:firstLineChars="0"/>
                    <w:jc w:val="center"/>
                    <w:rPr>
                      <w:rFonts w:hint="default" w:ascii="Times New Roman" w:hAnsi="Times New Roman" w:eastAsia="宋体" w:cs="Times New Roman"/>
                      <w:b/>
                      <w:bCs/>
                      <w:color w:val="auto"/>
                      <w:sz w:val="21"/>
                      <w:szCs w:val="21"/>
                      <w:lang w:val="en-US" w:eastAsia="zh-CN" w:bidi="en-US"/>
                    </w:rPr>
                  </w:pPr>
                  <w:r>
                    <w:rPr>
                      <w:rFonts w:hint="default" w:ascii="Times New Roman" w:hAnsi="Times New Roman" w:eastAsia="宋体" w:cs="Times New Roman"/>
                      <w:b/>
                      <w:bCs/>
                      <w:color w:val="auto"/>
                      <w:sz w:val="21"/>
                      <w:szCs w:val="21"/>
                      <w:lang w:val="en-US" w:eastAsia="zh-CN" w:bidi="en-US"/>
                    </w:rPr>
                    <w:t>m</w:t>
                  </w:r>
                </w:p>
              </w:tc>
              <w:tc>
                <w:tcPr>
                  <w:tcW w:w="482" w:type="pct"/>
                  <w:tcBorders>
                    <w:tl2br w:val="nil"/>
                    <w:tr2bl w:val="nil"/>
                  </w:tcBorders>
                  <w:noWrap w:val="0"/>
                  <w:vAlign w:val="center"/>
                </w:tcPr>
                <w:p w14:paraId="4AC35AF5">
                  <w:pPr>
                    <w:keepNext w:val="0"/>
                    <w:keepLines w:val="0"/>
                    <w:suppressLineNumbers w:val="0"/>
                    <w:spacing w:before="0" w:beforeAutospacing="0" w:after="0" w:afterAutospacing="0" w:line="320" w:lineRule="exact"/>
                    <w:ind w:left="0" w:leftChars="0" w:right="0" w:firstLine="0" w:firstLineChars="0"/>
                    <w:jc w:val="center"/>
                    <w:rPr>
                      <w:rFonts w:hint="default" w:ascii="Times New Roman" w:hAnsi="Times New Roman" w:eastAsia="宋体" w:cs="Times New Roman"/>
                      <w:b/>
                      <w:bCs/>
                      <w:color w:val="auto"/>
                      <w:sz w:val="21"/>
                      <w:szCs w:val="21"/>
                      <w:lang w:val="en-US" w:eastAsia="zh-CN" w:bidi="en-US"/>
                    </w:rPr>
                  </w:pPr>
                  <w:r>
                    <w:rPr>
                      <w:rFonts w:hint="default" w:ascii="Times New Roman" w:hAnsi="Times New Roman" w:eastAsia="宋体" w:cs="Times New Roman"/>
                      <w:b/>
                      <w:bCs/>
                      <w:color w:val="auto"/>
                      <w:sz w:val="21"/>
                      <w:szCs w:val="21"/>
                      <w:lang w:val="en-US" w:eastAsia="zh-CN" w:bidi="en-US"/>
                    </w:rPr>
                    <w:t>贡献值</w:t>
                  </w:r>
                </w:p>
                <w:p w14:paraId="44B40F8A">
                  <w:pPr>
                    <w:keepNext w:val="0"/>
                    <w:keepLines w:val="0"/>
                    <w:suppressLineNumbers w:val="0"/>
                    <w:spacing w:before="0" w:beforeAutospacing="0" w:after="0" w:afterAutospacing="0" w:line="320" w:lineRule="exact"/>
                    <w:ind w:left="0" w:leftChars="0" w:right="0" w:firstLine="0" w:firstLineChars="0"/>
                    <w:jc w:val="center"/>
                    <w:rPr>
                      <w:rFonts w:hint="default" w:ascii="Times New Roman" w:hAnsi="Times New Roman" w:eastAsia="宋体" w:cs="Times New Roman"/>
                      <w:b/>
                      <w:bCs/>
                      <w:color w:val="auto"/>
                      <w:sz w:val="21"/>
                      <w:szCs w:val="21"/>
                      <w:lang w:val="en-US" w:eastAsia="zh-CN" w:bidi="en-US"/>
                    </w:rPr>
                  </w:pPr>
                  <w:r>
                    <w:rPr>
                      <w:rFonts w:hint="default" w:ascii="Times New Roman" w:hAnsi="Times New Roman" w:eastAsia="宋体" w:cs="Times New Roman"/>
                      <w:b/>
                      <w:bCs/>
                      <w:color w:val="auto"/>
                      <w:sz w:val="21"/>
                      <w:szCs w:val="21"/>
                      <w:lang w:val="en-US" w:eastAsia="zh-CN" w:bidi="en-US"/>
                    </w:rPr>
                    <w:t>dB(A)</w:t>
                  </w:r>
                </w:p>
              </w:tc>
              <w:tc>
                <w:tcPr>
                  <w:tcW w:w="355" w:type="pct"/>
                  <w:tcBorders>
                    <w:tl2br w:val="nil"/>
                    <w:tr2bl w:val="nil"/>
                  </w:tcBorders>
                  <w:noWrap w:val="0"/>
                  <w:vAlign w:val="center"/>
                </w:tcPr>
                <w:p w14:paraId="647F8FC1">
                  <w:pPr>
                    <w:keepNext w:val="0"/>
                    <w:keepLines w:val="0"/>
                    <w:suppressLineNumbers w:val="0"/>
                    <w:spacing w:before="0" w:beforeAutospacing="0" w:after="0" w:afterAutospacing="0" w:line="320" w:lineRule="exact"/>
                    <w:ind w:left="0" w:leftChars="0" w:right="0" w:firstLine="0" w:firstLineChars="0"/>
                    <w:jc w:val="center"/>
                    <w:rPr>
                      <w:rFonts w:hint="default" w:ascii="Times New Roman" w:hAnsi="Times New Roman" w:eastAsia="宋体" w:cs="Times New Roman"/>
                      <w:b/>
                      <w:bCs/>
                      <w:color w:val="auto"/>
                      <w:sz w:val="21"/>
                      <w:szCs w:val="21"/>
                      <w:lang w:val="en-US" w:eastAsia="zh-CN" w:bidi="en-US"/>
                    </w:rPr>
                  </w:pPr>
                  <w:r>
                    <w:rPr>
                      <w:rFonts w:hint="default" w:ascii="Times New Roman" w:hAnsi="Times New Roman" w:eastAsia="宋体" w:cs="Times New Roman"/>
                      <w:b/>
                      <w:bCs/>
                      <w:color w:val="auto"/>
                      <w:sz w:val="21"/>
                      <w:szCs w:val="21"/>
                      <w:lang w:val="en-US" w:eastAsia="zh-CN" w:bidi="en-US"/>
                    </w:rPr>
                    <w:t>距离</w:t>
                  </w:r>
                </w:p>
                <w:p w14:paraId="39701565">
                  <w:pPr>
                    <w:keepNext w:val="0"/>
                    <w:keepLines w:val="0"/>
                    <w:suppressLineNumbers w:val="0"/>
                    <w:spacing w:before="0" w:beforeAutospacing="0" w:after="0" w:afterAutospacing="0" w:line="320" w:lineRule="exact"/>
                    <w:ind w:left="0" w:leftChars="0" w:right="0" w:firstLine="0" w:firstLineChars="0"/>
                    <w:jc w:val="center"/>
                    <w:rPr>
                      <w:rFonts w:hint="default" w:ascii="Times New Roman" w:hAnsi="Times New Roman" w:eastAsia="宋体" w:cs="Times New Roman"/>
                      <w:b/>
                      <w:bCs/>
                      <w:color w:val="auto"/>
                      <w:sz w:val="21"/>
                      <w:szCs w:val="21"/>
                      <w:lang w:val="en-US" w:eastAsia="zh-CN" w:bidi="en-US"/>
                    </w:rPr>
                  </w:pPr>
                  <w:r>
                    <w:rPr>
                      <w:rFonts w:hint="default" w:ascii="Times New Roman" w:hAnsi="Times New Roman" w:eastAsia="宋体" w:cs="Times New Roman"/>
                      <w:b/>
                      <w:bCs/>
                      <w:color w:val="auto"/>
                      <w:sz w:val="21"/>
                      <w:szCs w:val="21"/>
                      <w:lang w:val="en-US" w:eastAsia="zh-CN" w:bidi="en-US"/>
                    </w:rPr>
                    <w:t>m</w:t>
                  </w:r>
                </w:p>
              </w:tc>
              <w:tc>
                <w:tcPr>
                  <w:tcW w:w="470" w:type="pct"/>
                  <w:tcBorders>
                    <w:tl2br w:val="nil"/>
                    <w:tr2bl w:val="nil"/>
                  </w:tcBorders>
                  <w:noWrap w:val="0"/>
                  <w:vAlign w:val="center"/>
                </w:tcPr>
                <w:p w14:paraId="40F7795C">
                  <w:pPr>
                    <w:keepNext w:val="0"/>
                    <w:keepLines w:val="0"/>
                    <w:suppressLineNumbers w:val="0"/>
                    <w:spacing w:before="0" w:beforeAutospacing="0" w:after="0" w:afterAutospacing="0" w:line="320" w:lineRule="exact"/>
                    <w:ind w:left="0" w:leftChars="0" w:right="0" w:firstLine="0" w:firstLineChars="0"/>
                    <w:jc w:val="center"/>
                    <w:rPr>
                      <w:rFonts w:hint="default" w:ascii="Times New Roman" w:hAnsi="Times New Roman" w:eastAsia="宋体" w:cs="Times New Roman"/>
                      <w:b/>
                      <w:bCs/>
                      <w:color w:val="auto"/>
                      <w:sz w:val="21"/>
                      <w:szCs w:val="21"/>
                      <w:lang w:val="en-US" w:eastAsia="zh-CN" w:bidi="en-US"/>
                    </w:rPr>
                  </w:pPr>
                  <w:r>
                    <w:rPr>
                      <w:rFonts w:hint="default" w:ascii="Times New Roman" w:hAnsi="Times New Roman" w:eastAsia="宋体" w:cs="Times New Roman"/>
                      <w:b/>
                      <w:bCs/>
                      <w:color w:val="auto"/>
                      <w:sz w:val="21"/>
                      <w:szCs w:val="21"/>
                      <w:lang w:val="en-US" w:eastAsia="zh-CN" w:bidi="en-US"/>
                    </w:rPr>
                    <w:t>贡献值</w:t>
                  </w:r>
                </w:p>
                <w:p w14:paraId="09C7260B">
                  <w:pPr>
                    <w:keepNext w:val="0"/>
                    <w:keepLines w:val="0"/>
                    <w:suppressLineNumbers w:val="0"/>
                    <w:spacing w:before="0" w:beforeAutospacing="0" w:after="0" w:afterAutospacing="0" w:line="320" w:lineRule="exact"/>
                    <w:ind w:left="0" w:leftChars="0" w:right="0" w:firstLine="0" w:firstLineChars="0"/>
                    <w:jc w:val="center"/>
                    <w:rPr>
                      <w:rFonts w:hint="default" w:ascii="Times New Roman" w:hAnsi="Times New Roman" w:eastAsia="宋体" w:cs="Times New Roman"/>
                      <w:b/>
                      <w:bCs/>
                      <w:color w:val="auto"/>
                      <w:sz w:val="21"/>
                      <w:szCs w:val="21"/>
                      <w:lang w:val="en-US" w:eastAsia="zh-CN" w:bidi="en-US"/>
                    </w:rPr>
                  </w:pPr>
                  <w:r>
                    <w:rPr>
                      <w:rFonts w:hint="default" w:ascii="Times New Roman" w:hAnsi="Times New Roman" w:eastAsia="宋体" w:cs="Times New Roman"/>
                      <w:b/>
                      <w:bCs/>
                      <w:color w:val="auto"/>
                      <w:sz w:val="21"/>
                      <w:szCs w:val="21"/>
                      <w:lang w:val="en-US" w:eastAsia="zh-CN" w:bidi="en-US"/>
                    </w:rPr>
                    <w:t>dB(A)</w:t>
                  </w:r>
                </w:p>
              </w:tc>
            </w:tr>
            <w:tr w14:paraId="1E7D347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1170" w:hRule="exact"/>
              </w:trPr>
              <w:tc>
                <w:tcPr>
                  <w:tcW w:w="567" w:type="pct"/>
                  <w:tcBorders>
                    <w:tl2br w:val="nil"/>
                    <w:tr2bl w:val="nil"/>
                  </w:tcBorders>
                  <w:noWrap w:val="0"/>
                  <w:vAlign w:val="center"/>
                </w:tcPr>
                <w:p w14:paraId="0F5DD3A1">
                  <w:pPr>
                    <w:keepNext w:val="0"/>
                    <w:keepLines w:val="0"/>
                    <w:suppressLineNumbers w:val="0"/>
                    <w:spacing w:before="0" w:beforeAutospacing="0" w:after="0" w:afterAutospacing="0" w:line="320" w:lineRule="exact"/>
                    <w:ind w:left="0" w:leftChars="0" w:right="0" w:firstLine="0" w:firstLineChars="0"/>
                    <w:jc w:val="center"/>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生产车间</w:t>
                  </w:r>
                </w:p>
              </w:tc>
              <w:tc>
                <w:tcPr>
                  <w:tcW w:w="894" w:type="pct"/>
                  <w:tcBorders>
                    <w:tl2br w:val="nil"/>
                    <w:tr2bl w:val="nil"/>
                  </w:tcBorders>
                  <w:noWrap w:val="0"/>
                  <w:vAlign w:val="center"/>
                </w:tcPr>
                <w:p w14:paraId="7C9633BC">
                  <w:pPr>
                    <w:keepNext w:val="0"/>
                    <w:keepLines w:val="0"/>
                    <w:suppressLineNumbers w:val="0"/>
                    <w:spacing w:before="0" w:beforeAutospacing="0" w:after="0" w:afterAutospacing="0" w:line="320" w:lineRule="exact"/>
                    <w:ind w:left="0" w:leftChars="0" w:right="0" w:firstLine="0" w:firstLineChars="0"/>
                    <w:jc w:val="center"/>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76.9</w:t>
                  </w:r>
                  <w:r>
                    <w:rPr>
                      <w:rFonts w:hint="default" w:ascii="Times New Roman" w:hAnsi="Times New Roman" w:eastAsia="宋体" w:cs="Times New Roman"/>
                      <w:color w:val="auto"/>
                      <w:sz w:val="21"/>
                      <w:szCs w:val="21"/>
                      <w:lang w:val="en-US" w:eastAsia="zh-CN" w:bidi="en-US"/>
                    </w:rPr>
                    <w:t>dB（A）</w:t>
                  </w:r>
                </w:p>
              </w:tc>
              <w:tc>
                <w:tcPr>
                  <w:tcW w:w="446" w:type="pct"/>
                  <w:tcBorders>
                    <w:tl2br w:val="nil"/>
                    <w:tr2bl w:val="nil"/>
                  </w:tcBorders>
                  <w:noWrap w:val="0"/>
                  <w:vAlign w:val="center"/>
                </w:tcPr>
                <w:p w14:paraId="0F1A7F82">
                  <w:pPr>
                    <w:keepNext w:val="0"/>
                    <w:keepLines w:val="0"/>
                    <w:suppressLineNumbers w:val="0"/>
                    <w:spacing w:before="0" w:beforeAutospacing="0" w:after="0" w:afterAutospacing="0" w:line="320" w:lineRule="exact"/>
                    <w:ind w:left="0" w:leftChars="0" w:right="0" w:firstLine="0" w:firstLineChars="0"/>
                    <w:jc w:val="center"/>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10</w:t>
                  </w:r>
                </w:p>
              </w:tc>
              <w:tc>
                <w:tcPr>
                  <w:tcW w:w="457" w:type="pct"/>
                  <w:tcBorders>
                    <w:tl2br w:val="nil"/>
                    <w:tr2bl w:val="nil"/>
                  </w:tcBorders>
                  <w:noWrap w:val="0"/>
                  <w:vAlign w:val="center"/>
                </w:tcPr>
                <w:p w14:paraId="6AC1630F">
                  <w:pPr>
                    <w:keepNext w:val="0"/>
                    <w:keepLines w:val="0"/>
                    <w:suppressLineNumbers w:val="0"/>
                    <w:spacing w:before="0" w:beforeAutospacing="0" w:after="0" w:afterAutospacing="0" w:line="320" w:lineRule="exact"/>
                    <w:ind w:left="0" w:leftChars="0" w:right="0" w:firstLine="0" w:firstLineChars="0"/>
                    <w:jc w:val="center"/>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56.9</w:t>
                  </w:r>
                </w:p>
              </w:tc>
              <w:tc>
                <w:tcPr>
                  <w:tcW w:w="400" w:type="pct"/>
                  <w:tcBorders>
                    <w:tl2br w:val="nil"/>
                    <w:tr2bl w:val="nil"/>
                  </w:tcBorders>
                  <w:noWrap w:val="0"/>
                  <w:vAlign w:val="center"/>
                </w:tcPr>
                <w:p w14:paraId="774AEAF5">
                  <w:pPr>
                    <w:keepNext w:val="0"/>
                    <w:keepLines w:val="0"/>
                    <w:suppressLineNumbers w:val="0"/>
                    <w:spacing w:before="0" w:beforeAutospacing="0" w:after="0" w:afterAutospacing="0" w:line="320" w:lineRule="exact"/>
                    <w:ind w:left="0" w:leftChars="0" w:right="0" w:firstLine="0" w:firstLineChars="0"/>
                    <w:jc w:val="center"/>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82</w:t>
                  </w:r>
                </w:p>
              </w:tc>
              <w:tc>
                <w:tcPr>
                  <w:tcW w:w="472" w:type="pct"/>
                  <w:tcBorders>
                    <w:tl2br w:val="nil"/>
                    <w:tr2bl w:val="nil"/>
                  </w:tcBorders>
                  <w:noWrap w:val="0"/>
                  <w:vAlign w:val="center"/>
                </w:tcPr>
                <w:p w14:paraId="5F8BF299">
                  <w:pPr>
                    <w:keepNext w:val="0"/>
                    <w:keepLines w:val="0"/>
                    <w:suppressLineNumbers w:val="0"/>
                    <w:spacing w:before="0" w:beforeAutospacing="0" w:after="0" w:afterAutospacing="0" w:line="320" w:lineRule="exact"/>
                    <w:ind w:left="0" w:leftChars="0" w:right="0" w:firstLine="0" w:firstLineChars="0"/>
                    <w:jc w:val="center"/>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38.6</w:t>
                  </w:r>
                </w:p>
              </w:tc>
              <w:tc>
                <w:tcPr>
                  <w:tcW w:w="453" w:type="pct"/>
                  <w:tcBorders>
                    <w:tl2br w:val="nil"/>
                    <w:tr2bl w:val="nil"/>
                  </w:tcBorders>
                  <w:noWrap w:val="0"/>
                  <w:vAlign w:val="center"/>
                </w:tcPr>
                <w:p w14:paraId="2A0EC15A">
                  <w:pPr>
                    <w:keepNext w:val="0"/>
                    <w:keepLines w:val="0"/>
                    <w:suppressLineNumbers w:val="0"/>
                    <w:spacing w:before="0" w:beforeAutospacing="0" w:after="0" w:afterAutospacing="0" w:line="320" w:lineRule="exact"/>
                    <w:ind w:left="0" w:leftChars="0" w:right="0" w:firstLine="0" w:firstLineChars="0"/>
                    <w:jc w:val="center"/>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22</w:t>
                  </w:r>
                </w:p>
              </w:tc>
              <w:tc>
                <w:tcPr>
                  <w:tcW w:w="482" w:type="pct"/>
                  <w:tcBorders>
                    <w:tl2br w:val="nil"/>
                    <w:tr2bl w:val="nil"/>
                  </w:tcBorders>
                  <w:noWrap w:val="0"/>
                  <w:vAlign w:val="center"/>
                </w:tcPr>
                <w:p w14:paraId="1D088D62">
                  <w:pPr>
                    <w:keepNext w:val="0"/>
                    <w:keepLines w:val="0"/>
                    <w:suppressLineNumbers w:val="0"/>
                    <w:spacing w:before="0" w:beforeAutospacing="0" w:after="0" w:afterAutospacing="0" w:line="320" w:lineRule="exact"/>
                    <w:ind w:left="0" w:leftChars="0" w:right="0" w:firstLine="0" w:firstLineChars="0"/>
                    <w:jc w:val="center"/>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50.1</w:t>
                  </w:r>
                </w:p>
              </w:tc>
              <w:tc>
                <w:tcPr>
                  <w:tcW w:w="355" w:type="pct"/>
                  <w:tcBorders>
                    <w:tl2br w:val="nil"/>
                    <w:tr2bl w:val="nil"/>
                  </w:tcBorders>
                  <w:noWrap w:val="0"/>
                  <w:vAlign w:val="center"/>
                </w:tcPr>
                <w:p w14:paraId="132BA939">
                  <w:pPr>
                    <w:keepNext w:val="0"/>
                    <w:keepLines w:val="0"/>
                    <w:suppressLineNumbers w:val="0"/>
                    <w:spacing w:before="0" w:beforeAutospacing="0" w:after="0" w:afterAutospacing="0" w:line="320" w:lineRule="exact"/>
                    <w:ind w:left="0" w:leftChars="0" w:right="0" w:firstLine="0" w:firstLineChars="0"/>
                    <w:jc w:val="center"/>
                    <w:rPr>
                      <w:rFonts w:hint="default" w:ascii="Times New Roman" w:hAnsi="Times New Roman" w:eastAsia="宋体" w:cs="Times New Roman"/>
                      <w:color w:val="auto"/>
                      <w:sz w:val="21"/>
                      <w:szCs w:val="21"/>
                      <w:lang w:val="en-US" w:eastAsia="zh-CN" w:bidi="en-US"/>
                    </w:rPr>
                  </w:pPr>
                  <w:r>
                    <w:rPr>
                      <w:rFonts w:hint="eastAsia" w:ascii="Times New Roman" w:hAnsi="Times New Roman" w:eastAsia="宋体" w:cs="Times New Roman"/>
                      <w:color w:val="auto"/>
                      <w:sz w:val="21"/>
                      <w:szCs w:val="21"/>
                      <w:lang w:val="en-US" w:eastAsia="zh-CN" w:bidi="en-US"/>
                    </w:rPr>
                    <w:t>6</w:t>
                  </w:r>
                </w:p>
              </w:tc>
              <w:tc>
                <w:tcPr>
                  <w:tcW w:w="470" w:type="pct"/>
                  <w:tcBorders>
                    <w:tl2br w:val="nil"/>
                    <w:tr2bl w:val="nil"/>
                  </w:tcBorders>
                  <w:noWrap w:val="0"/>
                  <w:vAlign w:val="center"/>
                </w:tcPr>
                <w:p w14:paraId="388E757E">
                  <w:pPr>
                    <w:keepNext w:val="0"/>
                    <w:keepLines w:val="0"/>
                    <w:suppressLineNumbers w:val="0"/>
                    <w:spacing w:before="0" w:beforeAutospacing="0" w:after="0" w:afterAutospacing="0" w:line="320" w:lineRule="exact"/>
                    <w:ind w:left="0" w:leftChars="0" w:right="0" w:firstLine="0" w:firstLineChars="0"/>
                    <w:jc w:val="center"/>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61.3</w:t>
                  </w:r>
                </w:p>
              </w:tc>
            </w:tr>
            <w:tr w14:paraId="286C8DF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36" w:hRule="exact"/>
              </w:trPr>
              <w:tc>
                <w:tcPr>
                  <w:tcW w:w="1462" w:type="pct"/>
                  <w:gridSpan w:val="2"/>
                  <w:tcBorders>
                    <w:tl2br w:val="nil"/>
                    <w:tr2bl w:val="nil"/>
                  </w:tcBorders>
                  <w:noWrap w:val="0"/>
                  <w:vAlign w:val="center"/>
                </w:tcPr>
                <w:p w14:paraId="3EB63010">
                  <w:pPr>
                    <w:keepNext w:val="0"/>
                    <w:keepLines w:val="0"/>
                    <w:suppressLineNumbers w:val="0"/>
                    <w:spacing w:before="0" w:beforeAutospacing="0" w:after="0" w:afterAutospacing="0" w:line="320" w:lineRule="exact"/>
                    <w:ind w:left="0" w:leftChars="0" w:right="0" w:firstLine="0" w:firstLineChars="0"/>
                    <w:jc w:val="center"/>
                    <w:rPr>
                      <w:rFonts w:hint="default" w:ascii="Times New Roman" w:hAnsi="Times New Roman" w:eastAsia="宋体" w:cs="Times New Roman"/>
                      <w:color w:val="auto"/>
                      <w:sz w:val="21"/>
                      <w:szCs w:val="21"/>
                      <w:lang w:val="en-US" w:eastAsia="zh-CN" w:bidi="en-US"/>
                    </w:rPr>
                  </w:pPr>
                  <w:r>
                    <w:rPr>
                      <w:rFonts w:hint="eastAsia" w:ascii="Times New Roman" w:hAnsi="Times New Roman" w:eastAsia="宋体" w:cs="Times New Roman"/>
                      <w:color w:val="auto"/>
                      <w:sz w:val="21"/>
                      <w:szCs w:val="21"/>
                      <w:lang w:val="en-US" w:eastAsia="zh-CN" w:bidi="en-US"/>
                    </w:rPr>
                    <w:t>预测值</w:t>
                  </w:r>
                  <w:r>
                    <w:rPr>
                      <w:rFonts w:hint="default" w:ascii="Times New Roman" w:hAnsi="Times New Roman" w:eastAsia="宋体" w:cs="Times New Roman"/>
                      <w:color w:val="auto"/>
                      <w:sz w:val="21"/>
                      <w:szCs w:val="21"/>
                      <w:lang w:val="en-US" w:eastAsia="zh-CN" w:bidi="en-US"/>
                    </w:rPr>
                    <w:t>（dB（A））</w:t>
                  </w:r>
                </w:p>
              </w:tc>
              <w:tc>
                <w:tcPr>
                  <w:tcW w:w="904" w:type="pct"/>
                  <w:gridSpan w:val="2"/>
                  <w:tcBorders>
                    <w:tl2br w:val="nil"/>
                    <w:tr2bl w:val="nil"/>
                  </w:tcBorders>
                  <w:noWrap w:val="0"/>
                  <w:vAlign w:val="center"/>
                </w:tcPr>
                <w:p w14:paraId="53919F7F">
                  <w:pPr>
                    <w:keepNext w:val="0"/>
                    <w:keepLines w:val="0"/>
                    <w:suppressLineNumbers w:val="0"/>
                    <w:spacing w:before="0" w:beforeAutospacing="0" w:after="0" w:afterAutospacing="0" w:line="320" w:lineRule="exact"/>
                    <w:ind w:left="0" w:leftChars="0" w:right="0" w:firstLine="0" w:firstLineChars="0"/>
                    <w:jc w:val="center"/>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56.9</w:t>
                  </w:r>
                </w:p>
              </w:tc>
              <w:tc>
                <w:tcPr>
                  <w:tcW w:w="872" w:type="pct"/>
                  <w:gridSpan w:val="2"/>
                  <w:tcBorders>
                    <w:tl2br w:val="nil"/>
                    <w:tr2bl w:val="nil"/>
                  </w:tcBorders>
                  <w:noWrap w:val="0"/>
                  <w:vAlign w:val="center"/>
                </w:tcPr>
                <w:p w14:paraId="521F92E1">
                  <w:pPr>
                    <w:keepNext w:val="0"/>
                    <w:keepLines w:val="0"/>
                    <w:suppressLineNumbers w:val="0"/>
                    <w:spacing w:before="0" w:beforeAutospacing="0" w:after="0" w:afterAutospacing="0" w:line="320" w:lineRule="exact"/>
                    <w:ind w:left="0" w:leftChars="0" w:right="0" w:firstLine="0" w:firstLineChars="0"/>
                    <w:jc w:val="center"/>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38.6</w:t>
                  </w:r>
                </w:p>
              </w:tc>
              <w:tc>
                <w:tcPr>
                  <w:tcW w:w="935" w:type="pct"/>
                  <w:gridSpan w:val="2"/>
                  <w:tcBorders>
                    <w:tl2br w:val="nil"/>
                    <w:tr2bl w:val="nil"/>
                  </w:tcBorders>
                  <w:noWrap w:val="0"/>
                  <w:vAlign w:val="center"/>
                </w:tcPr>
                <w:p w14:paraId="18B437E1">
                  <w:pPr>
                    <w:keepNext w:val="0"/>
                    <w:keepLines w:val="0"/>
                    <w:suppressLineNumbers w:val="0"/>
                    <w:spacing w:before="0" w:beforeAutospacing="0" w:after="0" w:afterAutospacing="0" w:line="320" w:lineRule="exact"/>
                    <w:ind w:left="0" w:leftChars="0" w:right="0" w:firstLine="0" w:firstLineChars="0"/>
                    <w:jc w:val="center"/>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50.1</w:t>
                  </w:r>
                </w:p>
              </w:tc>
              <w:tc>
                <w:tcPr>
                  <w:tcW w:w="825" w:type="pct"/>
                  <w:gridSpan w:val="2"/>
                  <w:tcBorders>
                    <w:tl2br w:val="nil"/>
                    <w:tr2bl w:val="nil"/>
                  </w:tcBorders>
                  <w:noWrap w:val="0"/>
                  <w:vAlign w:val="center"/>
                </w:tcPr>
                <w:p w14:paraId="0301F9FE">
                  <w:pPr>
                    <w:keepNext w:val="0"/>
                    <w:keepLines w:val="0"/>
                    <w:suppressLineNumbers w:val="0"/>
                    <w:spacing w:before="0" w:beforeAutospacing="0" w:after="0" w:afterAutospacing="0" w:line="320" w:lineRule="exact"/>
                    <w:ind w:left="0" w:leftChars="0" w:right="0" w:firstLine="0" w:firstLineChars="0"/>
                    <w:jc w:val="center"/>
                    <w:rPr>
                      <w:rFonts w:hint="default" w:ascii="Times New Roman" w:hAnsi="Times New Roman" w:eastAsia="宋体" w:cs="Times New Roman"/>
                      <w:color w:val="auto"/>
                      <w:sz w:val="21"/>
                      <w:szCs w:val="21"/>
                      <w:lang w:val="en-US" w:eastAsia="zh-CN" w:bidi="en-US"/>
                    </w:rPr>
                  </w:pPr>
                  <w:r>
                    <w:rPr>
                      <w:rFonts w:hint="eastAsia" w:cs="Times New Roman"/>
                      <w:color w:val="auto"/>
                      <w:sz w:val="21"/>
                      <w:szCs w:val="21"/>
                      <w:lang w:val="en-US" w:eastAsia="zh-CN" w:bidi="en-US"/>
                    </w:rPr>
                    <w:t>61.3</w:t>
                  </w:r>
                </w:p>
              </w:tc>
            </w:tr>
            <w:tr w14:paraId="1ED94E4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36" w:hRule="exact"/>
              </w:trPr>
              <w:tc>
                <w:tcPr>
                  <w:tcW w:w="1462" w:type="pct"/>
                  <w:gridSpan w:val="2"/>
                  <w:tcBorders>
                    <w:tl2br w:val="nil"/>
                    <w:tr2bl w:val="nil"/>
                  </w:tcBorders>
                  <w:noWrap w:val="0"/>
                  <w:vAlign w:val="center"/>
                </w:tcPr>
                <w:p w14:paraId="40176853">
                  <w:pPr>
                    <w:keepNext w:val="0"/>
                    <w:keepLines w:val="0"/>
                    <w:suppressLineNumbers w:val="0"/>
                    <w:spacing w:before="0" w:beforeAutospacing="0" w:after="0" w:afterAutospacing="0" w:line="320" w:lineRule="exact"/>
                    <w:ind w:left="0" w:leftChars="0" w:right="0" w:firstLine="0" w:firstLineChars="0"/>
                    <w:jc w:val="center"/>
                    <w:rPr>
                      <w:rFonts w:hint="default" w:ascii="Times New Roman" w:hAnsi="Times New Roman" w:eastAsia="宋体" w:cs="Times New Roman"/>
                      <w:color w:val="auto"/>
                      <w:sz w:val="21"/>
                      <w:szCs w:val="21"/>
                      <w:lang w:val="en-US" w:eastAsia="zh-CN" w:bidi="en-US"/>
                    </w:rPr>
                  </w:pPr>
                  <w:r>
                    <w:rPr>
                      <w:rFonts w:hint="default" w:ascii="Times New Roman" w:hAnsi="Times New Roman" w:eastAsia="宋体" w:cs="Times New Roman"/>
                      <w:color w:val="auto"/>
                      <w:sz w:val="21"/>
                      <w:szCs w:val="21"/>
                      <w:lang w:val="en-US" w:eastAsia="zh-CN" w:bidi="en-US"/>
                    </w:rPr>
                    <w:t>标准值（dB（A））</w:t>
                  </w:r>
                </w:p>
              </w:tc>
              <w:tc>
                <w:tcPr>
                  <w:tcW w:w="904" w:type="pct"/>
                  <w:gridSpan w:val="2"/>
                  <w:tcBorders>
                    <w:tl2br w:val="nil"/>
                    <w:tr2bl w:val="nil"/>
                  </w:tcBorders>
                  <w:noWrap w:val="0"/>
                  <w:vAlign w:val="center"/>
                </w:tcPr>
                <w:p w14:paraId="34D852F3">
                  <w:pPr>
                    <w:keepNext w:val="0"/>
                    <w:keepLines w:val="0"/>
                    <w:suppressLineNumbers w:val="0"/>
                    <w:spacing w:before="0" w:beforeAutospacing="0" w:after="0" w:afterAutospacing="0" w:line="320" w:lineRule="exact"/>
                    <w:ind w:left="0" w:leftChars="0" w:right="0" w:firstLine="0" w:firstLineChars="0"/>
                    <w:jc w:val="center"/>
                    <w:rPr>
                      <w:rFonts w:hint="default" w:ascii="Times New Roman" w:hAnsi="Times New Roman" w:eastAsia="宋体" w:cs="Times New Roman"/>
                      <w:color w:val="auto"/>
                      <w:sz w:val="21"/>
                      <w:szCs w:val="21"/>
                      <w:lang w:val="en-US" w:eastAsia="zh-CN" w:bidi="en-US"/>
                    </w:rPr>
                  </w:pPr>
                  <w:r>
                    <w:rPr>
                      <w:rFonts w:hint="default" w:ascii="Times New Roman" w:hAnsi="Times New Roman" w:eastAsia="宋体" w:cs="Times New Roman"/>
                      <w:color w:val="auto"/>
                      <w:sz w:val="21"/>
                      <w:szCs w:val="21"/>
                      <w:lang w:val="en-US" w:eastAsia="zh-CN" w:bidi="en-US"/>
                    </w:rPr>
                    <w:t>6</w:t>
                  </w:r>
                  <w:r>
                    <w:rPr>
                      <w:rFonts w:hint="eastAsia" w:ascii="Times New Roman" w:hAnsi="Times New Roman" w:eastAsia="宋体" w:cs="Times New Roman"/>
                      <w:color w:val="auto"/>
                      <w:sz w:val="21"/>
                      <w:szCs w:val="21"/>
                      <w:lang w:val="en-US" w:eastAsia="zh-CN" w:bidi="en-US"/>
                    </w:rPr>
                    <w:t>5/55</w:t>
                  </w:r>
                </w:p>
              </w:tc>
              <w:tc>
                <w:tcPr>
                  <w:tcW w:w="872" w:type="pct"/>
                  <w:gridSpan w:val="2"/>
                  <w:tcBorders>
                    <w:tl2br w:val="nil"/>
                    <w:tr2bl w:val="nil"/>
                  </w:tcBorders>
                  <w:noWrap w:val="0"/>
                  <w:vAlign w:val="center"/>
                </w:tcPr>
                <w:p w14:paraId="2D99D442">
                  <w:pPr>
                    <w:keepNext w:val="0"/>
                    <w:keepLines w:val="0"/>
                    <w:suppressLineNumbers w:val="0"/>
                    <w:spacing w:before="0" w:beforeAutospacing="0" w:after="0" w:afterAutospacing="0" w:line="320" w:lineRule="exact"/>
                    <w:ind w:left="0" w:leftChars="0" w:right="0" w:firstLine="0" w:firstLineChars="0"/>
                    <w:jc w:val="center"/>
                    <w:rPr>
                      <w:rFonts w:hint="default" w:ascii="Times New Roman" w:hAnsi="Times New Roman" w:eastAsia="宋体" w:cs="Times New Roman"/>
                      <w:color w:val="auto"/>
                      <w:sz w:val="21"/>
                      <w:szCs w:val="21"/>
                      <w:lang w:val="en-US" w:eastAsia="zh-CN" w:bidi="en-US"/>
                    </w:rPr>
                  </w:pPr>
                  <w:r>
                    <w:rPr>
                      <w:rFonts w:hint="default" w:ascii="Times New Roman" w:hAnsi="Times New Roman" w:eastAsia="宋体" w:cs="Times New Roman"/>
                      <w:color w:val="auto"/>
                      <w:sz w:val="21"/>
                      <w:szCs w:val="21"/>
                      <w:lang w:val="en-US" w:eastAsia="zh-CN" w:bidi="en-US"/>
                    </w:rPr>
                    <w:t>6</w:t>
                  </w:r>
                  <w:r>
                    <w:rPr>
                      <w:rFonts w:hint="eastAsia" w:ascii="Times New Roman" w:hAnsi="Times New Roman" w:eastAsia="宋体" w:cs="Times New Roman"/>
                      <w:color w:val="auto"/>
                      <w:sz w:val="21"/>
                      <w:szCs w:val="21"/>
                      <w:lang w:val="en-US" w:eastAsia="zh-CN" w:bidi="en-US"/>
                    </w:rPr>
                    <w:t>5/55</w:t>
                  </w:r>
                </w:p>
              </w:tc>
              <w:tc>
                <w:tcPr>
                  <w:tcW w:w="935" w:type="pct"/>
                  <w:gridSpan w:val="2"/>
                  <w:tcBorders>
                    <w:tl2br w:val="nil"/>
                    <w:tr2bl w:val="nil"/>
                  </w:tcBorders>
                  <w:noWrap w:val="0"/>
                  <w:vAlign w:val="center"/>
                </w:tcPr>
                <w:p w14:paraId="26CF02C4">
                  <w:pPr>
                    <w:keepNext w:val="0"/>
                    <w:keepLines w:val="0"/>
                    <w:suppressLineNumbers w:val="0"/>
                    <w:spacing w:before="0" w:beforeAutospacing="0" w:after="0" w:afterAutospacing="0" w:line="320" w:lineRule="exact"/>
                    <w:ind w:left="0" w:leftChars="0" w:right="0" w:firstLine="0" w:firstLineChars="0"/>
                    <w:jc w:val="center"/>
                    <w:rPr>
                      <w:rFonts w:hint="default" w:ascii="Times New Roman" w:hAnsi="Times New Roman" w:eastAsia="宋体" w:cs="Times New Roman"/>
                      <w:color w:val="auto"/>
                      <w:sz w:val="21"/>
                      <w:szCs w:val="21"/>
                      <w:lang w:val="en-US" w:eastAsia="zh-CN" w:bidi="en-US"/>
                    </w:rPr>
                  </w:pPr>
                  <w:r>
                    <w:rPr>
                      <w:rFonts w:hint="default" w:ascii="Times New Roman" w:hAnsi="Times New Roman" w:eastAsia="宋体" w:cs="Times New Roman"/>
                      <w:color w:val="auto"/>
                      <w:sz w:val="21"/>
                      <w:szCs w:val="21"/>
                      <w:lang w:val="en-US" w:eastAsia="zh-CN" w:bidi="en-US"/>
                    </w:rPr>
                    <w:t>6</w:t>
                  </w:r>
                  <w:r>
                    <w:rPr>
                      <w:rFonts w:hint="eastAsia" w:ascii="Times New Roman" w:hAnsi="Times New Roman" w:eastAsia="宋体" w:cs="Times New Roman"/>
                      <w:color w:val="auto"/>
                      <w:sz w:val="21"/>
                      <w:szCs w:val="21"/>
                      <w:lang w:val="en-US" w:eastAsia="zh-CN" w:bidi="en-US"/>
                    </w:rPr>
                    <w:t>5/55</w:t>
                  </w:r>
                </w:p>
              </w:tc>
              <w:tc>
                <w:tcPr>
                  <w:tcW w:w="825" w:type="pct"/>
                  <w:gridSpan w:val="2"/>
                  <w:tcBorders>
                    <w:tl2br w:val="nil"/>
                    <w:tr2bl w:val="nil"/>
                  </w:tcBorders>
                  <w:noWrap w:val="0"/>
                  <w:vAlign w:val="center"/>
                </w:tcPr>
                <w:p w14:paraId="360E88A1">
                  <w:pPr>
                    <w:keepNext w:val="0"/>
                    <w:keepLines w:val="0"/>
                    <w:suppressLineNumbers w:val="0"/>
                    <w:spacing w:before="0" w:beforeAutospacing="0" w:after="0" w:afterAutospacing="0" w:line="320" w:lineRule="exact"/>
                    <w:ind w:left="0" w:leftChars="0" w:right="0" w:firstLine="0" w:firstLineChars="0"/>
                    <w:jc w:val="center"/>
                    <w:rPr>
                      <w:rFonts w:hint="default" w:ascii="Times New Roman" w:hAnsi="Times New Roman" w:eastAsia="宋体" w:cs="Times New Roman"/>
                      <w:color w:val="auto"/>
                      <w:sz w:val="21"/>
                      <w:szCs w:val="21"/>
                      <w:lang w:val="en-US" w:eastAsia="zh-CN" w:bidi="en-US"/>
                    </w:rPr>
                  </w:pPr>
                  <w:r>
                    <w:rPr>
                      <w:rFonts w:hint="default" w:ascii="Times New Roman" w:hAnsi="Times New Roman" w:eastAsia="宋体" w:cs="Times New Roman"/>
                      <w:color w:val="auto"/>
                      <w:sz w:val="21"/>
                      <w:szCs w:val="21"/>
                      <w:lang w:val="en-US" w:eastAsia="zh-CN" w:bidi="en-US"/>
                    </w:rPr>
                    <w:t>6</w:t>
                  </w:r>
                  <w:r>
                    <w:rPr>
                      <w:rFonts w:hint="eastAsia" w:ascii="Times New Roman" w:hAnsi="Times New Roman" w:eastAsia="宋体" w:cs="Times New Roman"/>
                      <w:color w:val="auto"/>
                      <w:sz w:val="21"/>
                      <w:szCs w:val="21"/>
                      <w:lang w:val="en-US" w:eastAsia="zh-CN" w:bidi="en-US"/>
                    </w:rPr>
                    <w:t>5/55</w:t>
                  </w:r>
                </w:p>
              </w:tc>
            </w:tr>
          </w:tbl>
          <w:p w14:paraId="10D66A41">
            <w:pPr>
              <w:keepNext w:val="0"/>
              <w:keepLines w:val="0"/>
              <w:suppressLineNumbers w:val="0"/>
              <w:spacing w:before="0" w:beforeAutospacing="0" w:after="0" w:afterAutospacing="0" w:line="360" w:lineRule="auto"/>
              <w:ind w:left="0" w:right="0" w:firstLine="480" w:firstLineChars="200"/>
              <w:rPr>
                <w:rFonts w:hint="default" w:eastAsia="宋体"/>
                <w:color w:val="auto"/>
                <w:sz w:val="24"/>
                <w:highlight w:val="none"/>
                <w:lang w:val="en-US" w:eastAsia="zh-CN"/>
              </w:rPr>
            </w:pPr>
            <w:r>
              <w:rPr>
                <w:rFonts w:hint="eastAsia"/>
                <w:color w:val="auto"/>
                <w:sz w:val="24"/>
                <w:highlight w:val="none"/>
                <w:lang w:val="en-US" w:eastAsia="zh-CN"/>
              </w:rPr>
              <w:t>根据企业工作时间段，企业夜间不生产，</w:t>
            </w:r>
            <w:r>
              <w:rPr>
                <w:rFonts w:hint="default"/>
                <w:color w:val="auto"/>
                <w:sz w:val="24"/>
                <w:highlight w:val="none"/>
              </w:rPr>
              <w:t>从表4-</w:t>
            </w:r>
            <w:r>
              <w:rPr>
                <w:rFonts w:hint="eastAsia"/>
                <w:color w:val="auto"/>
                <w:sz w:val="24"/>
                <w:highlight w:val="none"/>
                <w:lang w:val="en-US" w:eastAsia="zh-CN"/>
              </w:rPr>
              <w:t>12</w:t>
            </w:r>
            <w:r>
              <w:rPr>
                <w:rFonts w:hint="default"/>
                <w:color w:val="auto"/>
                <w:sz w:val="24"/>
                <w:highlight w:val="none"/>
              </w:rPr>
              <w:t>可知，项目</w:t>
            </w:r>
            <w:r>
              <w:rPr>
                <w:rFonts w:hint="eastAsia"/>
                <w:color w:val="auto"/>
                <w:sz w:val="24"/>
                <w:highlight w:val="none"/>
                <w:lang w:val="en-US" w:eastAsia="zh-CN"/>
              </w:rPr>
              <w:t>厂界</w:t>
            </w:r>
            <w:r>
              <w:rPr>
                <w:rFonts w:hint="default"/>
                <w:color w:val="auto"/>
                <w:sz w:val="24"/>
                <w:highlight w:val="none"/>
              </w:rPr>
              <w:t>噪声均可达《工业企业厂界环境噪声排放标准》（GB12348-2008）</w:t>
            </w:r>
            <w:r>
              <w:rPr>
                <w:rFonts w:hint="eastAsia"/>
                <w:color w:val="auto"/>
                <w:sz w:val="24"/>
                <w:highlight w:val="none"/>
                <w:lang w:val="en-US" w:eastAsia="zh-CN"/>
              </w:rPr>
              <w:t>3</w:t>
            </w:r>
            <w:r>
              <w:rPr>
                <w:rFonts w:hint="default"/>
                <w:color w:val="auto"/>
                <w:sz w:val="24"/>
                <w:highlight w:val="none"/>
              </w:rPr>
              <w:t>类标准要求</w:t>
            </w:r>
            <w:r>
              <w:rPr>
                <w:rFonts w:hint="eastAsia"/>
                <w:color w:val="auto"/>
                <w:sz w:val="24"/>
                <w:highlight w:val="none"/>
                <w:lang w:val="en-US" w:eastAsia="zh-CN"/>
              </w:rPr>
              <w:t>。</w:t>
            </w:r>
          </w:p>
          <w:p w14:paraId="66CD7926">
            <w:pPr>
              <w:keepNext w:val="0"/>
              <w:keepLines w:val="0"/>
              <w:suppressLineNumbers w:val="0"/>
              <w:spacing w:before="0" w:beforeAutospacing="0" w:after="0" w:afterAutospacing="0" w:line="360" w:lineRule="auto"/>
              <w:ind w:left="0" w:right="0" w:firstLine="480" w:firstLineChars="200"/>
              <w:rPr>
                <w:rFonts w:hint="default"/>
                <w:color w:val="auto"/>
                <w:sz w:val="24"/>
                <w:szCs w:val="22"/>
                <w:highlight w:val="none"/>
                <w:lang w:val="zh-CN"/>
              </w:rPr>
            </w:pPr>
            <w:r>
              <w:rPr>
                <w:rFonts w:hint="eastAsia"/>
                <w:color w:val="auto"/>
                <w:sz w:val="24"/>
                <w:szCs w:val="22"/>
                <w:highlight w:val="none"/>
                <w:lang w:val="zh-CN"/>
              </w:rPr>
              <w:t>（</w:t>
            </w:r>
            <w:r>
              <w:rPr>
                <w:rFonts w:hint="eastAsia"/>
                <w:color w:val="auto"/>
                <w:sz w:val="24"/>
                <w:szCs w:val="22"/>
                <w:highlight w:val="none"/>
              </w:rPr>
              <w:t>3</w:t>
            </w:r>
            <w:r>
              <w:rPr>
                <w:rFonts w:hint="eastAsia"/>
                <w:color w:val="auto"/>
                <w:sz w:val="24"/>
                <w:szCs w:val="22"/>
                <w:highlight w:val="none"/>
                <w:lang w:val="zh-CN"/>
              </w:rPr>
              <w:t>）</w:t>
            </w:r>
            <w:r>
              <w:rPr>
                <w:rFonts w:hint="default"/>
                <w:color w:val="auto"/>
                <w:sz w:val="24"/>
                <w:szCs w:val="22"/>
                <w:highlight w:val="none"/>
                <w:lang w:val="zh-CN"/>
              </w:rPr>
              <w:t>为进一步降低项目对所在地声环境的影响，建设单位可采取以下措施：</w:t>
            </w:r>
          </w:p>
          <w:p w14:paraId="7B46453A">
            <w:pPr>
              <w:keepNext w:val="0"/>
              <w:keepLines w:val="0"/>
              <w:suppressLineNumbers w:val="0"/>
              <w:spacing w:before="0" w:beforeAutospacing="0" w:after="0" w:afterAutospacing="0" w:line="360" w:lineRule="auto"/>
              <w:ind w:left="0" w:right="0" w:firstLine="480" w:firstLineChars="200"/>
              <w:rPr>
                <w:rFonts w:hint="eastAsia"/>
                <w:color w:val="auto"/>
                <w:sz w:val="24"/>
                <w:szCs w:val="22"/>
                <w:highlight w:val="none"/>
                <w:lang w:val="zh-CN" w:eastAsia="zh-CN"/>
              </w:rPr>
            </w:pPr>
            <w:r>
              <w:rPr>
                <w:rFonts w:hint="eastAsia"/>
                <w:color w:val="auto"/>
                <w:sz w:val="24"/>
                <w:szCs w:val="22"/>
                <w:highlight w:val="none"/>
                <w:lang w:val="en-US" w:eastAsia="zh-CN"/>
              </w:rPr>
              <w:t>1）</w:t>
            </w:r>
            <w:r>
              <w:rPr>
                <w:rFonts w:hint="eastAsia"/>
                <w:color w:val="auto"/>
                <w:sz w:val="24"/>
                <w:szCs w:val="22"/>
                <w:highlight w:val="none"/>
                <w:lang w:val="zh-CN" w:eastAsia="zh-CN"/>
              </w:rPr>
              <w:t>在设备选型注意选择低噪声设备。在设备布局中除了满足工艺要求，考虑利用地形建筑物等障碍物降低噪声。</w:t>
            </w:r>
          </w:p>
          <w:p w14:paraId="1BCE2162">
            <w:pPr>
              <w:keepNext w:val="0"/>
              <w:keepLines w:val="0"/>
              <w:suppressLineNumbers w:val="0"/>
              <w:spacing w:before="0" w:beforeAutospacing="0" w:after="0" w:afterAutospacing="0" w:line="360" w:lineRule="auto"/>
              <w:ind w:left="0" w:right="0" w:firstLine="480" w:firstLineChars="200"/>
              <w:rPr>
                <w:rFonts w:hint="eastAsia"/>
                <w:color w:val="auto"/>
                <w:sz w:val="24"/>
                <w:szCs w:val="22"/>
                <w:highlight w:val="none"/>
                <w:lang w:val="zh-CN" w:eastAsia="zh-CN"/>
              </w:rPr>
            </w:pPr>
            <w:r>
              <w:rPr>
                <w:rFonts w:hint="eastAsia"/>
                <w:color w:val="auto"/>
                <w:sz w:val="24"/>
                <w:szCs w:val="22"/>
                <w:highlight w:val="none"/>
                <w:lang w:val="en-US" w:eastAsia="zh-CN"/>
              </w:rPr>
              <w:t>2）</w:t>
            </w:r>
            <w:r>
              <w:rPr>
                <w:rFonts w:hint="eastAsia"/>
                <w:color w:val="auto"/>
                <w:sz w:val="24"/>
                <w:szCs w:val="22"/>
                <w:highlight w:val="none"/>
                <w:lang w:val="zh-CN" w:eastAsia="zh-CN"/>
              </w:rPr>
              <w:t>设备的安装采用减振处理，风机可以安装消声器，风管连接采用软接；管道的固定要防止共振。</w:t>
            </w:r>
          </w:p>
          <w:p w14:paraId="6978BB62">
            <w:pPr>
              <w:keepNext w:val="0"/>
              <w:keepLines w:val="0"/>
              <w:suppressLineNumbers w:val="0"/>
              <w:spacing w:before="0" w:beforeAutospacing="0" w:after="0" w:afterAutospacing="0" w:line="360" w:lineRule="auto"/>
              <w:ind w:left="0" w:right="0" w:firstLine="480" w:firstLineChars="200"/>
              <w:rPr>
                <w:rFonts w:hint="eastAsia"/>
                <w:color w:val="auto"/>
                <w:sz w:val="24"/>
                <w:szCs w:val="22"/>
                <w:highlight w:val="none"/>
                <w:lang w:val="zh-CN" w:eastAsia="zh-CN"/>
              </w:rPr>
            </w:pPr>
            <w:r>
              <w:rPr>
                <w:rFonts w:hint="eastAsia"/>
                <w:color w:val="auto"/>
                <w:sz w:val="24"/>
                <w:szCs w:val="22"/>
                <w:highlight w:val="none"/>
                <w:lang w:val="en-US" w:eastAsia="zh-CN"/>
              </w:rPr>
              <w:t>3）</w:t>
            </w:r>
            <w:r>
              <w:rPr>
                <w:rFonts w:hint="eastAsia"/>
                <w:color w:val="auto"/>
                <w:sz w:val="24"/>
                <w:szCs w:val="22"/>
                <w:highlight w:val="none"/>
                <w:lang w:val="zh-CN" w:eastAsia="zh-CN"/>
              </w:rPr>
              <w:t>维护好设备，使之保持良好的工作状态、加强设备润滑等措施降低生产设备噪声。</w:t>
            </w:r>
          </w:p>
          <w:p w14:paraId="76572ED5">
            <w:pPr>
              <w:keepNext w:val="0"/>
              <w:keepLines w:val="0"/>
              <w:suppressLineNumbers w:val="0"/>
              <w:spacing w:before="0" w:beforeAutospacing="0" w:after="0" w:afterAutospacing="0" w:line="360" w:lineRule="auto"/>
              <w:ind w:left="0" w:right="0" w:firstLine="480" w:firstLineChars="200"/>
              <w:rPr>
                <w:rFonts w:hint="eastAsia"/>
                <w:color w:val="auto"/>
                <w:sz w:val="24"/>
                <w:szCs w:val="22"/>
                <w:highlight w:val="none"/>
                <w:lang w:val="zh-CN" w:eastAsia="zh-CN"/>
              </w:rPr>
            </w:pPr>
            <w:r>
              <w:rPr>
                <w:rFonts w:hint="eastAsia"/>
                <w:color w:val="auto"/>
                <w:sz w:val="24"/>
                <w:szCs w:val="22"/>
                <w:highlight w:val="none"/>
                <w:lang w:val="en-US" w:eastAsia="zh-CN"/>
              </w:rPr>
              <w:t>4）</w:t>
            </w:r>
            <w:r>
              <w:rPr>
                <w:rFonts w:hint="eastAsia"/>
                <w:color w:val="auto"/>
                <w:sz w:val="24"/>
                <w:szCs w:val="22"/>
                <w:highlight w:val="none"/>
                <w:lang w:val="zh-CN" w:eastAsia="zh-CN"/>
              </w:rPr>
              <w:t>注意关好门窗，是有效的降噪办法。</w:t>
            </w:r>
          </w:p>
          <w:p w14:paraId="0D93D730">
            <w:pPr>
              <w:keepNext w:val="0"/>
              <w:keepLines w:val="0"/>
              <w:suppressLineNumbers w:val="0"/>
              <w:spacing w:before="0" w:beforeAutospacing="0" w:after="0" w:afterAutospacing="0" w:line="360" w:lineRule="auto"/>
              <w:ind w:left="0" w:right="0" w:firstLine="480" w:firstLineChars="200"/>
              <w:rPr>
                <w:rFonts w:hint="eastAsia"/>
                <w:color w:val="auto"/>
                <w:sz w:val="24"/>
                <w:szCs w:val="22"/>
                <w:highlight w:val="none"/>
                <w:lang w:val="zh-CN" w:eastAsia="zh-CN"/>
              </w:rPr>
            </w:pPr>
            <w:r>
              <w:rPr>
                <w:rFonts w:hint="eastAsia"/>
                <w:color w:val="auto"/>
                <w:sz w:val="24"/>
                <w:szCs w:val="22"/>
                <w:highlight w:val="none"/>
                <w:lang w:val="en-US" w:eastAsia="zh-CN"/>
              </w:rPr>
              <w:t>5）</w:t>
            </w:r>
            <w:r>
              <w:rPr>
                <w:rFonts w:hint="eastAsia"/>
                <w:color w:val="auto"/>
                <w:sz w:val="24"/>
                <w:szCs w:val="22"/>
                <w:highlight w:val="none"/>
                <w:lang w:val="zh-CN" w:eastAsia="zh-CN"/>
              </w:rPr>
              <w:t>加强厂区绿化，特别是靠近项目敏感点的一边，以对噪声起到阻挡的作用。</w:t>
            </w:r>
          </w:p>
          <w:p w14:paraId="094A7FA8">
            <w:pPr>
              <w:keepNext w:val="0"/>
              <w:keepLines w:val="0"/>
              <w:suppressLineNumbers w:val="0"/>
              <w:spacing w:before="0" w:beforeAutospacing="0" w:after="0" w:afterAutospacing="0" w:line="360" w:lineRule="auto"/>
              <w:ind w:left="0" w:right="0" w:firstLine="480" w:firstLineChars="200"/>
              <w:rPr>
                <w:rFonts w:hint="eastAsia"/>
                <w:color w:val="auto"/>
                <w:sz w:val="24"/>
                <w:szCs w:val="22"/>
                <w:highlight w:val="none"/>
                <w:lang w:val="zh-CN" w:eastAsia="zh-CN"/>
              </w:rPr>
            </w:pPr>
            <w:r>
              <w:rPr>
                <w:rFonts w:hint="eastAsia"/>
                <w:color w:val="auto"/>
                <w:sz w:val="24"/>
                <w:szCs w:val="22"/>
                <w:highlight w:val="none"/>
                <w:lang w:val="en-US" w:eastAsia="zh-CN"/>
              </w:rPr>
              <w:t>6）</w:t>
            </w:r>
            <w:r>
              <w:rPr>
                <w:rFonts w:hint="eastAsia"/>
                <w:color w:val="auto"/>
                <w:sz w:val="24"/>
                <w:szCs w:val="22"/>
                <w:highlight w:val="none"/>
                <w:lang w:val="zh-CN" w:eastAsia="zh-CN"/>
              </w:rPr>
              <w:t>加强高噪声设备日常检修、维护工作，保证设备的正常运行工况。</w:t>
            </w:r>
          </w:p>
          <w:p w14:paraId="0C60C6B9">
            <w:pPr>
              <w:keepNext w:val="0"/>
              <w:keepLines w:val="0"/>
              <w:suppressLineNumbers w:val="0"/>
              <w:spacing w:before="0" w:beforeAutospacing="0" w:after="0" w:afterAutospacing="0" w:line="360" w:lineRule="auto"/>
              <w:ind w:left="0" w:right="0" w:firstLine="480" w:firstLineChars="200"/>
              <w:rPr>
                <w:rFonts w:hint="default"/>
                <w:color w:val="auto"/>
                <w:sz w:val="24"/>
                <w:highlight w:val="none"/>
              </w:rPr>
            </w:pPr>
            <w:r>
              <w:rPr>
                <w:rFonts w:hint="default"/>
                <w:color w:val="auto"/>
                <w:sz w:val="24"/>
                <w:highlight w:val="none"/>
              </w:rPr>
              <w:t>从总体上来说</w:t>
            </w:r>
            <w:r>
              <w:rPr>
                <w:rFonts w:hint="eastAsia"/>
                <w:color w:val="auto"/>
                <w:sz w:val="24"/>
                <w:highlight w:val="none"/>
              </w:rPr>
              <w:t>，</w:t>
            </w:r>
            <w:r>
              <w:rPr>
                <w:rFonts w:hint="eastAsia"/>
                <w:color w:val="auto"/>
                <w:sz w:val="24"/>
                <w:highlight w:val="none"/>
                <w:lang w:eastAsia="zh-CN"/>
              </w:rPr>
              <w:t>企业</w:t>
            </w:r>
            <w:r>
              <w:rPr>
                <w:rFonts w:hint="default"/>
                <w:color w:val="auto"/>
                <w:sz w:val="24"/>
                <w:highlight w:val="none"/>
              </w:rPr>
              <w:t>切实落实本评价所提各</w:t>
            </w:r>
            <w:r>
              <w:rPr>
                <w:rFonts w:hint="eastAsia"/>
                <w:color w:val="auto"/>
                <w:sz w:val="24"/>
                <w:highlight w:val="none"/>
                <w:lang w:eastAsia="zh-CN"/>
              </w:rPr>
              <w:t>项</w:t>
            </w:r>
            <w:r>
              <w:rPr>
                <w:rFonts w:hint="default"/>
                <w:color w:val="auto"/>
                <w:sz w:val="24"/>
                <w:highlight w:val="none"/>
              </w:rPr>
              <w:t>措施，可以认为本项目产生噪声对外环境影响较小。</w:t>
            </w:r>
          </w:p>
          <w:p w14:paraId="2DB0B48F">
            <w:pPr>
              <w:keepNext w:val="0"/>
              <w:keepLines w:val="0"/>
              <w:suppressLineNumbers w:val="0"/>
              <w:adjustRightInd w:val="0"/>
              <w:snapToGrid w:val="0"/>
              <w:spacing w:before="0" w:beforeAutospacing="0" w:after="0" w:afterAutospacing="0" w:line="360" w:lineRule="auto"/>
              <w:ind w:left="0" w:right="0" w:firstLine="480" w:firstLineChars="200"/>
              <w:rPr>
                <w:rFonts w:hint="default" w:hAnsi="宋体"/>
                <w:color w:val="auto"/>
                <w:sz w:val="24"/>
                <w:highlight w:val="none"/>
              </w:rPr>
            </w:pPr>
            <w:r>
              <w:rPr>
                <w:rFonts w:hint="eastAsia" w:hAnsi="宋体"/>
                <w:color w:val="auto"/>
                <w:sz w:val="24"/>
                <w:highlight w:val="none"/>
                <w:lang w:eastAsia="zh-CN"/>
              </w:rPr>
              <w:t>（</w:t>
            </w:r>
            <w:r>
              <w:rPr>
                <w:rFonts w:hint="eastAsia" w:hAnsi="宋体"/>
                <w:color w:val="auto"/>
                <w:sz w:val="24"/>
                <w:highlight w:val="none"/>
                <w:lang w:val="en-US" w:eastAsia="zh-CN"/>
              </w:rPr>
              <w:t>4</w:t>
            </w:r>
            <w:r>
              <w:rPr>
                <w:rFonts w:hint="eastAsia" w:hAnsi="宋体"/>
                <w:color w:val="auto"/>
                <w:sz w:val="24"/>
                <w:highlight w:val="none"/>
                <w:lang w:eastAsia="zh-CN"/>
              </w:rPr>
              <w:t>）</w:t>
            </w:r>
            <w:r>
              <w:rPr>
                <w:rFonts w:hint="default" w:hAnsi="宋体"/>
                <w:color w:val="auto"/>
                <w:sz w:val="24"/>
                <w:highlight w:val="none"/>
              </w:rPr>
              <w:t>监测计划</w:t>
            </w:r>
          </w:p>
          <w:p w14:paraId="7D02CF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cs="Times New Roman"/>
                <w:color w:val="auto"/>
                <w:sz w:val="24"/>
                <w:szCs w:val="24"/>
                <w:highlight w:val="none"/>
                <w:lang w:val="en-US" w:eastAsia="zh-CN"/>
              </w:rPr>
            </w:pPr>
            <w:r>
              <w:rPr>
                <w:rFonts w:hint="eastAsia" w:cs="Times New Roman"/>
                <w:color w:val="auto"/>
                <w:sz w:val="24"/>
                <w:szCs w:val="24"/>
                <w:highlight w:val="none"/>
                <w:lang w:val="en-US" w:eastAsia="zh-CN"/>
              </w:rPr>
              <w:t>依据《排污单位自行监测技术指南 总则》（HJ819-2017）和本项目情况，对本项目噪声的日常监测要求见表4-13。</w:t>
            </w:r>
          </w:p>
          <w:p w14:paraId="10C69F81">
            <w:pPr>
              <w:pStyle w:val="88"/>
              <w:keepNext w:val="0"/>
              <w:keepLines w:val="0"/>
              <w:numPr>
                <w:ilvl w:val="5"/>
                <w:numId w:val="0"/>
              </w:numPr>
              <w:suppressLineNumbers w:val="0"/>
              <w:spacing w:before="0" w:beforeAutospacing="0" w:after="0" w:afterAutospacing="0"/>
              <w:ind w:left="0" w:leftChars="0" w:right="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lang w:val="en-US" w:eastAsia="zh-CN"/>
              </w:rPr>
              <w:t>表4-</w:t>
            </w:r>
            <w:r>
              <w:rPr>
                <w:rFonts w:hint="eastAsia" w:cs="Times New Roman"/>
                <w:color w:val="auto"/>
                <w:sz w:val="21"/>
                <w:szCs w:val="21"/>
                <w:highlight w:val="none"/>
                <w:lang w:val="en-US" w:eastAsia="zh-CN"/>
              </w:rPr>
              <w:t>13</w:t>
            </w:r>
            <w:r>
              <w:rPr>
                <w:rFonts w:hint="default" w:ascii="Times New Roman" w:hAnsi="Times New Roman" w:cs="Times New Roman"/>
                <w:color w:val="auto"/>
                <w:sz w:val="21"/>
                <w:szCs w:val="21"/>
                <w:highlight w:val="none"/>
                <w:lang w:val="en-US" w:eastAsia="zh-CN"/>
              </w:rPr>
              <w:t xml:space="preserve"> </w:t>
            </w:r>
            <w:r>
              <w:rPr>
                <w:rFonts w:hint="eastAsia" w:cs="Times New Roman"/>
                <w:color w:val="auto"/>
                <w:sz w:val="21"/>
                <w:szCs w:val="21"/>
                <w:highlight w:val="none"/>
                <w:lang w:val="en-US" w:eastAsia="zh-CN"/>
              </w:rPr>
              <w:t xml:space="preserve"> </w:t>
            </w:r>
            <w:r>
              <w:rPr>
                <w:rFonts w:hint="default" w:ascii="Times New Roman" w:hAnsi="Times New Roman" w:cs="Times New Roman"/>
                <w:color w:val="auto"/>
                <w:sz w:val="21"/>
                <w:szCs w:val="21"/>
                <w:highlight w:val="none"/>
              </w:rPr>
              <w:t>噪声监测计划一览表</w:t>
            </w:r>
          </w:p>
          <w:tbl>
            <w:tblPr>
              <w:tblStyle w:val="26"/>
              <w:tblW w:w="4997" w:type="pct"/>
              <w:tblInd w:w="0" w:type="dxa"/>
              <w:tblBorders>
                <w:top w:val="single" w:color="auto" w:sz="12" w:space="0"/>
                <w:left w:val="none" w:color="auto" w:sz="0" w:space="0"/>
                <w:bottom w:val="single" w:color="auto" w:sz="12" w:space="0"/>
                <w:right w:val="none" w:color="auto" w:sz="0" w:space="0"/>
                <w:insideH w:val="single" w:color="auto" w:sz="12" w:space="0"/>
                <w:insideV w:val="single" w:color="auto" w:sz="4" w:space="0"/>
              </w:tblBorders>
              <w:tblLayout w:type="fixed"/>
              <w:tblCellMar>
                <w:top w:w="0" w:type="dxa"/>
                <w:left w:w="108" w:type="dxa"/>
                <w:bottom w:w="0" w:type="dxa"/>
                <w:right w:w="108" w:type="dxa"/>
              </w:tblCellMar>
            </w:tblPr>
            <w:tblGrid>
              <w:gridCol w:w="1112"/>
              <w:gridCol w:w="1202"/>
              <w:gridCol w:w="1159"/>
              <w:gridCol w:w="1212"/>
              <w:gridCol w:w="3672"/>
            </w:tblGrid>
            <w:tr w14:paraId="5BD4B060">
              <w:tblPrEx>
                <w:tblBorders>
                  <w:top w:val="single" w:color="auto" w:sz="12" w:space="0"/>
                  <w:left w:val="none" w:color="auto" w:sz="0" w:space="0"/>
                  <w:bottom w:val="single" w:color="auto" w:sz="12" w:space="0"/>
                  <w:right w:val="none" w:color="auto" w:sz="0" w:space="0"/>
                  <w:insideH w:val="single" w:color="auto" w:sz="12" w:space="0"/>
                  <w:insideV w:val="single" w:color="auto" w:sz="4" w:space="0"/>
                </w:tblBorders>
                <w:tblCellMar>
                  <w:top w:w="0" w:type="dxa"/>
                  <w:left w:w="108" w:type="dxa"/>
                  <w:bottom w:w="0" w:type="dxa"/>
                  <w:right w:w="108" w:type="dxa"/>
                </w:tblCellMar>
              </w:tblPrEx>
              <w:trPr>
                <w:trHeight w:val="397" w:hRule="atLeast"/>
              </w:trPr>
              <w:tc>
                <w:tcPr>
                  <w:tcW w:w="665" w:type="pct"/>
                  <w:tcBorders>
                    <w:tl2br w:val="nil"/>
                    <w:tr2bl w:val="nil"/>
                  </w:tcBorders>
                  <w:noWrap w:val="0"/>
                  <w:vAlign w:val="center"/>
                </w:tcPr>
                <w:p w14:paraId="78C2BF47">
                  <w:pPr>
                    <w:pStyle w:val="89"/>
                    <w:keepNext w:val="0"/>
                    <w:keepLines w:val="0"/>
                    <w:suppressLineNumbers w:val="0"/>
                    <w:spacing w:before="0" w:beforeAutospacing="0" w:after="0" w:afterAutospacing="0"/>
                    <w:ind w:left="0" w:right="0" w:firstLine="0" w:firstLineChars="0"/>
                    <w:rPr>
                      <w:rFonts w:hint="eastAsia" w:ascii="Times New Roman" w:hAnsi="Times New Roman" w:eastAsia="宋体" w:cs="Times New Roman"/>
                      <w:b/>
                      <w:bCs/>
                      <w:color w:val="auto"/>
                      <w:highlight w:val="none"/>
                      <w:lang w:val="en-US" w:eastAsia="zh-CN"/>
                    </w:rPr>
                  </w:pPr>
                  <w:r>
                    <w:rPr>
                      <w:rFonts w:hint="default" w:ascii="Times New Roman" w:hAnsi="Times New Roman" w:cs="Times New Roman"/>
                      <w:b/>
                      <w:bCs/>
                      <w:color w:val="auto"/>
                      <w:highlight w:val="none"/>
                    </w:rPr>
                    <w:t>监测</w:t>
                  </w:r>
                  <w:r>
                    <w:rPr>
                      <w:rFonts w:hint="eastAsia" w:cs="Times New Roman"/>
                      <w:b/>
                      <w:bCs/>
                      <w:color w:val="auto"/>
                      <w:highlight w:val="none"/>
                      <w:lang w:val="en-US" w:eastAsia="zh-CN"/>
                    </w:rPr>
                    <w:t>内容</w:t>
                  </w:r>
                </w:p>
              </w:tc>
              <w:tc>
                <w:tcPr>
                  <w:tcW w:w="719" w:type="pct"/>
                  <w:tcBorders>
                    <w:tl2br w:val="nil"/>
                    <w:tr2bl w:val="nil"/>
                  </w:tcBorders>
                  <w:noWrap w:val="0"/>
                  <w:vAlign w:val="center"/>
                </w:tcPr>
                <w:p w14:paraId="0B30FF83">
                  <w:pPr>
                    <w:pStyle w:val="89"/>
                    <w:keepNext w:val="0"/>
                    <w:keepLines w:val="0"/>
                    <w:suppressLineNumbers w:val="0"/>
                    <w:spacing w:before="0" w:beforeAutospacing="0" w:after="0" w:afterAutospacing="0"/>
                    <w:ind w:left="0" w:right="0" w:firstLine="0" w:firstLineChars="0"/>
                    <w:rPr>
                      <w:rFonts w:hint="default" w:ascii="Times New Roman" w:hAnsi="Times New Roman" w:cs="Times New Roman"/>
                      <w:b/>
                      <w:bCs/>
                      <w:color w:val="auto"/>
                      <w:highlight w:val="none"/>
                    </w:rPr>
                  </w:pPr>
                  <w:r>
                    <w:rPr>
                      <w:rFonts w:hint="default" w:ascii="Times New Roman" w:hAnsi="Times New Roman" w:cs="Times New Roman"/>
                      <w:b/>
                      <w:bCs/>
                      <w:color w:val="auto"/>
                      <w:highlight w:val="none"/>
                    </w:rPr>
                    <w:t>监测点位</w:t>
                  </w:r>
                </w:p>
              </w:tc>
              <w:tc>
                <w:tcPr>
                  <w:tcW w:w="693" w:type="pct"/>
                  <w:tcBorders>
                    <w:tl2br w:val="nil"/>
                    <w:tr2bl w:val="nil"/>
                  </w:tcBorders>
                  <w:noWrap w:val="0"/>
                  <w:vAlign w:val="center"/>
                </w:tcPr>
                <w:p w14:paraId="50C5AA56">
                  <w:pPr>
                    <w:pStyle w:val="89"/>
                    <w:keepNext w:val="0"/>
                    <w:keepLines w:val="0"/>
                    <w:suppressLineNumbers w:val="0"/>
                    <w:spacing w:before="0" w:beforeAutospacing="0" w:after="0" w:afterAutospacing="0"/>
                    <w:ind w:left="0" w:right="0"/>
                    <w:rPr>
                      <w:rFonts w:hint="default" w:ascii="Times New Roman" w:hAnsi="Times New Roman" w:cs="Times New Roman"/>
                      <w:b/>
                      <w:bCs/>
                      <w:color w:val="auto"/>
                      <w:highlight w:val="none"/>
                    </w:rPr>
                  </w:pPr>
                  <w:r>
                    <w:rPr>
                      <w:rFonts w:hint="default" w:ascii="Times New Roman" w:hAnsi="Times New Roman" w:cs="Times New Roman"/>
                      <w:b/>
                      <w:bCs/>
                      <w:color w:val="auto"/>
                      <w:highlight w:val="none"/>
                    </w:rPr>
                    <w:t>监测项目</w:t>
                  </w:r>
                </w:p>
              </w:tc>
              <w:tc>
                <w:tcPr>
                  <w:tcW w:w="725" w:type="pct"/>
                  <w:tcBorders>
                    <w:tl2br w:val="nil"/>
                    <w:tr2bl w:val="nil"/>
                  </w:tcBorders>
                  <w:noWrap w:val="0"/>
                  <w:vAlign w:val="center"/>
                </w:tcPr>
                <w:p w14:paraId="617996A5">
                  <w:pPr>
                    <w:pStyle w:val="89"/>
                    <w:keepNext w:val="0"/>
                    <w:keepLines w:val="0"/>
                    <w:suppressLineNumbers w:val="0"/>
                    <w:spacing w:before="0" w:beforeAutospacing="0" w:after="0" w:afterAutospacing="0"/>
                    <w:ind w:left="0" w:right="0"/>
                    <w:rPr>
                      <w:rFonts w:hint="default" w:ascii="Times New Roman" w:hAnsi="Times New Roman" w:cs="Times New Roman"/>
                      <w:b/>
                      <w:bCs/>
                      <w:color w:val="auto"/>
                      <w:highlight w:val="none"/>
                    </w:rPr>
                  </w:pPr>
                  <w:r>
                    <w:rPr>
                      <w:rFonts w:hint="default" w:ascii="Times New Roman" w:hAnsi="Times New Roman" w:cs="Times New Roman"/>
                      <w:b/>
                      <w:bCs/>
                      <w:color w:val="auto"/>
                      <w:highlight w:val="none"/>
                    </w:rPr>
                    <w:t>监测频次</w:t>
                  </w:r>
                </w:p>
              </w:tc>
              <w:tc>
                <w:tcPr>
                  <w:tcW w:w="2196" w:type="pct"/>
                  <w:tcBorders>
                    <w:tl2br w:val="nil"/>
                    <w:tr2bl w:val="nil"/>
                  </w:tcBorders>
                  <w:noWrap w:val="0"/>
                  <w:vAlign w:val="center"/>
                </w:tcPr>
                <w:p w14:paraId="7927D3FE">
                  <w:pPr>
                    <w:pStyle w:val="89"/>
                    <w:keepNext w:val="0"/>
                    <w:keepLines w:val="0"/>
                    <w:suppressLineNumbers w:val="0"/>
                    <w:spacing w:before="0" w:beforeAutospacing="0" w:after="0" w:afterAutospacing="0"/>
                    <w:ind w:left="0" w:right="0"/>
                    <w:rPr>
                      <w:rFonts w:hint="default" w:ascii="Times New Roman" w:hAnsi="Times New Roman" w:cs="Times New Roman"/>
                      <w:b/>
                      <w:bCs/>
                      <w:color w:val="auto"/>
                      <w:highlight w:val="none"/>
                    </w:rPr>
                  </w:pPr>
                  <w:r>
                    <w:rPr>
                      <w:rFonts w:hint="default" w:ascii="Times New Roman" w:hAnsi="Times New Roman" w:cs="Times New Roman"/>
                      <w:b/>
                      <w:bCs/>
                      <w:color w:val="auto"/>
                      <w:highlight w:val="none"/>
                    </w:rPr>
                    <w:t>执行排放标准</w:t>
                  </w:r>
                </w:p>
              </w:tc>
            </w:tr>
            <w:tr w14:paraId="5B309FCC">
              <w:tblPrEx>
                <w:tblBorders>
                  <w:top w:val="single" w:color="auto" w:sz="12" w:space="0"/>
                  <w:left w:val="none" w:color="auto" w:sz="0" w:space="0"/>
                  <w:bottom w:val="single" w:color="auto" w:sz="12" w:space="0"/>
                  <w:right w:val="none" w:color="auto" w:sz="0" w:space="0"/>
                  <w:insideH w:val="single" w:color="auto" w:sz="12" w:space="0"/>
                  <w:insideV w:val="single" w:color="auto" w:sz="4" w:space="0"/>
                </w:tblBorders>
                <w:tblCellMar>
                  <w:top w:w="0" w:type="dxa"/>
                  <w:left w:w="108" w:type="dxa"/>
                  <w:bottom w:w="0" w:type="dxa"/>
                  <w:right w:w="108" w:type="dxa"/>
                </w:tblCellMar>
              </w:tblPrEx>
              <w:trPr>
                <w:trHeight w:val="439" w:hRule="atLeast"/>
              </w:trPr>
              <w:tc>
                <w:tcPr>
                  <w:tcW w:w="665" w:type="pct"/>
                  <w:noWrap w:val="0"/>
                  <w:vAlign w:val="center"/>
                </w:tcPr>
                <w:p w14:paraId="74CD10A3">
                  <w:pPr>
                    <w:pStyle w:val="89"/>
                    <w:keepNext w:val="0"/>
                    <w:keepLines w:val="0"/>
                    <w:suppressLineNumbers w:val="0"/>
                    <w:spacing w:before="0" w:beforeAutospacing="0" w:after="0" w:afterAutospacing="0"/>
                    <w:ind w:left="0" w:right="0" w:firstLine="0" w:firstLineChars="0"/>
                    <w:rPr>
                      <w:rFonts w:hint="default" w:ascii="Times New Roman" w:hAnsi="Times New Roman" w:cs="Times New Roman"/>
                      <w:color w:val="auto"/>
                      <w:highlight w:val="none"/>
                    </w:rPr>
                  </w:pPr>
                  <w:r>
                    <w:rPr>
                      <w:rFonts w:hint="default" w:ascii="Times New Roman" w:hAnsi="Times New Roman" w:cs="Times New Roman"/>
                      <w:color w:val="auto"/>
                      <w:highlight w:val="none"/>
                    </w:rPr>
                    <w:t>噪声</w:t>
                  </w:r>
                </w:p>
              </w:tc>
              <w:tc>
                <w:tcPr>
                  <w:tcW w:w="719" w:type="pct"/>
                  <w:noWrap w:val="0"/>
                  <w:vAlign w:val="center"/>
                </w:tcPr>
                <w:p w14:paraId="688574B0">
                  <w:pPr>
                    <w:pStyle w:val="89"/>
                    <w:keepNext w:val="0"/>
                    <w:keepLines w:val="0"/>
                    <w:suppressLineNumbers w:val="0"/>
                    <w:spacing w:before="0" w:beforeAutospacing="0" w:after="0" w:afterAutospacing="0"/>
                    <w:ind w:left="0" w:right="0" w:firstLine="0" w:firstLineChars="0"/>
                    <w:rPr>
                      <w:rFonts w:hint="default" w:ascii="Times New Roman" w:hAnsi="Times New Roman" w:eastAsia="宋体" w:cs="Times New Roman"/>
                      <w:color w:val="auto"/>
                      <w:highlight w:val="none"/>
                      <w:lang w:val="en-US" w:eastAsia="zh-CN"/>
                    </w:rPr>
                  </w:pPr>
                  <w:r>
                    <w:rPr>
                      <w:rFonts w:hint="eastAsia" w:cs="Times New Roman"/>
                      <w:color w:val="auto"/>
                      <w:highlight w:val="none"/>
                      <w:lang w:val="en-US" w:eastAsia="zh-CN"/>
                    </w:rPr>
                    <w:t>厂界外1m</w:t>
                  </w:r>
                </w:p>
              </w:tc>
              <w:tc>
                <w:tcPr>
                  <w:tcW w:w="693" w:type="pct"/>
                  <w:noWrap w:val="0"/>
                  <w:vAlign w:val="center"/>
                </w:tcPr>
                <w:p w14:paraId="1287B825">
                  <w:pPr>
                    <w:pStyle w:val="89"/>
                    <w:keepNext w:val="0"/>
                    <w:keepLines w:val="0"/>
                    <w:suppressLineNumbers w:val="0"/>
                    <w:spacing w:before="0" w:beforeAutospacing="0" w:after="0" w:afterAutospacing="0"/>
                    <w:ind w:left="0" w:right="0"/>
                    <w:rPr>
                      <w:rFonts w:hint="default" w:ascii="Times New Roman" w:hAnsi="Times New Roman" w:cs="Times New Roman"/>
                      <w:color w:val="auto"/>
                      <w:highlight w:val="none"/>
                    </w:rPr>
                  </w:pPr>
                  <w:r>
                    <w:rPr>
                      <w:rFonts w:hint="default" w:ascii="Times New Roman" w:hAnsi="Times New Roman" w:cs="Times New Roman"/>
                      <w:color w:val="auto"/>
                      <w:highlight w:val="none"/>
                    </w:rPr>
                    <w:t>等效连续A声级</w:t>
                  </w:r>
                </w:p>
              </w:tc>
              <w:tc>
                <w:tcPr>
                  <w:tcW w:w="725" w:type="pct"/>
                  <w:noWrap w:val="0"/>
                  <w:vAlign w:val="center"/>
                </w:tcPr>
                <w:p w14:paraId="79190C4E">
                  <w:pPr>
                    <w:pStyle w:val="89"/>
                    <w:keepNext w:val="0"/>
                    <w:keepLines w:val="0"/>
                    <w:suppressLineNumbers w:val="0"/>
                    <w:spacing w:before="0" w:beforeAutospacing="0" w:after="0" w:afterAutospacing="0"/>
                    <w:ind w:left="0" w:right="0"/>
                    <w:rPr>
                      <w:rFonts w:hint="default" w:ascii="Times New Roman" w:hAnsi="Times New Roman" w:cs="Times New Roman"/>
                      <w:color w:val="auto"/>
                      <w:highlight w:val="none"/>
                    </w:rPr>
                  </w:pPr>
                  <w:r>
                    <w:rPr>
                      <w:rFonts w:hint="default" w:ascii="Times New Roman" w:hAnsi="Times New Roman" w:cs="Times New Roman"/>
                      <w:color w:val="auto"/>
                      <w:highlight w:val="none"/>
                    </w:rPr>
                    <w:t>1次/季度</w:t>
                  </w:r>
                </w:p>
              </w:tc>
              <w:tc>
                <w:tcPr>
                  <w:tcW w:w="2196" w:type="pct"/>
                  <w:noWrap w:val="0"/>
                  <w:vAlign w:val="center"/>
                </w:tcPr>
                <w:p w14:paraId="0A742BF4">
                  <w:pPr>
                    <w:pStyle w:val="89"/>
                    <w:keepNext w:val="0"/>
                    <w:keepLines w:val="0"/>
                    <w:suppressLineNumbers w:val="0"/>
                    <w:spacing w:before="0" w:beforeAutospacing="0" w:after="0" w:afterAutospacing="0"/>
                    <w:ind w:left="0" w:right="0"/>
                    <w:rPr>
                      <w:rFonts w:hint="default" w:ascii="Times New Roman" w:hAnsi="Times New Roman" w:cs="Times New Roman"/>
                      <w:color w:val="auto"/>
                      <w:highlight w:val="none"/>
                    </w:rPr>
                  </w:pPr>
                  <w:r>
                    <w:rPr>
                      <w:rFonts w:hint="default" w:ascii="Times New Roman" w:hAnsi="Times New Roman" w:cs="Times New Roman"/>
                      <w:color w:val="auto"/>
                      <w:highlight w:val="none"/>
                    </w:rPr>
                    <w:t>《工业企业厂界环境噪声排放标准》（GB12348-2008）</w:t>
                  </w:r>
                  <w:r>
                    <w:rPr>
                      <w:rFonts w:hint="eastAsia" w:cs="Times New Roman"/>
                      <w:color w:val="auto"/>
                      <w:highlight w:val="none"/>
                      <w:lang w:val="en-US" w:eastAsia="zh-CN"/>
                    </w:rPr>
                    <w:t>3</w:t>
                  </w:r>
                  <w:r>
                    <w:rPr>
                      <w:rFonts w:hint="default" w:ascii="Times New Roman" w:hAnsi="Times New Roman" w:cs="Times New Roman"/>
                      <w:color w:val="auto"/>
                      <w:highlight w:val="none"/>
                    </w:rPr>
                    <w:t>类标准</w:t>
                  </w:r>
                </w:p>
              </w:tc>
            </w:tr>
          </w:tbl>
          <w:p w14:paraId="3A56DCB3">
            <w:pPr>
              <w:keepNext w:val="0"/>
              <w:keepLines w:val="0"/>
              <w:widowControl w:val="0"/>
              <w:suppressLineNumbers w:val="0"/>
              <w:spacing w:before="0" w:beforeAutospacing="0" w:after="0" w:afterAutospacing="0" w:line="360" w:lineRule="auto"/>
              <w:ind w:left="0" w:right="0" w:firstLine="480" w:firstLineChars="200"/>
              <w:jc w:val="both"/>
              <w:rPr>
                <w:rFonts w:hint="default"/>
                <w:color w:val="auto"/>
                <w:sz w:val="24"/>
                <w:highlight w:val="none"/>
              </w:rPr>
            </w:pPr>
          </w:p>
        </w:tc>
      </w:tr>
    </w:tbl>
    <w:p w14:paraId="6BA8A9A1">
      <w:pPr>
        <w:rPr>
          <w:rFonts w:hint="default"/>
          <w:color w:val="auto"/>
          <w:highlight w:val="none"/>
        </w:rPr>
        <w:sectPr>
          <w:pgSz w:w="11907" w:h="16840"/>
          <w:pgMar w:top="1701" w:right="1531" w:bottom="2127" w:left="1531" w:header="851" w:footer="851" w:gutter="0"/>
          <w:pgBorders>
            <w:top w:val="none" w:sz="0" w:space="0"/>
            <w:left w:val="none" w:sz="0" w:space="0"/>
            <w:bottom w:val="none" w:sz="0" w:space="0"/>
            <w:right w:val="none" w:sz="0" w:space="0"/>
          </w:pgBorders>
          <w:pgNumType w:fmt="decimal"/>
          <w:cols w:space="720" w:num="1"/>
          <w:docGrid w:linePitch="312" w:charSpace="0"/>
        </w:sectPr>
      </w:pPr>
    </w:p>
    <w:tbl>
      <w:tblPr>
        <w:tblStyle w:val="26"/>
        <w:tblW w:w="4999"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434"/>
        <w:gridCol w:w="12711"/>
      </w:tblGrid>
      <w:tr w14:paraId="7EF63B9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414" w:hRule="atLeast"/>
          <w:jc w:val="center"/>
        </w:trPr>
        <w:tc>
          <w:tcPr>
            <w:tcW w:w="165" w:type="pct"/>
            <w:tcMar>
              <w:left w:w="28" w:type="dxa"/>
              <w:right w:w="28" w:type="dxa"/>
            </w:tcMar>
            <w:vAlign w:val="center"/>
          </w:tcPr>
          <w:p w14:paraId="48AE1405">
            <w:pPr>
              <w:keepNext w:val="0"/>
              <w:keepLines w:val="0"/>
              <w:widowControl/>
              <w:suppressLineNumbers w:val="0"/>
              <w:bidi w:val="0"/>
              <w:spacing w:before="0" w:beforeAutospacing="0" w:after="0" w:afterAutospacing="0" w:line="240" w:lineRule="auto"/>
              <w:ind w:left="0" w:right="0" w:firstLine="0" w:firstLineChars="0"/>
              <w:jc w:val="center"/>
              <w:rPr>
                <w:rFonts w:hint="default" w:ascii="Times New Roman" w:hAnsi="Times New Roman" w:eastAsia="宋体" w:cs="Times New Roman"/>
                <w:b/>
                <w:bCs/>
                <w:color w:val="auto"/>
                <w:kern w:val="0"/>
                <w:sz w:val="24"/>
                <w:szCs w:val="20"/>
                <w:highlight w:val="none"/>
                <w:lang w:val="en-US" w:eastAsia="zh-CN" w:bidi="ar-SA"/>
              </w:rPr>
            </w:pPr>
            <w:r>
              <w:rPr>
                <w:rFonts w:hint="eastAsia" w:ascii="Times New Roman" w:hAnsi="Times New Roman" w:eastAsia="宋体" w:cs="Times New Roman"/>
                <w:b/>
                <w:bCs/>
                <w:color w:val="auto"/>
                <w:kern w:val="0"/>
                <w:sz w:val="24"/>
                <w:szCs w:val="20"/>
                <w:highlight w:val="none"/>
                <w:lang w:val="en-US" w:eastAsia="zh-CN" w:bidi="ar-SA"/>
              </w:rPr>
              <w:t>运营</w:t>
            </w:r>
            <w:r>
              <w:rPr>
                <w:rFonts w:hint="default" w:ascii="Times New Roman" w:hAnsi="Times New Roman" w:eastAsia="宋体" w:cs="Times New Roman"/>
                <w:b/>
                <w:bCs/>
                <w:color w:val="auto"/>
                <w:kern w:val="0"/>
                <w:sz w:val="24"/>
                <w:szCs w:val="20"/>
                <w:highlight w:val="none"/>
                <w:lang w:val="en-US" w:eastAsia="zh-CN" w:bidi="ar-SA"/>
              </w:rPr>
              <w:t>期</w:t>
            </w:r>
          </w:p>
          <w:p w14:paraId="27259043">
            <w:pPr>
              <w:keepNext w:val="0"/>
              <w:keepLines w:val="0"/>
              <w:widowControl/>
              <w:suppressLineNumbers w:val="0"/>
              <w:bidi w:val="0"/>
              <w:spacing w:before="0" w:beforeAutospacing="0" w:after="0" w:afterAutospacing="0" w:line="240" w:lineRule="auto"/>
              <w:ind w:left="0" w:right="0" w:firstLine="0" w:firstLineChars="0"/>
              <w:jc w:val="center"/>
              <w:rPr>
                <w:rFonts w:hint="default" w:ascii="Times New Roman" w:hAnsi="Times New Roman" w:eastAsia="宋体" w:cs="Times New Roman"/>
                <w:b/>
                <w:bCs/>
                <w:color w:val="auto"/>
                <w:kern w:val="0"/>
                <w:sz w:val="24"/>
                <w:szCs w:val="20"/>
                <w:highlight w:val="none"/>
                <w:lang w:val="en-US" w:eastAsia="zh-CN" w:bidi="ar-SA"/>
              </w:rPr>
            </w:pPr>
            <w:r>
              <w:rPr>
                <w:rFonts w:hint="default" w:ascii="Times New Roman" w:hAnsi="Times New Roman" w:eastAsia="宋体" w:cs="Times New Roman"/>
                <w:b/>
                <w:bCs/>
                <w:color w:val="auto"/>
                <w:kern w:val="0"/>
                <w:sz w:val="24"/>
                <w:szCs w:val="20"/>
                <w:highlight w:val="none"/>
                <w:lang w:val="en-US" w:eastAsia="zh-CN" w:bidi="ar-SA"/>
              </w:rPr>
              <w:t>环</w:t>
            </w:r>
          </w:p>
          <w:p w14:paraId="621A301C">
            <w:pPr>
              <w:keepNext w:val="0"/>
              <w:keepLines w:val="0"/>
              <w:widowControl/>
              <w:suppressLineNumbers w:val="0"/>
              <w:bidi w:val="0"/>
              <w:spacing w:before="0" w:beforeAutospacing="0" w:after="0" w:afterAutospacing="0" w:line="240" w:lineRule="auto"/>
              <w:ind w:left="0" w:right="0" w:firstLine="0" w:firstLineChars="0"/>
              <w:jc w:val="center"/>
              <w:rPr>
                <w:rFonts w:hint="default" w:ascii="Times New Roman" w:hAnsi="Times New Roman" w:eastAsia="宋体" w:cs="Times New Roman"/>
                <w:b/>
                <w:bCs/>
                <w:color w:val="auto"/>
                <w:kern w:val="0"/>
                <w:sz w:val="24"/>
                <w:szCs w:val="20"/>
                <w:highlight w:val="none"/>
                <w:lang w:val="en-US" w:eastAsia="zh-CN" w:bidi="ar-SA"/>
              </w:rPr>
            </w:pPr>
            <w:r>
              <w:rPr>
                <w:rFonts w:hint="default" w:ascii="Times New Roman" w:hAnsi="Times New Roman" w:eastAsia="宋体" w:cs="Times New Roman"/>
                <w:b/>
                <w:bCs/>
                <w:color w:val="auto"/>
                <w:kern w:val="0"/>
                <w:sz w:val="24"/>
                <w:szCs w:val="20"/>
                <w:highlight w:val="none"/>
                <w:lang w:val="en-US" w:eastAsia="zh-CN" w:bidi="ar-SA"/>
              </w:rPr>
              <w:t>境</w:t>
            </w:r>
          </w:p>
          <w:p w14:paraId="1750D9C5">
            <w:pPr>
              <w:keepNext w:val="0"/>
              <w:keepLines w:val="0"/>
              <w:widowControl/>
              <w:suppressLineNumbers w:val="0"/>
              <w:bidi w:val="0"/>
              <w:spacing w:before="0" w:beforeAutospacing="0" w:after="0" w:afterAutospacing="0" w:line="240" w:lineRule="auto"/>
              <w:ind w:left="0" w:right="0" w:firstLine="0" w:firstLineChars="0"/>
              <w:jc w:val="center"/>
              <w:rPr>
                <w:rFonts w:hint="default" w:ascii="Times New Roman" w:hAnsi="Times New Roman" w:eastAsia="宋体" w:cs="Times New Roman"/>
                <w:b/>
                <w:bCs/>
                <w:color w:val="auto"/>
                <w:kern w:val="0"/>
                <w:sz w:val="24"/>
                <w:szCs w:val="20"/>
                <w:highlight w:val="none"/>
                <w:lang w:val="en-US" w:eastAsia="zh-CN" w:bidi="ar-SA"/>
              </w:rPr>
            </w:pPr>
            <w:r>
              <w:rPr>
                <w:rFonts w:hint="default" w:ascii="Times New Roman" w:hAnsi="Times New Roman" w:eastAsia="宋体" w:cs="Times New Roman"/>
                <w:b/>
                <w:bCs/>
                <w:color w:val="auto"/>
                <w:kern w:val="0"/>
                <w:sz w:val="24"/>
                <w:szCs w:val="20"/>
                <w:highlight w:val="none"/>
                <w:lang w:val="en-US" w:eastAsia="zh-CN" w:bidi="ar-SA"/>
              </w:rPr>
              <w:t>保</w:t>
            </w:r>
          </w:p>
          <w:p w14:paraId="4728BFB1">
            <w:pPr>
              <w:keepNext w:val="0"/>
              <w:keepLines w:val="0"/>
              <w:widowControl/>
              <w:suppressLineNumbers w:val="0"/>
              <w:bidi w:val="0"/>
              <w:spacing w:before="0" w:beforeAutospacing="0" w:after="0" w:afterAutospacing="0" w:line="240" w:lineRule="auto"/>
              <w:ind w:left="0" w:right="0" w:firstLine="0" w:firstLineChars="0"/>
              <w:jc w:val="center"/>
              <w:rPr>
                <w:rFonts w:hint="default" w:ascii="Times New Roman" w:hAnsi="Times New Roman" w:eastAsia="宋体" w:cs="Times New Roman"/>
                <w:b/>
                <w:bCs/>
                <w:color w:val="auto"/>
                <w:kern w:val="0"/>
                <w:sz w:val="24"/>
                <w:szCs w:val="20"/>
                <w:highlight w:val="none"/>
                <w:lang w:val="en-US" w:eastAsia="zh-CN" w:bidi="ar-SA"/>
              </w:rPr>
            </w:pPr>
            <w:r>
              <w:rPr>
                <w:rFonts w:hint="default" w:ascii="Times New Roman" w:hAnsi="Times New Roman" w:eastAsia="宋体" w:cs="Times New Roman"/>
                <w:b/>
                <w:bCs/>
                <w:color w:val="auto"/>
                <w:kern w:val="0"/>
                <w:sz w:val="24"/>
                <w:szCs w:val="20"/>
                <w:highlight w:val="none"/>
                <w:lang w:val="en-US" w:eastAsia="zh-CN" w:bidi="ar-SA"/>
              </w:rPr>
              <w:t>护</w:t>
            </w:r>
          </w:p>
          <w:p w14:paraId="416A431D">
            <w:pPr>
              <w:keepNext w:val="0"/>
              <w:keepLines w:val="0"/>
              <w:widowControl/>
              <w:suppressLineNumbers w:val="0"/>
              <w:bidi w:val="0"/>
              <w:spacing w:before="0" w:beforeAutospacing="0" w:after="0" w:afterAutospacing="0" w:line="240" w:lineRule="auto"/>
              <w:ind w:left="0" w:right="0" w:firstLine="0" w:firstLineChars="0"/>
              <w:jc w:val="center"/>
              <w:rPr>
                <w:rFonts w:hint="default" w:ascii="Times New Roman" w:hAnsi="Times New Roman" w:eastAsia="宋体" w:cs="Times New Roman"/>
                <w:b/>
                <w:bCs/>
                <w:color w:val="auto"/>
                <w:kern w:val="0"/>
                <w:sz w:val="24"/>
                <w:szCs w:val="20"/>
                <w:highlight w:val="none"/>
                <w:lang w:val="en-US" w:eastAsia="zh-CN" w:bidi="ar-SA"/>
              </w:rPr>
            </w:pPr>
            <w:r>
              <w:rPr>
                <w:rFonts w:hint="default" w:ascii="Times New Roman" w:hAnsi="Times New Roman" w:eastAsia="宋体" w:cs="Times New Roman"/>
                <w:b/>
                <w:bCs/>
                <w:color w:val="auto"/>
                <w:kern w:val="0"/>
                <w:sz w:val="24"/>
                <w:szCs w:val="20"/>
                <w:highlight w:val="none"/>
                <w:lang w:val="en-US" w:eastAsia="zh-CN" w:bidi="ar-SA"/>
              </w:rPr>
              <w:t>措</w:t>
            </w:r>
          </w:p>
          <w:p w14:paraId="1BB42242">
            <w:pPr>
              <w:keepNext w:val="0"/>
              <w:keepLines w:val="0"/>
              <w:widowControl/>
              <w:suppressLineNumbers w:val="0"/>
              <w:bidi w:val="0"/>
              <w:spacing w:before="0" w:beforeAutospacing="0" w:after="0" w:afterAutospacing="0" w:line="240" w:lineRule="auto"/>
              <w:ind w:left="0" w:right="0" w:firstLine="0" w:firstLineChars="0"/>
              <w:jc w:val="center"/>
              <w:rPr>
                <w:rFonts w:hint="default" w:ascii="Times New Roman" w:hAnsi="Times New Roman" w:eastAsia="宋体" w:cs="Times New Roman"/>
                <w:b/>
                <w:bCs/>
                <w:color w:val="auto"/>
                <w:kern w:val="2"/>
                <w:sz w:val="24"/>
                <w:szCs w:val="21"/>
                <w:highlight w:val="none"/>
                <w:lang w:val="en-US" w:eastAsia="zh-CN" w:bidi="ar-SA"/>
              </w:rPr>
            </w:pPr>
            <w:r>
              <w:rPr>
                <w:rFonts w:hint="default" w:ascii="Times New Roman" w:hAnsi="Times New Roman" w:eastAsia="宋体" w:cs="Times New Roman"/>
                <w:b/>
                <w:bCs/>
                <w:color w:val="auto"/>
                <w:kern w:val="0"/>
                <w:sz w:val="24"/>
                <w:szCs w:val="20"/>
                <w:highlight w:val="none"/>
                <w:lang w:val="en-US" w:eastAsia="zh-CN" w:bidi="ar-SA"/>
              </w:rPr>
              <w:t>施</w:t>
            </w:r>
          </w:p>
        </w:tc>
        <w:tc>
          <w:tcPr>
            <w:tcW w:w="4834" w:type="pct"/>
          </w:tcPr>
          <w:p w14:paraId="4CE280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default"/>
                <w:b/>
                <w:bCs/>
                <w:color w:val="auto"/>
                <w:sz w:val="24"/>
                <w:szCs w:val="24"/>
                <w:highlight w:val="none"/>
              </w:rPr>
            </w:pPr>
            <w:r>
              <w:rPr>
                <w:rFonts w:hint="default"/>
                <w:b/>
                <w:bCs/>
                <w:color w:val="auto"/>
                <w:sz w:val="24"/>
                <w:szCs w:val="24"/>
                <w:highlight w:val="none"/>
              </w:rPr>
              <w:t>4、固体废物</w:t>
            </w:r>
          </w:p>
          <w:p w14:paraId="582E55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default" w:ascii="Times New Roman" w:hAnsi="Times New Roman" w:eastAsia="宋体" w:cs="宋体"/>
                <w:color w:val="auto"/>
                <w:kern w:val="2"/>
                <w:sz w:val="24"/>
                <w:szCs w:val="24"/>
                <w:highlight w:val="none"/>
                <w:lang w:val="en-US" w:eastAsia="zh-CN" w:bidi="ar-SA"/>
              </w:rPr>
            </w:pPr>
            <w:r>
              <w:rPr>
                <w:rFonts w:hint="eastAsia" w:ascii="Times New Roman" w:hAnsi="Times New Roman" w:eastAsia="宋体" w:cs="宋体"/>
                <w:color w:val="auto"/>
                <w:kern w:val="2"/>
                <w:sz w:val="24"/>
                <w:szCs w:val="24"/>
                <w:highlight w:val="none"/>
                <w:lang w:val="en-US" w:eastAsia="zh-CN" w:bidi="ar-SA"/>
              </w:rPr>
              <w:t>（1）固体废物污染源情况</w:t>
            </w:r>
          </w:p>
          <w:p w14:paraId="76DD8C46">
            <w:pPr>
              <w:keepNext w:val="0"/>
              <w:keepLines w:val="0"/>
              <w:pageBreakBefore w:val="0"/>
              <w:widowControl w:val="0"/>
              <w:suppressLineNumbers w:val="0"/>
              <w:tabs>
                <w:tab w:val="left" w:pos="0"/>
              </w:tabs>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default" w:ascii="Times New Roman" w:hAnsi="Times New Roman" w:eastAsia="宋体" w:cs="Times New Roman"/>
                <w:b/>
                <w:bCs/>
                <w:color w:val="auto"/>
                <w:kern w:val="2"/>
                <w:sz w:val="24"/>
                <w:szCs w:val="24"/>
                <w:highlight w:val="none"/>
                <w:lang w:val="en-US" w:eastAsia="zh-CN" w:bidi="ar-SA"/>
              </w:rPr>
            </w:pPr>
            <w:r>
              <w:rPr>
                <w:rFonts w:hint="eastAsia" w:cs="宋体"/>
                <w:color w:val="auto"/>
                <w:kern w:val="2"/>
                <w:sz w:val="24"/>
                <w:szCs w:val="24"/>
                <w:highlight w:val="none"/>
                <w:lang w:val="en-US" w:eastAsia="zh-CN" w:bidi="ar-SA"/>
              </w:rPr>
              <w:t>本项目固体废物包括一般工业固废、危险废物，产生和处置情况见表</w:t>
            </w:r>
            <w:r>
              <w:rPr>
                <w:rFonts w:hint="eastAsia" w:ascii="Times New Roman" w:hAnsi="Times New Roman" w:eastAsia="宋体" w:cs="宋体"/>
                <w:color w:val="auto"/>
                <w:kern w:val="2"/>
                <w:sz w:val="24"/>
                <w:szCs w:val="24"/>
                <w:highlight w:val="none"/>
                <w:lang w:val="en-US" w:eastAsia="zh-CN" w:bidi="ar-SA"/>
              </w:rPr>
              <w:t>4-</w:t>
            </w:r>
            <w:r>
              <w:rPr>
                <w:rFonts w:hint="eastAsia" w:cs="宋体"/>
                <w:color w:val="auto"/>
                <w:kern w:val="2"/>
                <w:sz w:val="24"/>
                <w:szCs w:val="24"/>
                <w:highlight w:val="none"/>
                <w:lang w:val="en-US" w:eastAsia="zh-CN" w:bidi="ar-SA"/>
              </w:rPr>
              <w:t>14</w:t>
            </w:r>
            <w:r>
              <w:rPr>
                <w:rFonts w:hint="eastAsia" w:ascii="Times New Roman" w:hAnsi="Times New Roman" w:eastAsia="宋体" w:cs="宋体"/>
                <w:color w:val="auto"/>
                <w:kern w:val="2"/>
                <w:sz w:val="24"/>
                <w:szCs w:val="24"/>
                <w:highlight w:val="none"/>
                <w:lang w:val="en-US" w:eastAsia="zh-CN" w:bidi="ar-SA"/>
              </w:rPr>
              <w:t>。</w:t>
            </w:r>
          </w:p>
          <w:p w14:paraId="19567918">
            <w:pPr>
              <w:keepNext w:val="0"/>
              <w:keepLines w:val="0"/>
              <w:suppressLineNumbers w:val="0"/>
              <w:tabs>
                <w:tab w:val="left" w:pos="0"/>
              </w:tabs>
              <w:spacing w:before="0" w:beforeAutospacing="0" w:after="0" w:afterAutospacing="0"/>
              <w:ind w:left="0" w:right="0"/>
              <w:jc w:val="center"/>
              <w:rPr>
                <w:rFonts w:hint="default" w:ascii="Times New Roman" w:hAnsi="Times New Roman" w:eastAsia="宋体" w:cs="Times New Roman"/>
                <w:b/>
                <w:bCs/>
                <w:color w:val="auto"/>
                <w:kern w:val="2"/>
                <w:sz w:val="21"/>
                <w:szCs w:val="24"/>
                <w:highlight w:val="none"/>
                <w:lang w:val="en-US" w:eastAsia="zh-CN" w:bidi="ar-SA"/>
              </w:rPr>
            </w:pPr>
            <w:r>
              <w:rPr>
                <w:rFonts w:hint="default" w:ascii="Times New Roman" w:hAnsi="Times New Roman" w:eastAsia="宋体" w:cs="Times New Roman"/>
                <w:b/>
                <w:bCs/>
                <w:color w:val="auto"/>
                <w:kern w:val="2"/>
                <w:sz w:val="21"/>
                <w:szCs w:val="24"/>
                <w:highlight w:val="none"/>
                <w:lang w:val="en-US" w:eastAsia="zh-CN" w:bidi="ar-SA"/>
              </w:rPr>
              <w:t>表</w:t>
            </w:r>
            <w:r>
              <w:rPr>
                <w:rFonts w:hint="eastAsia" w:ascii="Times New Roman" w:hAnsi="Times New Roman" w:eastAsia="宋体" w:cs="Times New Roman"/>
                <w:b/>
                <w:bCs/>
                <w:color w:val="auto"/>
                <w:kern w:val="2"/>
                <w:sz w:val="21"/>
                <w:szCs w:val="24"/>
                <w:highlight w:val="none"/>
                <w:lang w:val="en-US" w:eastAsia="zh-CN" w:bidi="ar-SA"/>
              </w:rPr>
              <w:t>4-</w:t>
            </w:r>
            <w:r>
              <w:rPr>
                <w:rFonts w:hint="eastAsia" w:cs="Times New Roman"/>
                <w:b/>
                <w:bCs/>
                <w:color w:val="auto"/>
                <w:kern w:val="2"/>
                <w:sz w:val="21"/>
                <w:szCs w:val="24"/>
                <w:highlight w:val="none"/>
                <w:lang w:val="en-US" w:eastAsia="zh-CN" w:bidi="ar-SA"/>
              </w:rPr>
              <w:t>14</w:t>
            </w:r>
            <w:r>
              <w:rPr>
                <w:rFonts w:hint="default" w:ascii="Times New Roman" w:hAnsi="Times New Roman" w:eastAsia="宋体" w:cs="Times New Roman"/>
                <w:b/>
                <w:color w:val="auto"/>
                <w:kern w:val="21"/>
                <w:szCs w:val="21"/>
                <w:highlight w:val="none"/>
                <w:lang w:val="en-US" w:eastAsia="zh-CN"/>
              </w:rPr>
              <w:t xml:space="preserve"> </w:t>
            </w:r>
            <w:r>
              <w:rPr>
                <w:rFonts w:hint="eastAsia" w:cs="Times New Roman"/>
                <w:b/>
                <w:color w:val="auto"/>
                <w:kern w:val="21"/>
                <w:szCs w:val="21"/>
                <w:highlight w:val="none"/>
                <w:lang w:val="en-US" w:eastAsia="zh-CN"/>
              </w:rPr>
              <w:t xml:space="preserve"> </w:t>
            </w:r>
            <w:r>
              <w:rPr>
                <w:rFonts w:hint="default" w:ascii="Times New Roman" w:hAnsi="Times New Roman" w:eastAsia="宋体" w:cs="Times New Roman"/>
                <w:b/>
                <w:bCs/>
                <w:color w:val="auto"/>
                <w:kern w:val="2"/>
                <w:sz w:val="21"/>
                <w:szCs w:val="24"/>
                <w:highlight w:val="none"/>
                <w:lang w:val="en-US" w:eastAsia="zh-CN" w:bidi="ar-SA"/>
              </w:rPr>
              <w:t>固体废物污染源产生、排放汇总表</w:t>
            </w:r>
          </w:p>
          <w:tbl>
            <w:tblPr>
              <w:tblStyle w:val="26"/>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055"/>
              <w:gridCol w:w="981"/>
              <w:gridCol w:w="939"/>
              <w:gridCol w:w="1274"/>
              <w:gridCol w:w="1415"/>
              <w:gridCol w:w="675"/>
              <w:gridCol w:w="842"/>
              <w:gridCol w:w="763"/>
              <w:gridCol w:w="1267"/>
              <w:gridCol w:w="2105"/>
              <w:gridCol w:w="1179"/>
            </w:tblGrid>
            <w:tr w14:paraId="35C4B45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0" w:type="auto"/>
                  <w:tcBorders>
                    <w:bottom w:val="single" w:color="auto" w:sz="12" w:space="0"/>
                  </w:tcBorders>
                  <w:vAlign w:val="center"/>
                </w:tcPr>
                <w:p w14:paraId="12B5DDF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21"/>
                      <w:szCs w:val="24"/>
                      <w:highlight w:val="none"/>
                      <w:lang w:val="en-US" w:eastAsia="zh-CN" w:bidi="ar-SA"/>
                    </w:rPr>
                  </w:pPr>
                  <w:r>
                    <w:rPr>
                      <w:rFonts w:hint="default" w:ascii="Times New Roman" w:hAnsi="Times New Roman" w:eastAsia="宋体" w:cs="Times New Roman"/>
                      <w:b/>
                      <w:bCs/>
                      <w:color w:val="auto"/>
                      <w:kern w:val="2"/>
                      <w:sz w:val="21"/>
                      <w:szCs w:val="24"/>
                      <w:highlight w:val="none"/>
                      <w:lang w:val="en-US" w:eastAsia="zh-CN" w:bidi="ar-SA"/>
                    </w:rPr>
                    <w:t>固废产生环节</w:t>
                  </w:r>
                </w:p>
              </w:tc>
              <w:tc>
                <w:tcPr>
                  <w:tcW w:w="981" w:type="dxa"/>
                  <w:tcBorders>
                    <w:bottom w:val="single" w:color="auto" w:sz="12" w:space="0"/>
                  </w:tcBorders>
                  <w:vAlign w:val="center"/>
                </w:tcPr>
                <w:p w14:paraId="31E8C8E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21"/>
                      <w:szCs w:val="24"/>
                      <w:highlight w:val="none"/>
                      <w:lang w:val="en-US" w:eastAsia="zh-CN" w:bidi="ar-SA"/>
                    </w:rPr>
                  </w:pPr>
                  <w:r>
                    <w:rPr>
                      <w:rFonts w:hint="default" w:ascii="Times New Roman" w:hAnsi="Times New Roman" w:eastAsia="宋体" w:cs="Times New Roman"/>
                      <w:b/>
                      <w:bCs/>
                      <w:color w:val="auto"/>
                      <w:kern w:val="2"/>
                      <w:sz w:val="21"/>
                      <w:szCs w:val="24"/>
                      <w:highlight w:val="none"/>
                      <w:lang w:val="en-US" w:eastAsia="zh-CN" w:bidi="ar-SA"/>
                    </w:rPr>
                    <w:t>固废名称</w:t>
                  </w:r>
                </w:p>
              </w:tc>
              <w:tc>
                <w:tcPr>
                  <w:tcW w:w="939" w:type="dxa"/>
                  <w:tcBorders>
                    <w:bottom w:val="single" w:color="auto" w:sz="12" w:space="0"/>
                  </w:tcBorders>
                  <w:vAlign w:val="center"/>
                </w:tcPr>
                <w:p w14:paraId="00EAD86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21"/>
                      <w:szCs w:val="24"/>
                      <w:highlight w:val="none"/>
                      <w:lang w:val="en-US" w:eastAsia="zh-CN" w:bidi="ar-SA"/>
                    </w:rPr>
                  </w:pPr>
                  <w:r>
                    <w:rPr>
                      <w:rFonts w:hint="default" w:ascii="Times New Roman" w:hAnsi="Times New Roman" w:eastAsia="宋体" w:cs="Times New Roman"/>
                      <w:b/>
                      <w:bCs/>
                      <w:color w:val="auto"/>
                      <w:kern w:val="2"/>
                      <w:sz w:val="21"/>
                      <w:szCs w:val="24"/>
                      <w:highlight w:val="none"/>
                      <w:lang w:val="en-US" w:eastAsia="zh-CN" w:bidi="ar-SA"/>
                    </w:rPr>
                    <w:t>固废属性</w:t>
                  </w:r>
                </w:p>
              </w:tc>
              <w:tc>
                <w:tcPr>
                  <w:tcW w:w="1274" w:type="dxa"/>
                  <w:tcBorders>
                    <w:bottom w:val="single" w:color="auto" w:sz="12" w:space="0"/>
                  </w:tcBorders>
                  <w:vAlign w:val="center"/>
                </w:tcPr>
                <w:p w14:paraId="0C9849D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21"/>
                      <w:szCs w:val="24"/>
                      <w:highlight w:val="none"/>
                      <w:lang w:val="en-US" w:eastAsia="zh-CN" w:bidi="ar-SA"/>
                    </w:rPr>
                  </w:pPr>
                  <w:r>
                    <w:rPr>
                      <w:rFonts w:hint="default" w:ascii="Times New Roman" w:hAnsi="Times New Roman" w:eastAsia="宋体" w:cs="Times New Roman"/>
                      <w:b/>
                      <w:bCs/>
                      <w:color w:val="auto"/>
                      <w:kern w:val="2"/>
                      <w:sz w:val="21"/>
                      <w:szCs w:val="24"/>
                      <w:highlight w:val="none"/>
                      <w:lang w:val="en-US" w:eastAsia="zh-CN" w:bidi="ar-SA"/>
                    </w:rPr>
                    <w:t>主要有毒有害物质名称</w:t>
                  </w:r>
                </w:p>
              </w:tc>
              <w:tc>
                <w:tcPr>
                  <w:tcW w:w="1415" w:type="dxa"/>
                  <w:tcBorders>
                    <w:bottom w:val="single" w:color="auto" w:sz="12" w:space="0"/>
                  </w:tcBorders>
                  <w:vAlign w:val="center"/>
                </w:tcPr>
                <w:p w14:paraId="741B070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bCs/>
                      <w:color w:val="auto"/>
                      <w:kern w:val="2"/>
                      <w:sz w:val="21"/>
                      <w:szCs w:val="24"/>
                      <w:highlight w:val="none"/>
                      <w:lang w:val="en-US" w:eastAsia="zh-CN" w:bidi="ar-SA"/>
                    </w:rPr>
                  </w:pPr>
                  <w:r>
                    <w:rPr>
                      <w:rFonts w:hint="eastAsia" w:ascii="Times New Roman" w:hAnsi="Times New Roman" w:eastAsia="宋体" w:cs="Times New Roman"/>
                      <w:b/>
                      <w:bCs/>
                      <w:color w:val="auto"/>
                      <w:kern w:val="2"/>
                      <w:sz w:val="21"/>
                      <w:szCs w:val="24"/>
                      <w:highlight w:val="none"/>
                      <w:lang w:val="en-US" w:eastAsia="zh-CN" w:bidi="ar-SA"/>
                    </w:rPr>
                    <w:t>代码</w:t>
                  </w:r>
                </w:p>
              </w:tc>
              <w:tc>
                <w:tcPr>
                  <w:tcW w:w="675" w:type="dxa"/>
                  <w:tcBorders>
                    <w:bottom w:val="single" w:color="auto" w:sz="12" w:space="0"/>
                  </w:tcBorders>
                  <w:vAlign w:val="center"/>
                </w:tcPr>
                <w:p w14:paraId="14F2FC0A">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21"/>
                      <w:szCs w:val="24"/>
                      <w:highlight w:val="none"/>
                      <w:lang w:val="en-US" w:eastAsia="zh-CN" w:bidi="ar-SA"/>
                    </w:rPr>
                  </w:pPr>
                  <w:r>
                    <w:rPr>
                      <w:rFonts w:hint="default" w:ascii="Times New Roman" w:hAnsi="Times New Roman" w:eastAsia="宋体" w:cs="Times New Roman"/>
                      <w:b/>
                      <w:bCs/>
                      <w:color w:val="auto"/>
                      <w:kern w:val="2"/>
                      <w:sz w:val="21"/>
                      <w:szCs w:val="24"/>
                      <w:highlight w:val="none"/>
                      <w:lang w:val="en-US" w:eastAsia="zh-CN" w:bidi="ar-SA"/>
                    </w:rPr>
                    <w:t>物理</w:t>
                  </w:r>
                </w:p>
                <w:p w14:paraId="6391926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21"/>
                      <w:szCs w:val="24"/>
                      <w:highlight w:val="none"/>
                      <w:lang w:val="en-US" w:eastAsia="zh-CN" w:bidi="ar-SA"/>
                    </w:rPr>
                  </w:pPr>
                  <w:r>
                    <w:rPr>
                      <w:rFonts w:hint="default" w:ascii="Times New Roman" w:hAnsi="Times New Roman" w:eastAsia="宋体" w:cs="Times New Roman"/>
                      <w:b/>
                      <w:bCs/>
                      <w:color w:val="auto"/>
                      <w:kern w:val="2"/>
                      <w:sz w:val="21"/>
                      <w:szCs w:val="24"/>
                      <w:highlight w:val="none"/>
                      <w:lang w:val="en-US" w:eastAsia="zh-CN" w:bidi="ar-SA"/>
                    </w:rPr>
                    <w:t>性状</w:t>
                  </w:r>
                </w:p>
              </w:tc>
              <w:tc>
                <w:tcPr>
                  <w:tcW w:w="842" w:type="dxa"/>
                  <w:tcBorders>
                    <w:bottom w:val="single" w:color="auto" w:sz="12" w:space="0"/>
                  </w:tcBorders>
                  <w:vAlign w:val="center"/>
                </w:tcPr>
                <w:p w14:paraId="4F3B572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21"/>
                      <w:szCs w:val="24"/>
                      <w:highlight w:val="none"/>
                      <w:lang w:val="en-US" w:eastAsia="zh-CN" w:bidi="ar-SA"/>
                    </w:rPr>
                  </w:pPr>
                  <w:r>
                    <w:rPr>
                      <w:rFonts w:hint="default" w:ascii="Times New Roman" w:hAnsi="Times New Roman" w:eastAsia="宋体" w:cs="Times New Roman"/>
                      <w:b/>
                      <w:bCs/>
                      <w:color w:val="auto"/>
                      <w:kern w:val="2"/>
                      <w:sz w:val="21"/>
                      <w:szCs w:val="24"/>
                      <w:highlight w:val="none"/>
                      <w:lang w:val="en-US" w:eastAsia="zh-CN" w:bidi="ar-SA"/>
                    </w:rPr>
                    <w:t>环境危险特性</w:t>
                  </w:r>
                </w:p>
              </w:tc>
              <w:tc>
                <w:tcPr>
                  <w:tcW w:w="763" w:type="dxa"/>
                  <w:tcBorders>
                    <w:bottom w:val="single" w:color="auto" w:sz="12" w:space="0"/>
                  </w:tcBorders>
                  <w:vAlign w:val="center"/>
                </w:tcPr>
                <w:p w14:paraId="0701973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21"/>
                      <w:szCs w:val="24"/>
                      <w:highlight w:val="none"/>
                      <w:lang w:val="en-US" w:eastAsia="zh-CN" w:bidi="ar-SA"/>
                    </w:rPr>
                  </w:pPr>
                  <w:r>
                    <w:rPr>
                      <w:rFonts w:hint="default" w:ascii="Times New Roman" w:hAnsi="Times New Roman" w:eastAsia="宋体" w:cs="Times New Roman"/>
                      <w:b/>
                      <w:bCs/>
                      <w:color w:val="auto"/>
                      <w:kern w:val="2"/>
                      <w:sz w:val="21"/>
                      <w:szCs w:val="24"/>
                      <w:highlight w:val="none"/>
                      <w:lang w:val="en-US" w:eastAsia="zh-CN" w:bidi="ar-SA"/>
                    </w:rPr>
                    <w:t>产生量</w:t>
                  </w:r>
                </w:p>
                <w:p w14:paraId="5D1CD4E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21"/>
                      <w:szCs w:val="24"/>
                      <w:highlight w:val="none"/>
                      <w:lang w:val="en-US" w:eastAsia="zh-CN" w:bidi="ar-SA"/>
                    </w:rPr>
                  </w:pPr>
                  <w:r>
                    <w:rPr>
                      <w:rFonts w:hint="default" w:ascii="Times New Roman" w:hAnsi="Times New Roman" w:eastAsia="宋体" w:cs="Times New Roman"/>
                      <w:b/>
                      <w:bCs/>
                      <w:color w:val="auto"/>
                      <w:kern w:val="2"/>
                      <w:sz w:val="21"/>
                      <w:szCs w:val="24"/>
                      <w:highlight w:val="none"/>
                      <w:lang w:val="en-US" w:eastAsia="zh-CN" w:bidi="ar-SA"/>
                    </w:rPr>
                    <w:t>t/a</w:t>
                  </w:r>
                </w:p>
              </w:tc>
              <w:tc>
                <w:tcPr>
                  <w:tcW w:w="1267" w:type="dxa"/>
                  <w:tcBorders>
                    <w:bottom w:val="single" w:color="auto" w:sz="12" w:space="0"/>
                  </w:tcBorders>
                  <w:vAlign w:val="center"/>
                </w:tcPr>
                <w:p w14:paraId="55E9468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21"/>
                      <w:szCs w:val="24"/>
                      <w:highlight w:val="none"/>
                      <w:lang w:val="en-US" w:eastAsia="zh-CN" w:bidi="ar-SA"/>
                    </w:rPr>
                  </w:pPr>
                  <w:r>
                    <w:rPr>
                      <w:rFonts w:hint="default" w:ascii="Times New Roman" w:hAnsi="Times New Roman" w:eastAsia="宋体" w:cs="Times New Roman"/>
                      <w:b/>
                      <w:bCs/>
                      <w:color w:val="auto"/>
                      <w:kern w:val="2"/>
                      <w:sz w:val="21"/>
                      <w:szCs w:val="24"/>
                      <w:highlight w:val="none"/>
                      <w:lang w:val="en-US" w:eastAsia="zh-CN" w:bidi="ar-SA"/>
                    </w:rPr>
                    <w:t>贮存方式</w:t>
                  </w:r>
                </w:p>
              </w:tc>
              <w:tc>
                <w:tcPr>
                  <w:tcW w:w="0" w:type="auto"/>
                  <w:tcBorders>
                    <w:bottom w:val="single" w:color="auto" w:sz="12" w:space="0"/>
                  </w:tcBorders>
                  <w:vAlign w:val="center"/>
                </w:tcPr>
                <w:p w14:paraId="6E407D8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21"/>
                      <w:szCs w:val="24"/>
                      <w:highlight w:val="none"/>
                      <w:lang w:val="en-US" w:eastAsia="zh-CN" w:bidi="ar-SA"/>
                    </w:rPr>
                  </w:pPr>
                  <w:r>
                    <w:rPr>
                      <w:rFonts w:hint="default" w:ascii="Times New Roman" w:hAnsi="Times New Roman" w:eastAsia="宋体" w:cs="Times New Roman"/>
                      <w:b/>
                      <w:bCs/>
                      <w:color w:val="auto"/>
                      <w:kern w:val="2"/>
                      <w:sz w:val="21"/>
                      <w:szCs w:val="24"/>
                      <w:highlight w:val="none"/>
                      <w:lang w:val="en-US" w:eastAsia="zh-CN" w:bidi="ar-SA"/>
                    </w:rPr>
                    <w:t>利用处置方式和去向</w:t>
                  </w:r>
                </w:p>
              </w:tc>
              <w:tc>
                <w:tcPr>
                  <w:tcW w:w="0" w:type="auto"/>
                  <w:tcBorders>
                    <w:bottom w:val="single" w:color="auto" w:sz="12" w:space="0"/>
                  </w:tcBorders>
                  <w:vAlign w:val="center"/>
                </w:tcPr>
                <w:p w14:paraId="309F59B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21"/>
                      <w:szCs w:val="24"/>
                      <w:highlight w:val="none"/>
                      <w:lang w:val="en-US" w:eastAsia="zh-CN" w:bidi="ar-SA"/>
                    </w:rPr>
                  </w:pPr>
                  <w:r>
                    <w:rPr>
                      <w:rFonts w:hint="default" w:ascii="Times New Roman" w:hAnsi="Times New Roman" w:eastAsia="宋体" w:cs="Times New Roman"/>
                      <w:b/>
                      <w:bCs/>
                      <w:color w:val="auto"/>
                      <w:kern w:val="2"/>
                      <w:sz w:val="21"/>
                      <w:szCs w:val="24"/>
                      <w:highlight w:val="none"/>
                      <w:lang w:val="en-US" w:eastAsia="zh-CN" w:bidi="ar-SA"/>
                    </w:rPr>
                    <w:t>利用或处置量</w:t>
                  </w:r>
                  <w:r>
                    <w:rPr>
                      <w:rFonts w:hint="eastAsia" w:ascii="Times New Roman" w:hAnsi="Times New Roman" w:eastAsia="宋体" w:cs="Times New Roman"/>
                      <w:b/>
                      <w:bCs/>
                      <w:color w:val="auto"/>
                      <w:kern w:val="2"/>
                      <w:sz w:val="21"/>
                      <w:szCs w:val="24"/>
                      <w:highlight w:val="none"/>
                      <w:lang w:val="en-US" w:eastAsia="zh-CN" w:bidi="ar-SA"/>
                    </w:rPr>
                    <w:t>t/a</w:t>
                  </w:r>
                </w:p>
              </w:tc>
            </w:tr>
            <w:tr w14:paraId="250133F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55" w:type="dxa"/>
                  <w:tcBorders>
                    <w:top w:val="single" w:color="auto" w:sz="12" w:space="0"/>
                    <w:tl2br w:val="nil"/>
                    <w:tr2bl w:val="nil"/>
                  </w:tcBorders>
                  <w:vAlign w:val="center"/>
                </w:tcPr>
                <w:p w14:paraId="0C978B0F">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包装</w:t>
                  </w:r>
                </w:p>
              </w:tc>
              <w:tc>
                <w:tcPr>
                  <w:tcW w:w="981" w:type="dxa"/>
                  <w:tcBorders>
                    <w:top w:val="single" w:color="auto" w:sz="12" w:space="0"/>
                    <w:tl2br w:val="nil"/>
                    <w:tr2bl w:val="nil"/>
                  </w:tcBorders>
                  <w:vAlign w:val="center"/>
                </w:tcPr>
                <w:p w14:paraId="0B7E01B6">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废包装袋</w:t>
                  </w:r>
                </w:p>
              </w:tc>
              <w:tc>
                <w:tcPr>
                  <w:tcW w:w="939" w:type="dxa"/>
                  <w:vMerge w:val="restart"/>
                  <w:tcBorders>
                    <w:top w:val="single" w:color="auto" w:sz="12" w:space="0"/>
                    <w:tl2br w:val="nil"/>
                    <w:tr2bl w:val="nil"/>
                  </w:tcBorders>
                  <w:vAlign w:val="center"/>
                </w:tcPr>
                <w:p w14:paraId="5A60396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一般工业固体废物</w:t>
                  </w:r>
                </w:p>
              </w:tc>
              <w:tc>
                <w:tcPr>
                  <w:tcW w:w="1274" w:type="dxa"/>
                  <w:tcBorders>
                    <w:top w:val="single" w:color="auto" w:sz="12" w:space="0"/>
                    <w:tl2br w:val="nil"/>
                    <w:tr2bl w:val="nil"/>
                  </w:tcBorders>
                  <w:vAlign w:val="center"/>
                </w:tcPr>
                <w:p w14:paraId="1F1BAE2A">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w:t>
                  </w:r>
                </w:p>
              </w:tc>
              <w:tc>
                <w:tcPr>
                  <w:tcW w:w="1415" w:type="dxa"/>
                  <w:tcBorders>
                    <w:top w:val="single" w:color="auto" w:sz="12" w:space="0"/>
                    <w:tl2br w:val="nil"/>
                    <w:tr2bl w:val="nil"/>
                  </w:tcBorders>
                  <w:vAlign w:val="center"/>
                </w:tcPr>
                <w:p w14:paraId="69556D5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900-003-S17</w:t>
                  </w:r>
                </w:p>
              </w:tc>
              <w:tc>
                <w:tcPr>
                  <w:tcW w:w="675" w:type="dxa"/>
                  <w:tcBorders>
                    <w:top w:val="single" w:color="auto" w:sz="12" w:space="0"/>
                    <w:tl2br w:val="nil"/>
                    <w:tr2bl w:val="nil"/>
                  </w:tcBorders>
                  <w:vAlign w:val="center"/>
                </w:tcPr>
                <w:p w14:paraId="37B3993A">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spacing w:val="0"/>
                      <w:sz w:val="21"/>
                      <w:highlight w:val="none"/>
                      <w:lang w:val="en-US" w:eastAsia="zh-CN"/>
                    </w:rPr>
                    <w:t>固态</w:t>
                  </w:r>
                </w:p>
              </w:tc>
              <w:tc>
                <w:tcPr>
                  <w:tcW w:w="842" w:type="dxa"/>
                  <w:tcBorders>
                    <w:top w:val="single" w:color="auto" w:sz="12" w:space="0"/>
                    <w:tl2br w:val="nil"/>
                    <w:tr2bl w:val="nil"/>
                  </w:tcBorders>
                  <w:vAlign w:val="center"/>
                </w:tcPr>
                <w:p w14:paraId="556A1F8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w:t>
                  </w:r>
                </w:p>
              </w:tc>
              <w:tc>
                <w:tcPr>
                  <w:tcW w:w="763" w:type="dxa"/>
                  <w:tcBorders>
                    <w:top w:val="single" w:color="auto" w:sz="12" w:space="0"/>
                    <w:tl2br w:val="nil"/>
                    <w:tr2bl w:val="nil"/>
                  </w:tcBorders>
                  <w:vAlign w:val="center"/>
                </w:tcPr>
                <w:p w14:paraId="4C94222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1</w:t>
                  </w:r>
                </w:p>
              </w:tc>
              <w:tc>
                <w:tcPr>
                  <w:tcW w:w="1267" w:type="dxa"/>
                  <w:vMerge w:val="restart"/>
                  <w:tcBorders>
                    <w:top w:val="single" w:color="auto" w:sz="12" w:space="0"/>
                    <w:tl2br w:val="nil"/>
                    <w:tr2bl w:val="nil"/>
                  </w:tcBorders>
                  <w:vAlign w:val="center"/>
                </w:tcPr>
                <w:p w14:paraId="3AE8B585">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一般工业固废暂存间</w:t>
                  </w:r>
                </w:p>
              </w:tc>
              <w:tc>
                <w:tcPr>
                  <w:tcW w:w="2105" w:type="dxa"/>
                  <w:vMerge w:val="restart"/>
                  <w:tcBorders>
                    <w:top w:val="single" w:color="auto" w:sz="12" w:space="0"/>
                    <w:tl2br w:val="nil"/>
                    <w:tr2bl w:val="nil"/>
                  </w:tcBorders>
                  <w:vAlign w:val="center"/>
                </w:tcPr>
                <w:p w14:paraId="58BB0AE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kern w:val="2"/>
                      <w:sz w:val="21"/>
                      <w:szCs w:val="24"/>
                      <w:highlight w:val="none"/>
                      <w:lang w:val="en-US" w:eastAsia="zh-CN" w:bidi="ar-SA"/>
                    </w:rPr>
                    <w:t>外售综合利用</w:t>
                  </w:r>
                </w:p>
                <w:p w14:paraId="0B454D5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jc w:val="center"/>
                    <w:textAlignment w:val="auto"/>
                    <w:rPr>
                      <w:rFonts w:hint="default" w:ascii="Times New Roman" w:hAnsi="Times New Roman" w:eastAsia="宋体" w:cs="Times New Roman"/>
                      <w:color w:val="auto"/>
                      <w:kern w:val="2"/>
                      <w:sz w:val="21"/>
                      <w:szCs w:val="24"/>
                      <w:highlight w:val="none"/>
                      <w:lang w:val="en-US" w:eastAsia="zh-CN" w:bidi="ar-SA"/>
                    </w:rPr>
                  </w:pPr>
                </w:p>
              </w:tc>
              <w:tc>
                <w:tcPr>
                  <w:tcW w:w="1179" w:type="dxa"/>
                  <w:tcBorders>
                    <w:top w:val="single" w:color="auto" w:sz="12" w:space="0"/>
                    <w:tl2br w:val="nil"/>
                    <w:tr2bl w:val="nil"/>
                  </w:tcBorders>
                  <w:vAlign w:val="center"/>
                </w:tcPr>
                <w:p w14:paraId="6FD454D5">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1</w:t>
                  </w:r>
                </w:p>
              </w:tc>
            </w:tr>
            <w:tr w14:paraId="0A9274A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55" w:type="dxa"/>
                  <w:tcBorders>
                    <w:tl2br w:val="nil"/>
                    <w:tr2bl w:val="nil"/>
                  </w:tcBorders>
                  <w:vAlign w:val="center"/>
                </w:tcPr>
                <w:p w14:paraId="74A1AD41">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裁剪</w:t>
                  </w:r>
                  <w:r>
                    <w:rPr>
                      <w:rFonts w:hint="eastAsia" w:ascii="Times New Roman" w:hAnsi="Times New Roman" w:eastAsia="宋体" w:cs="Times New Roman"/>
                      <w:color w:val="auto"/>
                      <w:kern w:val="2"/>
                      <w:sz w:val="21"/>
                      <w:szCs w:val="21"/>
                      <w:highlight w:val="none"/>
                      <w:lang w:val="en-US" w:eastAsia="zh-CN" w:bidi="ar-SA"/>
                    </w:rPr>
                    <w:t>\</w:t>
                  </w:r>
                  <w:r>
                    <w:rPr>
                      <w:rFonts w:hint="default" w:ascii="Times New Roman" w:hAnsi="Times New Roman" w:eastAsia="宋体" w:cs="Times New Roman"/>
                      <w:color w:val="auto"/>
                      <w:kern w:val="2"/>
                      <w:sz w:val="21"/>
                      <w:szCs w:val="21"/>
                      <w:highlight w:val="none"/>
                      <w:lang w:val="en-US" w:eastAsia="zh-CN" w:bidi="ar-SA"/>
                    </w:rPr>
                    <w:t>加工</w:t>
                  </w:r>
                </w:p>
              </w:tc>
              <w:tc>
                <w:tcPr>
                  <w:tcW w:w="981" w:type="dxa"/>
                  <w:tcBorders>
                    <w:tl2br w:val="nil"/>
                    <w:tr2bl w:val="nil"/>
                  </w:tcBorders>
                  <w:vAlign w:val="center"/>
                </w:tcPr>
                <w:p w14:paraId="588DA9B9">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废边角料</w:t>
                  </w:r>
                </w:p>
              </w:tc>
              <w:tc>
                <w:tcPr>
                  <w:tcW w:w="939" w:type="dxa"/>
                  <w:vMerge w:val="continue"/>
                  <w:tcBorders>
                    <w:tl2br w:val="nil"/>
                    <w:tr2bl w:val="nil"/>
                  </w:tcBorders>
                  <w:vAlign w:val="center"/>
                </w:tcPr>
                <w:p w14:paraId="43227A0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p>
              </w:tc>
              <w:tc>
                <w:tcPr>
                  <w:tcW w:w="1274" w:type="dxa"/>
                  <w:tcBorders>
                    <w:tl2br w:val="nil"/>
                    <w:tr2bl w:val="nil"/>
                  </w:tcBorders>
                  <w:vAlign w:val="center"/>
                </w:tcPr>
                <w:p w14:paraId="5A9E91A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w:t>
                  </w:r>
                </w:p>
              </w:tc>
              <w:tc>
                <w:tcPr>
                  <w:tcW w:w="1415" w:type="dxa"/>
                  <w:tcBorders>
                    <w:tl2br w:val="nil"/>
                    <w:tr2bl w:val="nil"/>
                  </w:tcBorders>
                  <w:vAlign w:val="center"/>
                </w:tcPr>
                <w:p w14:paraId="6D55F43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900-004-S17</w:t>
                  </w:r>
                </w:p>
              </w:tc>
              <w:tc>
                <w:tcPr>
                  <w:tcW w:w="675" w:type="dxa"/>
                  <w:tcBorders>
                    <w:tl2br w:val="nil"/>
                    <w:tr2bl w:val="nil"/>
                  </w:tcBorders>
                  <w:vAlign w:val="center"/>
                </w:tcPr>
                <w:p w14:paraId="3B28E01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spacing w:val="0"/>
                      <w:sz w:val="21"/>
                      <w:highlight w:val="none"/>
                      <w:lang w:val="en-US" w:eastAsia="zh-CN"/>
                    </w:rPr>
                    <w:t>固态</w:t>
                  </w:r>
                </w:p>
              </w:tc>
              <w:tc>
                <w:tcPr>
                  <w:tcW w:w="842" w:type="dxa"/>
                  <w:tcBorders>
                    <w:tl2br w:val="nil"/>
                    <w:tr2bl w:val="nil"/>
                  </w:tcBorders>
                  <w:vAlign w:val="center"/>
                </w:tcPr>
                <w:p w14:paraId="42A7F42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w:t>
                  </w:r>
                </w:p>
              </w:tc>
              <w:tc>
                <w:tcPr>
                  <w:tcW w:w="763" w:type="dxa"/>
                  <w:tcBorders>
                    <w:tl2br w:val="nil"/>
                    <w:tr2bl w:val="nil"/>
                  </w:tcBorders>
                  <w:vAlign w:val="center"/>
                </w:tcPr>
                <w:p w14:paraId="6F3A5B0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14</w:t>
                  </w:r>
                </w:p>
              </w:tc>
              <w:tc>
                <w:tcPr>
                  <w:tcW w:w="1267" w:type="dxa"/>
                  <w:vMerge w:val="continue"/>
                  <w:tcBorders>
                    <w:tl2br w:val="nil"/>
                    <w:tr2bl w:val="nil"/>
                  </w:tcBorders>
                  <w:vAlign w:val="center"/>
                </w:tcPr>
                <w:p w14:paraId="21BC7D4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p>
              </w:tc>
              <w:tc>
                <w:tcPr>
                  <w:tcW w:w="2105" w:type="dxa"/>
                  <w:vMerge w:val="continue"/>
                  <w:tcBorders>
                    <w:tl2br w:val="nil"/>
                    <w:tr2bl w:val="nil"/>
                  </w:tcBorders>
                  <w:vAlign w:val="center"/>
                </w:tcPr>
                <w:p w14:paraId="4C072785">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olor w:val="auto"/>
                      <w:sz w:val="21"/>
                      <w:szCs w:val="21"/>
                      <w:highlight w:val="none"/>
                      <w:lang w:val="en-US" w:eastAsia="zh-CN"/>
                    </w:rPr>
                  </w:pPr>
                </w:p>
              </w:tc>
              <w:tc>
                <w:tcPr>
                  <w:tcW w:w="1179" w:type="dxa"/>
                  <w:tcBorders>
                    <w:tl2br w:val="nil"/>
                    <w:tr2bl w:val="nil"/>
                  </w:tcBorders>
                  <w:vAlign w:val="center"/>
                </w:tcPr>
                <w:p w14:paraId="1606A63A">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14</w:t>
                  </w:r>
                </w:p>
              </w:tc>
            </w:tr>
            <w:tr w14:paraId="220BD1D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1055" w:type="dxa"/>
                  <w:tcBorders>
                    <w:tl2br w:val="nil"/>
                    <w:tr2bl w:val="nil"/>
                  </w:tcBorders>
                  <w:vAlign w:val="center"/>
                </w:tcPr>
                <w:p w14:paraId="40C4E8FA">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注塑</w:t>
                  </w:r>
                </w:p>
              </w:tc>
              <w:tc>
                <w:tcPr>
                  <w:tcW w:w="981" w:type="dxa"/>
                  <w:tcBorders>
                    <w:tl2br w:val="nil"/>
                    <w:tr2bl w:val="nil"/>
                  </w:tcBorders>
                  <w:vAlign w:val="center"/>
                </w:tcPr>
                <w:p w14:paraId="41721D03">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注塑废边角料</w:t>
                  </w:r>
                </w:p>
              </w:tc>
              <w:tc>
                <w:tcPr>
                  <w:tcW w:w="939" w:type="dxa"/>
                  <w:vMerge w:val="continue"/>
                  <w:tcBorders>
                    <w:tl2br w:val="nil"/>
                    <w:tr2bl w:val="nil"/>
                  </w:tcBorders>
                  <w:vAlign w:val="center"/>
                </w:tcPr>
                <w:p w14:paraId="6F53449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p>
              </w:tc>
              <w:tc>
                <w:tcPr>
                  <w:tcW w:w="1274" w:type="dxa"/>
                  <w:tcBorders>
                    <w:tl2br w:val="nil"/>
                    <w:tr2bl w:val="nil"/>
                  </w:tcBorders>
                  <w:vAlign w:val="center"/>
                </w:tcPr>
                <w:p w14:paraId="21982D8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jc w:val="center"/>
                    <w:textAlignment w:val="auto"/>
                    <w:rPr>
                      <w:rFonts w:hint="eastAsia"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w:t>
                  </w:r>
                </w:p>
              </w:tc>
              <w:tc>
                <w:tcPr>
                  <w:tcW w:w="1415" w:type="dxa"/>
                  <w:tcBorders>
                    <w:tl2br w:val="nil"/>
                    <w:tr2bl w:val="nil"/>
                  </w:tcBorders>
                  <w:vAlign w:val="center"/>
                </w:tcPr>
                <w:p w14:paraId="7FD2598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b w:val="0"/>
                      <w:bCs/>
                      <w:color w:val="auto"/>
                      <w:sz w:val="21"/>
                      <w:szCs w:val="21"/>
                      <w:highlight w:val="none"/>
                    </w:rPr>
                  </w:pPr>
                  <w:r>
                    <w:rPr>
                      <w:rFonts w:hint="eastAsia" w:ascii="Times New Roman" w:hAnsi="Times New Roman" w:eastAsia="宋体" w:cs="Times New Roman"/>
                      <w:color w:val="auto"/>
                      <w:kern w:val="2"/>
                      <w:sz w:val="21"/>
                      <w:szCs w:val="24"/>
                      <w:highlight w:val="none"/>
                      <w:lang w:val="en-US" w:eastAsia="zh-CN" w:bidi="ar-SA"/>
                    </w:rPr>
                    <w:t>900-099-S59</w:t>
                  </w:r>
                </w:p>
              </w:tc>
              <w:tc>
                <w:tcPr>
                  <w:tcW w:w="675" w:type="dxa"/>
                  <w:tcBorders>
                    <w:tl2br w:val="nil"/>
                    <w:tr2bl w:val="nil"/>
                  </w:tcBorders>
                  <w:vAlign w:val="center"/>
                </w:tcPr>
                <w:p w14:paraId="113ABE2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spacing w:val="0"/>
                      <w:sz w:val="21"/>
                      <w:highlight w:val="none"/>
                      <w:lang w:val="en-US" w:eastAsia="zh-CN"/>
                    </w:rPr>
                    <w:t>固态</w:t>
                  </w:r>
                </w:p>
              </w:tc>
              <w:tc>
                <w:tcPr>
                  <w:tcW w:w="842" w:type="dxa"/>
                  <w:tcBorders>
                    <w:tl2br w:val="nil"/>
                    <w:tr2bl w:val="nil"/>
                  </w:tcBorders>
                  <w:vAlign w:val="center"/>
                </w:tcPr>
                <w:p w14:paraId="1BE0C13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jc w:val="center"/>
                    <w:textAlignment w:val="auto"/>
                    <w:rPr>
                      <w:rFonts w:hint="eastAsia"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w:t>
                  </w:r>
                </w:p>
              </w:tc>
              <w:tc>
                <w:tcPr>
                  <w:tcW w:w="763" w:type="dxa"/>
                  <w:tcBorders>
                    <w:tl2br w:val="nil"/>
                    <w:tr2bl w:val="nil"/>
                  </w:tcBorders>
                  <w:vAlign w:val="center"/>
                </w:tcPr>
                <w:p w14:paraId="09B5FD9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24.8</w:t>
                  </w:r>
                </w:p>
              </w:tc>
              <w:tc>
                <w:tcPr>
                  <w:tcW w:w="1267" w:type="dxa"/>
                  <w:vMerge w:val="continue"/>
                  <w:tcBorders>
                    <w:tl2br w:val="nil"/>
                    <w:tr2bl w:val="nil"/>
                  </w:tcBorders>
                  <w:vAlign w:val="center"/>
                </w:tcPr>
                <w:p w14:paraId="4D624E1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p>
              </w:tc>
              <w:tc>
                <w:tcPr>
                  <w:tcW w:w="2105" w:type="dxa"/>
                  <w:vMerge w:val="continue"/>
                  <w:tcBorders>
                    <w:tl2br w:val="nil"/>
                    <w:tr2bl w:val="nil"/>
                  </w:tcBorders>
                  <w:vAlign w:val="center"/>
                </w:tcPr>
                <w:p w14:paraId="3951326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olor w:val="auto"/>
                      <w:sz w:val="21"/>
                      <w:szCs w:val="21"/>
                      <w:highlight w:val="none"/>
                      <w:lang w:val="en-US" w:eastAsia="zh-CN"/>
                    </w:rPr>
                  </w:pPr>
                </w:p>
              </w:tc>
              <w:tc>
                <w:tcPr>
                  <w:tcW w:w="1179" w:type="dxa"/>
                  <w:tcBorders>
                    <w:tl2br w:val="nil"/>
                    <w:tr2bl w:val="nil"/>
                  </w:tcBorders>
                  <w:vAlign w:val="center"/>
                </w:tcPr>
                <w:p w14:paraId="50939E1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0.5</w:t>
                  </w:r>
                </w:p>
              </w:tc>
            </w:tr>
            <w:tr w14:paraId="0F927BC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1055" w:type="dxa"/>
                  <w:vMerge w:val="restart"/>
                  <w:tcBorders>
                    <w:tl2br w:val="nil"/>
                    <w:tr2bl w:val="nil"/>
                  </w:tcBorders>
                  <w:vAlign w:val="center"/>
                </w:tcPr>
                <w:p w14:paraId="32F6BE89">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废气处理</w:t>
                  </w:r>
                </w:p>
              </w:tc>
              <w:tc>
                <w:tcPr>
                  <w:tcW w:w="981" w:type="dxa"/>
                  <w:tcBorders>
                    <w:tl2br w:val="nil"/>
                    <w:tr2bl w:val="nil"/>
                  </w:tcBorders>
                  <w:vAlign w:val="center"/>
                </w:tcPr>
                <w:p w14:paraId="770B2B38">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eastAsia="宋体" w:cs="Times New Roman"/>
                      <w:color w:val="auto"/>
                      <w:kern w:val="2"/>
                      <w:sz w:val="21"/>
                      <w:szCs w:val="21"/>
                      <w:highlight w:val="none"/>
                      <w:lang w:val="en-US" w:eastAsia="zh-CN" w:bidi="ar-SA"/>
                    </w:rPr>
                    <w:t>布袋</w:t>
                  </w:r>
                  <w:r>
                    <w:rPr>
                      <w:rFonts w:hint="eastAsia" w:ascii="Times New Roman" w:hAnsi="Times New Roman" w:eastAsia="宋体" w:cs="Times New Roman"/>
                      <w:color w:val="auto"/>
                      <w:kern w:val="2"/>
                      <w:sz w:val="21"/>
                      <w:szCs w:val="21"/>
                      <w:highlight w:val="none"/>
                      <w:lang w:val="en-US" w:eastAsia="zh-CN" w:bidi="ar-SA"/>
                    </w:rPr>
                    <w:t>收集粉尘</w:t>
                  </w:r>
                </w:p>
              </w:tc>
              <w:tc>
                <w:tcPr>
                  <w:tcW w:w="939" w:type="dxa"/>
                  <w:vMerge w:val="continue"/>
                  <w:tcBorders>
                    <w:tl2br w:val="nil"/>
                    <w:tr2bl w:val="nil"/>
                  </w:tcBorders>
                  <w:vAlign w:val="center"/>
                </w:tcPr>
                <w:p w14:paraId="31DB5C2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p>
              </w:tc>
              <w:tc>
                <w:tcPr>
                  <w:tcW w:w="1274" w:type="dxa"/>
                  <w:tcBorders>
                    <w:tl2br w:val="nil"/>
                    <w:tr2bl w:val="nil"/>
                  </w:tcBorders>
                  <w:vAlign w:val="center"/>
                </w:tcPr>
                <w:p w14:paraId="61C4966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jc w:val="center"/>
                    <w:textAlignment w:val="auto"/>
                    <w:rPr>
                      <w:rFonts w:hint="eastAsia"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w:t>
                  </w:r>
                </w:p>
              </w:tc>
              <w:tc>
                <w:tcPr>
                  <w:tcW w:w="1415" w:type="dxa"/>
                  <w:tcBorders>
                    <w:tl2br w:val="nil"/>
                    <w:tr2bl w:val="nil"/>
                  </w:tcBorders>
                  <w:vAlign w:val="center"/>
                </w:tcPr>
                <w:p w14:paraId="5B61095C">
                  <w:pPr>
                    <w:keepNext w:val="0"/>
                    <w:keepLines w:val="0"/>
                    <w:widowControl/>
                    <w:suppressLineNumbers w:val="0"/>
                    <w:autoSpaceDE w:val="0"/>
                    <w:autoSpaceDN w:val="0"/>
                    <w:adjustRightInd w:val="0"/>
                    <w:spacing w:before="0" w:beforeAutospacing="0" w:after="0" w:afterAutospacing="0" w:line="240" w:lineRule="exact"/>
                    <w:ind w:left="0" w:right="0"/>
                    <w:jc w:val="center"/>
                    <w:rPr>
                      <w:rFonts w:hint="eastAsia"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b w:val="0"/>
                      <w:bCs w:val="0"/>
                      <w:color w:val="auto"/>
                      <w:sz w:val="21"/>
                      <w:szCs w:val="21"/>
                      <w:lang w:val="en-US" w:eastAsia="zh-CN"/>
                    </w:rPr>
                    <w:t>900-099-S59</w:t>
                  </w:r>
                </w:p>
              </w:tc>
              <w:tc>
                <w:tcPr>
                  <w:tcW w:w="675" w:type="dxa"/>
                  <w:tcBorders>
                    <w:tl2br w:val="nil"/>
                    <w:tr2bl w:val="nil"/>
                  </w:tcBorders>
                  <w:vAlign w:val="center"/>
                </w:tcPr>
                <w:p w14:paraId="0364861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spacing w:val="0"/>
                      <w:sz w:val="21"/>
                      <w:highlight w:val="none"/>
                      <w:lang w:val="en-US" w:eastAsia="zh-CN"/>
                    </w:rPr>
                  </w:pPr>
                  <w:r>
                    <w:rPr>
                      <w:rFonts w:hint="eastAsia" w:ascii="Times New Roman" w:hAnsi="Times New Roman" w:eastAsia="宋体" w:cs="Times New Roman"/>
                      <w:color w:val="auto"/>
                      <w:spacing w:val="0"/>
                      <w:sz w:val="21"/>
                      <w:highlight w:val="none"/>
                      <w:lang w:val="en-US" w:eastAsia="zh-CN"/>
                    </w:rPr>
                    <w:t>固态</w:t>
                  </w:r>
                </w:p>
              </w:tc>
              <w:tc>
                <w:tcPr>
                  <w:tcW w:w="842" w:type="dxa"/>
                  <w:tcBorders>
                    <w:tl2br w:val="nil"/>
                    <w:tr2bl w:val="nil"/>
                  </w:tcBorders>
                  <w:vAlign w:val="center"/>
                </w:tcPr>
                <w:p w14:paraId="24082E7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w:t>
                  </w:r>
                </w:p>
              </w:tc>
              <w:tc>
                <w:tcPr>
                  <w:tcW w:w="763" w:type="dxa"/>
                  <w:tcBorders>
                    <w:tl2br w:val="nil"/>
                    <w:tr2bl w:val="nil"/>
                  </w:tcBorders>
                  <w:vAlign w:val="center"/>
                </w:tcPr>
                <w:p w14:paraId="4DD30AF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eastAsia" w:cs="Times New Roman"/>
                      <w:color w:val="auto"/>
                      <w:kern w:val="2"/>
                      <w:sz w:val="21"/>
                      <w:szCs w:val="24"/>
                      <w:highlight w:val="none"/>
                      <w:lang w:val="en-US" w:eastAsia="zh-CN" w:bidi="ar-SA"/>
                    </w:rPr>
                    <w:t>5.95</w:t>
                  </w:r>
                </w:p>
              </w:tc>
              <w:tc>
                <w:tcPr>
                  <w:tcW w:w="1267" w:type="dxa"/>
                  <w:vMerge w:val="continue"/>
                  <w:tcBorders>
                    <w:tl2br w:val="nil"/>
                    <w:tr2bl w:val="nil"/>
                  </w:tcBorders>
                  <w:vAlign w:val="center"/>
                </w:tcPr>
                <w:p w14:paraId="743F08B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p>
              </w:tc>
              <w:tc>
                <w:tcPr>
                  <w:tcW w:w="2105" w:type="dxa"/>
                  <w:tcBorders>
                    <w:tl2br w:val="nil"/>
                    <w:tr2bl w:val="nil"/>
                  </w:tcBorders>
                  <w:vAlign w:val="center"/>
                </w:tcPr>
                <w:p w14:paraId="0A3DB49A">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olor w:val="auto"/>
                      <w:sz w:val="21"/>
                      <w:szCs w:val="21"/>
                      <w:highlight w:val="none"/>
                      <w:lang w:val="en-US" w:eastAsia="zh-CN"/>
                    </w:rPr>
                  </w:pPr>
                  <w:r>
                    <w:rPr>
                      <w:rFonts w:hint="eastAsia" w:ascii="Times New Roman" w:hAnsi="Times New Roman" w:cs="Times New Roman"/>
                      <w:snapToGrid/>
                      <w:color w:val="auto"/>
                      <w:kern w:val="2"/>
                      <w:sz w:val="21"/>
                      <w:szCs w:val="21"/>
                      <w:lang w:eastAsia="zh-CN"/>
                    </w:rPr>
                    <w:t>交由环卫部门处置</w:t>
                  </w:r>
                </w:p>
              </w:tc>
              <w:tc>
                <w:tcPr>
                  <w:tcW w:w="1179" w:type="dxa"/>
                  <w:tcBorders>
                    <w:tl2br w:val="nil"/>
                    <w:tr2bl w:val="nil"/>
                  </w:tcBorders>
                  <w:vAlign w:val="center"/>
                </w:tcPr>
                <w:p w14:paraId="04D1EDE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r>
                    <w:rPr>
                      <w:rFonts w:hint="eastAsia" w:cs="Times New Roman"/>
                      <w:color w:val="auto"/>
                      <w:kern w:val="2"/>
                      <w:sz w:val="21"/>
                      <w:szCs w:val="24"/>
                      <w:highlight w:val="none"/>
                      <w:lang w:val="en-US" w:eastAsia="zh-CN" w:bidi="ar-SA"/>
                    </w:rPr>
                    <w:t>5.95</w:t>
                  </w:r>
                </w:p>
              </w:tc>
            </w:tr>
            <w:tr w14:paraId="055114C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1055" w:type="dxa"/>
                  <w:vMerge w:val="continue"/>
                  <w:tcBorders>
                    <w:tl2br w:val="nil"/>
                    <w:tr2bl w:val="nil"/>
                  </w:tcBorders>
                  <w:vAlign w:val="center"/>
                </w:tcPr>
                <w:p w14:paraId="1F525571">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981" w:type="dxa"/>
                  <w:tcBorders>
                    <w:tl2br w:val="nil"/>
                    <w:tr2bl w:val="nil"/>
                  </w:tcBorders>
                  <w:vAlign w:val="center"/>
                </w:tcPr>
                <w:p w14:paraId="2AF3DE67">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废布袋</w:t>
                  </w:r>
                </w:p>
              </w:tc>
              <w:tc>
                <w:tcPr>
                  <w:tcW w:w="939" w:type="dxa"/>
                  <w:vMerge w:val="continue"/>
                  <w:tcBorders>
                    <w:tl2br w:val="nil"/>
                    <w:tr2bl w:val="nil"/>
                  </w:tcBorders>
                  <w:vAlign w:val="center"/>
                </w:tcPr>
                <w:p w14:paraId="6192017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p>
              </w:tc>
              <w:tc>
                <w:tcPr>
                  <w:tcW w:w="1274" w:type="dxa"/>
                  <w:tcBorders>
                    <w:tl2br w:val="nil"/>
                    <w:tr2bl w:val="nil"/>
                  </w:tcBorders>
                  <w:vAlign w:val="center"/>
                </w:tcPr>
                <w:p w14:paraId="00721BBA">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jc w:val="center"/>
                    <w:textAlignment w:val="auto"/>
                    <w:rPr>
                      <w:rFonts w:hint="eastAsia"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w:t>
                  </w:r>
                </w:p>
              </w:tc>
              <w:tc>
                <w:tcPr>
                  <w:tcW w:w="1415" w:type="dxa"/>
                  <w:tcBorders>
                    <w:tl2br w:val="nil"/>
                    <w:tr2bl w:val="nil"/>
                  </w:tcBorders>
                  <w:vAlign w:val="center"/>
                </w:tcPr>
                <w:p w14:paraId="60BDB968">
                  <w:pPr>
                    <w:keepNext w:val="0"/>
                    <w:keepLines w:val="0"/>
                    <w:widowControl/>
                    <w:suppressLineNumbers w:val="0"/>
                    <w:autoSpaceDE w:val="0"/>
                    <w:autoSpaceDN w:val="0"/>
                    <w:adjustRightInd w:val="0"/>
                    <w:spacing w:before="0" w:beforeAutospacing="0" w:after="0" w:afterAutospacing="0" w:line="240" w:lineRule="exact"/>
                    <w:ind w:left="0" w:right="0"/>
                    <w:jc w:val="center"/>
                    <w:rPr>
                      <w:rFonts w:hint="eastAsia"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b w:val="0"/>
                      <w:bCs w:val="0"/>
                      <w:color w:val="auto"/>
                      <w:sz w:val="21"/>
                      <w:szCs w:val="21"/>
                      <w:lang w:val="en-US" w:eastAsia="zh-CN"/>
                    </w:rPr>
                    <w:t>900-006-S62</w:t>
                  </w:r>
                </w:p>
              </w:tc>
              <w:tc>
                <w:tcPr>
                  <w:tcW w:w="675" w:type="dxa"/>
                  <w:tcBorders>
                    <w:tl2br w:val="nil"/>
                    <w:tr2bl w:val="nil"/>
                  </w:tcBorders>
                  <w:vAlign w:val="center"/>
                </w:tcPr>
                <w:p w14:paraId="2218BDC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spacing w:val="0"/>
                      <w:sz w:val="21"/>
                      <w:highlight w:val="none"/>
                      <w:lang w:val="en-US" w:eastAsia="zh-CN"/>
                    </w:rPr>
                  </w:pPr>
                  <w:r>
                    <w:rPr>
                      <w:rFonts w:hint="eastAsia" w:ascii="Times New Roman" w:hAnsi="Times New Roman" w:eastAsia="宋体" w:cs="Times New Roman"/>
                      <w:color w:val="auto"/>
                      <w:spacing w:val="0"/>
                      <w:sz w:val="21"/>
                      <w:highlight w:val="none"/>
                      <w:lang w:val="en-US" w:eastAsia="zh-CN"/>
                    </w:rPr>
                    <w:t>固态</w:t>
                  </w:r>
                </w:p>
              </w:tc>
              <w:tc>
                <w:tcPr>
                  <w:tcW w:w="842" w:type="dxa"/>
                  <w:tcBorders>
                    <w:tl2br w:val="nil"/>
                    <w:tr2bl w:val="nil"/>
                  </w:tcBorders>
                  <w:vAlign w:val="center"/>
                </w:tcPr>
                <w:p w14:paraId="5E7EAD30">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w:t>
                  </w:r>
                </w:p>
              </w:tc>
              <w:tc>
                <w:tcPr>
                  <w:tcW w:w="763" w:type="dxa"/>
                  <w:tcBorders>
                    <w:tl2br w:val="nil"/>
                    <w:tr2bl w:val="nil"/>
                  </w:tcBorders>
                  <w:vAlign w:val="center"/>
                </w:tcPr>
                <w:p w14:paraId="34C5AE9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0.01</w:t>
                  </w:r>
                </w:p>
              </w:tc>
              <w:tc>
                <w:tcPr>
                  <w:tcW w:w="1267" w:type="dxa"/>
                  <w:vMerge w:val="continue"/>
                  <w:tcBorders>
                    <w:tl2br w:val="nil"/>
                    <w:tr2bl w:val="nil"/>
                  </w:tcBorders>
                  <w:vAlign w:val="center"/>
                </w:tcPr>
                <w:p w14:paraId="67B6F44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p>
              </w:tc>
              <w:tc>
                <w:tcPr>
                  <w:tcW w:w="2105" w:type="dxa"/>
                  <w:vMerge w:val="restart"/>
                  <w:tcBorders>
                    <w:tl2br w:val="nil"/>
                    <w:tr2bl w:val="nil"/>
                  </w:tcBorders>
                  <w:vAlign w:val="center"/>
                </w:tcPr>
                <w:p w14:paraId="025DED8A">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olor w:val="auto"/>
                      <w:sz w:val="21"/>
                      <w:szCs w:val="21"/>
                      <w:highlight w:val="none"/>
                      <w:lang w:val="en-US" w:eastAsia="zh-CN"/>
                    </w:rPr>
                  </w:pPr>
                  <w:r>
                    <w:rPr>
                      <w:rFonts w:hint="default" w:ascii="Times New Roman" w:hAnsi="Times New Roman" w:eastAsia="宋体" w:cs="Times New Roman"/>
                      <w:color w:val="auto"/>
                      <w:kern w:val="2"/>
                      <w:sz w:val="21"/>
                      <w:szCs w:val="24"/>
                      <w:highlight w:val="none"/>
                      <w:lang w:val="en-US" w:eastAsia="zh-CN" w:bidi="ar-SA"/>
                    </w:rPr>
                    <w:t>外售综合利用</w:t>
                  </w:r>
                </w:p>
              </w:tc>
              <w:tc>
                <w:tcPr>
                  <w:tcW w:w="1179" w:type="dxa"/>
                  <w:tcBorders>
                    <w:tl2br w:val="nil"/>
                    <w:tr2bl w:val="nil"/>
                  </w:tcBorders>
                  <w:vAlign w:val="center"/>
                </w:tcPr>
                <w:p w14:paraId="731EBCC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0.01</w:t>
                  </w:r>
                </w:p>
              </w:tc>
            </w:tr>
            <w:tr w14:paraId="6EF0854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55" w:type="dxa"/>
                  <w:tcBorders>
                    <w:tl2br w:val="nil"/>
                    <w:tr2bl w:val="nil"/>
                  </w:tcBorders>
                  <w:vAlign w:val="center"/>
                </w:tcPr>
                <w:p w14:paraId="06FA2906">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检验</w:t>
                  </w:r>
                </w:p>
              </w:tc>
              <w:tc>
                <w:tcPr>
                  <w:tcW w:w="981" w:type="dxa"/>
                  <w:tcBorders>
                    <w:tl2br w:val="nil"/>
                    <w:tr2bl w:val="nil"/>
                  </w:tcBorders>
                  <w:vAlign w:val="center"/>
                </w:tcPr>
                <w:p w14:paraId="00092B36">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不合格品</w:t>
                  </w:r>
                </w:p>
              </w:tc>
              <w:tc>
                <w:tcPr>
                  <w:tcW w:w="939" w:type="dxa"/>
                  <w:vMerge w:val="continue"/>
                  <w:tcBorders>
                    <w:tl2br w:val="nil"/>
                    <w:tr2bl w:val="nil"/>
                  </w:tcBorders>
                  <w:vAlign w:val="center"/>
                </w:tcPr>
                <w:p w14:paraId="4024F89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jc w:val="center"/>
                    <w:textAlignment w:val="auto"/>
                    <w:rPr>
                      <w:rFonts w:hint="default" w:ascii="Times New Roman" w:hAnsi="Times New Roman" w:eastAsia="宋体" w:cs="Times New Roman"/>
                      <w:color w:val="auto"/>
                      <w:kern w:val="2"/>
                      <w:sz w:val="21"/>
                      <w:szCs w:val="24"/>
                      <w:highlight w:val="none"/>
                      <w:lang w:val="en-US" w:eastAsia="zh-CN" w:bidi="ar-SA"/>
                    </w:rPr>
                  </w:pPr>
                </w:p>
              </w:tc>
              <w:tc>
                <w:tcPr>
                  <w:tcW w:w="1274" w:type="dxa"/>
                  <w:tcBorders>
                    <w:tl2br w:val="nil"/>
                    <w:tr2bl w:val="nil"/>
                  </w:tcBorders>
                  <w:vAlign w:val="center"/>
                </w:tcPr>
                <w:p w14:paraId="2FD3C43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w:t>
                  </w:r>
                </w:p>
              </w:tc>
              <w:tc>
                <w:tcPr>
                  <w:tcW w:w="1415" w:type="dxa"/>
                  <w:tcBorders>
                    <w:tl2br w:val="nil"/>
                    <w:tr2bl w:val="nil"/>
                  </w:tcBorders>
                  <w:vAlign w:val="center"/>
                </w:tcPr>
                <w:p w14:paraId="1A111290">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kern w:val="2"/>
                      <w:sz w:val="21"/>
                      <w:szCs w:val="24"/>
                      <w:highlight w:val="none"/>
                      <w:lang w:val="en-US" w:eastAsia="zh-CN" w:bidi="ar-SA"/>
                    </w:rPr>
                    <w:t>900-004-S17</w:t>
                  </w:r>
                </w:p>
              </w:tc>
              <w:tc>
                <w:tcPr>
                  <w:tcW w:w="675" w:type="dxa"/>
                  <w:tcBorders>
                    <w:tl2br w:val="nil"/>
                    <w:tr2bl w:val="nil"/>
                  </w:tcBorders>
                  <w:vAlign w:val="center"/>
                </w:tcPr>
                <w:p w14:paraId="1A35E9F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spacing w:val="0"/>
                      <w:sz w:val="21"/>
                      <w:highlight w:val="none"/>
                      <w:lang w:val="en-US" w:eastAsia="zh-CN"/>
                    </w:rPr>
                    <w:t>固态</w:t>
                  </w:r>
                </w:p>
              </w:tc>
              <w:tc>
                <w:tcPr>
                  <w:tcW w:w="842" w:type="dxa"/>
                  <w:tcBorders>
                    <w:tl2br w:val="nil"/>
                    <w:tr2bl w:val="nil"/>
                  </w:tcBorders>
                  <w:vAlign w:val="center"/>
                </w:tcPr>
                <w:p w14:paraId="08CE0BD0">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w:t>
                  </w:r>
                </w:p>
              </w:tc>
              <w:tc>
                <w:tcPr>
                  <w:tcW w:w="763" w:type="dxa"/>
                  <w:tcBorders>
                    <w:tl2br w:val="nil"/>
                    <w:tr2bl w:val="nil"/>
                  </w:tcBorders>
                  <w:vAlign w:val="center"/>
                </w:tcPr>
                <w:p w14:paraId="026C7B01">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kern w:val="2"/>
                      <w:sz w:val="21"/>
                      <w:szCs w:val="24"/>
                      <w:highlight w:val="none"/>
                      <w:lang w:val="en-US" w:eastAsia="zh-CN" w:bidi="ar-SA"/>
                    </w:rPr>
                  </w:pPr>
                  <w:r>
                    <w:rPr>
                      <w:rFonts w:hint="eastAsia" w:ascii="Times New Roman" w:hAnsi="Times New Roman" w:eastAsia="宋体" w:cs="Times New Roman"/>
                      <w:b w:val="0"/>
                      <w:bCs/>
                      <w:color w:val="auto"/>
                      <w:kern w:val="2"/>
                      <w:sz w:val="21"/>
                      <w:szCs w:val="24"/>
                      <w:highlight w:val="none"/>
                      <w:lang w:val="en-US" w:eastAsia="zh-CN" w:bidi="ar-SA"/>
                    </w:rPr>
                    <w:t>0.</w:t>
                  </w:r>
                  <w:r>
                    <w:rPr>
                      <w:rFonts w:hint="eastAsia" w:ascii="Times New Roman" w:cs="Times New Roman"/>
                      <w:b w:val="0"/>
                      <w:bCs/>
                      <w:color w:val="auto"/>
                      <w:kern w:val="2"/>
                      <w:sz w:val="21"/>
                      <w:szCs w:val="24"/>
                      <w:highlight w:val="none"/>
                      <w:lang w:val="en-US" w:eastAsia="zh-CN" w:bidi="ar-SA"/>
                    </w:rPr>
                    <w:t>91</w:t>
                  </w:r>
                </w:p>
              </w:tc>
              <w:tc>
                <w:tcPr>
                  <w:tcW w:w="1267" w:type="dxa"/>
                  <w:vMerge w:val="continue"/>
                  <w:tcBorders>
                    <w:tl2br w:val="nil"/>
                    <w:tr2bl w:val="nil"/>
                  </w:tcBorders>
                  <w:vAlign w:val="center"/>
                </w:tcPr>
                <w:p w14:paraId="44F0734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jc w:val="center"/>
                    <w:textAlignment w:val="auto"/>
                    <w:rPr>
                      <w:rFonts w:hint="eastAsia" w:ascii="Times New Roman" w:hAnsi="Times New Roman" w:eastAsia="宋体" w:cs="Times New Roman"/>
                      <w:color w:val="auto"/>
                      <w:kern w:val="2"/>
                      <w:sz w:val="21"/>
                      <w:szCs w:val="24"/>
                      <w:highlight w:val="none"/>
                      <w:lang w:val="en-US" w:eastAsia="zh-CN" w:bidi="ar-SA"/>
                    </w:rPr>
                  </w:pPr>
                </w:p>
              </w:tc>
              <w:tc>
                <w:tcPr>
                  <w:tcW w:w="2105" w:type="dxa"/>
                  <w:vMerge w:val="continue"/>
                  <w:tcBorders>
                    <w:tl2br w:val="nil"/>
                    <w:tr2bl w:val="nil"/>
                  </w:tcBorders>
                  <w:vAlign w:val="center"/>
                </w:tcPr>
                <w:p w14:paraId="4679F63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jc w:val="center"/>
                    <w:textAlignment w:val="auto"/>
                    <w:rPr>
                      <w:rFonts w:hint="default" w:ascii="Times New Roman" w:hAnsi="Times New Roman" w:eastAsia="宋体" w:cs="Times New Roman"/>
                      <w:color w:val="auto"/>
                      <w:kern w:val="2"/>
                      <w:sz w:val="21"/>
                      <w:szCs w:val="24"/>
                      <w:highlight w:val="none"/>
                      <w:lang w:val="en-US" w:eastAsia="zh-CN" w:bidi="ar-SA"/>
                    </w:rPr>
                  </w:pPr>
                </w:p>
              </w:tc>
              <w:tc>
                <w:tcPr>
                  <w:tcW w:w="0" w:type="auto"/>
                  <w:tcBorders>
                    <w:tl2br w:val="nil"/>
                    <w:tr2bl w:val="nil"/>
                  </w:tcBorders>
                  <w:vAlign w:val="center"/>
                </w:tcPr>
                <w:p w14:paraId="36191949">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kern w:val="2"/>
                      <w:sz w:val="21"/>
                      <w:szCs w:val="24"/>
                      <w:highlight w:val="none"/>
                      <w:lang w:val="en-US" w:eastAsia="zh-CN" w:bidi="ar-SA"/>
                    </w:rPr>
                  </w:pPr>
                  <w:r>
                    <w:rPr>
                      <w:rFonts w:hint="eastAsia" w:ascii="Times New Roman" w:hAnsi="Times New Roman" w:eastAsia="宋体" w:cs="Times New Roman"/>
                      <w:b w:val="0"/>
                      <w:bCs/>
                      <w:color w:val="auto"/>
                      <w:kern w:val="2"/>
                      <w:sz w:val="21"/>
                      <w:szCs w:val="24"/>
                      <w:highlight w:val="none"/>
                      <w:lang w:val="en-US" w:eastAsia="zh-CN" w:bidi="ar-SA"/>
                    </w:rPr>
                    <w:t>0.</w:t>
                  </w:r>
                  <w:r>
                    <w:rPr>
                      <w:rFonts w:hint="eastAsia" w:ascii="Times New Roman" w:cs="Times New Roman"/>
                      <w:b w:val="0"/>
                      <w:bCs/>
                      <w:color w:val="auto"/>
                      <w:kern w:val="2"/>
                      <w:sz w:val="21"/>
                      <w:szCs w:val="24"/>
                      <w:highlight w:val="none"/>
                      <w:lang w:val="en-US" w:eastAsia="zh-CN" w:bidi="ar-SA"/>
                    </w:rPr>
                    <w:t>91</w:t>
                  </w:r>
                </w:p>
              </w:tc>
            </w:tr>
            <w:tr w14:paraId="1A66B2C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55" w:type="dxa"/>
                  <w:tcBorders>
                    <w:tl2br w:val="nil"/>
                    <w:tr2bl w:val="nil"/>
                  </w:tcBorders>
                  <w:vAlign w:val="center"/>
                </w:tcPr>
                <w:p w14:paraId="50D76DCF">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丝印</w:t>
                  </w:r>
                </w:p>
              </w:tc>
              <w:tc>
                <w:tcPr>
                  <w:tcW w:w="981" w:type="dxa"/>
                  <w:tcBorders>
                    <w:tl2br w:val="nil"/>
                    <w:tr2bl w:val="nil"/>
                  </w:tcBorders>
                  <w:vAlign w:val="center"/>
                </w:tcPr>
                <w:p w14:paraId="666A3919">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废网版</w:t>
                  </w:r>
                </w:p>
              </w:tc>
              <w:tc>
                <w:tcPr>
                  <w:tcW w:w="939" w:type="dxa"/>
                  <w:vMerge w:val="restart"/>
                  <w:tcBorders>
                    <w:tl2br w:val="nil"/>
                    <w:tr2bl w:val="nil"/>
                  </w:tcBorders>
                  <w:vAlign w:val="center"/>
                </w:tcPr>
                <w:p w14:paraId="25EE20E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危险废物</w:t>
                  </w:r>
                </w:p>
              </w:tc>
              <w:tc>
                <w:tcPr>
                  <w:tcW w:w="1274" w:type="dxa"/>
                  <w:tcBorders>
                    <w:tl2br w:val="nil"/>
                    <w:tr2bl w:val="nil"/>
                  </w:tcBorders>
                  <w:vAlign w:val="center"/>
                </w:tcPr>
                <w:p w14:paraId="2722B9BB">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spacing w:val="0"/>
                      <w:kern w:val="2"/>
                      <w:sz w:val="21"/>
                      <w:szCs w:val="24"/>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废油墨</w:t>
                  </w:r>
                </w:p>
              </w:tc>
              <w:tc>
                <w:tcPr>
                  <w:tcW w:w="1415" w:type="dxa"/>
                  <w:tcBorders>
                    <w:tl2br w:val="nil"/>
                    <w:tr2bl w:val="nil"/>
                  </w:tcBorders>
                  <w:vAlign w:val="center"/>
                </w:tcPr>
                <w:p w14:paraId="2F194E9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900-253-12</w:t>
                  </w:r>
                </w:p>
              </w:tc>
              <w:tc>
                <w:tcPr>
                  <w:tcW w:w="675" w:type="dxa"/>
                  <w:tcBorders>
                    <w:tl2br w:val="nil"/>
                    <w:tr2bl w:val="nil"/>
                  </w:tcBorders>
                  <w:vAlign w:val="center"/>
                </w:tcPr>
                <w:p w14:paraId="1AE32A6C">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eastAsia" w:ascii="Times New Roman" w:hAnsi="Times New Roman" w:eastAsia="宋体" w:cs="Times New Roman"/>
                      <w:color w:val="auto"/>
                      <w:spacing w:val="0"/>
                      <w:kern w:val="2"/>
                      <w:sz w:val="21"/>
                      <w:szCs w:val="24"/>
                      <w:highlight w:val="none"/>
                      <w:lang w:val="en-US" w:eastAsia="zh-CN" w:bidi="ar-SA"/>
                    </w:rPr>
                  </w:pPr>
                  <w:r>
                    <w:rPr>
                      <w:rFonts w:hint="eastAsia" w:ascii="Times New Roman" w:hAnsi="Times New Roman" w:eastAsia="宋体" w:cs="Times New Roman"/>
                      <w:color w:val="auto"/>
                      <w:spacing w:val="0"/>
                      <w:sz w:val="21"/>
                      <w:highlight w:val="none"/>
                      <w:lang w:val="en-US" w:eastAsia="zh-CN"/>
                    </w:rPr>
                    <w:t>固态</w:t>
                  </w:r>
                </w:p>
              </w:tc>
              <w:tc>
                <w:tcPr>
                  <w:tcW w:w="842" w:type="dxa"/>
                  <w:tcBorders>
                    <w:tl2br w:val="nil"/>
                    <w:tr2bl w:val="nil"/>
                  </w:tcBorders>
                  <w:vAlign w:val="center"/>
                </w:tcPr>
                <w:p w14:paraId="702C9DF7">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eastAsia" w:ascii="Times New Roman" w:hAnsi="Times New Roman" w:eastAsia="宋体" w:cs="Times New Roman"/>
                      <w:color w:val="auto"/>
                      <w:spacing w:val="0"/>
                      <w:kern w:val="2"/>
                      <w:sz w:val="21"/>
                      <w:szCs w:val="24"/>
                      <w:highlight w:val="none"/>
                      <w:lang w:val="en-US" w:eastAsia="zh-CN" w:bidi="ar-SA"/>
                    </w:rPr>
                  </w:pPr>
                  <w:r>
                    <w:rPr>
                      <w:rFonts w:hint="eastAsia" w:ascii="Times New Roman" w:hAnsi="Times New Roman" w:eastAsia="宋体" w:cs="Times New Roman"/>
                      <w:color w:val="auto"/>
                      <w:spacing w:val="0"/>
                      <w:kern w:val="2"/>
                      <w:sz w:val="21"/>
                      <w:szCs w:val="24"/>
                      <w:highlight w:val="none"/>
                      <w:lang w:val="en-US" w:eastAsia="zh-CN" w:bidi="ar-SA"/>
                    </w:rPr>
                    <w:t>T，I</w:t>
                  </w:r>
                </w:p>
              </w:tc>
              <w:tc>
                <w:tcPr>
                  <w:tcW w:w="763" w:type="dxa"/>
                  <w:tcBorders>
                    <w:tl2br w:val="nil"/>
                    <w:tr2bl w:val="nil"/>
                  </w:tcBorders>
                  <w:vAlign w:val="center"/>
                </w:tcPr>
                <w:p w14:paraId="7C9C6AD6">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kern w:val="2"/>
                      <w:sz w:val="21"/>
                      <w:szCs w:val="24"/>
                      <w:highlight w:val="none"/>
                      <w:lang w:val="en-US" w:eastAsia="zh-CN" w:bidi="ar-SA"/>
                    </w:rPr>
                  </w:pPr>
                  <w:r>
                    <w:rPr>
                      <w:rFonts w:hint="eastAsia" w:ascii="Times New Roman" w:hAnsi="Times New Roman" w:eastAsia="宋体" w:cs="Times New Roman"/>
                      <w:b w:val="0"/>
                      <w:bCs/>
                      <w:color w:val="auto"/>
                      <w:kern w:val="2"/>
                      <w:sz w:val="21"/>
                      <w:szCs w:val="24"/>
                      <w:highlight w:val="none"/>
                      <w:lang w:val="en-US" w:eastAsia="zh-CN" w:bidi="ar-SA"/>
                    </w:rPr>
                    <w:t>0.06</w:t>
                  </w:r>
                </w:p>
              </w:tc>
              <w:tc>
                <w:tcPr>
                  <w:tcW w:w="1267" w:type="dxa"/>
                  <w:vMerge w:val="restart"/>
                  <w:tcBorders>
                    <w:tl2br w:val="nil"/>
                    <w:tr2bl w:val="nil"/>
                  </w:tcBorders>
                  <w:vAlign w:val="center"/>
                </w:tcPr>
                <w:p w14:paraId="6E1F6E7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危险废物暂存间</w:t>
                  </w:r>
                </w:p>
              </w:tc>
              <w:tc>
                <w:tcPr>
                  <w:tcW w:w="0" w:type="auto"/>
                  <w:tcBorders>
                    <w:tl2br w:val="nil"/>
                    <w:tr2bl w:val="nil"/>
                  </w:tcBorders>
                  <w:vAlign w:val="center"/>
                </w:tcPr>
                <w:p w14:paraId="1BAB516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委托有资质单位处理</w:t>
                  </w:r>
                </w:p>
              </w:tc>
              <w:tc>
                <w:tcPr>
                  <w:tcW w:w="1179" w:type="dxa"/>
                  <w:tcBorders>
                    <w:tl2br w:val="nil"/>
                    <w:tr2bl w:val="nil"/>
                  </w:tcBorders>
                  <w:vAlign w:val="center"/>
                </w:tcPr>
                <w:p w14:paraId="475FDEA7">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eastAsia" w:ascii="Times New Roman" w:hAnsi="Times New Roman" w:eastAsia="宋体" w:cs="Times New Roman"/>
                      <w:b w:val="0"/>
                      <w:bCs/>
                      <w:color w:val="auto"/>
                      <w:kern w:val="2"/>
                      <w:sz w:val="21"/>
                      <w:szCs w:val="24"/>
                      <w:highlight w:val="none"/>
                      <w:lang w:val="en-US" w:eastAsia="zh-CN" w:bidi="ar-SA"/>
                    </w:rPr>
                  </w:pPr>
                  <w:r>
                    <w:rPr>
                      <w:rFonts w:hint="eastAsia" w:ascii="Times New Roman" w:hAnsi="Times New Roman" w:eastAsia="宋体" w:cs="Times New Roman"/>
                      <w:b w:val="0"/>
                      <w:bCs/>
                      <w:color w:val="auto"/>
                      <w:kern w:val="2"/>
                      <w:sz w:val="21"/>
                      <w:szCs w:val="24"/>
                      <w:highlight w:val="none"/>
                      <w:lang w:val="en-US" w:eastAsia="zh-CN" w:bidi="ar-SA"/>
                    </w:rPr>
                    <w:t>0.06</w:t>
                  </w:r>
                </w:p>
              </w:tc>
            </w:tr>
            <w:tr w14:paraId="5EEB87E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55" w:type="dxa"/>
                  <w:tcBorders>
                    <w:tl2br w:val="nil"/>
                    <w:tr2bl w:val="nil"/>
                  </w:tcBorders>
                  <w:vAlign w:val="center"/>
                </w:tcPr>
                <w:p w14:paraId="1E131BE3">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丝印</w:t>
                  </w:r>
                </w:p>
              </w:tc>
              <w:tc>
                <w:tcPr>
                  <w:tcW w:w="981" w:type="dxa"/>
                  <w:tcBorders>
                    <w:tl2br w:val="nil"/>
                    <w:tr2bl w:val="nil"/>
                  </w:tcBorders>
                  <w:vAlign w:val="center"/>
                </w:tcPr>
                <w:p w14:paraId="2EF7F616">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网版清洗水</w:t>
                  </w:r>
                </w:p>
              </w:tc>
              <w:tc>
                <w:tcPr>
                  <w:tcW w:w="939" w:type="dxa"/>
                  <w:vMerge w:val="continue"/>
                  <w:tcBorders>
                    <w:tl2br w:val="nil"/>
                    <w:tr2bl w:val="nil"/>
                  </w:tcBorders>
                  <w:vAlign w:val="center"/>
                </w:tcPr>
                <w:p w14:paraId="75700D8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p>
              </w:tc>
              <w:tc>
                <w:tcPr>
                  <w:tcW w:w="1274" w:type="dxa"/>
                  <w:tcBorders>
                    <w:tl2br w:val="nil"/>
                    <w:tr2bl w:val="nil"/>
                  </w:tcBorders>
                  <w:vAlign w:val="center"/>
                </w:tcPr>
                <w:p w14:paraId="1B8627EF">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spacing w:val="0"/>
                      <w:kern w:val="2"/>
                      <w:sz w:val="21"/>
                      <w:szCs w:val="24"/>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废油墨</w:t>
                  </w:r>
                </w:p>
              </w:tc>
              <w:tc>
                <w:tcPr>
                  <w:tcW w:w="1415" w:type="dxa"/>
                  <w:tcBorders>
                    <w:tl2br w:val="nil"/>
                    <w:tr2bl w:val="nil"/>
                  </w:tcBorders>
                  <w:vAlign w:val="center"/>
                </w:tcPr>
                <w:p w14:paraId="086A7DE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900-007-09</w:t>
                  </w:r>
                </w:p>
              </w:tc>
              <w:tc>
                <w:tcPr>
                  <w:tcW w:w="675" w:type="dxa"/>
                  <w:tcBorders>
                    <w:tl2br w:val="nil"/>
                    <w:tr2bl w:val="nil"/>
                  </w:tcBorders>
                  <w:vAlign w:val="center"/>
                </w:tcPr>
                <w:p w14:paraId="6EB2AD2C">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eastAsia" w:ascii="Times New Roman" w:hAnsi="Times New Roman" w:eastAsia="宋体" w:cs="Times New Roman"/>
                      <w:color w:val="auto"/>
                      <w:spacing w:val="0"/>
                      <w:kern w:val="2"/>
                      <w:sz w:val="21"/>
                      <w:szCs w:val="24"/>
                      <w:highlight w:val="none"/>
                      <w:lang w:val="en-US" w:eastAsia="zh-CN" w:bidi="ar-SA"/>
                    </w:rPr>
                  </w:pPr>
                  <w:r>
                    <w:rPr>
                      <w:rFonts w:hint="eastAsia" w:ascii="Times New Roman" w:hAnsi="Times New Roman" w:eastAsia="宋体" w:cs="Times New Roman"/>
                      <w:color w:val="auto"/>
                      <w:spacing w:val="0"/>
                      <w:sz w:val="21"/>
                      <w:highlight w:val="none"/>
                      <w:lang w:val="en-US" w:eastAsia="zh-CN"/>
                    </w:rPr>
                    <w:t>液态</w:t>
                  </w:r>
                </w:p>
              </w:tc>
              <w:tc>
                <w:tcPr>
                  <w:tcW w:w="842" w:type="dxa"/>
                  <w:tcBorders>
                    <w:tl2br w:val="nil"/>
                    <w:tr2bl w:val="nil"/>
                  </w:tcBorders>
                  <w:vAlign w:val="center"/>
                </w:tcPr>
                <w:p w14:paraId="03B4A7D8">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default" w:ascii="Times New Roman" w:hAnsi="Times New Roman" w:eastAsia="宋体" w:cs="Times New Roman"/>
                      <w:color w:val="auto"/>
                      <w:spacing w:val="0"/>
                      <w:kern w:val="2"/>
                      <w:sz w:val="21"/>
                      <w:szCs w:val="24"/>
                      <w:highlight w:val="none"/>
                      <w:lang w:val="en-US" w:eastAsia="zh-CN" w:bidi="ar-SA"/>
                    </w:rPr>
                  </w:pPr>
                  <w:r>
                    <w:rPr>
                      <w:rFonts w:hint="eastAsia" w:ascii="Times New Roman" w:hAnsi="Times New Roman" w:eastAsia="宋体" w:cs="Times New Roman"/>
                      <w:color w:val="auto"/>
                      <w:spacing w:val="0"/>
                      <w:kern w:val="2"/>
                      <w:sz w:val="21"/>
                      <w:szCs w:val="24"/>
                      <w:highlight w:val="none"/>
                      <w:lang w:val="en-US" w:eastAsia="zh-CN" w:bidi="ar-SA"/>
                    </w:rPr>
                    <w:t>T</w:t>
                  </w:r>
                </w:p>
              </w:tc>
              <w:tc>
                <w:tcPr>
                  <w:tcW w:w="763" w:type="dxa"/>
                  <w:tcBorders>
                    <w:tl2br w:val="nil"/>
                    <w:tr2bl w:val="nil"/>
                  </w:tcBorders>
                  <w:vAlign w:val="center"/>
                </w:tcPr>
                <w:p w14:paraId="269F217A">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kern w:val="2"/>
                      <w:sz w:val="21"/>
                      <w:szCs w:val="24"/>
                      <w:highlight w:val="none"/>
                      <w:lang w:val="en-US" w:eastAsia="zh-CN" w:bidi="ar-SA"/>
                    </w:rPr>
                  </w:pPr>
                  <w:r>
                    <w:rPr>
                      <w:rFonts w:hint="eastAsia" w:ascii="Times New Roman" w:hAnsi="Times New Roman" w:eastAsia="宋体" w:cs="Times New Roman"/>
                      <w:b w:val="0"/>
                      <w:bCs/>
                      <w:color w:val="auto"/>
                      <w:kern w:val="2"/>
                      <w:sz w:val="21"/>
                      <w:szCs w:val="24"/>
                      <w:highlight w:val="none"/>
                      <w:lang w:val="en-US" w:eastAsia="zh-CN" w:bidi="ar-SA"/>
                    </w:rPr>
                    <w:t>6</w:t>
                  </w:r>
                </w:p>
              </w:tc>
              <w:tc>
                <w:tcPr>
                  <w:tcW w:w="1267" w:type="dxa"/>
                  <w:vMerge w:val="continue"/>
                  <w:tcBorders>
                    <w:tl2br w:val="nil"/>
                    <w:tr2bl w:val="nil"/>
                  </w:tcBorders>
                  <w:vAlign w:val="center"/>
                </w:tcPr>
                <w:p w14:paraId="3374943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p>
              </w:tc>
              <w:tc>
                <w:tcPr>
                  <w:tcW w:w="0" w:type="auto"/>
                  <w:tcBorders>
                    <w:tl2br w:val="nil"/>
                    <w:tr2bl w:val="nil"/>
                  </w:tcBorders>
                  <w:vAlign w:val="center"/>
                </w:tcPr>
                <w:p w14:paraId="40280A8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委托有资质单位处理</w:t>
                  </w:r>
                </w:p>
              </w:tc>
              <w:tc>
                <w:tcPr>
                  <w:tcW w:w="1179" w:type="dxa"/>
                  <w:tcBorders>
                    <w:tl2br w:val="nil"/>
                    <w:tr2bl w:val="nil"/>
                  </w:tcBorders>
                  <w:vAlign w:val="center"/>
                </w:tcPr>
                <w:p w14:paraId="5AD0732B">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eastAsia" w:ascii="Times New Roman" w:hAnsi="Times New Roman" w:eastAsia="宋体" w:cs="Times New Roman"/>
                      <w:b w:val="0"/>
                      <w:bCs/>
                      <w:color w:val="auto"/>
                      <w:kern w:val="2"/>
                      <w:sz w:val="21"/>
                      <w:szCs w:val="24"/>
                      <w:highlight w:val="none"/>
                      <w:lang w:val="en-US" w:eastAsia="zh-CN" w:bidi="ar-SA"/>
                    </w:rPr>
                  </w:pPr>
                  <w:r>
                    <w:rPr>
                      <w:rFonts w:hint="eastAsia" w:ascii="Times New Roman" w:hAnsi="Times New Roman" w:eastAsia="宋体" w:cs="Times New Roman"/>
                      <w:b w:val="0"/>
                      <w:bCs/>
                      <w:color w:val="auto"/>
                      <w:kern w:val="2"/>
                      <w:sz w:val="21"/>
                      <w:szCs w:val="24"/>
                      <w:highlight w:val="none"/>
                      <w:lang w:val="en-US" w:eastAsia="zh-CN" w:bidi="ar-SA"/>
                    </w:rPr>
                    <w:t>6</w:t>
                  </w:r>
                </w:p>
              </w:tc>
            </w:tr>
            <w:tr w14:paraId="3A3D1A7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55" w:type="dxa"/>
                  <w:tcBorders>
                    <w:tl2br w:val="nil"/>
                    <w:tr2bl w:val="nil"/>
                  </w:tcBorders>
                  <w:shd w:val="clear" w:color="auto" w:fill="auto"/>
                  <w:vAlign w:val="center"/>
                </w:tcPr>
                <w:p w14:paraId="6B4FA415">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包装</w:t>
                  </w:r>
                </w:p>
              </w:tc>
              <w:tc>
                <w:tcPr>
                  <w:tcW w:w="981" w:type="dxa"/>
                  <w:tcBorders>
                    <w:tl2br w:val="nil"/>
                    <w:tr2bl w:val="nil"/>
                  </w:tcBorders>
                  <w:shd w:val="clear" w:color="auto" w:fill="auto"/>
                  <w:vAlign w:val="center"/>
                </w:tcPr>
                <w:p w14:paraId="1E24DE66">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废包装桶</w:t>
                  </w:r>
                </w:p>
              </w:tc>
              <w:tc>
                <w:tcPr>
                  <w:tcW w:w="939" w:type="dxa"/>
                  <w:vMerge w:val="continue"/>
                  <w:tcBorders>
                    <w:tl2br w:val="nil"/>
                    <w:tr2bl w:val="nil"/>
                  </w:tcBorders>
                  <w:vAlign w:val="center"/>
                </w:tcPr>
                <w:p w14:paraId="2893C45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p>
              </w:tc>
              <w:tc>
                <w:tcPr>
                  <w:tcW w:w="1274" w:type="dxa"/>
                  <w:tcBorders>
                    <w:tl2br w:val="nil"/>
                    <w:tr2bl w:val="nil"/>
                  </w:tcBorders>
                  <w:shd w:val="clear" w:color="auto" w:fill="auto"/>
                  <w:vAlign w:val="center"/>
                </w:tcPr>
                <w:p w14:paraId="52027A7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default" w:ascii="Times New Roman" w:hAnsi="Times New Roman" w:eastAsia="宋体" w:cs="Times New Roman"/>
                      <w:color w:val="auto"/>
                      <w:spacing w:val="0"/>
                      <w:kern w:val="2"/>
                      <w:sz w:val="21"/>
                      <w:szCs w:val="24"/>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废胶</w:t>
                  </w:r>
                </w:p>
              </w:tc>
              <w:tc>
                <w:tcPr>
                  <w:tcW w:w="1415" w:type="dxa"/>
                  <w:tcBorders>
                    <w:tl2br w:val="nil"/>
                    <w:tr2bl w:val="nil"/>
                  </w:tcBorders>
                  <w:shd w:val="clear" w:color="auto" w:fill="auto"/>
                  <w:vAlign w:val="center"/>
                </w:tcPr>
                <w:p w14:paraId="1DA61D3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sz w:val="21"/>
                      <w:highlight w:val="none"/>
                      <w:lang w:val="en-US" w:eastAsia="zh-CN"/>
                    </w:rPr>
                    <w:t>900-041-49</w:t>
                  </w:r>
                </w:p>
              </w:tc>
              <w:tc>
                <w:tcPr>
                  <w:tcW w:w="675" w:type="dxa"/>
                  <w:tcBorders>
                    <w:tl2br w:val="nil"/>
                    <w:tr2bl w:val="nil"/>
                  </w:tcBorders>
                  <w:shd w:val="clear" w:color="auto" w:fill="auto"/>
                  <w:vAlign w:val="center"/>
                </w:tcPr>
                <w:p w14:paraId="08C48B9C">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eastAsia" w:ascii="Times New Roman" w:hAnsi="Times New Roman" w:eastAsia="宋体" w:cs="Times New Roman"/>
                      <w:color w:val="auto"/>
                      <w:spacing w:val="0"/>
                      <w:kern w:val="2"/>
                      <w:sz w:val="21"/>
                      <w:szCs w:val="24"/>
                      <w:highlight w:val="none"/>
                      <w:lang w:val="en-US" w:eastAsia="zh-CN" w:bidi="ar-SA"/>
                    </w:rPr>
                  </w:pPr>
                  <w:r>
                    <w:rPr>
                      <w:rFonts w:hint="eastAsia" w:ascii="Times New Roman" w:hAnsi="Times New Roman" w:eastAsia="宋体" w:cs="Times New Roman"/>
                      <w:color w:val="auto"/>
                      <w:spacing w:val="0"/>
                      <w:sz w:val="21"/>
                      <w:highlight w:val="none"/>
                      <w:lang w:val="en-US" w:eastAsia="zh-CN"/>
                    </w:rPr>
                    <w:t>固态</w:t>
                  </w:r>
                </w:p>
              </w:tc>
              <w:tc>
                <w:tcPr>
                  <w:tcW w:w="842" w:type="dxa"/>
                  <w:tcBorders>
                    <w:tl2br w:val="nil"/>
                    <w:tr2bl w:val="nil"/>
                  </w:tcBorders>
                  <w:shd w:val="clear" w:color="auto" w:fill="auto"/>
                  <w:vAlign w:val="center"/>
                </w:tcPr>
                <w:p w14:paraId="05AEB4C3">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eastAsia" w:ascii="Times New Roman" w:hAnsi="Times New Roman" w:eastAsia="宋体" w:cs="Times New Roman"/>
                      <w:color w:val="auto"/>
                      <w:spacing w:val="0"/>
                      <w:kern w:val="2"/>
                      <w:sz w:val="21"/>
                      <w:szCs w:val="24"/>
                      <w:highlight w:val="none"/>
                      <w:lang w:val="en-US" w:eastAsia="zh-CN" w:bidi="ar-SA"/>
                    </w:rPr>
                  </w:pPr>
                  <w:r>
                    <w:rPr>
                      <w:rFonts w:hint="eastAsia" w:ascii="Times New Roman" w:hAnsi="Times New Roman" w:eastAsia="宋体" w:cs="Times New Roman"/>
                      <w:color w:val="auto"/>
                      <w:spacing w:val="0"/>
                      <w:kern w:val="2"/>
                      <w:sz w:val="21"/>
                      <w:szCs w:val="24"/>
                      <w:highlight w:val="none"/>
                      <w:lang w:val="en-US" w:eastAsia="zh-CN" w:bidi="ar-SA"/>
                    </w:rPr>
                    <w:t>T/In</w:t>
                  </w:r>
                </w:p>
              </w:tc>
              <w:tc>
                <w:tcPr>
                  <w:tcW w:w="763" w:type="dxa"/>
                  <w:tcBorders>
                    <w:tl2br w:val="nil"/>
                    <w:tr2bl w:val="nil"/>
                  </w:tcBorders>
                  <w:shd w:val="clear" w:color="auto" w:fill="auto"/>
                  <w:vAlign w:val="center"/>
                </w:tcPr>
                <w:p w14:paraId="21C5B59E">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kern w:val="2"/>
                      <w:sz w:val="21"/>
                      <w:szCs w:val="24"/>
                      <w:highlight w:val="none"/>
                      <w:lang w:val="en-US" w:eastAsia="zh-CN" w:bidi="ar-SA"/>
                    </w:rPr>
                  </w:pPr>
                  <w:r>
                    <w:rPr>
                      <w:rFonts w:hint="eastAsia" w:ascii="Times New Roman" w:cs="Times New Roman"/>
                      <w:b w:val="0"/>
                      <w:bCs/>
                      <w:color w:val="auto"/>
                      <w:kern w:val="2"/>
                      <w:sz w:val="21"/>
                      <w:szCs w:val="24"/>
                      <w:highlight w:val="none"/>
                      <w:lang w:val="en-US" w:eastAsia="zh-CN" w:bidi="ar-SA"/>
                    </w:rPr>
                    <w:t>0.958</w:t>
                  </w:r>
                </w:p>
              </w:tc>
              <w:tc>
                <w:tcPr>
                  <w:tcW w:w="1267" w:type="dxa"/>
                  <w:vMerge w:val="continue"/>
                  <w:tcBorders>
                    <w:tl2br w:val="nil"/>
                    <w:tr2bl w:val="nil"/>
                  </w:tcBorders>
                  <w:vAlign w:val="center"/>
                </w:tcPr>
                <w:p w14:paraId="459E31F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p>
              </w:tc>
              <w:tc>
                <w:tcPr>
                  <w:tcW w:w="0" w:type="auto"/>
                  <w:tcBorders>
                    <w:tl2br w:val="nil"/>
                    <w:tr2bl w:val="nil"/>
                  </w:tcBorders>
                  <w:shd w:val="clear" w:color="auto" w:fill="auto"/>
                  <w:vAlign w:val="center"/>
                </w:tcPr>
                <w:p w14:paraId="475397D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委托有资质单位处理</w:t>
                  </w:r>
                </w:p>
              </w:tc>
              <w:tc>
                <w:tcPr>
                  <w:tcW w:w="0" w:type="auto"/>
                  <w:tcBorders>
                    <w:tl2br w:val="nil"/>
                    <w:tr2bl w:val="nil"/>
                  </w:tcBorders>
                  <w:shd w:val="clear" w:color="auto" w:fill="auto"/>
                  <w:vAlign w:val="center"/>
                </w:tcPr>
                <w:p w14:paraId="59828ED3">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eastAsia" w:ascii="Times New Roman" w:hAnsi="Times New Roman" w:eastAsia="宋体" w:cs="Times New Roman"/>
                      <w:b w:val="0"/>
                      <w:bCs/>
                      <w:color w:val="auto"/>
                      <w:kern w:val="2"/>
                      <w:sz w:val="21"/>
                      <w:szCs w:val="24"/>
                      <w:highlight w:val="none"/>
                      <w:lang w:val="en-US" w:eastAsia="zh-CN" w:bidi="ar-SA"/>
                    </w:rPr>
                  </w:pPr>
                  <w:r>
                    <w:rPr>
                      <w:rFonts w:hint="eastAsia" w:ascii="Times New Roman" w:cs="Times New Roman"/>
                      <w:b w:val="0"/>
                      <w:bCs/>
                      <w:color w:val="auto"/>
                      <w:kern w:val="2"/>
                      <w:sz w:val="21"/>
                      <w:szCs w:val="24"/>
                      <w:highlight w:val="none"/>
                      <w:lang w:val="en-US" w:eastAsia="zh-CN" w:bidi="ar-SA"/>
                    </w:rPr>
                    <w:t>0.958</w:t>
                  </w:r>
                </w:p>
              </w:tc>
            </w:tr>
            <w:tr w14:paraId="64998E2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55" w:type="dxa"/>
                  <w:tcBorders>
                    <w:tl2br w:val="nil"/>
                    <w:tr2bl w:val="nil"/>
                  </w:tcBorders>
                  <w:vAlign w:val="center"/>
                </w:tcPr>
                <w:p w14:paraId="53983929">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丝印</w:t>
                  </w:r>
                </w:p>
              </w:tc>
              <w:tc>
                <w:tcPr>
                  <w:tcW w:w="981" w:type="dxa"/>
                  <w:tcBorders>
                    <w:tl2br w:val="nil"/>
                    <w:tr2bl w:val="nil"/>
                  </w:tcBorders>
                  <w:vAlign w:val="center"/>
                </w:tcPr>
                <w:p w14:paraId="34026776">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废油墨桶</w:t>
                  </w:r>
                </w:p>
              </w:tc>
              <w:tc>
                <w:tcPr>
                  <w:tcW w:w="939" w:type="dxa"/>
                  <w:vMerge w:val="continue"/>
                  <w:tcBorders>
                    <w:tl2br w:val="nil"/>
                    <w:tr2bl w:val="nil"/>
                  </w:tcBorders>
                  <w:vAlign w:val="center"/>
                </w:tcPr>
                <w:p w14:paraId="54A856A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p>
              </w:tc>
              <w:tc>
                <w:tcPr>
                  <w:tcW w:w="1274" w:type="dxa"/>
                  <w:tcBorders>
                    <w:tl2br w:val="nil"/>
                    <w:tr2bl w:val="nil"/>
                  </w:tcBorders>
                  <w:vAlign w:val="center"/>
                </w:tcPr>
                <w:p w14:paraId="51089C7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eastAsia" w:ascii="Times New Roman" w:hAnsi="Times New Roman" w:eastAsia="宋体" w:cs="Times New Roman"/>
                      <w:color w:val="auto"/>
                      <w:spacing w:val="0"/>
                      <w:kern w:val="2"/>
                      <w:sz w:val="21"/>
                      <w:szCs w:val="24"/>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废油墨</w:t>
                  </w:r>
                </w:p>
              </w:tc>
              <w:tc>
                <w:tcPr>
                  <w:tcW w:w="1415" w:type="dxa"/>
                  <w:tcBorders>
                    <w:tl2br w:val="nil"/>
                    <w:tr2bl w:val="nil"/>
                  </w:tcBorders>
                  <w:vAlign w:val="center"/>
                </w:tcPr>
                <w:p w14:paraId="10C2D2F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900-041-49</w:t>
                  </w:r>
                </w:p>
              </w:tc>
              <w:tc>
                <w:tcPr>
                  <w:tcW w:w="675" w:type="dxa"/>
                  <w:tcBorders>
                    <w:tl2br w:val="nil"/>
                    <w:tr2bl w:val="nil"/>
                  </w:tcBorders>
                  <w:vAlign w:val="center"/>
                </w:tcPr>
                <w:p w14:paraId="270A0E7A">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eastAsia" w:ascii="Times New Roman" w:hAnsi="Times New Roman" w:eastAsia="宋体" w:cs="Times New Roman"/>
                      <w:color w:val="auto"/>
                      <w:spacing w:val="0"/>
                      <w:kern w:val="2"/>
                      <w:sz w:val="21"/>
                      <w:szCs w:val="24"/>
                      <w:highlight w:val="none"/>
                      <w:lang w:val="en-US" w:eastAsia="zh-CN" w:bidi="ar-SA"/>
                    </w:rPr>
                  </w:pPr>
                  <w:r>
                    <w:rPr>
                      <w:rFonts w:hint="eastAsia" w:ascii="Times New Roman" w:hAnsi="Times New Roman" w:eastAsia="宋体" w:cs="Times New Roman"/>
                      <w:color w:val="auto"/>
                      <w:spacing w:val="0"/>
                      <w:sz w:val="21"/>
                      <w:highlight w:val="none"/>
                      <w:lang w:val="en-US" w:eastAsia="zh-CN"/>
                    </w:rPr>
                    <w:t>固态</w:t>
                  </w:r>
                </w:p>
              </w:tc>
              <w:tc>
                <w:tcPr>
                  <w:tcW w:w="842" w:type="dxa"/>
                  <w:tcBorders>
                    <w:tl2br w:val="nil"/>
                    <w:tr2bl w:val="nil"/>
                  </w:tcBorders>
                  <w:vAlign w:val="center"/>
                </w:tcPr>
                <w:p w14:paraId="706730D9">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eastAsia" w:ascii="Times New Roman" w:hAnsi="Times New Roman" w:eastAsia="宋体" w:cs="Times New Roman"/>
                      <w:color w:val="auto"/>
                      <w:spacing w:val="0"/>
                      <w:kern w:val="2"/>
                      <w:sz w:val="21"/>
                      <w:szCs w:val="24"/>
                      <w:highlight w:val="none"/>
                      <w:lang w:val="en-US" w:eastAsia="zh-CN" w:bidi="ar-SA"/>
                    </w:rPr>
                  </w:pPr>
                  <w:r>
                    <w:rPr>
                      <w:rFonts w:hint="eastAsia" w:ascii="Times New Roman" w:hAnsi="Times New Roman" w:eastAsia="宋体" w:cs="Times New Roman"/>
                      <w:color w:val="auto"/>
                      <w:spacing w:val="0"/>
                      <w:kern w:val="2"/>
                      <w:sz w:val="21"/>
                      <w:szCs w:val="24"/>
                      <w:highlight w:val="none"/>
                      <w:lang w:val="en-US" w:eastAsia="zh-CN" w:bidi="ar-SA"/>
                    </w:rPr>
                    <w:t>T/In</w:t>
                  </w:r>
                </w:p>
              </w:tc>
              <w:tc>
                <w:tcPr>
                  <w:tcW w:w="763" w:type="dxa"/>
                  <w:tcBorders>
                    <w:tl2br w:val="nil"/>
                    <w:tr2bl w:val="nil"/>
                  </w:tcBorders>
                  <w:vAlign w:val="center"/>
                </w:tcPr>
                <w:p w14:paraId="7DAFAC58">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kern w:val="2"/>
                      <w:sz w:val="21"/>
                      <w:szCs w:val="24"/>
                      <w:highlight w:val="none"/>
                      <w:lang w:val="en-US" w:eastAsia="zh-CN" w:bidi="ar-SA"/>
                    </w:rPr>
                  </w:pPr>
                  <w:r>
                    <w:rPr>
                      <w:rFonts w:hint="eastAsia" w:ascii="Times New Roman" w:hAnsi="Times New Roman" w:eastAsia="宋体" w:cs="Times New Roman"/>
                      <w:b w:val="0"/>
                      <w:bCs/>
                      <w:color w:val="auto"/>
                      <w:kern w:val="2"/>
                      <w:sz w:val="21"/>
                      <w:szCs w:val="24"/>
                      <w:highlight w:val="none"/>
                      <w:lang w:val="en-US" w:eastAsia="zh-CN" w:bidi="ar-SA"/>
                    </w:rPr>
                    <w:t>0.005</w:t>
                  </w:r>
                </w:p>
              </w:tc>
              <w:tc>
                <w:tcPr>
                  <w:tcW w:w="1267" w:type="dxa"/>
                  <w:vMerge w:val="continue"/>
                  <w:tcBorders>
                    <w:tl2br w:val="nil"/>
                    <w:tr2bl w:val="nil"/>
                  </w:tcBorders>
                  <w:vAlign w:val="center"/>
                </w:tcPr>
                <w:p w14:paraId="6B0AA28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p>
              </w:tc>
              <w:tc>
                <w:tcPr>
                  <w:tcW w:w="0" w:type="auto"/>
                  <w:tcBorders>
                    <w:tl2br w:val="nil"/>
                    <w:tr2bl w:val="nil"/>
                  </w:tcBorders>
                  <w:vAlign w:val="center"/>
                </w:tcPr>
                <w:p w14:paraId="3983796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厂家回收</w:t>
                  </w:r>
                </w:p>
              </w:tc>
              <w:tc>
                <w:tcPr>
                  <w:tcW w:w="0" w:type="auto"/>
                  <w:tcBorders>
                    <w:tl2br w:val="nil"/>
                    <w:tr2bl w:val="nil"/>
                  </w:tcBorders>
                  <w:vAlign w:val="center"/>
                </w:tcPr>
                <w:p w14:paraId="73798C51">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eastAsia" w:ascii="Times New Roman" w:hAnsi="Times New Roman" w:eastAsia="宋体" w:cs="Times New Roman"/>
                      <w:b w:val="0"/>
                      <w:bCs/>
                      <w:color w:val="auto"/>
                      <w:kern w:val="2"/>
                      <w:sz w:val="21"/>
                      <w:szCs w:val="24"/>
                      <w:highlight w:val="none"/>
                      <w:lang w:val="en-US" w:eastAsia="zh-CN" w:bidi="ar-SA"/>
                    </w:rPr>
                  </w:pPr>
                  <w:r>
                    <w:rPr>
                      <w:rFonts w:hint="eastAsia" w:ascii="Times New Roman" w:hAnsi="Times New Roman" w:eastAsia="宋体" w:cs="Times New Roman"/>
                      <w:b w:val="0"/>
                      <w:bCs/>
                      <w:color w:val="auto"/>
                      <w:kern w:val="2"/>
                      <w:sz w:val="21"/>
                      <w:szCs w:val="24"/>
                      <w:highlight w:val="none"/>
                      <w:lang w:val="en-US" w:eastAsia="zh-CN" w:bidi="ar-SA"/>
                    </w:rPr>
                    <w:t>0.005</w:t>
                  </w:r>
                </w:p>
              </w:tc>
            </w:tr>
            <w:tr w14:paraId="3631B25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55" w:type="dxa"/>
                  <w:tcBorders>
                    <w:tl2br w:val="nil"/>
                    <w:tr2bl w:val="nil"/>
                  </w:tcBorders>
                  <w:vAlign w:val="center"/>
                </w:tcPr>
                <w:p w14:paraId="03DD0A9D">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废气处理</w:t>
                  </w:r>
                </w:p>
              </w:tc>
              <w:tc>
                <w:tcPr>
                  <w:tcW w:w="981" w:type="dxa"/>
                  <w:tcBorders>
                    <w:tl2br w:val="nil"/>
                    <w:tr2bl w:val="nil"/>
                  </w:tcBorders>
                  <w:vAlign w:val="center"/>
                </w:tcPr>
                <w:p w14:paraId="233B0876">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废活性炭</w:t>
                  </w:r>
                </w:p>
              </w:tc>
              <w:tc>
                <w:tcPr>
                  <w:tcW w:w="939" w:type="dxa"/>
                  <w:vMerge w:val="continue"/>
                  <w:tcBorders>
                    <w:tl2br w:val="nil"/>
                    <w:tr2bl w:val="nil"/>
                  </w:tcBorders>
                  <w:vAlign w:val="center"/>
                </w:tcPr>
                <w:p w14:paraId="289037A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p>
              </w:tc>
              <w:tc>
                <w:tcPr>
                  <w:tcW w:w="1274" w:type="dxa"/>
                  <w:tcBorders>
                    <w:tl2br w:val="nil"/>
                    <w:tr2bl w:val="nil"/>
                  </w:tcBorders>
                  <w:vAlign w:val="center"/>
                </w:tcPr>
                <w:p w14:paraId="3A4FCA0A">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VOCs</w:t>
                  </w:r>
                </w:p>
              </w:tc>
              <w:tc>
                <w:tcPr>
                  <w:tcW w:w="1415" w:type="dxa"/>
                  <w:tcBorders>
                    <w:tl2br w:val="nil"/>
                    <w:tr2bl w:val="nil"/>
                  </w:tcBorders>
                  <w:vAlign w:val="center"/>
                </w:tcPr>
                <w:p w14:paraId="1ED40FC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900-039-49</w:t>
                  </w:r>
                </w:p>
              </w:tc>
              <w:tc>
                <w:tcPr>
                  <w:tcW w:w="675" w:type="dxa"/>
                  <w:tcBorders>
                    <w:tl2br w:val="nil"/>
                    <w:tr2bl w:val="nil"/>
                  </w:tcBorders>
                  <w:vAlign w:val="center"/>
                </w:tcPr>
                <w:p w14:paraId="596F8568">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eastAsia" w:ascii="Times New Roman" w:hAnsi="Times New Roman" w:eastAsia="宋体" w:cs="Times New Roman"/>
                      <w:color w:val="auto"/>
                      <w:spacing w:val="0"/>
                      <w:kern w:val="2"/>
                      <w:sz w:val="21"/>
                      <w:szCs w:val="24"/>
                      <w:highlight w:val="none"/>
                      <w:lang w:val="en-US" w:eastAsia="zh-CN" w:bidi="ar-SA"/>
                    </w:rPr>
                  </w:pPr>
                  <w:r>
                    <w:rPr>
                      <w:rFonts w:hint="eastAsia" w:ascii="Times New Roman" w:hAnsi="Times New Roman" w:eastAsia="宋体" w:cs="Times New Roman"/>
                      <w:color w:val="auto"/>
                      <w:spacing w:val="0"/>
                      <w:sz w:val="21"/>
                      <w:highlight w:val="none"/>
                      <w:lang w:val="en-US" w:eastAsia="zh-CN"/>
                    </w:rPr>
                    <w:t>固态</w:t>
                  </w:r>
                </w:p>
              </w:tc>
              <w:tc>
                <w:tcPr>
                  <w:tcW w:w="842" w:type="dxa"/>
                  <w:tcBorders>
                    <w:tl2br w:val="nil"/>
                    <w:tr2bl w:val="nil"/>
                  </w:tcBorders>
                  <w:vAlign w:val="center"/>
                </w:tcPr>
                <w:p w14:paraId="3775523B">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eastAsia" w:ascii="Times New Roman" w:hAnsi="Times New Roman" w:eastAsia="宋体" w:cs="Times New Roman"/>
                      <w:color w:val="auto"/>
                      <w:spacing w:val="0"/>
                      <w:kern w:val="2"/>
                      <w:sz w:val="21"/>
                      <w:szCs w:val="24"/>
                      <w:highlight w:val="none"/>
                      <w:lang w:val="en-US" w:eastAsia="zh-CN" w:bidi="ar-SA"/>
                    </w:rPr>
                  </w:pPr>
                  <w:r>
                    <w:rPr>
                      <w:rFonts w:hint="eastAsia" w:ascii="Times New Roman" w:hAnsi="Times New Roman" w:eastAsia="宋体" w:cs="Times New Roman"/>
                      <w:color w:val="auto"/>
                      <w:spacing w:val="0"/>
                      <w:kern w:val="2"/>
                      <w:sz w:val="21"/>
                      <w:szCs w:val="24"/>
                      <w:highlight w:val="none"/>
                      <w:lang w:val="en-US" w:eastAsia="zh-CN" w:bidi="ar-SA"/>
                    </w:rPr>
                    <w:t>T/In</w:t>
                  </w:r>
                </w:p>
              </w:tc>
              <w:tc>
                <w:tcPr>
                  <w:tcW w:w="763" w:type="dxa"/>
                  <w:tcBorders>
                    <w:tl2br w:val="nil"/>
                    <w:tr2bl w:val="nil"/>
                  </w:tcBorders>
                  <w:vAlign w:val="center"/>
                </w:tcPr>
                <w:p w14:paraId="0CB9AB24">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kern w:val="2"/>
                      <w:sz w:val="21"/>
                      <w:szCs w:val="24"/>
                      <w:highlight w:val="none"/>
                      <w:lang w:val="en-US" w:eastAsia="zh-CN" w:bidi="ar-SA"/>
                    </w:rPr>
                  </w:pPr>
                  <w:r>
                    <w:rPr>
                      <w:rFonts w:hint="eastAsia" w:ascii="Times New Roman" w:cs="Times New Roman"/>
                      <w:b w:val="0"/>
                      <w:bCs/>
                      <w:color w:val="auto"/>
                      <w:kern w:val="2"/>
                      <w:sz w:val="21"/>
                      <w:szCs w:val="24"/>
                      <w:highlight w:val="none"/>
                      <w:lang w:val="en-US" w:eastAsia="zh-CN" w:bidi="ar-SA"/>
                    </w:rPr>
                    <w:t>47.7</w:t>
                  </w:r>
                </w:p>
              </w:tc>
              <w:tc>
                <w:tcPr>
                  <w:tcW w:w="1267" w:type="dxa"/>
                  <w:vMerge w:val="continue"/>
                  <w:tcBorders>
                    <w:tl2br w:val="nil"/>
                    <w:tr2bl w:val="nil"/>
                  </w:tcBorders>
                  <w:vAlign w:val="center"/>
                </w:tcPr>
                <w:p w14:paraId="26F2D3D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p>
              </w:tc>
              <w:tc>
                <w:tcPr>
                  <w:tcW w:w="0" w:type="auto"/>
                  <w:tcBorders>
                    <w:tl2br w:val="nil"/>
                    <w:tr2bl w:val="nil"/>
                  </w:tcBorders>
                  <w:vAlign w:val="center"/>
                </w:tcPr>
                <w:p w14:paraId="0E53F93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委托有资质单位处理</w:t>
                  </w:r>
                </w:p>
              </w:tc>
              <w:tc>
                <w:tcPr>
                  <w:tcW w:w="0" w:type="auto"/>
                  <w:tcBorders>
                    <w:tl2br w:val="nil"/>
                    <w:tr2bl w:val="nil"/>
                  </w:tcBorders>
                  <w:vAlign w:val="center"/>
                </w:tcPr>
                <w:p w14:paraId="5550167B">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kern w:val="2"/>
                      <w:sz w:val="21"/>
                      <w:szCs w:val="24"/>
                      <w:highlight w:val="none"/>
                      <w:lang w:val="en-US" w:eastAsia="zh-CN" w:bidi="ar-SA"/>
                    </w:rPr>
                  </w:pPr>
                  <w:r>
                    <w:rPr>
                      <w:rFonts w:hint="eastAsia" w:ascii="Times New Roman" w:cs="Times New Roman"/>
                      <w:b w:val="0"/>
                      <w:bCs/>
                      <w:color w:val="auto"/>
                      <w:kern w:val="2"/>
                      <w:sz w:val="21"/>
                      <w:szCs w:val="24"/>
                      <w:highlight w:val="none"/>
                      <w:lang w:val="en-US" w:eastAsia="zh-CN" w:bidi="ar-SA"/>
                    </w:rPr>
                    <w:t>47.7</w:t>
                  </w:r>
                </w:p>
              </w:tc>
            </w:tr>
            <w:tr w14:paraId="5CB5F8A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55" w:type="dxa"/>
                  <w:vMerge w:val="restart"/>
                  <w:tcBorders>
                    <w:tl2br w:val="nil"/>
                    <w:tr2bl w:val="nil"/>
                  </w:tcBorders>
                  <w:vAlign w:val="center"/>
                </w:tcPr>
                <w:p w14:paraId="3C8009D6">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设备维护</w:t>
                  </w:r>
                </w:p>
              </w:tc>
              <w:tc>
                <w:tcPr>
                  <w:tcW w:w="981" w:type="dxa"/>
                  <w:tcBorders>
                    <w:tl2br w:val="nil"/>
                    <w:tr2bl w:val="nil"/>
                  </w:tcBorders>
                  <w:vAlign w:val="center"/>
                </w:tcPr>
                <w:p w14:paraId="26291F2C">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废润滑油</w:t>
                  </w:r>
                </w:p>
              </w:tc>
              <w:tc>
                <w:tcPr>
                  <w:tcW w:w="939" w:type="dxa"/>
                  <w:vMerge w:val="continue"/>
                  <w:tcBorders>
                    <w:tl2br w:val="nil"/>
                    <w:tr2bl w:val="nil"/>
                  </w:tcBorders>
                  <w:vAlign w:val="center"/>
                </w:tcPr>
                <w:p w14:paraId="55CA6A9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p>
              </w:tc>
              <w:tc>
                <w:tcPr>
                  <w:tcW w:w="1274" w:type="dxa"/>
                  <w:tcBorders>
                    <w:tl2br w:val="nil"/>
                    <w:tr2bl w:val="nil"/>
                  </w:tcBorders>
                  <w:vAlign w:val="center"/>
                </w:tcPr>
                <w:p w14:paraId="607C128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b w:val="0"/>
                      <w:bCs w:val="0"/>
                      <w:color w:val="auto"/>
                      <w:sz w:val="21"/>
                      <w:szCs w:val="21"/>
                      <w:lang w:val="en-US" w:eastAsia="zh-CN"/>
                    </w:rPr>
                    <w:t>矿物油</w:t>
                  </w:r>
                </w:p>
              </w:tc>
              <w:tc>
                <w:tcPr>
                  <w:tcW w:w="1415" w:type="dxa"/>
                  <w:tcBorders>
                    <w:tl2br w:val="nil"/>
                    <w:tr2bl w:val="nil"/>
                  </w:tcBorders>
                  <w:vAlign w:val="center"/>
                </w:tcPr>
                <w:p w14:paraId="6CBE1D6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z w:val="21"/>
                      <w:szCs w:val="21"/>
                      <w:highlight w:val="none"/>
                      <w:lang w:val="en-US" w:eastAsia="zh-CN"/>
                    </w:rPr>
                    <w:t>900-210-08</w:t>
                  </w:r>
                </w:p>
              </w:tc>
              <w:tc>
                <w:tcPr>
                  <w:tcW w:w="675" w:type="dxa"/>
                  <w:tcBorders>
                    <w:tl2br w:val="nil"/>
                    <w:tr2bl w:val="nil"/>
                  </w:tcBorders>
                  <w:vAlign w:val="center"/>
                </w:tcPr>
                <w:p w14:paraId="1404560D">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eastAsia" w:ascii="Times New Roman" w:hAnsi="Times New Roman" w:eastAsia="宋体" w:cs="Times New Roman"/>
                      <w:color w:val="auto"/>
                      <w:spacing w:val="0"/>
                      <w:sz w:val="21"/>
                      <w:highlight w:val="none"/>
                      <w:lang w:val="en-US" w:eastAsia="zh-CN"/>
                    </w:rPr>
                  </w:pPr>
                  <w:r>
                    <w:rPr>
                      <w:rFonts w:hint="eastAsia" w:ascii="Times New Roman" w:hAnsi="Times New Roman" w:eastAsia="宋体" w:cs="Times New Roman"/>
                      <w:color w:val="auto"/>
                      <w:spacing w:val="0"/>
                      <w:sz w:val="21"/>
                      <w:highlight w:val="none"/>
                      <w:lang w:val="en-US" w:eastAsia="zh-CN"/>
                    </w:rPr>
                    <w:t>固态</w:t>
                  </w:r>
                </w:p>
              </w:tc>
              <w:tc>
                <w:tcPr>
                  <w:tcW w:w="842" w:type="dxa"/>
                  <w:tcBorders>
                    <w:tl2br w:val="nil"/>
                    <w:tr2bl w:val="nil"/>
                  </w:tcBorders>
                  <w:vAlign w:val="center"/>
                </w:tcPr>
                <w:p w14:paraId="1A49A2F9">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eastAsia" w:ascii="Times New Roman" w:hAnsi="Times New Roman" w:eastAsia="宋体" w:cs="Times New Roman"/>
                      <w:color w:val="auto"/>
                      <w:spacing w:val="0"/>
                      <w:kern w:val="2"/>
                      <w:sz w:val="21"/>
                      <w:szCs w:val="24"/>
                      <w:highlight w:val="none"/>
                      <w:lang w:val="en-US" w:eastAsia="zh-CN" w:bidi="ar-SA"/>
                    </w:rPr>
                  </w:pPr>
                  <w:r>
                    <w:rPr>
                      <w:rFonts w:hint="eastAsia" w:ascii="Times New Roman" w:hAnsi="Times New Roman" w:eastAsia="宋体"/>
                      <w:color w:val="auto"/>
                      <w:sz w:val="21"/>
                    </w:rPr>
                    <w:t>T/In</w:t>
                  </w:r>
                </w:p>
              </w:tc>
              <w:tc>
                <w:tcPr>
                  <w:tcW w:w="763" w:type="dxa"/>
                  <w:tcBorders>
                    <w:tl2br w:val="nil"/>
                    <w:tr2bl w:val="nil"/>
                  </w:tcBorders>
                  <w:vAlign w:val="center"/>
                </w:tcPr>
                <w:p w14:paraId="1A62A1E2">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kern w:val="2"/>
                      <w:sz w:val="21"/>
                      <w:szCs w:val="24"/>
                      <w:highlight w:val="none"/>
                      <w:lang w:val="en-US" w:eastAsia="zh-CN" w:bidi="ar-SA"/>
                    </w:rPr>
                  </w:pPr>
                  <w:r>
                    <w:rPr>
                      <w:rFonts w:hint="eastAsia" w:ascii="Times New Roman" w:hAnsi="Times New Roman" w:eastAsia="宋体" w:cs="Times New Roman"/>
                      <w:b w:val="0"/>
                      <w:bCs/>
                      <w:color w:val="auto"/>
                      <w:kern w:val="2"/>
                      <w:sz w:val="21"/>
                      <w:szCs w:val="24"/>
                      <w:highlight w:val="none"/>
                      <w:lang w:val="en-US" w:eastAsia="zh-CN" w:bidi="ar-SA"/>
                    </w:rPr>
                    <w:t>0.05</w:t>
                  </w:r>
                </w:p>
              </w:tc>
              <w:tc>
                <w:tcPr>
                  <w:tcW w:w="1267" w:type="dxa"/>
                  <w:vMerge w:val="continue"/>
                  <w:tcBorders>
                    <w:tl2br w:val="nil"/>
                    <w:tr2bl w:val="nil"/>
                  </w:tcBorders>
                  <w:vAlign w:val="center"/>
                </w:tcPr>
                <w:p w14:paraId="4FD9146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p>
              </w:tc>
              <w:tc>
                <w:tcPr>
                  <w:tcW w:w="0" w:type="auto"/>
                  <w:tcBorders>
                    <w:tl2br w:val="nil"/>
                    <w:tr2bl w:val="nil"/>
                  </w:tcBorders>
                  <w:vAlign w:val="center"/>
                </w:tcPr>
                <w:p w14:paraId="5236CCC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委托有资质单位处理</w:t>
                  </w:r>
                </w:p>
              </w:tc>
              <w:tc>
                <w:tcPr>
                  <w:tcW w:w="0" w:type="auto"/>
                  <w:tcBorders>
                    <w:tl2br w:val="nil"/>
                    <w:tr2bl w:val="nil"/>
                  </w:tcBorders>
                  <w:vAlign w:val="center"/>
                </w:tcPr>
                <w:p w14:paraId="5D51F4C7">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kern w:val="2"/>
                      <w:sz w:val="21"/>
                      <w:szCs w:val="24"/>
                      <w:highlight w:val="none"/>
                      <w:lang w:val="en-US" w:eastAsia="zh-CN" w:bidi="ar-SA"/>
                    </w:rPr>
                  </w:pPr>
                  <w:r>
                    <w:rPr>
                      <w:rFonts w:hint="eastAsia" w:ascii="Times New Roman" w:hAnsi="Times New Roman" w:eastAsia="宋体" w:cs="Times New Roman"/>
                      <w:b w:val="0"/>
                      <w:bCs/>
                      <w:color w:val="auto"/>
                      <w:kern w:val="2"/>
                      <w:sz w:val="21"/>
                      <w:szCs w:val="24"/>
                      <w:highlight w:val="none"/>
                      <w:lang w:val="en-US" w:eastAsia="zh-CN" w:bidi="ar-SA"/>
                    </w:rPr>
                    <w:t>0.05</w:t>
                  </w:r>
                </w:p>
              </w:tc>
            </w:tr>
            <w:tr w14:paraId="008686F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55" w:type="dxa"/>
                  <w:vMerge w:val="continue"/>
                  <w:tcBorders>
                    <w:tl2br w:val="nil"/>
                    <w:tr2bl w:val="nil"/>
                  </w:tcBorders>
                  <w:vAlign w:val="center"/>
                </w:tcPr>
                <w:p w14:paraId="783D3A25">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p>
              </w:tc>
              <w:tc>
                <w:tcPr>
                  <w:tcW w:w="981" w:type="dxa"/>
                  <w:tcBorders>
                    <w:tl2br w:val="nil"/>
                    <w:tr2bl w:val="nil"/>
                  </w:tcBorders>
                  <w:vAlign w:val="center"/>
                </w:tcPr>
                <w:p w14:paraId="66C66BC6">
                  <w:pPr>
                    <w:keepNext w:val="0"/>
                    <w:keepLines w:val="0"/>
                    <w:widowControl/>
                    <w:suppressLineNumbers w:val="0"/>
                    <w:autoSpaceDE w:val="0"/>
                    <w:autoSpaceDN w:val="0"/>
                    <w:adjustRightInd w:val="0"/>
                    <w:spacing w:before="0" w:beforeAutospacing="0" w:after="0" w:afterAutospacing="0" w:line="240" w:lineRule="exact"/>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bCs/>
                      <w:color w:val="auto"/>
                      <w:sz w:val="21"/>
                      <w:szCs w:val="21"/>
                      <w:lang w:val="en-US" w:eastAsia="zh-CN"/>
                    </w:rPr>
                    <w:t>废机油</w:t>
                  </w:r>
                </w:p>
              </w:tc>
              <w:tc>
                <w:tcPr>
                  <w:tcW w:w="939" w:type="dxa"/>
                  <w:vMerge w:val="continue"/>
                  <w:tcBorders>
                    <w:tl2br w:val="nil"/>
                    <w:tr2bl w:val="nil"/>
                  </w:tcBorders>
                  <w:vAlign w:val="center"/>
                </w:tcPr>
                <w:p w14:paraId="073C9A5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p>
              </w:tc>
              <w:tc>
                <w:tcPr>
                  <w:tcW w:w="1274" w:type="dxa"/>
                  <w:tcBorders>
                    <w:tl2br w:val="nil"/>
                    <w:tr2bl w:val="nil"/>
                  </w:tcBorders>
                  <w:vAlign w:val="center"/>
                </w:tcPr>
                <w:p w14:paraId="0A1F193E">
                  <w:pPr>
                    <w:keepNext w:val="0"/>
                    <w:keepLines w:val="0"/>
                    <w:widowControl/>
                    <w:suppressLineNumbers w:val="0"/>
                    <w:autoSpaceDE w:val="0"/>
                    <w:autoSpaceDN w:val="0"/>
                    <w:adjustRightInd w:val="0"/>
                    <w:spacing w:before="0" w:beforeAutospacing="0" w:after="0" w:afterAutospacing="0" w:line="240" w:lineRule="exact"/>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b w:val="0"/>
                      <w:bCs w:val="0"/>
                      <w:color w:val="auto"/>
                      <w:sz w:val="21"/>
                      <w:szCs w:val="21"/>
                      <w:lang w:val="en-US" w:eastAsia="zh-CN"/>
                    </w:rPr>
                    <w:t>矿物油</w:t>
                  </w:r>
                </w:p>
              </w:tc>
              <w:tc>
                <w:tcPr>
                  <w:tcW w:w="1415" w:type="dxa"/>
                  <w:tcBorders>
                    <w:tl2br w:val="nil"/>
                    <w:tr2bl w:val="nil"/>
                  </w:tcBorders>
                  <w:vAlign w:val="center"/>
                </w:tcPr>
                <w:p w14:paraId="76FA73A2">
                  <w:pPr>
                    <w:keepNext w:val="0"/>
                    <w:keepLines w:val="0"/>
                    <w:widowControl/>
                    <w:suppressLineNumbers w:val="0"/>
                    <w:autoSpaceDE w:val="0"/>
                    <w:autoSpaceDN w:val="0"/>
                    <w:adjustRightInd w:val="0"/>
                    <w:spacing w:before="0" w:beforeAutospacing="0" w:after="0" w:afterAutospacing="0" w:line="240" w:lineRule="exact"/>
                    <w:ind w:left="0" w:right="0"/>
                    <w:jc w:val="center"/>
                    <w:rPr>
                      <w:rFonts w:hint="eastAsia"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olor w:val="auto"/>
                      <w:sz w:val="21"/>
                      <w:szCs w:val="21"/>
                    </w:rPr>
                    <w:t>900-249-08</w:t>
                  </w:r>
                </w:p>
              </w:tc>
              <w:tc>
                <w:tcPr>
                  <w:tcW w:w="675" w:type="dxa"/>
                  <w:tcBorders>
                    <w:tl2br w:val="nil"/>
                    <w:tr2bl w:val="nil"/>
                  </w:tcBorders>
                  <w:vAlign w:val="center"/>
                </w:tcPr>
                <w:p w14:paraId="1416EC01">
                  <w:pPr>
                    <w:keepNext w:val="0"/>
                    <w:keepLines w:val="0"/>
                    <w:widowControl/>
                    <w:suppressLineNumbers w:val="0"/>
                    <w:autoSpaceDE w:val="0"/>
                    <w:autoSpaceDN w:val="0"/>
                    <w:adjustRightInd w:val="0"/>
                    <w:spacing w:before="0" w:beforeAutospacing="0" w:after="0" w:afterAutospacing="0" w:line="240" w:lineRule="exact"/>
                    <w:ind w:left="0" w:right="0"/>
                    <w:jc w:val="center"/>
                    <w:rPr>
                      <w:rFonts w:hint="eastAsia" w:ascii="Times New Roman" w:hAnsi="Times New Roman" w:eastAsia="宋体" w:cs="Times New Roman"/>
                      <w:color w:val="auto"/>
                      <w:spacing w:val="0"/>
                      <w:sz w:val="21"/>
                      <w:highlight w:val="none"/>
                      <w:lang w:val="en-US" w:eastAsia="zh-CN"/>
                    </w:rPr>
                  </w:pPr>
                  <w:r>
                    <w:rPr>
                      <w:rFonts w:hint="eastAsia" w:ascii="Times New Roman" w:hAnsi="Times New Roman" w:eastAsia="宋体" w:cs="Times New Roman"/>
                      <w:color w:val="auto"/>
                      <w:spacing w:val="0"/>
                      <w:sz w:val="21"/>
                      <w:highlight w:val="none"/>
                      <w:lang w:val="en-US" w:eastAsia="zh-CN"/>
                    </w:rPr>
                    <w:t>固态</w:t>
                  </w:r>
                </w:p>
              </w:tc>
              <w:tc>
                <w:tcPr>
                  <w:tcW w:w="842" w:type="dxa"/>
                  <w:tcBorders>
                    <w:tl2br w:val="nil"/>
                    <w:tr2bl w:val="nil"/>
                  </w:tcBorders>
                  <w:shd w:val="clear" w:color="auto" w:fill="auto"/>
                  <w:vAlign w:val="center"/>
                </w:tcPr>
                <w:p w14:paraId="61C6B8B6">
                  <w:pPr>
                    <w:keepNext w:val="0"/>
                    <w:keepLines w:val="0"/>
                    <w:widowControl/>
                    <w:suppressLineNumbers w:val="0"/>
                    <w:autoSpaceDE w:val="0"/>
                    <w:autoSpaceDN w:val="0"/>
                    <w:adjustRightInd w:val="0"/>
                    <w:spacing w:before="0" w:beforeAutospacing="0" w:after="0" w:afterAutospacing="0" w:line="240" w:lineRule="exact"/>
                    <w:ind w:left="0" w:right="0"/>
                    <w:jc w:val="center"/>
                    <w:rPr>
                      <w:rFonts w:hint="eastAsia" w:ascii="Times New Roman" w:hAnsi="Times New Roman" w:eastAsia="宋体" w:cs="Times New Roman"/>
                      <w:color w:val="auto"/>
                      <w:spacing w:val="0"/>
                      <w:kern w:val="2"/>
                      <w:sz w:val="21"/>
                      <w:szCs w:val="24"/>
                      <w:highlight w:val="none"/>
                      <w:lang w:val="en-US" w:eastAsia="zh-CN" w:bidi="ar-SA"/>
                    </w:rPr>
                  </w:pPr>
                  <w:r>
                    <w:rPr>
                      <w:rFonts w:hint="eastAsia" w:ascii="Times New Roman" w:hAnsi="Times New Roman" w:eastAsia="宋体"/>
                      <w:color w:val="auto"/>
                      <w:sz w:val="21"/>
                    </w:rPr>
                    <w:t>T</w:t>
                  </w:r>
                  <w:r>
                    <w:rPr>
                      <w:rFonts w:hint="eastAsia" w:ascii="Times New Roman" w:hAnsi="Times New Roman" w:eastAsia="宋体"/>
                      <w:color w:val="auto"/>
                      <w:sz w:val="21"/>
                      <w:lang w:eastAsia="zh-CN"/>
                    </w:rPr>
                    <w:t>，</w:t>
                  </w:r>
                  <w:r>
                    <w:rPr>
                      <w:rFonts w:hint="eastAsia" w:ascii="Times New Roman" w:hAnsi="Times New Roman" w:eastAsia="宋体"/>
                      <w:color w:val="auto"/>
                      <w:sz w:val="21"/>
                    </w:rPr>
                    <w:t>I</w:t>
                  </w:r>
                </w:p>
              </w:tc>
              <w:tc>
                <w:tcPr>
                  <w:tcW w:w="763" w:type="dxa"/>
                  <w:tcBorders>
                    <w:tl2br w:val="nil"/>
                    <w:tr2bl w:val="nil"/>
                  </w:tcBorders>
                  <w:vAlign w:val="center"/>
                </w:tcPr>
                <w:p w14:paraId="209DDF1A">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kern w:val="2"/>
                      <w:sz w:val="21"/>
                      <w:szCs w:val="24"/>
                      <w:highlight w:val="none"/>
                      <w:lang w:val="en-US" w:eastAsia="zh-CN" w:bidi="ar-SA"/>
                    </w:rPr>
                  </w:pPr>
                  <w:r>
                    <w:rPr>
                      <w:rFonts w:hint="eastAsia" w:ascii="Times New Roman" w:hAnsi="Times New Roman" w:eastAsia="宋体" w:cs="Times New Roman"/>
                      <w:b w:val="0"/>
                      <w:bCs/>
                      <w:color w:val="auto"/>
                      <w:kern w:val="2"/>
                      <w:sz w:val="21"/>
                      <w:szCs w:val="24"/>
                      <w:highlight w:val="none"/>
                      <w:lang w:val="en-US" w:eastAsia="zh-CN" w:bidi="ar-SA"/>
                    </w:rPr>
                    <w:t>0.2</w:t>
                  </w:r>
                </w:p>
              </w:tc>
              <w:tc>
                <w:tcPr>
                  <w:tcW w:w="1267" w:type="dxa"/>
                  <w:vMerge w:val="continue"/>
                  <w:tcBorders>
                    <w:tl2br w:val="nil"/>
                    <w:tr2bl w:val="nil"/>
                  </w:tcBorders>
                  <w:vAlign w:val="center"/>
                </w:tcPr>
                <w:p w14:paraId="5E9C769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p>
              </w:tc>
              <w:tc>
                <w:tcPr>
                  <w:tcW w:w="0" w:type="auto"/>
                  <w:tcBorders>
                    <w:tl2br w:val="nil"/>
                    <w:tr2bl w:val="nil"/>
                  </w:tcBorders>
                  <w:vAlign w:val="center"/>
                </w:tcPr>
                <w:p w14:paraId="137A295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委托有资质单位处理</w:t>
                  </w:r>
                </w:p>
              </w:tc>
              <w:tc>
                <w:tcPr>
                  <w:tcW w:w="1179" w:type="dxa"/>
                  <w:tcBorders>
                    <w:tl2br w:val="nil"/>
                    <w:tr2bl w:val="nil"/>
                  </w:tcBorders>
                  <w:vAlign w:val="center"/>
                </w:tcPr>
                <w:p w14:paraId="721FBBDE">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kern w:val="2"/>
                      <w:sz w:val="21"/>
                      <w:szCs w:val="24"/>
                      <w:highlight w:val="none"/>
                      <w:lang w:val="en-US" w:eastAsia="zh-CN" w:bidi="ar-SA"/>
                    </w:rPr>
                  </w:pPr>
                  <w:r>
                    <w:rPr>
                      <w:rFonts w:hint="eastAsia" w:ascii="Times New Roman" w:hAnsi="Times New Roman" w:eastAsia="宋体" w:cs="Times New Roman"/>
                      <w:b w:val="0"/>
                      <w:bCs/>
                      <w:color w:val="auto"/>
                      <w:kern w:val="2"/>
                      <w:sz w:val="21"/>
                      <w:szCs w:val="24"/>
                      <w:highlight w:val="none"/>
                      <w:lang w:val="en-US" w:eastAsia="zh-CN" w:bidi="ar-SA"/>
                    </w:rPr>
                    <w:t>0.2</w:t>
                  </w:r>
                </w:p>
              </w:tc>
            </w:tr>
            <w:tr w14:paraId="17DCCA5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55" w:type="dxa"/>
                  <w:vMerge w:val="continue"/>
                  <w:tcBorders>
                    <w:tl2br w:val="nil"/>
                    <w:tr2bl w:val="nil"/>
                  </w:tcBorders>
                  <w:vAlign w:val="center"/>
                </w:tcPr>
                <w:p w14:paraId="62C558AC">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p>
              </w:tc>
              <w:tc>
                <w:tcPr>
                  <w:tcW w:w="981" w:type="dxa"/>
                  <w:tcBorders>
                    <w:tl2br w:val="nil"/>
                    <w:tr2bl w:val="nil"/>
                  </w:tcBorders>
                  <w:vAlign w:val="center"/>
                </w:tcPr>
                <w:p w14:paraId="413335D2">
                  <w:pPr>
                    <w:keepNext w:val="0"/>
                    <w:keepLines w:val="0"/>
                    <w:widowControl/>
                    <w:suppressLineNumbers w:val="0"/>
                    <w:autoSpaceDE w:val="0"/>
                    <w:autoSpaceDN w:val="0"/>
                    <w:adjustRightInd w:val="0"/>
                    <w:spacing w:before="0" w:beforeAutospacing="0" w:after="0" w:afterAutospacing="0" w:line="240" w:lineRule="exact"/>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bCs/>
                      <w:color w:val="auto"/>
                      <w:sz w:val="21"/>
                      <w:szCs w:val="21"/>
                      <w:lang w:val="en-US" w:eastAsia="zh-CN"/>
                    </w:rPr>
                    <w:t>废机油</w:t>
                  </w:r>
                  <w:r>
                    <w:rPr>
                      <w:rFonts w:hint="eastAsia" w:ascii="Times New Roman" w:hAnsi="Times New Roman" w:eastAsia="宋体" w:cs="宋体"/>
                      <w:color w:val="auto"/>
                      <w:kern w:val="0"/>
                      <w:sz w:val="21"/>
                      <w:szCs w:val="21"/>
                      <w:lang w:val="en-US" w:eastAsia="zh-CN" w:bidi="ar"/>
                    </w:rPr>
                    <w:t>桶</w:t>
                  </w:r>
                </w:p>
              </w:tc>
              <w:tc>
                <w:tcPr>
                  <w:tcW w:w="939" w:type="dxa"/>
                  <w:vMerge w:val="continue"/>
                  <w:tcBorders>
                    <w:tl2br w:val="nil"/>
                    <w:tr2bl w:val="nil"/>
                  </w:tcBorders>
                  <w:vAlign w:val="center"/>
                </w:tcPr>
                <w:p w14:paraId="797FE34A">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p>
              </w:tc>
              <w:tc>
                <w:tcPr>
                  <w:tcW w:w="1274" w:type="dxa"/>
                  <w:tcBorders>
                    <w:tl2br w:val="nil"/>
                    <w:tr2bl w:val="nil"/>
                  </w:tcBorders>
                  <w:vAlign w:val="center"/>
                </w:tcPr>
                <w:p w14:paraId="5AE0D024">
                  <w:pPr>
                    <w:keepNext w:val="0"/>
                    <w:keepLines w:val="0"/>
                    <w:widowControl/>
                    <w:suppressLineNumbers w:val="0"/>
                    <w:autoSpaceDE w:val="0"/>
                    <w:autoSpaceDN w:val="0"/>
                    <w:adjustRightInd w:val="0"/>
                    <w:spacing w:before="0" w:beforeAutospacing="0" w:after="0" w:afterAutospacing="0" w:line="240" w:lineRule="exact"/>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b w:val="0"/>
                      <w:bCs w:val="0"/>
                      <w:color w:val="auto"/>
                      <w:sz w:val="21"/>
                      <w:szCs w:val="21"/>
                      <w:lang w:val="en-US" w:eastAsia="zh-CN"/>
                    </w:rPr>
                    <w:t>矿物油</w:t>
                  </w:r>
                </w:p>
              </w:tc>
              <w:tc>
                <w:tcPr>
                  <w:tcW w:w="1415" w:type="dxa"/>
                  <w:tcBorders>
                    <w:tl2br w:val="nil"/>
                    <w:tr2bl w:val="nil"/>
                  </w:tcBorders>
                  <w:vAlign w:val="center"/>
                </w:tcPr>
                <w:p w14:paraId="6D7F2462">
                  <w:pPr>
                    <w:keepNext w:val="0"/>
                    <w:keepLines w:val="0"/>
                    <w:widowControl/>
                    <w:suppressLineNumbers w:val="0"/>
                    <w:autoSpaceDE w:val="0"/>
                    <w:autoSpaceDN w:val="0"/>
                    <w:adjustRightInd w:val="0"/>
                    <w:spacing w:before="0" w:beforeAutospacing="0" w:after="0" w:afterAutospacing="0" w:line="240" w:lineRule="exact"/>
                    <w:ind w:left="0" w:right="0"/>
                    <w:jc w:val="center"/>
                    <w:rPr>
                      <w:rFonts w:hint="eastAsia"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b w:val="0"/>
                      <w:bCs w:val="0"/>
                      <w:color w:val="auto"/>
                      <w:sz w:val="21"/>
                      <w:szCs w:val="21"/>
                      <w:lang w:val="en-US" w:eastAsia="zh-CN"/>
                    </w:rPr>
                    <w:t>900-249-08</w:t>
                  </w:r>
                </w:p>
              </w:tc>
              <w:tc>
                <w:tcPr>
                  <w:tcW w:w="675" w:type="dxa"/>
                  <w:tcBorders>
                    <w:tl2br w:val="nil"/>
                    <w:tr2bl w:val="nil"/>
                  </w:tcBorders>
                  <w:vAlign w:val="center"/>
                </w:tcPr>
                <w:p w14:paraId="7EC0FBD2">
                  <w:pPr>
                    <w:keepNext w:val="0"/>
                    <w:keepLines w:val="0"/>
                    <w:widowControl/>
                    <w:suppressLineNumbers w:val="0"/>
                    <w:autoSpaceDE w:val="0"/>
                    <w:autoSpaceDN w:val="0"/>
                    <w:adjustRightInd w:val="0"/>
                    <w:spacing w:before="0" w:beforeAutospacing="0" w:after="0" w:afterAutospacing="0" w:line="240" w:lineRule="exact"/>
                    <w:ind w:left="0" w:right="0"/>
                    <w:jc w:val="center"/>
                    <w:rPr>
                      <w:rFonts w:hint="eastAsia" w:ascii="Times New Roman" w:hAnsi="Times New Roman" w:eastAsia="宋体" w:cs="Times New Roman"/>
                      <w:color w:val="auto"/>
                      <w:spacing w:val="0"/>
                      <w:sz w:val="21"/>
                      <w:highlight w:val="none"/>
                      <w:lang w:val="en-US" w:eastAsia="zh-CN"/>
                    </w:rPr>
                  </w:pPr>
                  <w:r>
                    <w:rPr>
                      <w:rFonts w:hint="eastAsia" w:ascii="Times New Roman" w:hAnsi="Times New Roman" w:eastAsia="宋体" w:cs="Times New Roman"/>
                      <w:color w:val="auto"/>
                      <w:spacing w:val="0"/>
                      <w:sz w:val="21"/>
                      <w:highlight w:val="none"/>
                      <w:lang w:val="en-US" w:eastAsia="zh-CN"/>
                    </w:rPr>
                    <w:t>固态</w:t>
                  </w:r>
                </w:p>
              </w:tc>
              <w:tc>
                <w:tcPr>
                  <w:tcW w:w="842" w:type="dxa"/>
                  <w:tcBorders>
                    <w:tl2br w:val="nil"/>
                    <w:tr2bl w:val="nil"/>
                  </w:tcBorders>
                  <w:shd w:val="clear" w:color="auto" w:fill="auto"/>
                  <w:vAlign w:val="center"/>
                </w:tcPr>
                <w:p w14:paraId="25611CAA">
                  <w:pPr>
                    <w:keepNext w:val="0"/>
                    <w:keepLines w:val="0"/>
                    <w:widowControl/>
                    <w:suppressLineNumbers w:val="0"/>
                    <w:autoSpaceDE w:val="0"/>
                    <w:autoSpaceDN w:val="0"/>
                    <w:adjustRightInd w:val="0"/>
                    <w:spacing w:before="0" w:beforeAutospacing="0" w:after="0" w:afterAutospacing="0" w:line="240" w:lineRule="exact"/>
                    <w:ind w:left="0" w:right="0"/>
                    <w:jc w:val="center"/>
                    <w:rPr>
                      <w:rFonts w:hint="eastAsia" w:ascii="Times New Roman" w:hAnsi="Times New Roman" w:eastAsia="宋体" w:cs="Times New Roman"/>
                      <w:color w:val="auto"/>
                      <w:spacing w:val="0"/>
                      <w:kern w:val="2"/>
                      <w:sz w:val="21"/>
                      <w:szCs w:val="24"/>
                      <w:highlight w:val="none"/>
                      <w:lang w:val="en-US" w:eastAsia="zh-CN" w:bidi="ar-SA"/>
                    </w:rPr>
                  </w:pPr>
                  <w:r>
                    <w:rPr>
                      <w:rFonts w:hint="eastAsia" w:ascii="Times New Roman" w:hAnsi="Times New Roman" w:eastAsia="宋体"/>
                      <w:color w:val="auto"/>
                      <w:sz w:val="21"/>
                    </w:rPr>
                    <w:t>T</w:t>
                  </w:r>
                  <w:r>
                    <w:rPr>
                      <w:rFonts w:hint="eastAsia" w:ascii="Times New Roman" w:hAnsi="Times New Roman" w:eastAsia="宋体"/>
                      <w:color w:val="auto"/>
                      <w:sz w:val="21"/>
                      <w:lang w:eastAsia="zh-CN"/>
                    </w:rPr>
                    <w:t>，</w:t>
                  </w:r>
                  <w:r>
                    <w:rPr>
                      <w:rFonts w:hint="eastAsia" w:ascii="Times New Roman" w:hAnsi="Times New Roman" w:eastAsia="宋体"/>
                      <w:color w:val="auto"/>
                      <w:sz w:val="21"/>
                    </w:rPr>
                    <w:t>I</w:t>
                  </w:r>
                </w:p>
              </w:tc>
              <w:tc>
                <w:tcPr>
                  <w:tcW w:w="763" w:type="dxa"/>
                  <w:tcBorders>
                    <w:tl2br w:val="nil"/>
                    <w:tr2bl w:val="nil"/>
                  </w:tcBorders>
                  <w:vAlign w:val="center"/>
                </w:tcPr>
                <w:p w14:paraId="1DE1B647">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kern w:val="2"/>
                      <w:sz w:val="21"/>
                      <w:szCs w:val="24"/>
                      <w:highlight w:val="none"/>
                      <w:lang w:val="en-US" w:eastAsia="zh-CN" w:bidi="ar-SA"/>
                    </w:rPr>
                  </w:pPr>
                  <w:r>
                    <w:rPr>
                      <w:rFonts w:hint="eastAsia" w:ascii="Times New Roman" w:hAnsi="Times New Roman" w:eastAsia="宋体" w:cs="Times New Roman"/>
                      <w:b w:val="0"/>
                      <w:bCs/>
                      <w:color w:val="auto"/>
                      <w:kern w:val="2"/>
                      <w:sz w:val="21"/>
                      <w:szCs w:val="24"/>
                      <w:highlight w:val="none"/>
                      <w:lang w:val="en-US" w:eastAsia="zh-CN" w:bidi="ar-SA"/>
                    </w:rPr>
                    <w:t>0.02</w:t>
                  </w:r>
                </w:p>
              </w:tc>
              <w:tc>
                <w:tcPr>
                  <w:tcW w:w="1267" w:type="dxa"/>
                  <w:vMerge w:val="continue"/>
                  <w:tcBorders>
                    <w:tl2br w:val="nil"/>
                    <w:tr2bl w:val="nil"/>
                  </w:tcBorders>
                  <w:vAlign w:val="center"/>
                </w:tcPr>
                <w:p w14:paraId="24D87DC0">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p>
              </w:tc>
              <w:tc>
                <w:tcPr>
                  <w:tcW w:w="0" w:type="auto"/>
                  <w:tcBorders>
                    <w:tl2br w:val="nil"/>
                    <w:tr2bl w:val="nil"/>
                  </w:tcBorders>
                  <w:vAlign w:val="center"/>
                </w:tcPr>
                <w:p w14:paraId="559AFCF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委托有资质单位处理</w:t>
                  </w:r>
                </w:p>
              </w:tc>
              <w:tc>
                <w:tcPr>
                  <w:tcW w:w="1179" w:type="dxa"/>
                  <w:tcBorders>
                    <w:tl2br w:val="nil"/>
                    <w:tr2bl w:val="nil"/>
                  </w:tcBorders>
                  <w:vAlign w:val="center"/>
                </w:tcPr>
                <w:p w14:paraId="029FFD53">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kern w:val="2"/>
                      <w:sz w:val="21"/>
                      <w:szCs w:val="24"/>
                      <w:highlight w:val="none"/>
                      <w:lang w:val="en-US" w:eastAsia="zh-CN" w:bidi="ar-SA"/>
                    </w:rPr>
                  </w:pPr>
                  <w:r>
                    <w:rPr>
                      <w:rFonts w:hint="eastAsia" w:ascii="Times New Roman" w:hAnsi="Times New Roman" w:eastAsia="宋体" w:cs="Times New Roman"/>
                      <w:b w:val="0"/>
                      <w:bCs/>
                      <w:color w:val="auto"/>
                      <w:kern w:val="2"/>
                      <w:sz w:val="21"/>
                      <w:szCs w:val="24"/>
                      <w:highlight w:val="none"/>
                      <w:lang w:val="en-US" w:eastAsia="zh-CN" w:bidi="ar-SA"/>
                    </w:rPr>
                    <w:t>0.02</w:t>
                  </w:r>
                </w:p>
              </w:tc>
            </w:tr>
            <w:tr w14:paraId="3059235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55" w:type="dxa"/>
                  <w:vMerge w:val="continue"/>
                  <w:tcBorders>
                    <w:tl2br w:val="nil"/>
                    <w:tr2bl w:val="nil"/>
                  </w:tcBorders>
                  <w:vAlign w:val="center"/>
                </w:tcPr>
                <w:p w14:paraId="0DFA765B">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981" w:type="dxa"/>
                  <w:tcBorders>
                    <w:tl2br w:val="nil"/>
                    <w:tr2bl w:val="nil"/>
                  </w:tcBorders>
                  <w:vAlign w:val="center"/>
                </w:tcPr>
                <w:p w14:paraId="04C32D86">
                  <w:pPr>
                    <w:keepNext w:val="0"/>
                    <w:keepLines w:val="0"/>
                    <w:widowControl/>
                    <w:suppressLineNumbers w:val="0"/>
                    <w:autoSpaceDE w:val="0"/>
                    <w:autoSpaceDN w:val="0"/>
                    <w:adjustRightInd w:val="0"/>
                    <w:spacing w:before="0" w:beforeAutospacing="0" w:after="0" w:afterAutospacing="0" w:line="240" w:lineRule="exact"/>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z w:val="21"/>
                      <w:szCs w:val="21"/>
                      <w:lang w:val="en-US" w:eastAsia="zh-CN"/>
                    </w:rPr>
                    <w:t>废含油手套及抹布</w:t>
                  </w:r>
                </w:p>
              </w:tc>
              <w:tc>
                <w:tcPr>
                  <w:tcW w:w="939" w:type="dxa"/>
                  <w:vMerge w:val="continue"/>
                  <w:tcBorders>
                    <w:tl2br w:val="nil"/>
                    <w:tr2bl w:val="nil"/>
                  </w:tcBorders>
                  <w:vAlign w:val="center"/>
                </w:tcPr>
                <w:p w14:paraId="6F51C75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p>
              </w:tc>
              <w:tc>
                <w:tcPr>
                  <w:tcW w:w="1274" w:type="dxa"/>
                  <w:tcBorders>
                    <w:tl2br w:val="nil"/>
                    <w:tr2bl w:val="nil"/>
                  </w:tcBorders>
                  <w:vAlign w:val="center"/>
                </w:tcPr>
                <w:p w14:paraId="10B98ACC">
                  <w:pPr>
                    <w:keepNext w:val="0"/>
                    <w:keepLines w:val="0"/>
                    <w:widowControl/>
                    <w:suppressLineNumbers w:val="0"/>
                    <w:autoSpaceDE w:val="0"/>
                    <w:autoSpaceDN w:val="0"/>
                    <w:adjustRightInd w:val="0"/>
                    <w:spacing w:before="0" w:beforeAutospacing="0" w:after="0" w:afterAutospacing="0" w:line="240" w:lineRule="exact"/>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b w:val="0"/>
                      <w:bCs w:val="0"/>
                      <w:color w:val="auto"/>
                      <w:sz w:val="21"/>
                      <w:szCs w:val="21"/>
                      <w:lang w:val="en-US" w:eastAsia="zh-CN"/>
                    </w:rPr>
                    <w:t>矿物油</w:t>
                  </w:r>
                </w:p>
              </w:tc>
              <w:tc>
                <w:tcPr>
                  <w:tcW w:w="1415" w:type="dxa"/>
                  <w:tcBorders>
                    <w:tl2br w:val="nil"/>
                    <w:tr2bl w:val="nil"/>
                  </w:tcBorders>
                  <w:vAlign w:val="center"/>
                </w:tcPr>
                <w:p w14:paraId="6DCC78C5">
                  <w:pPr>
                    <w:keepNext w:val="0"/>
                    <w:keepLines w:val="0"/>
                    <w:widowControl/>
                    <w:suppressLineNumbers w:val="0"/>
                    <w:autoSpaceDE w:val="0"/>
                    <w:autoSpaceDN w:val="0"/>
                    <w:adjustRightInd w:val="0"/>
                    <w:spacing w:before="0" w:beforeAutospacing="0" w:after="0" w:afterAutospacing="0" w:line="240" w:lineRule="exact"/>
                    <w:ind w:left="0" w:right="0"/>
                    <w:jc w:val="center"/>
                    <w:rPr>
                      <w:rFonts w:hint="eastAsia"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b w:val="0"/>
                      <w:bCs w:val="0"/>
                      <w:color w:val="auto"/>
                      <w:sz w:val="21"/>
                      <w:szCs w:val="21"/>
                      <w:lang w:val="en-US" w:eastAsia="zh-CN"/>
                    </w:rPr>
                    <w:t>900-041-49</w:t>
                  </w:r>
                </w:p>
              </w:tc>
              <w:tc>
                <w:tcPr>
                  <w:tcW w:w="675" w:type="dxa"/>
                  <w:tcBorders>
                    <w:tl2br w:val="nil"/>
                    <w:tr2bl w:val="nil"/>
                  </w:tcBorders>
                  <w:vAlign w:val="center"/>
                </w:tcPr>
                <w:p w14:paraId="347A2EEF">
                  <w:pPr>
                    <w:keepNext w:val="0"/>
                    <w:keepLines w:val="0"/>
                    <w:widowControl/>
                    <w:suppressLineNumbers w:val="0"/>
                    <w:autoSpaceDE w:val="0"/>
                    <w:autoSpaceDN w:val="0"/>
                    <w:adjustRightInd w:val="0"/>
                    <w:spacing w:before="0" w:beforeAutospacing="0" w:after="0" w:afterAutospacing="0" w:line="240" w:lineRule="exact"/>
                    <w:ind w:left="0" w:right="0"/>
                    <w:jc w:val="center"/>
                    <w:rPr>
                      <w:rFonts w:hint="eastAsia" w:ascii="Times New Roman" w:hAnsi="Times New Roman" w:eastAsia="宋体" w:cs="Times New Roman"/>
                      <w:color w:val="auto"/>
                      <w:spacing w:val="0"/>
                      <w:sz w:val="21"/>
                      <w:highlight w:val="none"/>
                      <w:lang w:val="en-US" w:eastAsia="zh-CN"/>
                    </w:rPr>
                  </w:pPr>
                  <w:r>
                    <w:rPr>
                      <w:rFonts w:hint="eastAsia" w:ascii="Times New Roman" w:hAnsi="Times New Roman" w:eastAsia="宋体" w:cs="Times New Roman"/>
                      <w:color w:val="auto"/>
                      <w:spacing w:val="0"/>
                      <w:sz w:val="21"/>
                      <w:highlight w:val="none"/>
                      <w:lang w:val="en-US" w:eastAsia="zh-CN"/>
                    </w:rPr>
                    <w:t>固态</w:t>
                  </w:r>
                </w:p>
              </w:tc>
              <w:tc>
                <w:tcPr>
                  <w:tcW w:w="842" w:type="dxa"/>
                  <w:tcBorders>
                    <w:tl2br w:val="nil"/>
                    <w:tr2bl w:val="nil"/>
                  </w:tcBorders>
                  <w:shd w:val="clear" w:color="auto" w:fill="auto"/>
                  <w:vAlign w:val="center"/>
                </w:tcPr>
                <w:p w14:paraId="5862A78A">
                  <w:pPr>
                    <w:keepNext w:val="0"/>
                    <w:keepLines w:val="0"/>
                    <w:widowControl/>
                    <w:suppressLineNumbers w:val="0"/>
                    <w:autoSpaceDE w:val="0"/>
                    <w:autoSpaceDN w:val="0"/>
                    <w:adjustRightInd w:val="0"/>
                    <w:spacing w:before="0" w:beforeAutospacing="0" w:after="0" w:afterAutospacing="0" w:line="240" w:lineRule="exact"/>
                    <w:ind w:left="0" w:right="0"/>
                    <w:jc w:val="center"/>
                    <w:rPr>
                      <w:rFonts w:hint="eastAsia" w:ascii="Times New Roman" w:hAnsi="Times New Roman" w:eastAsia="宋体" w:cs="Times New Roman"/>
                      <w:color w:val="auto"/>
                      <w:spacing w:val="0"/>
                      <w:kern w:val="2"/>
                      <w:sz w:val="21"/>
                      <w:szCs w:val="24"/>
                      <w:highlight w:val="none"/>
                      <w:lang w:val="en-US" w:eastAsia="zh-CN" w:bidi="ar-SA"/>
                    </w:rPr>
                  </w:pPr>
                  <w:r>
                    <w:rPr>
                      <w:rFonts w:hint="eastAsia" w:ascii="Times New Roman" w:hAnsi="Times New Roman" w:eastAsia="宋体"/>
                      <w:color w:val="auto"/>
                      <w:sz w:val="21"/>
                    </w:rPr>
                    <w:t>T/In</w:t>
                  </w:r>
                </w:p>
              </w:tc>
              <w:tc>
                <w:tcPr>
                  <w:tcW w:w="763" w:type="dxa"/>
                  <w:tcBorders>
                    <w:tl2br w:val="nil"/>
                    <w:tr2bl w:val="nil"/>
                  </w:tcBorders>
                  <w:vAlign w:val="center"/>
                </w:tcPr>
                <w:p w14:paraId="280C2C4C">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kern w:val="2"/>
                      <w:sz w:val="21"/>
                      <w:szCs w:val="24"/>
                      <w:highlight w:val="none"/>
                      <w:lang w:val="en-US" w:eastAsia="zh-CN" w:bidi="ar-SA"/>
                    </w:rPr>
                  </w:pPr>
                  <w:r>
                    <w:rPr>
                      <w:rFonts w:hint="eastAsia" w:ascii="Times New Roman" w:hAnsi="Times New Roman" w:eastAsia="宋体" w:cs="Times New Roman"/>
                      <w:b w:val="0"/>
                      <w:bCs/>
                      <w:color w:val="auto"/>
                      <w:kern w:val="2"/>
                      <w:sz w:val="21"/>
                      <w:szCs w:val="24"/>
                      <w:highlight w:val="none"/>
                      <w:lang w:val="en-US" w:eastAsia="zh-CN" w:bidi="ar-SA"/>
                    </w:rPr>
                    <w:t>0.05</w:t>
                  </w:r>
                </w:p>
              </w:tc>
              <w:tc>
                <w:tcPr>
                  <w:tcW w:w="1267" w:type="dxa"/>
                  <w:vMerge w:val="continue"/>
                  <w:tcBorders>
                    <w:tl2br w:val="nil"/>
                    <w:tr2bl w:val="nil"/>
                  </w:tcBorders>
                  <w:vAlign w:val="center"/>
                </w:tcPr>
                <w:p w14:paraId="203620C5">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p>
              </w:tc>
              <w:tc>
                <w:tcPr>
                  <w:tcW w:w="0" w:type="auto"/>
                  <w:tcBorders>
                    <w:tl2br w:val="nil"/>
                    <w:tr2bl w:val="nil"/>
                  </w:tcBorders>
                  <w:vAlign w:val="center"/>
                </w:tcPr>
                <w:p w14:paraId="4E980ED0">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委托有资质单位处理</w:t>
                  </w:r>
                </w:p>
              </w:tc>
              <w:tc>
                <w:tcPr>
                  <w:tcW w:w="1179" w:type="dxa"/>
                  <w:tcBorders>
                    <w:tl2br w:val="nil"/>
                    <w:tr2bl w:val="nil"/>
                  </w:tcBorders>
                  <w:vAlign w:val="center"/>
                </w:tcPr>
                <w:p w14:paraId="385F21CC">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kern w:val="2"/>
                      <w:sz w:val="21"/>
                      <w:szCs w:val="24"/>
                      <w:highlight w:val="none"/>
                      <w:lang w:val="en-US" w:eastAsia="zh-CN" w:bidi="ar-SA"/>
                    </w:rPr>
                  </w:pPr>
                  <w:r>
                    <w:rPr>
                      <w:rFonts w:hint="eastAsia" w:ascii="Times New Roman" w:hAnsi="Times New Roman" w:eastAsia="宋体" w:cs="Times New Roman"/>
                      <w:b w:val="0"/>
                      <w:bCs/>
                      <w:color w:val="auto"/>
                      <w:kern w:val="2"/>
                      <w:sz w:val="21"/>
                      <w:szCs w:val="24"/>
                      <w:highlight w:val="none"/>
                      <w:lang w:val="en-US" w:eastAsia="zh-CN" w:bidi="ar-SA"/>
                    </w:rPr>
                    <w:t>0.05</w:t>
                  </w:r>
                </w:p>
              </w:tc>
            </w:tr>
            <w:tr w14:paraId="3643C7D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0" w:type="auto"/>
                  <w:tcBorders>
                    <w:tl2br w:val="nil"/>
                    <w:tr2bl w:val="nil"/>
                  </w:tcBorders>
                  <w:vAlign w:val="center"/>
                </w:tcPr>
                <w:p w14:paraId="2687366D">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z w:val="21"/>
                      <w:highlight w:val="none"/>
                      <w:lang w:val="en-US" w:eastAsia="zh-CN"/>
                    </w:rPr>
                  </w:pPr>
                  <w:r>
                    <w:rPr>
                      <w:rFonts w:hint="eastAsia" w:ascii="Times New Roman" w:hAnsi="Times New Roman" w:eastAsia="宋体" w:cs="Times New Roman"/>
                      <w:color w:val="auto"/>
                      <w:sz w:val="21"/>
                      <w:highlight w:val="none"/>
                      <w:lang w:val="en-US" w:eastAsia="zh-CN"/>
                    </w:rPr>
                    <w:t>员工生活</w:t>
                  </w:r>
                </w:p>
              </w:tc>
              <w:tc>
                <w:tcPr>
                  <w:tcW w:w="981" w:type="dxa"/>
                  <w:tcBorders>
                    <w:tl2br w:val="nil"/>
                    <w:tr2bl w:val="nil"/>
                  </w:tcBorders>
                  <w:vAlign w:val="center"/>
                </w:tcPr>
                <w:p w14:paraId="0B08CFBC">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b w:val="0"/>
                      <w:bCs/>
                      <w:color w:val="auto"/>
                      <w:kern w:val="2"/>
                      <w:sz w:val="21"/>
                      <w:szCs w:val="24"/>
                      <w:highlight w:val="none"/>
                      <w:lang w:val="en-US" w:eastAsia="zh-CN" w:bidi="ar-SA"/>
                    </w:rPr>
                    <w:t>生活垃圾</w:t>
                  </w:r>
                </w:p>
              </w:tc>
              <w:tc>
                <w:tcPr>
                  <w:tcW w:w="939" w:type="dxa"/>
                  <w:tcBorders>
                    <w:tl2br w:val="nil"/>
                    <w:tr2bl w:val="nil"/>
                  </w:tcBorders>
                  <w:vAlign w:val="center"/>
                </w:tcPr>
                <w:p w14:paraId="723ED47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生活垃圾</w:t>
                  </w:r>
                </w:p>
              </w:tc>
              <w:tc>
                <w:tcPr>
                  <w:tcW w:w="1274" w:type="dxa"/>
                  <w:tcBorders>
                    <w:tl2br w:val="nil"/>
                    <w:tr2bl w:val="nil"/>
                  </w:tcBorders>
                  <w:vAlign w:val="center"/>
                </w:tcPr>
                <w:p w14:paraId="51E5BB8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w:t>
                  </w:r>
                </w:p>
              </w:tc>
              <w:tc>
                <w:tcPr>
                  <w:tcW w:w="1415" w:type="dxa"/>
                  <w:tcBorders>
                    <w:tl2br w:val="nil"/>
                    <w:tr2bl w:val="nil"/>
                  </w:tcBorders>
                  <w:vAlign w:val="center"/>
                </w:tcPr>
                <w:p w14:paraId="63472B3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w:t>
                  </w:r>
                </w:p>
              </w:tc>
              <w:tc>
                <w:tcPr>
                  <w:tcW w:w="675" w:type="dxa"/>
                  <w:tcBorders>
                    <w:tl2br w:val="nil"/>
                    <w:tr2bl w:val="nil"/>
                  </w:tcBorders>
                  <w:vAlign w:val="center"/>
                </w:tcPr>
                <w:p w14:paraId="44501C7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固态</w:t>
                  </w:r>
                </w:p>
              </w:tc>
              <w:tc>
                <w:tcPr>
                  <w:tcW w:w="842" w:type="dxa"/>
                  <w:tcBorders>
                    <w:tl2br w:val="nil"/>
                    <w:tr2bl w:val="nil"/>
                  </w:tcBorders>
                  <w:vAlign w:val="center"/>
                </w:tcPr>
                <w:p w14:paraId="7E1BABD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w:t>
                  </w:r>
                </w:p>
              </w:tc>
              <w:tc>
                <w:tcPr>
                  <w:tcW w:w="763" w:type="dxa"/>
                  <w:tcBorders>
                    <w:tl2br w:val="nil"/>
                    <w:tr2bl w:val="nil"/>
                  </w:tcBorders>
                  <w:vAlign w:val="center"/>
                </w:tcPr>
                <w:p w14:paraId="1F926529">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kern w:val="2"/>
                      <w:sz w:val="21"/>
                      <w:szCs w:val="24"/>
                      <w:highlight w:val="none"/>
                      <w:lang w:val="en-US" w:eastAsia="zh-CN" w:bidi="ar-SA"/>
                    </w:rPr>
                  </w:pPr>
                  <w:r>
                    <w:rPr>
                      <w:rFonts w:hint="eastAsia" w:ascii="Times New Roman" w:hAnsi="Times New Roman" w:eastAsia="宋体" w:cs="Times New Roman"/>
                      <w:b w:val="0"/>
                      <w:bCs/>
                      <w:color w:val="auto"/>
                      <w:kern w:val="2"/>
                      <w:sz w:val="21"/>
                      <w:szCs w:val="24"/>
                      <w:highlight w:val="none"/>
                      <w:lang w:val="en-US" w:eastAsia="zh-CN" w:bidi="ar-SA"/>
                    </w:rPr>
                    <w:t>75</w:t>
                  </w:r>
                </w:p>
              </w:tc>
              <w:tc>
                <w:tcPr>
                  <w:tcW w:w="1267" w:type="dxa"/>
                  <w:tcBorders>
                    <w:tl2br w:val="nil"/>
                    <w:tr2bl w:val="nil"/>
                  </w:tcBorders>
                  <w:vAlign w:val="center"/>
                </w:tcPr>
                <w:p w14:paraId="09A34E9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垃圾桶</w:t>
                  </w:r>
                </w:p>
              </w:tc>
              <w:tc>
                <w:tcPr>
                  <w:tcW w:w="0" w:type="auto"/>
                  <w:tcBorders>
                    <w:tl2br w:val="nil"/>
                    <w:tr2bl w:val="nil"/>
                  </w:tcBorders>
                  <w:vAlign w:val="center"/>
                </w:tcPr>
                <w:p w14:paraId="15C45F4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环卫部门清运</w:t>
                  </w:r>
                </w:p>
              </w:tc>
              <w:tc>
                <w:tcPr>
                  <w:tcW w:w="0" w:type="auto"/>
                  <w:tcBorders>
                    <w:tl2br w:val="nil"/>
                    <w:tr2bl w:val="nil"/>
                  </w:tcBorders>
                  <w:vAlign w:val="center"/>
                </w:tcPr>
                <w:p w14:paraId="62469BCB">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kern w:val="2"/>
                      <w:sz w:val="21"/>
                      <w:szCs w:val="24"/>
                      <w:highlight w:val="none"/>
                      <w:lang w:val="en-US" w:eastAsia="zh-CN" w:bidi="ar-SA"/>
                    </w:rPr>
                  </w:pPr>
                  <w:r>
                    <w:rPr>
                      <w:rFonts w:hint="eastAsia" w:ascii="Times New Roman" w:hAnsi="Times New Roman" w:eastAsia="宋体" w:cs="Times New Roman"/>
                      <w:b w:val="0"/>
                      <w:bCs/>
                      <w:color w:val="auto"/>
                      <w:kern w:val="2"/>
                      <w:sz w:val="21"/>
                      <w:szCs w:val="24"/>
                      <w:highlight w:val="none"/>
                      <w:lang w:val="en-US" w:eastAsia="zh-CN" w:bidi="ar-SA"/>
                    </w:rPr>
                    <w:t>75</w:t>
                  </w:r>
                </w:p>
              </w:tc>
            </w:tr>
          </w:tbl>
          <w:p w14:paraId="73E5B665">
            <w:pPr>
              <w:keepNext w:val="0"/>
              <w:keepLines w:val="0"/>
              <w:suppressLineNumbers w:val="0"/>
              <w:tabs>
                <w:tab w:val="left" w:pos="0"/>
              </w:tabs>
              <w:spacing w:before="0" w:beforeAutospacing="0" w:after="0" w:afterAutospacing="0"/>
              <w:ind w:left="0" w:right="0"/>
              <w:jc w:val="center"/>
              <w:rPr>
                <w:rFonts w:hint="eastAsia" w:ascii="Times New Roman" w:hAnsi="Times New Roman" w:eastAsia="宋体" w:cs="Times New Roman"/>
                <w:b/>
                <w:bCs/>
                <w:color w:val="auto"/>
                <w:kern w:val="2"/>
                <w:sz w:val="21"/>
                <w:szCs w:val="24"/>
                <w:highlight w:val="none"/>
                <w:lang w:val="en-US" w:eastAsia="zh-CN" w:bidi="ar-SA"/>
              </w:rPr>
            </w:pPr>
            <w:r>
              <w:rPr>
                <w:rFonts w:hint="eastAsia" w:ascii="Times New Roman" w:hAnsi="Times New Roman" w:eastAsia="宋体" w:cs="Times New Roman"/>
                <w:b/>
                <w:bCs/>
                <w:color w:val="auto"/>
                <w:kern w:val="2"/>
                <w:sz w:val="21"/>
                <w:szCs w:val="24"/>
                <w:highlight w:val="none"/>
                <w:lang w:val="en-US" w:eastAsia="zh-CN" w:bidi="ar-SA"/>
              </w:rPr>
              <w:t>表4-1</w:t>
            </w:r>
            <w:r>
              <w:rPr>
                <w:rFonts w:hint="eastAsia" w:cs="Times New Roman"/>
                <w:b/>
                <w:bCs/>
                <w:color w:val="auto"/>
                <w:kern w:val="2"/>
                <w:sz w:val="21"/>
                <w:szCs w:val="24"/>
                <w:highlight w:val="none"/>
                <w:lang w:val="en-US" w:eastAsia="zh-CN" w:bidi="ar-SA"/>
              </w:rPr>
              <w:t xml:space="preserve">5 </w:t>
            </w:r>
            <w:r>
              <w:rPr>
                <w:rFonts w:hint="eastAsia" w:ascii="Times New Roman" w:hAnsi="Times New Roman" w:eastAsia="宋体" w:cs="Times New Roman"/>
                <w:b/>
                <w:bCs/>
                <w:color w:val="auto"/>
                <w:kern w:val="2"/>
                <w:sz w:val="21"/>
                <w:szCs w:val="24"/>
                <w:highlight w:val="none"/>
                <w:lang w:val="en-US" w:eastAsia="zh-CN" w:bidi="ar-SA"/>
              </w:rPr>
              <w:t xml:space="preserve"> 危险废物情况汇总表</w:t>
            </w:r>
          </w:p>
          <w:tbl>
            <w:tblPr>
              <w:tblStyle w:val="27"/>
              <w:tblW w:w="4999"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575"/>
              <w:gridCol w:w="1133"/>
              <w:gridCol w:w="908"/>
              <w:gridCol w:w="1198"/>
              <w:gridCol w:w="863"/>
              <w:gridCol w:w="675"/>
              <w:gridCol w:w="988"/>
              <w:gridCol w:w="973"/>
              <w:gridCol w:w="973"/>
              <w:gridCol w:w="1018"/>
              <w:gridCol w:w="1018"/>
              <w:gridCol w:w="1033"/>
              <w:gridCol w:w="1138"/>
            </w:tblGrid>
            <w:tr w14:paraId="4C7D9F9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30" w:type="pct"/>
                  <w:tcBorders>
                    <w:bottom w:val="single" w:color="auto" w:sz="12" w:space="0"/>
                  </w:tcBorders>
                  <w:vAlign w:val="center"/>
                </w:tcPr>
                <w:p w14:paraId="08552FBF">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bCs/>
                      <w:color w:val="auto"/>
                      <w:kern w:val="2"/>
                      <w:sz w:val="21"/>
                      <w:szCs w:val="24"/>
                      <w:highlight w:val="none"/>
                      <w:lang w:val="en-US" w:eastAsia="zh-CN" w:bidi="ar-SA"/>
                    </w:rPr>
                  </w:pPr>
                  <w:r>
                    <w:rPr>
                      <w:rFonts w:hint="eastAsia" w:ascii="Times New Roman" w:hAnsi="Times New Roman" w:eastAsia="宋体" w:cs="Times New Roman"/>
                      <w:b/>
                      <w:bCs/>
                      <w:color w:val="auto"/>
                      <w:kern w:val="2"/>
                      <w:sz w:val="21"/>
                      <w:szCs w:val="24"/>
                      <w:highlight w:val="none"/>
                      <w:lang w:val="en-US" w:eastAsia="zh-CN" w:bidi="ar-SA"/>
                    </w:rPr>
                    <w:t>序号</w:t>
                  </w:r>
                </w:p>
              </w:tc>
              <w:tc>
                <w:tcPr>
                  <w:tcW w:w="453" w:type="pct"/>
                  <w:tcBorders>
                    <w:bottom w:val="single" w:color="auto" w:sz="12" w:space="0"/>
                  </w:tcBorders>
                  <w:vAlign w:val="center"/>
                </w:tcPr>
                <w:p w14:paraId="6F856B8B">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bCs/>
                      <w:color w:val="auto"/>
                      <w:kern w:val="2"/>
                      <w:sz w:val="21"/>
                      <w:szCs w:val="24"/>
                      <w:highlight w:val="none"/>
                      <w:lang w:val="en-US" w:eastAsia="zh-CN" w:bidi="ar-SA"/>
                    </w:rPr>
                  </w:pPr>
                  <w:r>
                    <w:rPr>
                      <w:rFonts w:hint="eastAsia" w:ascii="Times New Roman" w:hAnsi="Times New Roman" w:eastAsia="宋体" w:cs="Times New Roman"/>
                      <w:b/>
                      <w:bCs/>
                      <w:color w:val="auto"/>
                      <w:kern w:val="2"/>
                      <w:sz w:val="21"/>
                      <w:szCs w:val="24"/>
                      <w:highlight w:val="none"/>
                      <w:lang w:val="en-US" w:eastAsia="zh-CN" w:bidi="ar-SA"/>
                    </w:rPr>
                    <w:t>危险废物</w:t>
                  </w:r>
                </w:p>
                <w:p w14:paraId="2E10574A">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21"/>
                      <w:szCs w:val="24"/>
                      <w:highlight w:val="none"/>
                      <w:lang w:val="en-US" w:eastAsia="zh-CN" w:bidi="ar-SA"/>
                    </w:rPr>
                  </w:pPr>
                  <w:r>
                    <w:rPr>
                      <w:rFonts w:hint="eastAsia" w:ascii="Times New Roman" w:hAnsi="Times New Roman" w:eastAsia="宋体" w:cs="Times New Roman"/>
                      <w:b/>
                      <w:bCs/>
                      <w:color w:val="auto"/>
                      <w:kern w:val="2"/>
                      <w:sz w:val="21"/>
                      <w:szCs w:val="24"/>
                      <w:highlight w:val="none"/>
                      <w:lang w:val="en-US" w:eastAsia="zh-CN" w:bidi="ar-SA"/>
                    </w:rPr>
                    <w:t>名称</w:t>
                  </w:r>
                </w:p>
              </w:tc>
              <w:tc>
                <w:tcPr>
                  <w:tcW w:w="363" w:type="pct"/>
                  <w:tcBorders>
                    <w:bottom w:val="single" w:color="auto" w:sz="12" w:space="0"/>
                  </w:tcBorders>
                  <w:vAlign w:val="center"/>
                </w:tcPr>
                <w:p w14:paraId="05D45A6D">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21"/>
                      <w:szCs w:val="24"/>
                      <w:highlight w:val="none"/>
                      <w:lang w:val="en-US" w:eastAsia="zh-CN" w:bidi="ar-SA"/>
                    </w:rPr>
                  </w:pPr>
                  <w:r>
                    <w:rPr>
                      <w:rFonts w:hint="eastAsia" w:ascii="Times New Roman" w:hAnsi="Times New Roman" w:eastAsia="宋体" w:cs="Times New Roman"/>
                      <w:b/>
                      <w:bCs/>
                      <w:color w:val="auto"/>
                      <w:kern w:val="2"/>
                      <w:sz w:val="21"/>
                      <w:szCs w:val="24"/>
                      <w:highlight w:val="none"/>
                      <w:lang w:val="en-US" w:eastAsia="zh-CN" w:bidi="ar-SA"/>
                    </w:rPr>
                    <w:t>危险废物类别</w:t>
                  </w:r>
                </w:p>
              </w:tc>
              <w:tc>
                <w:tcPr>
                  <w:tcW w:w="479" w:type="pct"/>
                  <w:tcBorders>
                    <w:bottom w:val="single" w:color="auto" w:sz="12" w:space="0"/>
                  </w:tcBorders>
                  <w:vAlign w:val="center"/>
                </w:tcPr>
                <w:p w14:paraId="779B9AC8">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21"/>
                      <w:szCs w:val="24"/>
                      <w:highlight w:val="none"/>
                      <w:lang w:val="en-US" w:eastAsia="zh-CN" w:bidi="ar-SA"/>
                    </w:rPr>
                  </w:pPr>
                  <w:r>
                    <w:rPr>
                      <w:rFonts w:hint="eastAsia" w:ascii="Times New Roman" w:hAnsi="Times New Roman" w:eastAsia="宋体" w:cs="Times New Roman"/>
                      <w:b/>
                      <w:bCs/>
                      <w:color w:val="auto"/>
                      <w:kern w:val="2"/>
                      <w:sz w:val="21"/>
                      <w:szCs w:val="24"/>
                      <w:highlight w:val="none"/>
                      <w:lang w:val="en-US" w:eastAsia="zh-CN" w:bidi="ar-SA"/>
                    </w:rPr>
                    <w:t>危险废物代码</w:t>
                  </w:r>
                </w:p>
              </w:tc>
              <w:tc>
                <w:tcPr>
                  <w:tcW w:w="345" w:type="pct"/>
                  <w:tcBorders>
                    <w:bottom w:val="single" w:color="auto" w:sz="12" w:space="0"/>
                  </w:tcBorders>
                  <w:vAlign w:val="center"/>
                </w:tcPr>
                <w:p w14:paraId="529E3362">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21"/>
                      <w:szCs w:val="24"/>
                      <w:highlight w:val="none"/>
                      <w:lang w:val="en-US" w:eastAsia="zh-CN" w:bidi="ar-SA"/>
                    </w:rPr>
                  </w:pPr>
                  <w:r>
                    <w:rPr>
                      <w:rFonts w:hint="eastAsia" w:ascii="Times New Roman" w:hAnsi="Times New Roman" w:eastAsia="宋体" w:cs="Times New Roman"/>
                      <w:b/>
                      <w:bCs/>
                      <w:color w:val="auto"/>
                      <w:kern w:val="2"/>
                      <w:sz w:val="21"/>
                      <w:szCs w:val="24"/>
                      <w:highlight w:val="none"/>
                      <w:lang w:val="en-US" w:eastAsia="zh-CN" w:bidi="ar-SA"/>
                    </w:rPr>
                    <w:t>产生量t/a</w:t>
                  </w:r>
                </w:p>
              </w:tc>
              <w:tc>
                <w:tcPr>
                  <w:tcW w:w="270" w:type="pct"/>
                  <w:tcBorders>
                    <w:bottom w:val="single" w:color="auto" w:sz="12" w:space="0"/>
                  </w:tcBorders>
                  <w:vAlign w:val="center"/>
                </w:tcPr>
                <w:p w14:paraId="07EC4DE1">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bCs/>
                      <w:color w:val="auto"/>
                      <w:kern w:val="2"/>
                      <w:sz w:val="21"/>
                      <w:szCs w:val="24"/>
                      <w:highlight w:val="none"/>
                      <w:lang w:val="en-US" w:eastAsia="zh-CN" w:bidi="ar-SA"/>
                    </w:rPr>
                  </w:pPr>
                  <w:r>
                    <w:rPr>
                      <w:rFonts w:hint="eastAsia" w:ascii="Times New Roman" w:hAnsi="Times New Roman" w:eastAsia="宋体" w:cs="Times New Roman"/>
                      <w:b/>
                      <w:bCs/>
                      <w:color w:val="auto"/>
                      <w:kern w:val="2"/>
                      <w:sz w:val="21"/>
                      <w:szCs w:val="24"/>
                      <w:highlight w:val="none"/>
                      <w:lang w:val="en-US" w:eastAsia="zh-CN" w:bidi="ar-SA"/>
                    </w:rPr>
                    <w:t>形态</w:t>
                  </w:r>
                </w:p>
              </w:tc>
              <w:tc>
                <w:tcPr>
                  <w:tcW w:w="395" w:type="pct"/>
                  <w:tcBorders>
                    <w:bottom w:val="single" w:color="auto" w:sz="12" w:space="0"/>
                  </w:tcBorders>
                  <w:vAlign w:val="center"/>
                </w:tcPr>
                <w:p w14:paraId="724E8A89">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bCs/>
                      <w:color w:val="auto"/>
                      <w:kern w:val="2"/>
                      <w:sz w:val="21"/>
                      <w:szCs w:val="24"/>
                      <w:highlight w:val="none"/>
                      <w:lang w:val="en-US" w:eastAsia="zh-CN" w:bidi="ar-SA"/>
                    </w:rPr>
                  </w:pPr>
                  <w:r>
                    <w:rPr>
                      <w:rFonts w:hint="eastAsia" w:ascii="Times New Roman" w:hAnsi="Times New Roman" w:eastAsia="宋体" w:cs="Times New Roman"/>
                      <w:b/>
                      <w:bCs/>
                      <w:color w:val="auto"/>
                      <w:kern w:val="2"/>
                      <w:sz w:val="21"/>
                      <w:szCs w:val="24"/>
                      <w:highlight w:val="none"/>
                      <w:lang w:val="en-US" w:eastAsia="zh-CN" w:bidi="ar-SA"/>
                    </w:rPr>
                    <w:t>有害</w:t>
                  </w:r>
                </w:p>
                <w:p w14:paraId="303B434C">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b/>
                      <w:bCs/>
                      <w:color w:val="auto"/>
                      <w:kern w:val="2"/>
                      <w:sz w:val="21"/>
                      <w:szCs w:val="24"/>
                      <w:highlight w:val="none"/>
                      <w:lang w:val="en-US" w:eastAsia="zh-CN" w:bidi="ar-SA"/>
                    </w:rPr>
                  </w:pPr>
                  <w:r>
                    <w:rPr>
                      <w:rFonts w:hint="eastAsia" w:ascii="Times New Roman" w:hAnsi="Times New Roman" w:eastAsia="宋体" w:cs="Times New Roman"/>
                      <w:b/>
                      <w:bCs/>
                      <w:color w:val="auto"/>
                      <w:kern w:val="2"/>
                      <w:sz w:val="21"/>
                      <w:szCs w:val="24"/>
                      <w:highlight w:val="none"/>
                      <w:lang w:val="en-US" w:eastAsia="zh-CN" w:bidi="ar-SA"/>
                    </w:rPr>
                    <w:t>成分</w:t>
                  </w:r>
                </w:p>
              </w:tc>
              <w:tc>
                <w:tcPr>
                  <w:tcW w:w="389" w:type="pct"/>
                  <w:tcBorders>
                    <w:bottom w:val="single" w:color="auto" w:sz="12" w:space="0"/>
                  </w:tcBorders>
                  <w:vAlign w:val="center"/>
                </w:tcPr>
                <w:p w14:paraId="6D3B6DBD">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bCs/>
                      <w:color w:val="auto"/>
                      <w:kern w:val="2"/>
                      <w:sz w:val="21"/>
                      <w:szCs w:val="24"/>
                      <w:highlight w:val="none"/>
                      <w:lang w:val="en-US" w:eastAsia="zh-CN" w:bidi="ar-SA"/>
                    </w:rPr>
                  </w:pPr>
                  <w:r>
                    <w:rPr>
                      <w:rFonts w:hint="eastAsia" w:ascii="Times New Roman" w:hAnsi="Times New Roman" w:eastAsia="宋体" w:cs="Times New Roman"/>
                      <w:b/>
                      <w:bCs/>
                      <w:color w:val="auto"/>
                      <w:kern w:val="2"/>
                      <w:sz w:val="21"/>
                      <w:szCs w:val="24"/>
                      <w:highlight w:val="none"/>
                      <w:lang w:val="en-US" w:eastAsia="zh-CN" w:bidi="ar-SA"/>
                    </w:rPr>
                    <w:t>贮存</w:t>
                  </w:r>
                </w:p>
                <w:p w14:paraId="00C8E485">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bCs/>
                      <w:color w:val="auto"/>
                      <w:kern w:val="2"/>
                      <w:sz w:val="21"/>
                      <w:szCs w:val="24"/>
                      <w:highlight w:val="none"/>
                      <w:lang w:val="en-US" w:eastAsia="zh-CN" w:bidi="ar-SA"/>
                    </w:rPr>
                  </w:pPr>
                  <w:r>
                    <w:rPr>
                      <w:rFonts w:hint="eastAsia" w:ascii="Times New Roman" w:hAnsi="Times New Roman" w:eastAsia="宋体" w:cs="Times New Roman"/>
                      <w:b/>
                      <w:bCs/>
                      <w:color w:val="auto"/>
                      <w:kern w:val="2"/>
                      <w:sz w:val="21"/>
                      <w:szCs w:val="24"/>
                      <w:highlight w:val="none"/>
                      <w:lang w:val="en-US" w:eastAsia="zh-CN" w:bidi="ar-SA"/>
                    </w:rPr>
                    <w:t>方式</w:t>
                  </w:r>
                </w:p>
              </w:tc>
              <w:tc>
                <w:tcPr>
                  <w:tcW w:w="389" w:type="pct"/>
                  <w:tcBorders>
                    <w:bottom w:val="single" w:color="auto" w:sz="12" w:space="0"/>
                  </w:tcBorders>
                  <w:vAlign w:val="center"/>
                </w:tcPr>
                <w:p w14:paraId="6B30E6AF">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bCs/>
                      <w:color w:val="auto"/>
                      <w:kern w:val="2"/>
                      <w:sz w:val="21"/>
                      <w:szCs w:val="24"/>
                      <w:highlight w:val="none"/>
                      <w:lang w:val="en-US" w:eastAsia="zh-CN" w:bidi="ar-SA"/>
                    </w:rPr>
                  </w:pPr>
                  <w:r>
                    <w:rPr>
                      <w:rFonts w:hint="eastAsia" w:ascii="Times New Roman" w:hAnsi="Times New Roman" w:eastAsia="宋体" w:cs="Times New Roman"/>
                      <w:b/>
                      <w:bCs/>
                      <w:color w:val="auto"/>
                      <w:kern w:val="2"/>
                      <w:sz w:val="21"/>
                      <w:szCs w:val="24"/>
                      <w:highlight w:val="none"/>
                      <w:lang w:val="en-US" w:eastAsia="zh-CN" w:bidi="ar-SA"/>
                    </w:rPr>
                    <w:t>贮存</w:t>
                  </w:r>
                </w:p>
                <w:p w14:paraId="65F650F6">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bCs/>
                      <w:color w:val="auto"/>
                      <w:kern w:val="2"/>
                      <w:sz w:val="21"/>
                      <w:szCs w:val="24"/>
                      <w:highlight w:val="none"/>
                      <w:lang w:val="en-US" w:eastAsia="zh-CN" w:bidi="ar-SA"/>
                    </w:rPr>
                  </w:pPr>
                  <w:r>
                    <w:rPr>
                      <w:rFonts w:hint="eastAsia" w:ascii="Times New Roman" w:hAnsi="Times New Roman" w:eastAsia="宋体" w:cs="Times New Roman"/>
                      <w:b/>
                      <w:bCs/>
                      <w:color w:val="auto"/>
                      <w:kern w:val="2"/>
                      <w:sz w:val="21"/>
                      <w:szCs w:val="24"/>
                      <w:highlight w:val="none"/>
                      <w:lang w:val="en-US" w:eastAsia="zh-CN" w:bidi="ar-SA"/>
                    </w:rPr>
                    <w:t>能力</w:t>
                  </w:r>
                </w:p>
              </w:tc>
              <w:tc>
                <w:tcPr>
                  <w:tcW w:w="407" w:type="pct"/>
                  <w:tcBorders>
                    <w:bottom w:val="single" w:color="auto" w:sz="12" w:space="0"/>
                  </w:tcBorders>
                  <w:vAlign w:val="center"/>
                </w:tcPr>
                <w:p w14:paraId="442B0C82">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ascii="Times New Roman" w:hAnsi="Times New Roman" w:cs="Times New Roman"/>
                      <w:b/>
                      <w:bCs/>
                      <w:color w:val="auto"/>
                      <w:kern w:val="2"/>
                      <w:sz w:val="21"/>
                      <w:szCs w:val="24"/>
                      <w:highlight w:val="none"/>
                      <w:lang w:val="en-US" w:eastAsia="zh-CN" w:bidi="ar-SA"/>
                    </w:rPr>
                  </w:pPr>
                  <w:r>
                    <w:rPr>
                      <w:rFonts w:hint="eastAsia" w:ascii="Times New Roman" w:hAnsi="Times New Roman" w:cs="Times New Roman"/>
                      <w:b/>
                      <w:bCs/>
                      <w:color w:val="auto"/>
                      <w:kern w:val="2"/>
                      <w:sz w:val="21"/>
                      <w:szCs w:val="24"/>
                      <w:highlight w:val="none"/>
                      <w:lang w:val="en-US" w:eastAsia="zh-CN" w:bidi="ar-SA"/>
                    </w:rPr>
                    <w:t>贮存</w:t>
                  </w:r>
                </w:p>
                <w:p w14:paraId="66F51EA7">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b/>
                      <w:bCs/>
                      <w:color w:val="auto"/>
                      <w:kern w:val="2"/>
                      <w:sz w:val="21"/>
                      <w:szCs w:val="24"/>
                      <w:highlight w:val="none"/>
                      <w:lang w:val="en-US" w:eastAsia="zh-CN" w:bidi="ar-SA"/>
                    </w:rPr>
                  </w:pPr>
                  <w:r>
                    <w:rPr>
                      <w:rFonts w:hint="eastAsia" w:ascii="Times New Roman" w:hAnsi="Times New Roman" w:cs="Times New Roman"/>
                      <w:b/>
                      <w:bCs/>
                      <w:color w:val="auto"/>
                      <w:kern w:val="2"/>
                      <w:sz w:val="21"/>
                      <w:szCs w:val="24"/>
                      <w:highlight w:val="none"/>
                      <w:lang w:val="en-US" w:eastAsia="zh-CN" w:bidi="ar-SA"/>
                    </w:rPr>
                    <w:t>周期</w:t>
                  </w:r>
                </w:p>
              </w:tc>
              <w:tc>
                <w:tcPr>
                  <w:tcW w:w="407" w:type="pct"/>
                  <w:tcBorders>
                    <w:bottom w:val="single" w:color="auto" w:sz="12" w:space="0"/>
                  </w:tcBorders>
                  <w:vAlign w:val="center"/>
                </w:tcPr>
                <w:p w14:paraId="1ED4DF02">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b/>
                      <w:bCs/>
                      <w:color w:val="auto"/>
                      <w:kern w:val="2"/>
                      <w:sz w:val="21"/>
                      <w:szCs w:val="24"/>
                      <w:highlight w:val="none"/>
                      <w:lang w:val="en-US" w:eastAsia="zh-CN" w:bidi="ar-SA"/>
                    </w:rPr>
                  </w:pPr>
                  <w:r>
                    <w:rPr>
                      <w:rFonts w:hint="eastAsia" w:ascii="Times New Roman" w:hAnsi="Times New Roman" w:eastAsia="宋体" w:cs="Times New Roman"/>
                      <w:b/>
                      <w:bCs/>
                      <w:color w:val="auto"/>
                      <w:kern w:val="2"/>
                      <w:sz w:val="21"/>
                      <w:szCs w:val="24"/>
                      <w:highlight w:val="none"/>
                      <w:lang w:val="en-US" w:eastAsia="zh-CN" w:bidi="ar-SA"/>
                    </w:rPr>
                    <w:t>位置</w:t>
                  </w:r>
                </w:p>
              </w:tc>
              <w:tc>
                <w:tcPr>
                  <w:tcW w:w="413" w:type="pct"/>
                  <w:tcBorders>
                    <w:bottom w:val="single" w:color="auto" w:sz="12" w:space="0"/>
                  </w:tcBorders>
                  <w:vAlign w:val="center"/>
                </w:tcPr>
                <w:p w14:paraId="3A33E8AC">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bCs/>
                      <w:color w:val="auto"/>
                      <w:kern w:val="2"/>
                      <w:sz w:val="21"/>
                      <w:szCs w:val="24"/>
                      <w:highlight w:val="none"/>
                      <w:lang w:val="en-US" w:eastAsia="zh-CN" w:bidi="ar-SA"/>
                    </w:rPr>
                  </w:pPr>
                  <w:r>
                    <w:rPr>
                      <w:rFonts w:hint="eastAsia" w:ascii="Times New Roman" w:hAnsi="Times New Roman" w:eastAsia="宋体" w:cs="Times New Roman"/>
                      <w:b/>
                      <w:bCs/>
                      <w:color w:val="auto"/>
                      <w:kern w:val="2"/>
                      <w:sz w:val="21"/>
                      <w:szCs w:val="24"/>
                      <w:highlight w:val="none"/>
                      <w:lang w:val="en-US" w:eastAsia="zh-CN" w:bidi="ar-SA"/>
                    </w:rPr>
                    <w:t>占地</w:t>
                  </w:r>
                </w:p>
                <w:p w14:paraId="71F9169F">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bCs/>
                      <w:color w:val="auto"/>
                      <w:kern w:val="2"/>
                      <w:sz w:val="21"/>
                      <w:szCs w:val="24"/>
                      <w:highlight w:val="none"/>
                      <w:lang w:val="en-US" w:eastAsia="zh-CN" w:bidi="ar-SA"/>
                    </w:rPr>
                  </w:pPr>
                  <w:r>
                    <w:rPr>
                      <w:rFonts w:hint="eastAsia" w:ascii="Times New Roman" w:hAnsi="Times New Roman" w:eastAsia="宋体" w:cs="Times New Roman"/>
                      <w:b/>
                      <w:bCs/>
                      <w:color w:val="auto"/>
                      <w:kern w:val="2"/>
                      <w:sz w:val="21"/>
                      <w:szCs w:val="24"/>
                      <w:highlight w:val="none"/>
                      <w:lang w:val="en-US" w:eastAsia="zh-CN" w:bidi="ar-SA"/>
                    </w:rPr>
                    <w:t>面积</w:t>
                  </w:r>
                </w:p>
              </w:tc>
              <w:tc>
                <w:tcPr>
                  <w:tcW w:w="455" w:type="pct"/>
                  <w:tcBorders>
                    <w:bottom w:val="single" w:color="auto" w:sz="12" w:space="0"/>
                  </w:tcBorders>
                  <w:vAlign w:val="center"/>
                </w:tcPr>
                <w:p w14:paraId="2E671595">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bCs/>
                      <w:color w:val="auto"/>
                      <w:kern w:val="2"/>
                      <w:sz w:val="21"/>
                      <w:szCs w:val="24"/>
                      <w:highlight w:val="none"/>
                      <w:lang w:val="en-US" w:eastAsia="zh-CN" w:bidi="ar-SA"/>
                    </w:rPr>
                  </w:pPr>
                  <w:r>
                    <w:rPr>
                      <w:rFonts w:hint="eastAsia" w:ascii="Times New Roman" w:hAnsi="Times New Roman" w:eastAsia="宋体" w:cs="Times New Roman"/>
                      <w:b/>
                      <w:bCs/>
                      <w:color w:val="auto"/>
                      <w:kern w:val="2"/>
                      <w:sz w:val="21"/>
                      <w:szCs w:val="24"/>
                      <w:highlight w:val="none"/>
                      <w:lang w:val="en-US" w:eastAsia="zh-CN" w:bidi="ar-SA"/>
                    </w:rPr>
                    <w:t>污染防治措施</w:t>
                  </w:r>
                </w:p>
              </w:tc>
            </w:tr>
            <w:tr w14:paraId="56FE7CD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30" w:type="pct"/>
                  <w:tcBorders>
                    <w:top w:val="single" w:color="auto" w:sz="12" w:space="0"/>
                    <w:tl2br w:val="nil"/>
                    <w:tr2bl w:val="nil"/>
                  </w:tcBorders>
                  <w:vAlign w:val="center"/>
                </w:tcPr>
                <w:p w14:paraId="42A84592">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1</w:t>
                  </w:r>
                </w:p>
              </w:tc>
              <w:tc>
                <w:tcPr>
                  <w:tcW w:w="453" w:type="pct"/>
                  <w:tcBorders>
                    <w:top w:val="single" w:color="auto" w:sz="12" w:space="0"/>
                    <w:tl2br w:val="nil"/>
                    <w:tr2bl w:val="nil"/>
                  </w:tcBorders>
                  <w:shd w:val="clear" w:color="auto" w:fill="auto"/>
                  <w:vAlign w:val="center"/>
                </w:tcPr>
                <w:p w14:paraId="02B1AFB3">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eastAsia="宋体" w:cs="Times New Roman"/>
                      <w:color w:val="auto"/>
                      <w:kern w:val="2"/>
                      <w:sz w:val="21"/>
                      <w:szCs w:val="21"/>
                      <w:highlight w:val="none"/>
                      <w:lang w:val="en-US" w:eastAsia="zh-CN" w:bidi="ar-SA"/>
                    </w:rPr>
                    <w:t>废网版</w:t>
                  </w:r>
                </w:p>
              </w:tc>
              <w:tc>
                <w:tcPr>
                  <w:tcW w:w="363" w:type="pct"/>
                  <w:tcBorders>
                    <w:top w:val="single" w:color="auto" w:sz="12" w:space="0"/>
                    <w:tl2br w:val="nil"/>
                    <w:tr2bl w:val="nil"/>
                  </w:tcBorders>
                  <w:vAlign w:val="center"/>
                </w:tcPr>
                <w:p w14:paraId="332EF275">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4"/>
                      <w:highlight w:val="none"/>
                      <w:lang w:val="en-US" w:eastAsia="zh-CN" w:bidi="ar-SA"/>
                    </w:rPr>
                  </w:pPr>
                  <w:r>
                    <w:rPr>
                      <w:rFonts w:hint="eastAsia" w:cs="Times New Roman"/>
                      <w:color w:val="auto"/>
                      <w:kern w:val="2"/>
                      <w:sz w:val="21"/>
                      <w:szCs w:val="24"/>
                      <w:highlight w:val="none"/>
                      <w:lang w:val="en-US" w:eastAsia="zh-CN" w:bidi="ar-SA"/>
                    </w:rPr>
                    <w:t>HW12</w:t>
                  </w:r>
                </w:p>
              </w:tc>
              <w:tc>
                <w:tcPr>
                  <w:tcW w:w="479" w:type="pct"/>
                  <w:tcBorders>
                    <w:top w:val="single" w:color="auto" w:sz="12" w:space="0"/>
                    <w:tl2br w:val="nil"/>
                    <w:tr2bl w:val="nil"/>
                  </w:tcBorders>
                  <w:shd w:val="clear" w:color="auto" w:fill="auto"/>
                  <w:vAlign w:val="center"/>
                </w:tcPr>
                <w:p w14:paraId="4C16189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900-253-12</w:t>
                  </w:r>
                </w:p>
              </w:tc>
              <w:tc>
                <w:tcPr>
                  <w:tcW w:w="345" w:type="pct"/>
                  <w:tcBorders>
                    <w:top w:val="single" w:color="auto" w:sz="12" w:space="0"/>
                    <w:tl2br w:val="nil"/>
                    <w:tr2bl w:val="nil"/>
                  </w:tcBorders>
                  <w:shd w:val="clear" w:color="auto" w:fill="auto"/>
                  <w:vAlign w:val="center"/>
                </w:tcPr>
                <w:p w14:paraId="6019D969">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eastAsia" w:ascii="Times New Roman" w:hAnsi="Times New Roman" w:eastAsia="宋体" w:cs="Times New Roman"/>
                      <w:b w:val="0"/>
                      <w:bCs/>
                      <w:color w:val="auto"/>
                      <w:kern w:val="2"/>
                      <w:sz w:val="21"/>
                      <w:szCs w:val="24"/>
                      <w:highlight w:val="none"/>
                      <w:lang w:val="en-US" w:eastAsia="zh-CN" w:bidi="ar-SA"/>
                    </w:rPr>
                  </w:pPr>
                  <w:r>
                    <w:rPr>
                      <w:rFonts w:hint="eastAsia" w:ascii="Times New Roman" w:hAnsi="Times New Roman" w:eastAsia="宋体" w:cs="Times New Roman"/>
                      <w:b w:val="0"/>
                      <w:bCs/>
                      <w:color w:val="auto"/>
                      <w:kern w:val="2"/>
                      <w:sz w:val="21"/>
                      <w:szCs w:val="24"/>
                      <w:highlight w:val="none"/>
                      <w:lang w:val="en-US" w:eastAsia="zh-CN" w:bidi="ar-SA"/>
                    </w:rPr>
                    <w:t>0.06</w:t>
                  </w:r>
                </w:p>
              </w:tc>
              <w:tc>
                <w:tcPr>
                  <w:tcW w:w="270" w:type="pct"/>
                  <w:tcBorders>
                    <w:top w:val="single" w:color="auto" w:sz="12" w:space="0"/>
                    <w:tl2br w:val="nil"/>
                    <w:tr2bl w:val="nil"/>
                  </w:tcBorders>
                  <w:shd w:val="clear" w:color="auto" w:fill="auto"/>
                  <w:vAlign w:val="center"/>
                </w:tcPr>
                <w:p w14:paraId="1F6ECB60">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default" w:ascii="Times New Roman" w:hAnsi="Times New Roman" w:eastAsia="宋体" w:cs="Times New Roman"/>
                      <w:color w:val="auto"/>
                      <w:spacing w:val="0"/>
                      <w:kern w:val="2"/>
                      <w:sz w:val="21"/>
                      <w:szCs w:val="24"/>
                      <w:highlight w:val="none"/>
                      <w:lang w:val="en-US" w:eastAsia="zh-CN" w:bidi="ar-SA"/>
                    </w:rPr>
                  </w:pPr>
                  <w:r>
                    <w:rPr>
                      <w:rFonts w:hint="eastAsia" w:ascii="Times New Roman" w:hAnsi="Times New Roman" w:eastAsia="宋体" w:cs="Times New Roman"/>
                      <w:color w:val="auto"/>
                      <w:spacing w:val="0"/>
                      <w:sz w:val="21"/>
                      <w:highlight w:val="none"/>
                      <w:lang w:val="en-US" w:eastAsia="zh-CN"/>
                    </w:rPr>
                    <w:t>固态</w:t>
                  </w:r>
                </w:p>
              </w:tc>
              <w:tc>
                <w:tcPr>
                  <w:tcW w:w="395" w:type="pct"/>
                  <w:tcBorders>
                    <w:top w:val="single" w:color="auto" w:sz="12" w:space="0"/>
                    <w:tl2br w:val="nil"/>
                    <w:tr2bl w:val="nil"/>
                  </w:tcBorders>
                  <w:shd w:val="clear" w:color="auto" w:fill="auto"/>
                  <w:vAlign w:val="center"/>
                </w:tcPr>
                <w:p w14:paraId="4E116573">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spacing w:val="0"/>
                      <w:kern w:val="2"/>
                      <w:sz w:val="21"/>
                      <w:szCs w:val="24"/>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废油墨</w:t>
                  </w:r>
                </w:p>
              </w:tc>
              <w:tc>
                <w:tcPr>
                  <w:tcW w:w="389" w:type="pct"/>
                  <w:tcBorders>
                    <w:top w:val="single" w:color="auto" w:sz="12" w:space="0"/>
                    <w:tl2br w:val="nil"/>
                    <w:tr2bl w:val="nil"/>
                  </w:tcBorders>
                  <w:shd w:val="clear" w:color="auto" w:fill="auto"/>
                  <w:vAlign w:val="center"/>
                </w:tcPr>
                <w:p w14:paraId="113E3665">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kern w:val="2"/>
                      <w:sz w:val="21"/>
                      <w:szCs w:val="24"/>
                      <w:highlight w:val="none"/>
                      <w:lang w:val="en-US" w:eastAsia="zh-CN" w:bidi="ar-SA"/>
                    </w:rPr>
                  </w:pPr>
                  <w:r>
                    <w:rPr>
                      <w:rFonts w:hint="eastAsia" w:ascii="Times New Roman" w:hAnsi="Times New Roman" w:eastAsia="宋体" w:cs="Times New Roman"/>
                      <w:color w:val="auto"/>
                      <w:spacing w:val="0"/>
                      <w:kern w:val="2"/>
                      <w:sz w:val="21"/>
                      <w:szCs w:val="24"/>
                      <w:highlight w:val="none"/>
                      <w:lang w:val="en-US" w:eastAsia="zh-CN" w:bidi="ar-SA"/>
                    </w:rPr>
                    <w:t>袋装</w:t>
                  </w:r>
                </w:p>
              </w:tc>
              <w:tc>
                <w:tcPr>
                  <w:tcW w:w="389" w:type="pct"/>
                  <w:vMerge w:val="restart"/>
                  <w:tcBorders>
                    <w:top w:val="single" w:color="auto" w:sz="12" w:space="0"/>
                    <w:tl2br w:val="nil"/>
                    <w:tr2bl w:val="nil"/>
                  </w:tcBorders>
                  <w:vAlign w:val="center"/>
                </w:tcPr>
                <w:p w14:paraId="2BF2EE8F">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4"/>
                      <w:highlight w:val="none"/>
                      <w:lang w:val="en-US" w:eastAsia="zh-CN" w:bidi="ar-SA"/>
                    </w:rPr>
                  </w:pPr>
                  <w:r>
                    <w:rPr>
                      <w:rFonts w:hint="eastAsia" w:cs="Times New Roman"/>
                      <w:color w:val="auto"/>
                      <w:kern w:val="2"/>
                      <w:sz w:val="21"/>
                      <w:szCs w:val="24"/>
                      <w:highlight w:val="none"/>
                      <w:lang w:val="en-US" w:eastAsia="zh-CN" w:bidi="ar-SA"/>
                    </w:rPr>
                    <w:t>10t</w:t>
                  </w:r>
                </w:p>
              </w:tc>
              <w:tc>
                <w:tcPr>
                  <w:tcW w:w="407" w:type="pct"/>
                  <w:vMerge w:val="restart"/>
                  <w:tcBorders>
                    <w:top w:val="single" w:color="auto" w:sz="12" w:space="0"/>
                    <w:tl2br w:val="nil"/>
                    <w:tr2bl w:val="nil"/>
                  </w:tcBorders>
                  <w:vAlign w:val="center"/>
                </w:tcPr>
                <w:p w14:paraId="67FDC42C">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4"/>
                      <w:highlight w:val="none"/>
                      <w:lang w:val="en-US" w:eastAsia="zh-CN" w:bidi="ar-SA"/>
                    </w:rPr>
                  </w:pPr>
                  <w:r>
                    <w:rPr>
                      <w:rFonts w:hint="eastAsia" w:cs="Times New Roman"/>
                      <w:color w:val="auto"/>
                      <w:kern w:val="2"/>
                      <w:sz w:val="21"/>
                      <w:szCs w:val="24"/>
                      <w:highlight w:val="none"/>
                      <w:lang w:val="en-US" w:eastAsia="zh-CN" w:bidi="ar-SA"/>
                    </w:rPr>
                    <w:t>1</w:t>
                  </w:r>
                  <w:r>
                    <w:rPr>
                      <w:rFonts w:hint="default" w:ascii="Times New Roman" w:hAnsi="Times New Roman" w:eastAsia="宋体" w:cs="Times New Roman"/>
                      <w:color w:val="auto"/>
                      <w:kern w:val="2"/>
                      <w:sz w:val="21"/>
                      <w:szCs w:val="24"/>
                      <w:highlight w:val="none"/>
                      <w:lang w:val="en-US" w:eastAsia="zh-CN" w:bidi="ar-SA"/>
                    </w:rPr>
                    <w:t>个月</w:t>
                  </w:r>
                </w:p>
              </w:tc>
              <w:tc>
                <w:tcPr>
                  <w:tcW w:w="407" w:type="pct"/>
                  <w:vMerge w:val="restart"/>
                  <w:tcBorders>
                    <w:top w:val="single" w:color="auto" w:sz="12" w:space="0"/>
                    <w:tl2br w:val="nil"/>
                    <w:tr2bl w:val="nil"/>
                  </w:tcBorders>
                  <w:vAlign w:val="center"/>
                </w:tcPr>
                <w:p w14:paraId="58A33DAB">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4"/>
                      <w:highlight w:val="none"/>
                      <w:lang w:val="en-US" w:eastAsia="zh-CN" w:bidi="ar-SA"/>
                    </w:rPr>
                  </w:pPr>
                  <w:r>
                    <w:rPr>
                      <w:rFonts w:hint="eastAsia" w:cs="Times New Roman"/>
                      <w:color w:val="auto"/>
                      <w:kern w:val="2"/>
                      <w:sz w:val="21"/>
                      <w:szCs w:val="24"/>
                      <w:highlight w:val="none"/>
                      <w:lang w:val="en-US" w:eastAsia="zh-CN" w:bidi="ar-SA"/>
                    </w:rPr>
                    <w:t>危废暂存间</w:t>
                  </w:r>
                </w:p>
              </w:tc>
              <w:tc>
                <w:tcPr>
                  <w:tcW w:w="413" w:type="pct"/>
                  <w:vMerge w:val="restart"/>
                  <w:tcBorders>
                    <w:top w:val="single" w:color="auto" w:sz="12" w:space="0"/>
                    <w:tl2br w:val="nil"/>
                    <w:tr2bl w:val="nil"/>
                  </w:tcBorders>
                  <w:vAlign w:val="center"/>
                </w:tcPr>
                <w:p w14:paraId="7C72D4B5">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4"/>
                      <w:highlight w:val="none"/>
                      <w:lang w:val="en-US" w:eastAsia="zh-CN" w:bidi="ar-SA"/>
                    </w:rPr>
                  </w:pPr>
                  <w:r>
                    <w:rPr>
                      <w:rFonts w:hint="eastAsia" w:cs="Times New Roman"/>
                      <w:color w:val="auto"/>
                      <w:kern w:val="2"/>
                      <w:sz w:val="21"/>
                      <w:szCs w:val="24"/>
                      <w:highlight w:val="none"/>
                      <w:lang w:val="en-US" w:eastAsia="zh-CN" w:bidi="ar-SA"/>
                    </w:rPr>
                    <w:t>20</w:t>
                  </w:r>
                </w:p>
              </w:tc>
              <w:tc>
                <w:tcPr>
                  <w:tcW w:w="455" w:type="pct"/>
                  <w:vMerge w:val="restart"/>
                  <w:tcBorders>
                    <w:top w:val="single" w:color="auto" w:sz="12" w:space="0"/>
                    <w:tl2br w:val="nil"/>
                    <w:tr2bl w:val="nil"/>
                  </w:tcBorders>
                  <w:vAlign w:val="center"/>
                </w:tcPr>
                <w:p w14:paraId="1D9589CD">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4"/>
                      <w:highlight w:val="none"/>
                      <w:lang w:val="en-US" w:eastAsia="zh-CN" w:bidi="ar-SA"/>
                    </w:rPr>
                  </w:pPr>
                  <w:r>
                    <w:rPr>
                      <w:rFonts w:hint="eastAsia" w:cs="Times New Roman"/>
                      <w:color w:val="auto"/>
                      <w:kern w:val="2"/>
                      <w:sz w:val="21"/>
                      <w:szCs w:val="24"/>
                      <w:highlight w:val="none"/>
                      <w:lang w:val="en-US" w:eastAsia="zh-CN" w:bidi="ar-SA"/>
                    </w:rPr>
                    <w:t>密封包装</w:t>
                  </w:r>
                </w:p>
              </w:tc>
            </w:tr>
            <w:tr w14:paraId="3BFF7B3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30" w:type="pct"/>
                  <w:tcBorders>
                    <w:tl2br w:val="nil"/>
                    <w:tr2bl w:val="nil"/>
                  </w:tcBorders>
                  <w:vAlign w:val="center"/>
                </w:tcPr>
                <w:p w14:paraId="31CA9538">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4"/>
                      <w:highlight w:val="none"/>
                      <w:lang w:val="en-US" w:eastAsia="zh-CN" w:bidi="ar-SA"/>
                    </w:rPr>
                  </w:pPr>
                  <w:r>
                    <w:rPr>
                      <w:rFonts w:hint="eastAsia" w:cs="Times New Roman"/>
                      <w:color w:val="auto"/>
                      <w:kern w:val="2"/>
                      <w:sz w:val="21"/>
                      <w:szCs w:val="24"/>
                      <w:highlight w:val="none"/>
                      <w:lang w:val="en-US" w:eastAsia="zh-CN" w:bidi="ar-SA"/>
                    </w:rPr>
                    <w:t>2</w:t>
                  </w:r>
                </w:p>
              </w:tc>
              <w:tc>
                <w:tcPr>
                  <w:tcW w:w="453" w:type="pct"/>
                  <w:tcBorders>
                    <w:tl2br w:val="nil"/>
                    <w:tr2bl w:val="nil"/>
                  </w:tcBorders>
                  <w:shd w:val="clear" w:color="auto" w:fill="auto"/>
                  <w:vAlign w:val="center"/>
                </w:tcPr>
                <w:p w14:paraId="3A664219">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eastAsia="宋体" w:cs="Times New Roman"/>
                      <w:color w:val="auto"/>
                      <w:kern w:val="2"/>
                      <w:sz w:val="21"/>
                      <w:szCs w:val="21"/>
                      <w:highlight w:val="none"/>
                      <w:lang w:val="en-US" w:eastAsia="zh-CN" w:bidi="ar-SA"/>
                    </w:rPr>
                    <w:t>网版清洗水</w:t>
                  </w:r>
                </w:p>
              </w:tc>
              <w:tc>
                <w:tcPr>
                  <w:tcW w:w="363" w:type="pct"/>
                  <w:tcBorders>
                    <w:tl2br w:val="nil"/>
                    <w:tr2bl w:val="nil"/>
                  </w:tcBorders>
                  <w:vAlign w:val="center"/>
                </w:tcPr>
                <w:p w14:paraId="738B0A84">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4"/>
                      <w:highlight w:val="none"/>
                      <w:lang w:val="en-US" w:eastAsia="zh-CN" w:bidi="ar-SA"/>
                    </w:rPr>
                  </w:pPr>
                  <w:r>
                    <w:rPr>
                      <w:rFonts w:hint="eastAsia" w:cs="Times New Roman"/>
                      <w:color w:val="auto"/>
                      <w:kern w:val="2"/>
                      <w:sz w:val="21"/>
                      <w:szCs w:val="24"/>
                      <w:highlight w:val="none"/>
                      <w:lang w:val="en-US" w:eastAsia="zh-CN" w:bidi="ar-SA"/>
                    </w:rPr>
                    <w:t>HW09</w:t>
                  </w:r>
                </w:p>
              </w:tc>
              <w:tc>
                <w:tcPr>
                  <w:tcW w:w="479" w:type="pct"/>
                  <w:tcBorders>
                    <w:tl2br w:val="nil"/>
                    <w:tr2bl w:val="nil"/>
                  </w:tcBorders>
                  <w:shd w:val="clear" w:color="auto" w:fill="auto"/>
                  <w:vAlign w:val="center"/>
                </w:tcPr>
                <w:p w14:paraId="05EEC88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900-007-09</w:t>
                  </w:r>
                </w:p>
              </w:tc>
              <w:tc>
                <w:tcPr>
                  <w:tcW w:w="345" w:type="pct"/>
                  <w:tcBorders>
                    <w:tl2br w:val="nil"/>
                    <w:tr2bl w:val="nil"/>
                  </w:tcBorders>
                  <w:shd w:val="clear" w:color="auto" w:fill="auto"/>
                  <w:vAlign w:val="center"/>
                </w:tcPr>
                <w:p w14:paraId="0B913AF2">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eastAsia" w:ascii="Times New Roman" w:hAnsi="Times New Roman" w:eastAsia="宋体" w:cs="Times New Roman"/>
                      <w:b w:val="0"/>
                      <w:bCs/>
                      <w:color w:val="auto"/>
                      <w:kern w:val="2"/>
                      <w:sz w:val="21"/>
                      <w:szCs w:val="24"/>
                      <w:highlight w:val="none"/>
                      <w:lang w:val="en-US" w:eastAsia="zh-CN" w:bidi="ar-SA"/>
                    </w:rPr>
                  </w:pPr>
                  <w:r>
                    <w:rPr>
                      <w:rFonts w:hint="eastAsia" w:ascii="Times New Roman" w:hAnsi="Times New Roman" w:eastAsia="宋体" w:cs="Times New Roman"/>
                      <w:b w:val="0"/>
                      <w:bCs/>
                      <w:color w:val="auto"/>
                      <w:kern w:val="2"/>
                      <w:sz w:val="21"/>
                      <w:szCs w:val="24"/>
                      <w:highlight w:val="none"/>
                      <w:lang w:val="en-US" w:eastAsia="zh-CN" w:bidi="ar-SA"/>
                    </w:rPr>
                    <w:t>6</w:t>
                  </w:r>
                </w:p>
              </w:tc>
              <w:tc>
                <w:tcPr>
                  <w:tcW w:w="270" w:type="pct"/>
                  <w:tcBorders>
                    <w:tl2br w:val="nil"/>
                    <w:tr2bl w:val="nil"/>
                  </w:tcBorders>
                  <w:shd w:val="clear" w:color="auto" w:fill="auto"/>
                  <w:vAlign w:val="center"/>
                </w:tcPr>
                <w:p w14:paraId="24994BD7">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eastAsia" w:ascii="Times New Roman" w:hAnsi="Times New Roman" w:eastAsia="宋体" w:cs="Times New Roman"/>
                      <w:color w:val="auto"/>
                      <w:spacing w:val="0"/>
                      <w:kern w:val="2"/>
                      <w:sz w:val="21"/>
                      <w:szCs w:val="24"/>
                      <w:highlight w:val="none"/>
                      <w:lang w:val="en-US" w:eastAsia="zh-CN" w:bidi="ar-SA"/>
                    </w:rPr>
                  </w:pPr>
                  <w:r>
                    <w:rPr>
                      <w:rFonts w:hint="eastAsia" w:ascii="Times New Roman" w:hAnsi="Times New Roman" w:eastAsia="宋体" w:cs="Times New Roman"/>
                      <w:color w:val="auto"/>
                      <w:spacing w:val="0"/>
                      <w:sz w:val="21"/>
                      <w:highlight w:val="none"/>
                      <w:lang w:val="en-US" w:eastAsia="zh-CN"/>
                    </w:rPr>
                    <w:t>液态</w:t>
                  </w:r>
                </w:p>
              </w:tc>
              <w:tc>
                <w:tcPr>
                  <w:tcW w:w="395" w:type="pct"/>
                  <w:tcBorders>
                    <w:tl2br w:val="nil"/>
                    <w:tr2bl w:val="nil"/>
                  </w:tcBorders>
                  <w:shd w:val="clear" w:color="auto" w:fill="auto"/>
                  <w:vAlign w:val="center"/>
                </w:tcPr>
                <w:p w14:paraId="3B88DBAF">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spacing w:val="0"/>
                      <w:kern w:val="2"/>
                      <w:sz w:val="21"/>
                      <w:szCs w:val="24"/>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废油墨</w:t>
                  </w:r>
                </w:p>
              </w:tc>
              <w:tc>
                <w:tcPr>
                  <w:tcW w:w="389" w:type="pct"/>
                  <w:tcBorders>
                    <w:tl2br w:val="nil"/>
                    <w:tr2bl w:val="nil"/>
                  </w:tcBorders>
                  <w:shd w:val="clear" w:color="auto" w:fill="auto"/>
                  <w:vAlign w:val="center"/>
                </w:tcPr>
                <w:p w14:paraId="5DFF6B59">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kern w:val="2"/>
                      <w:sz w:val="21"/>
                      <w:szCs w:val="24"/>
                      <w:highlight w:val="none"/>
                      <w:lang w:val="en-US" w:eastAsia="zh-CN" w:bidi="ar-SA"/>
                    </w:rPr>
                  </w:pPr>
                  <w:r>
                    <w:rPr>
                      <w:rFonts w:hint="eastAsia" w:ascii="Times New Roman" w:hAnsi="Times New Roman" w:eastAsia="宋体" w:cs="Times New Roman"/>
                      <w:color w:val="auto"/>
                      <w:spacing w:val="0"/>
                      <w:kern w:val="2"/>
                      <w:sz w:val="21"/>
                      <w:szCs w:val="24"/>
                      <w:highlight w:val="none"/>
                      <w:lang w:val="en-US" w:eastAsia="zh-CN" w:bidi="ar-SA"/>
                    </w:rPr>
                    <w:t>桶装</w:t>
                  </w:r>
                </w:p>
              </w:tc>
              <w:tc>
                <w:tcPr>
                  <w:tcW w:w="389" w:type="pct"/>
                  <w:vMerge w:val="continue"/>
                  <w:tcBorders>
                    <w:tl2br w:val="nil"/>
                    <w:tr2bl w:val="nil"/>
                  </w:tcBorders>
                  <w:vAlign w:val="center"/>
                </w:tcPr>
                <w:p w14:paraId="54189D3F">
                  <w:pPr>
                    <w:keepNext w:val="0"/>
                    <w:keepLines w:val="0"/>
                    <w:suppressLineNumbers w:val="0"/>
                    <w:spacing w:before="0" w:beforeAutospacing="0" w:after="0" w:afterAutospacing="0"/>
                    <w:ind w:left="0" w:right="0"/>
                    <w:jc w:val="center"/>
                    <w:rPr>
                      <w:rFonts w:hint="eastAsia" w:cs="Times New Roman"/>
                      <w:color w:val="auto"/>
                      <w:kern w:val="2"/>
                      <w:sz w:val="21"/>
                      <w:szCs w:val="24"/>
                      <w:highlight w:val="none"/>
                      <w:lang w:val="en-US" w:eastAsia="zh-CN" w:bidi="ar-SA"/>
                    </w:rPr>
                  </w:pPr>
                </w:p>
              </w:tc>
              <w:tc>
                <w:tcPr>
                  <w:tcW w:w="407" w:type="pct"/>
                  <w:vMerge w:val="continue"/>
                  <w:tcBorders>
                    <w:tl2br w:val="nil"/>
                    <w:tr2bl w:val="nil"/>
                  </w:tcBorders>
                  <w:vAlign w:val="center"/>
                </w:tcPr>
                <w:p w14:paraId="23ACC374">
                  <w:pPr>
                    <w:keepNext w:val="0"/>
                    <w:keepLines w:val="0"/>
                    <w:suppressLineNumbers w:val="0"/>
                    <w:spacing w:before="0" w:beforeAutospacing="0" w:after="0" w:afterAutospacing="0"/>
                    <w:ind w:left="0" w:right="0"/>
                    <w:jc w:val="center"/>
                    <w:rPr>
                      <w:rFonts w:hint="eastAsia" w:ascii="Times New Roman" w:hAnsi="Times New Roman" w:cs="Times New Roman"/>
                      <w:color w:val="auto"/>
                      <w:kern w:val="2"/>
                      <w:sz w:val="21"/>
                      <w:szCs w:val="24"/>
                      <w:highlight w:val="none"/>
                      <w:lang w:val="en-US" w:eastAsia="zh-CN" w:bidi="ar-SA"/>
                    </w:rPr>
                  </w:pPr>
                </w:p>
              </w:tc>
              <w:tc>
                <w:tcPr>
                  <w:tcW w:w="407" w:type="pct"/>
                  <w:vMerge w:val="continue"/>
                  <w:tcBorders>
                    <w:tl2br w:val="nil"/>
                    <w:tr2bl w:val="nil"/>
                  </w:tcBorders>
                  <w:vAlign w:val="center"/>
                </w:tcPr>
                <w:p w14:paraId="3C288C67">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4"/>
                      <w:highlight w:val="none"/>
                      <w:lang w:val="en-US" w:eastAsia="zh-CN" w:bidi="ar-SA"/>
                    </w:rPr>
                  </w:pPr>
                </w:p>
              </w:tc>
              <w:tc>
                <w:tcPr>
                  <w:tcW w:w="413" w:type="pct"/>
                  <w:vMerge w:val="continue"/>
                  <w:tcBorders>
                    <w:tl2br w:val="nil"/>
                    <w:tr2bl w:val="nil"/>
                  </w:tcBorders>
                  <w:vAlign w:val="center"/>
                </w:tcPr>
                <w:p w14:paraId="4A2CF5A5">
                  <w:pPr>
                    <w:keepNext w:val="0"/>
                    <w:keepLines w:val="0"/>
                    <w:suppressLineNumbers w:val="0"/>
                    <w:spacing w:before="0" w:beforeAutospacing="0" w:after="0" w:afterAutospacing="0"/>
                    <w:ind w:left="0" w:right="0"/>
                    <w:jc w:val="center"/>
                    <w:rPr>
                      <w:rFonts w:hint="eastAsia" w:cs="Times New Roman"/>
                      <w:color w:val="auto"/>
                      <w:kern w:val="2"/>
                      <w:sz w:val="21"/>
                      <w:szCs w:val="24"/>
                      <w:highlight w:val="none"/>
                      <w:lang w:val="en-US" w:eastAsia="zh-CN" w:bidi="ar-SA"/>
                    </w:rPr>
                  </w:pPr>
                </w:p>
              </w:tc>
              <w:tc>
                <w:tcPr>
                  <w:tcW w:w="455" w:type="pct"/>
                  <w:vMerge w:val="continue"/>
                  <w:tcBorders>
                    <w:tl2br w:val="nil"/>
                    <w:tr2bl w:val="nil"/>
                  </w:tcBorders>
                  <w:vAlign w:val="center"/>
                </w:tcPr>
                <w:p w14:paraId="6FBD949B">
                  <w:pPr>
                    <w:keepNext w:val="0"/>
                    <w:keepLines w:val="0"/>
                    <w:suppressLineNumbers w:val="0"/>
                    <w:spacing w:before="0" w:beforeAutospacing="0" w:after="0" w:afterAutospacing="0"/>
                    <w:ind w:left="0" w:right="0"/>
                    <w:jc w:val="center"/>
                    <w:rPr>
                      <w:rFonts w:hint="eastAsia" w:ascii="Times New Roman" w:hAnsi="Times New Roman" w:eastAsia="宋体" w:cs="Times New Roman"/>
                      <w:color w:val="auto"/>
                      <w:kern w:val="2"/>
                      <w:sz w:val="21"/>
                      <w:szCs w:val="24"/>
                      <w:highlight w:val="none"/>
                      <w:lang w:val="en-US" w:eastAsia="zh-CN" w:bidi="ar-SA"/>
                    </w:rPr>
                  </w:pPr>
                </w:p>
              </w:tc>
            </w:tr>
            <w:tr w14:paraId="7B05881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30" w:type="pct"/>
                  <w:tcBorders>
                    <w:tl2br w:val="nil"/>
                    <w:tr2bl w:val="nil"/>
                  </w:tcBorders>
                  <w:vAlign w:val="center"/>
                </w:tcPr>
                <w:p w14:paraId="49C42683">
                  <w:pPr>
                    <w:keepNext w:val="0"/>
                    <w:keepLines w:val="0"/>
                    <w:suppressLineNumbers w:val="0"/>
                    <w:spacing w:before="0" w:beforeAutospacing="0" w:after="0" w:afterAutospacing="0"/>
                    <w:ind w:left="0" w:right="0"/>
                    <w:jc w:val="center"/>
                    <w:rPr>
                      <w:rFonts w:hint="default" w:cs="Times New Roman"/>
                      <w:color w:val="auto"/>
                      <w:kern w:val="2"/>
                      <w:sz w:val="21"/>
                      <w:szCs w:val="24"/>
                      <w:highlight w:val="none"/>
                      <w:lang w:val="en-US" w:eastAsia="zh-CN" w:bidi="ar-SA"/>
                    </w:rPr>
                  </w:pPr>
                  <w:r>
                    <w:rPr>
                      <w:rFonts w:hint="eastAsia" w:cs="Times New Roman"/>
                      <w:color w:val="auto"/>
                      <w:kern w:val="2"/>
                      <w:sz w:val="21"/>
                      <w:szCs w:val="24"/>
                      <w:highlight w:val="none"/>
                      <w:lang w:val="en-US" w:eastAsia="zh-CN" w:bidi="ar-SA"/>
                    </w:rPr>
                    <w:t>3</w:t>
                  </w:r>
                </w:p>
              </w:tc>
              <w:tc>
                <w:tcPr>
                  <w:tcW w:w="453" w:type="pct"/>
                  <w:tcBorders>
                    <w:tl2br w:val="nil"/>
                    <w:tr2bl w:val="nil"/>
                  </w:tcBorders>
                  <w:shd w:val="clear" w:color="auto" w:fill="auto"/>
                  <w:vAlign w:val="center"/>
                </w:tcPr>
                <w:p w14:paraId="56C18688">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废包装桶</w:t>
                  </w:r>
                </w:p>
              </w:tc>
              <w:tc>
                <w:tcPr>
                  <w:tcW w:w="363" w:type="pct"/>
                  <w:tcBorders>
                    <w:tl2br w:val="nil"/>
                    <w:tr2bl w:val="nil"/>
                  </w:tcBorders>
                  <w:shd w:val="clear" w:color="auto" w:fill="auto"/>
                  <w:vAlign w:val="center"/>
                </w:tcPr>
                <w:p w14:paraId="01804AA4">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4"/>
                      <w:highlight w:val="none"/>
                      <w:lang w:val="en-US" w:eastAsia="zh-CN" w:bidi="ar-SA"/>
                    </w:rPr>
                  </w:pPr>
                  <w:r>
                    <w:rPr>
                      <w:rFonts w:hint="eastAsia" w:cs="Times New Roman"/>
                      <w:color w:val="auto"/>
                      <w:kern w:val="2"/>
                      <w:sz w:val="21"/>
                      <w:szCs w:val="24"/>
                      <w:highlight w:val="none"/>
                      <w:lang w:val="en-US" w:eastAsia="zh-CN" w:bidi="ar-SA"/>
                    </w:rPr>
                    <w:t>HW49</w:t>
                  </w:r>
                </w:p>
              </w:tc>
              <w:tc>
                <w:tcPr>
                  <w:tcW w:w="479" w:type="pct"/>
                  <w:tcBorders>
                    <w:tl2br w:val="nil"/>
                    <w:tr2bl w:val="nil"/>
                  </w:tcBorders>
                  <w:shd w:val="clear" w:color="auto" w:fill="auto"/>
                  <w:vAlign w:val="center"/>
                </w:tcPr>
                <w:p w14:paraId="3341A4E0">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sz w:val="21"/>
                      <w:highlight w:val="none"/>
                      <w:lang w:val="en-US" w:eastAsia="zh-CN"/>
                    </w:rPr>
                    <w:t>900-041-49</w:t>
                  </w:r>
                </w:p>
              </w:tc>
              <w:tc>
                <w:tcPr>
                  <w:tcW w:w="345" w:type="pct"/>
                  <w:tcBorders>
                    <w:tl2br w:val="nil"/>
                    <w:tr2bl w:val="nil"/>
                  </w:tcBorders>
                  <w:shd w:val="clear" w:color="auto" w:fill="auto"/>
                  <w:vAlign w:val="center"/>
                </w:tcPr>
                <w:p w14:paraId="34B8E7C6">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eastAsia" w:ascii="Times New Roman" w:hAnsi="Times New Roman" w:eastAsia="宋体" w:cs="Times New Roman"/>
                      <w:b w:val="0"/>
                      <w:bCs/>
                      <w:color w:val="auto"/>
                      <w:kern w:val="2"/>
                      <w:sz w:val="21"/>
                      <w:szCs w:val="24"/>
                      <w:highlight w:val="none"/>
                      <w:lang w:val="en-US" w:eastAsia="zh-CN" w:bidi="ar-SA"/>
                    </w:rPr>
                  </w:pPr>
                  <w:r>
                    <w:rPr>
                      <w:rFonts w:hint="eastAsia" w:ascii="Times New Roman" w:cs="Times New Roman"/>
                      <w:b w:val="0"/>
                      <w:bCs/>
                      <w:color w:val="auto"/>
                      <w:kern w:val="2"/>
                      <w:sz w:val="21"/>
                      <w:szCs w:val="24"/>
                      <w:highlight w:val="none"/>
                      <w:lang w:val="en-US" w:eastAsia="zh-CN" w:bidi="ar-SA"/>
                    </w:rPr>
                    <w:t>0.958</w:t>
                  </w:r>
                </w:p>
              </w:tc>
              <w:tc>
                <w:tcPr>
                  <w:tcW w:w="270" w:type="pct"/>
                  <w:tcBorders>
                    <w:tl2br w:val="nil"/>
                    <w:tr2bl w:val="nil"/>
                  </w:tcBorders>
                  <w:shd w:val="clear" w:color="auto" w:fill="auto"/>
                  <w:vAlign w:val="center"/>
                </w:tcPr>
                <w:p w14:paraId="011F0BCE">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eastAsia" w:ascii="Times New Roman" w:hAnsi="Times New Roman" w:eastAsia="宋体" w:cs="Times New Roman"/>
                      <w:color w:val="auto"/>
                      <w:spacing w:val="0"/>
                      <w:kern w:val="2"/>
                      <w:sz w:val="21"/>
                      <w:szCs w:val="24"/>
                      <w:highlight w:val="none"/>
                      <w:lang w:val="en-US" w:eastAsia="zh-CN" w:bidi="ar-SA"/>
                    </w:rPr>
                  </w:pPr>
                  <w:r>
                    <w:rPr>
                      <w:rFonts w:hint="eastAsia" w:ascii="Times New Roman" w:hAnsi="Times New Roman" w:eastAsia="宋体" w:cs="Times New Roman"/>
                      <w:color w:val="auto"/>
                      <w:spacing w:val="0"/>
                      <w:sz w:val="21"/>
                      <w:highlight w:val="none"/>
                      <w:lang w:val="en-US" w:eastAsia="zh-CN"/>
                    </w:rPr>
                    <w:t>固态</w:t>
                  </w:r>
                </w:p>
              </w:tc>
              <w:tc>
                <w:tcPr>
                  <w:tcW w:w="395" w:type="pct"/>
                  <w:tcBorders>
                    <w:tl2br w:val="nil"/>
                    <w:tr2bl w:val="nil"/>
                  </w:tcBorders>
                  <w:shd w:val="clear" w:color="auto" w:fill="auto"/>
                  <w:vAlign w:val="center"/>
                </w:tcPr>
                <w:p w14:paraId="254A897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eastAsia" w:ascii="Times New Roman" w:hAnsi="Times New Roman" w:eastAsia="宋体" w:cs="Times New Roman"/>
                      <w:color w:val="auto"/>
                      <w:spacing w:val="0"/>
                      <w:kern w:val="2"/>
                      <w:sz w:val="21"/>
                      <w:szCs w:val="24"/>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废胶</w:t>
                  </w:r>
                </w:p>
              </w:tc>
              <w:tc>
                <w:tcPr>
                  <w:tcW w:w="389" w:type="pct"/>
                  <w:tcBorders>
                    <w:tl2br w:val="nil"/>
                    <w:tr2bl w:val="nil"/>
                  </w:tcBorders>
                  <w:shd w:val="clear" w:color="auto" w:fill="auto"/>
                  <w:vAlign w:val="center"/>
                </w:tcPr>
                <w:p w14:paraId="580518C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eastAsia" w:ascii="Times New Roman" w:hAnsi="Times New Roman" w:eastAsia="宋体" w:cs="Times New Roman"/>
                      <w:color w:val="auto"/>
                      <w:spacing w:val="0"/>
                      <w:kern w:val="2"/>
                      <w:sz w:val="21"/>
                      <w:szCs w:val="24"/>
                      <w:highlight w:val="none"/>
                      <w:lang w:val="en-US" w:eastAsia="zh-CN" w:bidi="ar-SA"/>
                    </w:rPr>
                  </w:pPr>
                  <w:r>
                    <w:rPr>
                      <w:rFonts w:hint="eastAsia" w:ascii="Times New Roman" w:hAnsi="Times New Roman" w:eastAsia="宋体" w:cs="Times New Roman"/>
                      <w:color w:val="auto"/>
                      <w:spacing w:val="0"/>
                      <w:kern w:val="2"/>
                      <w:sz w:val="21"/>
                      <w:szCs w:val="24"/>
                      <w:highlight w:val="none"/>
                      <w:lang w:val="en-US" w:eastAsia="zh-CN" w:bidi="ar-SA"/>
                    </w:rPr>
                    <w:t>袋装</w:t>
                  </w:r>
                </w:p>
              </w:tc>
              <w:tc>
                <w:tcPr>
                  <w:tcW w:w="389" w:type="pct"/>
                  <w:vMerge w:val="continue"/>
                  <w:tcBorders>
                    <w:tl2br w:val="nil"/>
                    <w:tr2bl w:val="nil"/>
                  </w:tcBorders>
                  <w:vAlign w:val="center"/>
                </w:tcPr>
                <w:p w14:paraId="717E594F">
                  <w:pPr>
                    <w:keepNext w:val="0"/>
                    <w:keepLines w:val="0"/>
                    <w:suppressLineNumbers w:val="0"/>
                    <w:spacing w:before="0" w:beforeAutospacing="0" w:after="0" w:afterAutospacing="0"/>
                    <w:ind w:left="0" w:right="0"/>
                    <w:jc w:val="center"/>
                    <w:rPr>
                      <w:rFonts w:hint="eastAsia" w:cs="Times New Roman"/>
                      <w:color w:val="auto"/>
                      <w:kern w:val="2"/>
                      <w:sz w:val="21"/>
                      <w:szCs w:val="24"/>
                      <w:highlight w:val="none"/>
                      <w:lang w:val="en-US" w:eastAsia="zh-CN" w:bidi="ar-SA"/>
                    </w:rPr>
                  </w:pPr>
                </w:p>
              </w:tc>
              <w:tc>
                <w:tcPr>
                  <w:tcW w:w="407" w:type="pct"/>
                  <w:vMerge w:val="continue"/>
                  <w:tcBorders>
                    <w:tl2br w:val="nil"/>
                    <w:tr2bl w:val="nil"/>
                  </w:tcBorders>
                  <w:vAlign w:val="center"/>
                </w:tcPr>
                <w:p w14:paraId="3BE73450">
                  <w:pPr>
                    <w:keepNext w:val="0"/>
                    <w:keepLines w:val="0"/>
                    <w:suppressLineNumbers w:val="0"/>
                    <w:spacing w:before="0" w:beforeAutospacing="0" w:after="0" w:afterAutospacing="0"/>
                    <w:ind w:left="0" w:right="0"/>
                    <w:jc w:val="center"/>
                    <w:rPr>
                      <w:rFonts w:hint="eastAsia" w:ascii="Times New Roman" w:hAnsi="Times New Roman" w:cs="Times New Roman"/>
                      <w:color w:val="auto"/>
                      <w:kern w:val="2"/>
                      <w:sz w:val="21"/>
                      <w:szCs w:val="24"/>
                      <w:highlight w:val="none"/>
                      <w:lang w:val="en-US" w:eastAsia="zh-CN" w:bidi="ar-SA"/>
                    </w:rPr>
                  </w:pPr>
                </w:p>
              </w:tc>
              <w:tc>
                <w:tcPr>
                  <w:tcW w:w="407" w:type="pct"/>
                  <w:vMerge w:val="continue"/>
                  <w:tcBorders>
                    <w:tl2br w:val="nil"/>
                    <w:tr2bl w:val="nil"/>
                  </w:tcBorders>
                  <w:vAlign w:val="center"/>
                </w:tcPr>
                <w:p w14:paraId="522A1C35">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4"/>
                      <w:highlight w:val="none"/>
                      <w:lang w:val="en-US" w:eastAsia="zh-CN" w:bidi="ar-SA"/>
                    </w:rPr>
                  </w:pPr>
                </w:p>
              </w:tc>
              <w:tc>
                <w:tcPr>
                  <w:tcW w:w="413" w:type="pct"/>
                  <w:vMerge w:val="continue"/>
                  <w:tcBorders>
                    <w:tl2br w:val="nil"/>
                    <w:tr2bl w:val="nil"/>
                  </w:tcBorders>
                  <w:vAlign w:val="center"/>
                </w:tcPr>
                <w:p w14:paraId="1E9E2084">
                  <w:pPr>
                    <w:keepNext w:val="0"/>
                    <w:keepLines w:val="0"/>
                    <w:suppressLineNumbers w:val="0"/>
                    <w:spacing w:before="0" w:beforeAutospacing="0" w:after="0" w:afterAutospacing="0"/>
                    <w:ind w:left="0" w:right="0"/>
                    <w:jc w:val="center"/>
                    <w:rPr>
                      <w:rFonts w:hint="eastAsia" w:cs="Times New Roman"/>
                      <w:color w:val="auto"/>
                      <w:kern w:val="2"/>
                      <w:sz w:val="21"/>
                      <w:szCs w:val="24"/>
                      <w:highlight w:val="none"/>
                      <w:lang w:val="en-US" w:eastAsia="zh-CN" w:bidi="ar-SA"/>
                    </w:rPr>
                  </w:pPr>
                </w:p>
              </w:tc>
              <w:tc>
                <w:tcPr>
                  <w:tcW w:w="455" w:type="pct"/>
                  <w:vMerge w:val="continue"/>
                  <w:tcBorders>
                    <w:tl2br w:val="nil"/>
                    <w:tr2bl w:val="nil"/>
                  </w:tcBorders>
                  <w:vAlign w:val="center"/>
                </w:tcPr>
                <w:p w14:paraId="32D88836">
                  <w:pPr>
                    <w:keepNext w:val="0"/>
                    <w:keepLines w:val="0"/>
                    <w:suppressLineNumbers w:val="0"/>
                    <w:spacing w:before="0" w:beforeAutospacing="0" w:after="0" w:afterAutospacing="0"/>
                    <w:ind w:left="0" w:right="0"/>
                    <w:jc w:val="center"/>
                    <w:rPr>
                      <w:rFonts w:hint="eastAsia" w:ascii="Times New Roman" w:hAnsi="Times New Roman" w:eastAsia="宋体" w:cs="Times New Roman"/>
                      <w:color w:val="auto"/>
                      <w:kern w:val="2"/>
                      <w:sz w:val="21"/>
                      <w:szCs w:val="24"/>
                      <w:highlight w:val="none"/>
                      <w:lang w:val="en-US" w:eastAsia="zh-CN" w:bidi="ar-SA"/>
                    </w:rPr>
                  </w:pPr>
                </w:p>
              </w:tc>
            </w:tr>
            <w:tr w14:paraId="39D8B61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30" w:type="pct"/>
                  <w:tcBorders>
                    <w:tl2br w:val="nil"/>
                    <w:tr2bl w:val="nil"/>
                  </w:tcBorders>
                  <w:vAlign w:val="center"/>
                </w:tcPr>
                <w:p w14:paraId="1D51F802">
                  <w:pPr>
                    <w:keepNext w:val="0"/>
                    <w:keepLines w:val="0"/>
                    <w:suppressLineNumbers w:val="0"/>
                    <w:spacing w:before="0" w:beforeAutospacing="0" w:after="0" w:afterAutospacing="0"/>
                    <w:ind w:left="0" w:right="0"/>
                    <w:jc w:val="center"/>
                    <w:rPr>
                      <w:rFonts w:hint="default" w:cs="Times New Roman"/>
                      <w:color w:val="auto"/>
                      <w:kern w:val="2"/>
                      <w:sz w:val="21"/>
                      <w:szCs w:val="24"/>
                      <w:highlight w:val="none"/>
                      <w:lang w:val="en-US" w:eastAsia="zh-CN" w:bidi="ar-SA"/>
                    </w:rPr>
                  </w:pPr>
                  <w:r>
                    <w:rPr>
                      <w:rFonts w:hint="eastAsia" w:cs="Times New Roman"/>
                      <w:color w:val="auto"/>
                      <w:kern w:val="2"/>
                      <w:sz w:val="21"/>
                      <w:szCs w:val="24"/>
                      <w:highlight w:val="none"/>
                      <w:lang w:val="en-US" w:eastAsia="zh-CN" w:bidi="ar-SA"/>
                    </w:rPr>
                    <w:t>4</w:t>
                  </w:r>
                </w:p>
              </w:tc>
              <w:tc>
                <w:tcPr>
                  <w:tcW w:w="453" w:type="pct"/>
                  <w:tcBorders>
                    <w:tl2br w:val="nil"/>
                    <w:tr2bl w:val="nil"/>
                  </w:tcBorders>
                  <w:shd w:val="clear" w:color="auto" w:fill="auto"/>
                  <w:vAlign w:val="center"/>
                </w:tcPr>
                <w:p w14:paraId="54AF8377">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eastAsia="宋体" w:cs="Times New Roman"/>
                      <w:color w:val="auto"/>
                      <w:kern w:val="2"/>
                      <w:sz w:val="21"/>
                      <w:szCs w:val="21"/>
                      <w:highlight w:val="none"/>
                      <w:lang w:val="en-US" w:eastAsia="zh-CN" w:bidi="ar-SA"/>
                    </w:rPr>
                    <w:t>废油墨桶</w:t>
                  </w:r>
                </w:p>
              </w:tc>
              <w:tc>
                <w:tcPr>
                  <w:tcW w:w="363" w:type="pct"/>
                  <w:tcBorders>
                    <w:tl2br w:val="nil"/>
                    <w:tr2bl w:val="nil"/>
                  </w:tcBorders>
                  <w:shd w:val="clear" w:color="auto" w:fill="auto"/>
                  <w:vAlign w:val="center"/>
                </w:tcPr>
                <w:p w14:paraId="2818D415">
                  <w:pPr>
                    <w:keepNext w:val="0"/>
                    <w:keepLines w:val="0"/>
                    <w:suppressLineNumbers w:val="0"/>
                    <w:spacing w:before="0" w:beforeAutospacing="0" w:after="0" w:afterAutospacing="0"/>
                    <w:ind w:left="0" w:right="0"/>
                    <w:jc w:val="center"/>
                    <w:rPr>
                      <w:rFonts w:hint="eastAsia" w:ascii="Times New Roman" w:hAnsi="Times New Roman" w:eastAsia="宋体" w:cs="Times New Roman"/>
                      <w:color w:val="auto"/>
                      <w:kern w:val="2"/>
                      <w:sz w:val="21"/>
                      <w:szCs w:val="24"/>
                      <w:highlight w:val="none"/>
                      <w:lang w:val="en-US" w:eastAsia="zh-CN" w:bidi="ar-SA"/>
                    </w:rPr>
                  </w:pPr>
                  <w:r>
                    <w:rPr>
                      <w:rFonts w:hint="eastAsia" w:cs="Times New Roman"/>
                      <w:color w:val="auto"/>
                      <w:kern w:val="2"/>
                      <w:sz w:val="21"/>
                      <w:szCs w:val="24"/>
                      <w:highlight w:val="none"/>
                      <w:lang w:val="en-US" w:eastAsia="zh-CN" w:bidi="ar-SA"/>
                    </w:rPr>
                    <w:t>HW49</w:t>
                  </w:r>
                </w:p>
              </w:tc>
              <w:tc>
                <w:tcPr>
                  <w:tcW w:w="479" w:type="pct"/>
                  <w:tcBorders>
                    <w:tl2br w:val="nil"/>
                    <w:tr2bl w:val="nil"/>
                  </w:tcBorders>
                  <w:shd w:val="clear" w:color="auto" w:fill="auto"/>
                  <w:vAlign w:val="center"/>
                </w:tcPr>
                <w:p w14:paraId="3CDFC5C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900-041-49</w:t>
                  </w:r>
                </w:p>
              </w:tc>
              <w:tc>
                <w:tcPr>
                  <w:tcW w:w="345" w:type="pct"/>
                  <w:tcBorders>
                    <w:tl2br w:val="nil"/>
                    <w:tr2bl w:val="nil"/>
                  </w:tcBorders>
                  <w:shd w:val="clear" w:color="auto" w:fill="auto"/>
                  <w:vAlign w:val="center"/>
                </w:tcPr>
                <w:p w14:paraId="53FE3403">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eastAsia" w:ascii="Times New Roman" w:hAnsi="Times New Roman" w:eastAsia="宋体" w:cs="Times New Roman"/>
                      <w:b w:val="0"/>
                      <w:bCs/>
                      <w:color w:val="auto"/>
                      <w:kern w:val="2"/>
                      <w:sz w:val="21"/>
                      <w:szCs w:val="24"/>
                      <w:highlight w:val="none"/>
                      <w:lang w:val="en-US" w:eastAsia="zh-CN" w:bidi="ar-SA"/>
                    </w:rPr>
                  </w:pPr>
                  <w:r>
                    <w:rPr>
                      <w:rFonts w:hint="eastAsia" w:ascii="Times New Roman" w:hAnsi="Times New Roman" w:eastAsia="宋体" w:cs="Times New Roman"/>
                      <w:b w:val="0"/>
                      <w:bCs/>
                      <w:color w:val="auto"/>
                      <w:kern w:val="2"/>
                      <w:sz w:val="21"/>
                      <w:szCs w:val="24"/>
                      <w:highlight w:val="none"/>
                      <w:lang w:val="en-US" w:eastAsia="zh-CN" w:bidi="ar-SA"/>
                    </w:rPr>
                    <w:t>0.005</w:t>
                  </w:r>
                </w:p>
              </w:tc>
              <w:tc>
                <w:tcPr>
                  <w:tcW w:w="270" w:type="pct"/>
                  <w:tcBorders>
                    <w:tl2br w:val="nil"/>
                    <w:tr2bl w:val="nil"/>
                  </w:tcBorders>
                  <w:shd w:val="clear" w:color="auto" w:fill="auto"/>
                  <w:vAlign w:val="center"/>
                </w:tcPr>
                <w:p w14:paraId="59C7CB12">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eastAsia" w:ascii="Times New Roman" w:hAnsi="Times New Roman" w:eastAsia="宋体" w:cs="Times New Roman"/>
                      <w:color w:val="auto"/>
                      <w:spacing w:val="0"/>
                      <w:kern w:val="2"/>
                      <w:sz w:val="21"/>
                      <w:szCs w:val="24"/>
                      <w:highlight w:val="none"/>
                      <w:lang w:val="en-US" w:eastAsia="zh-CN" w:bidi="ar-SA"/>
                    </w:rPr>
                  </w:pPr>
                  <w:r>
                    <w:rPr>
                      <w:rFonts w:hint="eastAsia" w:ascii="Times New Roman" w:hAnsi="Times New Roman" w:eastAsia="宋体" w:cs="Times New Roman"/>
                      <w:color w:val="auto"/>
                      <w:spacing w:val="0"/>
                      <w:sz w:val="21"/>
                      <w:highlight w:val="none"/>
                      <w:lang w:val="en-US" w:eastAsia="zh-CN"/>
                    </w:rPr>
                    <w:t>固态</w:t>
                  </w:r>
                </w:p>
              </w:tc>
              <w:tc>
                <w:tcPr>
                  <w:tcW w:w="395" w:type="pct"/>
                  <w:tcBorders>
                    <w:tl2br w:val="nil"/>
                    <w:tr2bl w:val="nil"/>
                  </w:tcBorders>
                  <w:shd w:val="clear" w:color="auto" w:fill="auto"/>
                  <w:vAlign w:val="center"/>
                </w:tcPr>
                <w:p w14:paraId="19973E55">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eastAsia" w:ascii="Times New Roman" w:hAnsi="Times New Roman" w:eastAsia="宋体" w:cs="Times New Roman"/>
                      <w:color w:val="auto"/>
                      <w:spacing w:val="0"/>
                      <w:kern w:val="2"/>
                      <w:sz w:val="21"/>
                      <w:szCs w:val="24"/>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废油墨</w:t>
                  </w:r>
                </w:p>
              </w:tc>
              <w:tc>
                <w:tcPr>
                  <w:tcW w:w="389" w:type="pct"/>
                  <w:tcBorders>
                    <w:tl2br w:val="nil"/>
                    <w:tr2bl w:val="nil"/>
                  </w:tcBorders>
                  <w:shd w:val="clear" w:color="auto" w:fill="auto"/>
                  <w:vAlign w:val="center"/>
                </w:tcPr>
                <w:p w14:paraId="55037E20">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eastAsia" w:ascii="Times New Roman" w:hAnsi="Times New Roman" w:eastAsia="宋体" w:cs="Times New Roman"/>
                      <w:color w:val="auto"/>
                      <w:spacing w:val="0"/>
                      <w:kern w:val="2"/>
                      <w:sz w:val="21"/>
                      <w:szCs w:val="24"/>
                      <w:highlight w:val="none"/>
                      <w:lang w:val="en-US" w:eastAsia="zh-CN" w:bidi="ar-SA"/>
                    </w:rPr>
                  </w:pPr>
                  <w:r>
                    <w:rPr>
                      <w:rFonts w:hint="eastAsia" w:ascii="Times New Roman" w:hAnsi="Times New Roman" w:eastAsia="宋体" w:cs="Times New Roman"/>
                      <w:color w:val="auto"/>
                      <w:spacing w:val="0"/>
                      <w:kern w:val="2"/>
                      <w:sz w:val="21"/>
                      <w:szCs w:val="24"/>
                      <w:highlight w:val="none"/>
                      <w:lang w:val="en-US" w:eastAsia="zh-CN" w:bidi="ar-SA"/>
                    </w:rPr>
                    <w:t>袋装</w:t>
                  </w:r>
                </w:p>
              </w:tc>
              <w:tc>
                <w:tcPr>
                  <w:tcW w:w="389" w:type="pct"/>
                  <w:vMerge w:val="continue"/>
                  <w:tcBorders>
                    <w:tl2br w:val="nil"/>
                    <w:tr2bl w:val="nil"/>
                  </w:tcBorders>
                  <w:vAlign w:val="center"/>
                </w:tcPr>
                <w:p w14:paraId="4238CEB7">
                  <w:pPr>
                    <w:keepNext w:val="0"/>
                    <w:keepLines w:val="0"/>
                    <w:suppressLineNumbers w:val="0"/>
                    <w:spacing w:before="0" w:beforeAutospacing="0" w:after="0" w:afterAutospacing="0"/>
                    <w:ind w:left="0" w:right="0"/>
                    <w:jc w:val="center"/>
                    <w:rPr>
                      <w:rFonts w:hint="eastAsia" w:cs="Times New Roman"/>
                      <w:color w:val="auto"/>
                      <w:kern w:val="2"/>
                      <w:sz w:val="21"/>
                      <w:szCs w:val="24"/>
                      <w:highlight w:val="none"/>
                      <w:lang w:val="en-US" w:eastAsia="zh-CN" w:bidi="ar-SA"/>
                    </w:rPr>
                  </w:pPr>
                </w:p>
              </w:tc>
              <w:tc>
                <w:tcPr>
                  <w:tcW w:w="407" w:type="pct"/>
                  <w:vMerge w:val="continue"/>
                  <w:tcBorders>
                    <w:tl2br w:val="nil"/>
                    <w:tr2bl w:val="nil"/>
                  </w:tcBorders>
                  <w:vAlign w:val="center"/>
                </w:tcPr>
                <w:p w14:paraId="497E3D7F">
                  <w:pPr>
                    <w:keepNext w:val="0"/>
                    <w:keepLines w:val="0"/>
                    <w:suppressLineNumbers w:val="0"/>
                    <w:spacing w:before="0" w:beforeAutospacing="0" w:after="0" w:afterAutospacing="0"/>
                    <w:ind w:left="0" w:right="0"/>
                    <w:jc w:val="center"/>
                    <w:rPr>
                      <w:rFonts w:hint="eastAsia" w:ascii="Times New Roman" w:hAnsi="Times New Roman" w:cs="Times New Roman"/>
                      <w:color w:val="auto"/>
                      <w:kern w:val="2"/>
                      <w:sz w:val="21"/>
                      <w:szCs w:val="24"/>
                      <w:highlight w:val="none"/>
                      <w:lang w:val="en-US" w:eastAsia="zh-CN" w:bidi="ar-SA"/>
                    </w:rPr>
                  </w:pPr>
                </w:p>
              </w:tc>
              <w:tc>
                <w:tcPr>
                  <w:tcW w:w="407" w:type="pct"/>
                  <w:vMerge w:val="continue"/>
                  <w:tcBorders>
                    <w:tl2br w:val="nil"/>
                    <w:tr2bl w:val="nil"/>
                  </w:tcBorders>
                  <w:vAlign w:val="center"/>
                </w:tcPr>
                <w:p w14:paraId="5F3A80DC">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4"/>
                      <w:highlight w:val="none"/>
                      <w:lang w:val="en-US" w:eastAsia="zh-CN" w:bidi="ar-SA"/>
                    </w:rPr>
                  </w:pPr>
                </w:p>
              </w:tc>
              <w:tc>
                <w:tcPr>
                  <w:tcW w:w="413" w:type="pct"/>
                  <w:vMerge w:val="continue"/>
                  <w:tcBorders>
                    <w:tl2br w:val="nil"/>
                    <w:tr2bl w:val="nil"/>
                  </w:tcBorders>
                  <w:vAlign w:val="center"/>
                </w:tcPr>
                <w:p w14:paraId="584F9774">
                  <w:pPr>
                    <w:keepNext w:val="0"/>
                    <w:keepLines w:val="0"/>
                    <w:suppressLineNumbers w:val="0"/>
                    <w:spacing w:before="0" w:beforeAutospacing="0" w:after="0" w:afterAutospacing="0"/>
                    <w:ind w:left="0" w:right="0"/>
                    <w:jc w:val="center"/>
                    <w:rPr>
                      <w:rFonts w:hint="eastAsia" w:cs="Times New Roman"/>
                      <w:color w:val="auto"/>
                      <w:kern w:val="2"/>
                      <w:sz w:val="21"/>
                      <w:szCs w:val="24"/>
                      <w:highlight w:val="none"/>
                      <w:lang w:val="en-US" w:eastAsia="zh-CN" w:bidi="ar-SA"/>
                    </w:rPr>
                  </w:pPr>
                </w:p>
              </w:tc>
              <w:tc>
                <w:tcPr>
                  <w:tcW w:w="455" w:type="pct"/>
                  <w:vMerge w:val="continue"/>
                  <w:tcBorders>
                    <w:tl2br w:val="nil"/>
                    <w:tr2bl w:val="nil"/>
                  </w:tcBorders>
                  <w:vAlign w:val="center"/>
                </w:tcPr>
                <w:p w14:paraId="578D086B">
                  <w:pPr>
                    <w:keepNext w:val="0"/>
                    <w:keepLines w:val="0"/>
                    <w:suppressLineNumbers w:val="0"/>
                    <w:spacing w:before="0" w:beforeAutospacing="0" w:after="0" w:afterAutospacing="0"/>
                    <w:ind w:left="0" w:right="0"/>
                    <w:jc w:val="center"/>
                    <w:rPr>
                      <w:rFonts w:hint="eastAsia" w:ascii="Times New Roman" w:hAnsi="Times New Roman" w:eastAsia="宋体" w:cs="Times New Roman"/>
                      <w:color w:val="auto"/>
                      <w:kern w:val="2"/>
                      <w:sz w:val="21"/>
                      <w:szCs w:val="24"/>
                      <w:highlight w:val="none"/>
                      <w:lang w:val="en-US" w:eastAsia="zh-CN" w:bidi="ar-SA"/>
                    </w:rPr>
                  </w:pPr>
                </w:p>
              </w:tc>
            </w:tr>
            <w:tr w14:paraId="7C566A5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30" w:type="pct"/>
                  <w:tcBorders>
                    <w:tl2br w:val="nil"/>
                    <w:tr2bl w:val="nil"/>
                  </w:tcBorders>
                  <w:vAlign w:val="center"/>
                </w:tcPr>
                <w:p w14:paraId="79565A80">
                  <w:pPr>
                    <w:keepNext w:val="0"/>
                    <w:keepLines w:val="0"/>
                    <w:suppressLineNumbers w:val="0"/>
                    <w:spacing w:before="0" w:beforeAutospacing="0" w:after="0" w:afterAutospacing="0"/>
                    <w:ind w:left="0" w:right="0"/>
                    <w:jc w:val="center"/>
                    <w:rPr>
                      <w:rFonts w:hint="default" w:cs="Times New Roman"/>
                      <w:color w:val="auto"/>
                      <w:kern w:val="2"/>
                      <w:sz w:val="21"/>
                      <w:szCs w:val="24"/>
                      <w:highlight w:val="none"/>
                      <w:lang w:val="en-US" w:eastAsia="zh-CN" w:bidi="ar-SA"/>
                    </w:rPr>
                  </w:pPr>
                  <w:r>
                    <w:rPr>
                      <w:rFonts w:hint="eastAsia" w:cs="Times New Roman"/>
                      <w:color w:val="auto"/>
                      <w:kern w:val="2"/>
                      <w:sz w:val="21"/>
                      <w:szCs w:val="24"/>
                      <w:highlight w:val="none"/>
                      <w:lang w:val="en-US" w:eastAsia="zh-CN" w:bidi="ar-SA"/>
                    </w:rPr>
                    <w:t>5</w:t>
                  </w:r>
                </w:p>
              </w:tc>
              <w:tc>
                <w:tcPr>
                  <w:tcW w:w="453" w:type="pct"/>
                  <w:tcBorders>
                    <w:tl2br w:val="nil"/>
                    <w:tr2bl w:val="nil"/>
                  </w:tcBorders>
                  <w:shd w:val="clear" w:color="auto" w:fill="auto"/>
                  <w:vAlign w:val="center"/>
                </w:tcPr>
                <w:p w14:paraId="6CDDF716">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eastAsia="宋体" w:cs="Times New Roman"/>
                      <w:color w:val="auto"/>
                      <w:kern w:val="2"/>
                      <w:sz w:val="21"/>
                      <w:szCs w:val="21"/>
                      <w:highlight w:val="none"/>
                      <w:lang w:val="en-US" w:eastAsia="zh-CN" w:bidi="ar-SA"/>
                    </w:rPr>
                    <w:t>废活性炭</w:t>
                  </w:r>
                </w:p>
              </w:tc>
              <w:tc>
                <w:tcPr>
                  <w:tcW w:w="363" w:type="pct"/>
                  <w:tcBorders>
                    <w:tl2br w:val="nil"/>
                    <w:tr2bl w:val="nil"/>
                  </w:tcBorders>
                  <w:vAlign w:val="center"/>
                </w:tcPr>
                <w:p w14:paraId="486ED384">
                  <w:pPr>
                    <w:keepNext w:val="0"/>
                    <w:keepLines w:val="0"/>
                    <w:suppressLineNumbers w:val="0"/>
                    <w:spacing w:before="0" w:beforeAutospacing="0" w:after="0" w:afterAutospacing="0"/>
                    <w:ind w:left="0" w:right="0"/>
                    <w:jc w:val="center"/>
                    <w:rPr>
                      <w:rFonts w:hint="eastAsia" w:ascii="Times New Roman" w:hAnsi="Times New Roman" w:eastAsia="宋体" w:cs="Times New Roman"/>
                      <w:color w:val="auto"/>
                      <w:kern w:val="2"/>
                      <w:sz w:val="21"/>
                      <w:szCs w:val="24"/>
                      <w:highlight w:val="none"/>
                      <w:lang w:val="en-US" w:eastAsia="zh-CN" w:bidi="ar-SA"/>
                    </w:rPr>
                  </w:pPr>
                  <w:r>
                    <w:rPr>
                      <w:rFonts w:hint="eastAsia" w:cs="Times New Roman"/>
                      <w:color w:val="auto"/>
                      <w:kern w:val="2"/>
                      <w:sz w:val="21"/>
                      <w:szCs w:val="24"/>
                      <w:highlight w:val="none"/>
                      <w:lang w:val="en-US" w:eastAsia="zh-CN" w:bidi="ar-SA"/>
                    </w:rPr>
                    <w:t>HW49</w:t>
                  </w:r>
                </w:p>
              </w:tc>
              <w:tc>
                <w:tcPr>
                  <w:tcW w:w="479" w:type="pct"/>
                  <w:tcBorders>
                    <w:tl2br w:val="nil"/>
                    <w:tr2bl w:val="nil"/>
                  </w:tcBorders>
                  <w:shd w:val="clear" w:color="auto" w:fill="auto"/>
                  <w:vAlign w:val="center"/>
                </w:tcPr>
                <w:p w14:paraId="0FBE930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900-039-49</w:t>
                  </w:r>
                </w:p>
              </w:tc>
              <w:tc>
                <w:tcPr>
                  <w:tcW w:w="345" w:type="pct"/>
                  <w:tcBorders>
                    <w:tl2br w:val="nil"/>
                    <w:tr2bl w:val="nil"/>
                  </w:tcBorders>
                  <w:shd w:val="clear" w:color="auto" w:fill="auto"/>
                  <w:vAlign w:val="center"/>
                </w:tcPr>
                <w:p w14:paraId="285EF07A">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kern w:val="2"/>
                      <w:sz w:val="21"/>
                      <w:szCs w:val="24"/>
                      <w:highlight w:val="none"/>
                      <w:lang w:val="en-US" w:eastAsia="zh-CN" w:bidi="ar-SA"/>
                    </w:rPr>
                  </w:pPr>
                  <w:r>
                    <w:rPr>
                      <w:rFonts w:hint="eastAsia" w:ascii="Times New Roman" w:cs="Times New Roman"/>
                      <w:b w:val="0"/>
                      <w:bCs/>
                      <w:color w:val="auto"/>
                      <w:kern w:val="2"/>
                      <w:sz w:val="21"/>
                      <w:szCs w:val="24"/>
                      <w:highlight w:val="none"/>
                      <w:lang w:val="en-US" w:eastAsia="zh-CN" w:bidi="ar-SA"/>
                    </w:rPr>
                    <w:t>47.7</w:t>
                  </w:r>
                </w:p>
              </w:tc>
              <w:tc>
                <w:tcPr>
                  <w:tcW w:w="270" w:type="pct"/>
                  <w:tcBorders>
                    <w:tl2br w:val="nil"/>
                    <w:tr2bl w:val="nil"/>
                  </w:tcBorders>
                  <w:shd w:val="clear" w:color="auto" w:fill="auto"/>
                  <w:vAlign w:val="center"/>
                </w:tcPr>
                <w:p w14:paraId="166B6006">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default" w:ascii="Times New Roman" w:hAnsi="Times New Roman" w:eastAsia="宋体" w:cs="Times New Roman"/>
                      <w:color w:val="auto"/>
                      <w:spacing w:val="0"/>
                      <w:kern w:val="2"/>
                      <w:sz w:val="21"/>
                      <w:szCs w:val="24"/>
                      <w:highlight w:val="none"/>
                      <w:lang w:val="en-US" w:eastAsia="zh-CN" w:bidi="ar-SA"/>
                    </w:rPr>
                  </w:pPr>
                  <w:r>
                    <w:rPr>
                      <w:rFonts w:hint="eastAsia" w:ascii="Times New Roman" w:hAnsi="Times New Roman" w:eastAsia="宋体" w:cs="Times New Roman"/>
                      <w:color w:val="auto"/>
                      <w:spacing w:val="0"/>
                      <w:sz w:val="21"/>
                      <w:highlight w:val="none"/>
                      <w:lang w:val="en-US" w:eastAsia="zh-CN"/>
                    </w:rPr>
                    <w:t>固态</w:t>
                  </w:r>
                </w:p>
              </w:tc>
              <w:tc>
                <w:tcPr>
                  <w:tcW w:w="395" w:type="pct"/>
                  <w:tcBorders>
                    <w:tl2br w:val="nil"/>
                    <w:tr2bl w:val="nil"/>
                  </w:tcBorders>
                  <w:shd w:val="clear" w:color="auto" w:fill="auto"/>
                  <w:vAlign w:val="center"/>
                </w:tcPr>
                <w:p w14:paraId="61B5991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VOCs</w:t>
                  </w:r>
                </w:p>
              </w:tc>
              <w:tc>
                <w:tcPr>
                  <w:tcW w:w="389" w:type="pct"/>
                  <w:tcBorders>
                    <w:tl2br w:val="nil"/>
                    <w:tr2bl w:val="nil"/>
                  </w:tcBorders>
                  <w:shd w:val="clear" w:color="auto" w:fill="auto"/>
                  <w:vAlign w:val="center"/>
                </w:tcPr>
                <w:p w14:paraId="476290D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pacing w:val="0"/>
                      <w:kern w:val="2"/>
                      <w:sz w:val="21"/>
                      <w:szCs w:val="24"/>
                      <w:highlight w:val="none"/>
                      <w:lang w:val="en-US" w:eastAsia="zh-CN" w:bidi="ar-SA"/>
                    </w:rPr>
                    <w:t>袋装</w:t>
                  </w:r>
                </w:p>
              </w:tc>
              <w:tc>
                <w:tcPr>
                  <w:tcW w:w="389" w:type="pct"/>
                  <w:vMerge w:val="continue"/>
                  <w:tcBorders>
                    <w:tl2br w:val="nil"/>
                    <w:tr2bl w:val="nil"/>
                  </w:tcBorders>
                  <w:vAlign w:val="center"/>
                </w:tcPr>
                <w:p w14:paraId="6D4CBDAF">
                  <w:pPr>
                    <w:keepNext w:val="0"/>
                    <w:keepLines w:val="0"/>
                    <w:suppressLineNumbers w:val="0"/>
                    <w:spacing w:before="0" w:beforeAutospacing="0" w:after="0" w:afterAutospacing="0"/>
                    <w:ind w:left="0" w:right="0"/>
                    <w:jc w:val="center"/>
                    <w:rPr>
                      <w:rFonts w:hint="eastAsia" w:cs="Times New Roman"/>
                      <w:color w:val="auto"/>
                      <w:kern w:val="2"/>
                      <w:sz w:val="21"/>
                      <w:szCs w:val="24"/>
                      <w:highlight w:val="none"/>
                      <w:lang w:val="en-US" w:eastAsia="zh-CN" w:bidi="ar-SA"/>
                    </w:rPr>
                  </w:pPr>
                </w:p>
              </w:tc>
              <w:tc>
                <w:tcPr>
                  <w:tcW w:w="407" w:type="pct"/>
                  <w:vMerge w:val="continue"/>
                  <w:tcBorders>
                    <w:tl2br w:val="nil"/>
                    <w:tr2bl w:val="nil"/>
                  </w:tcBorders>
                  <w:vAlign w:val="center"/>
                </w:tcPr>
                <w:p w14:paraId="06170658">
                  <w:pPr>
                    <w:keepNext w:val="0"/>
                    <w:keepLines w:val="0"/>
                    <w:suppressLineNumbers w:val="0"/>
                    <w:spacing w:before="0" w:beforeAutospacing="0" w:after="0" w:afterAutospacing="0"/>
                    <w:ind w:left="0" w:right="0"/>
                    <w:jc w:val="center"/>
                    <w:rPr>
                      <w:rFonts w:hint="eastAsia" w:ascii="Times New Roman" w:hAnsi="Times New Roman" w:cs="Times New Roman"/>
                      <w:color w:val="auto"/>
                      <w:kern w:val="2"/>
                      <w:sz w:val="21"/>
                      <w:szCs w:val="24"/>
                      <w:highlight w:val="none"/>
                      <w:lang w:val="en-US" w:eastAsia="zh-CN" w:bidi="ar-SA"/>
                    </w:rPr>
                  </w:pPr>
                </w:p>
              </w:tc>
              <w:tc>
                <w:tcPr>
                  <w:tcW w:w="407" w:type="pct"/>
                  <w:vMerge w:val="continue"/>
                  <w:tcBorders>
                    <w:tl2br w:val="nil"/>
                    <w:tr2bl w:val="nil"/>
                  </w:tcBorders>
                  <w:vAlign w:val="center"/>
                </w:tcPr>
                <w:p w14:paraId="0D8D13B5">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4"/>
                      <w:highlight w:val="none"/>
                      <w:lang w:val="en-US" w:eastAsia="zh-CN" w:bidi="ar-SA"/>
                    </w:rPr>
                  </w:pPr>
                </w:p>
              </w:tc>
              <w:tc>
                <w:tcPr>
                  <w:tcW w:w="413" w:type="pct"/>
                  <w:vMerge w:val="continue"/>
                  <w:tcBorders>
                    <w:tl2br w:val="nil"/>
                    <w:tr2bl w:val="nil"/>
                  </w:tcBorders>
                  <w:vAlign w:val="center"/>
                </w:tcPr>
                <w:p w14:paraId="07768197">
                  <w:pPr>
                    <w:keepNext w:val="0"/>
                    <w:keepLines w:val="0"/>
                    <w:suppressLineNumbers w:val="0"/>
                    <w:spacing w:before="0" w:beforeAutospacing="0" w:after="0" w:afterAutospacing="0"/>
                    <w:ind w:left="0" w:right="0"/>
                    <w:jc w:val="center"/>
                    <w:rPr>
                      <w:rFonts w:hint="eastAsia" w:cs="Times New Roman"/>
                      <w:color w:val="auto"/>
                      <w:kern w:val="2"/>
                      <w:sz w:val="21"/>
                      <w:szCs w:val="24"/>
                      <w:highlight w:val="none"/>
                      <w:lang w:val="en-US" w:eastAsia="zh-CN" w:bidi="ar-SA"/>
                    </w:rPr>
                  </w:pPr>
                </w:p>
              </w:tc>
              <w:tc>
                <w:tcPr>
                  <w:tcW w:w="455" w:type="pct"/>
                  <w:vMerge w:val="continue"/>
                  <w:tcBorders>
                    <w:tl2br w:val="nil"/>
                    <w:tr2bl w:val="nil"/>
                  </w:tcBorders>
                  <w:vAlign w:val="center"/>
                </w:tcPr>
                <w:p w14:paraId="71D00341">
                  <w:pPr>
                    <w:keepNext w:val="0"/>
                    <w:keepLines w:val="0"/>
                    <w:suppressLineNumbers w:val="0"/>
                    <w:spacing w:before="0" w:beforeAutospacing="0" w:after="0" w:afterAutospacing="0"/>
                    <w:ind w:left="0" w:right="0"/>
                    <w:jc w:val="center"/>
                    <w:rPr>
                      <w:rFonts w:hint="eastAsia" w:ascii="Times New Roman" w:hAnsi="Times New Roman" w:eastAsia="宋体" w:cs="Times New Roman"/>
                      <w:color w:val="auto"/>
                      <w:kern w:val="2"/>
                      <w:sz w:val="21"/>
                      <w:szCs w:val="24"/>
                      <w:highlight w:val="none"/>
                      <w:lang w:val="en-US" w:eastAsia="zh-CN" w:bidi="ar-SA"/>
                    </w:rPr>
                  </w:pPr>
                </w:p>
              </w:tc>
            </w:tr>
            <w:tr w14:paraId="5162CF5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30" w:type="pct"/>
                  <w:tcBorders>
                    <w:tl2br w:val="nil"/>
                    <w:tr2bl w:val="nil"/>
                  </w:tcBorders>
                  <w:vAlign w:val="center"/>
                </w:tcPr>
                <w:p w14:paraId="651D549C">
                  <w:pPr>
                    <w:keepNext w:val="0"/>
                    <w:keepLines w:val="0"/>
                    <w:suppressLineNumbers w:val="0"/>
                    <w:spacing w:before="0" w:beforeAutospacing="0" w:after="0" w:afterAutospacing="0"/>
                    <w:ind w:left="0" w:right="0"/>
                    <w:jc w:val="center"/>
                    <w:rPr>
                      <w:rFonts w:hint="default" w:cs="Times New Roman"/>
                      <w:color w:val="auto"/>
                      <w:kern w:val="2"/>
                      <w:sz w:val="21"/>
                      <w:szCs w:val="24"/>
                      <w:highlight w:val="none"/>
                      <w:lang w:val="en-US" w:eastAsia="zh-CN" w:bidi="ar-SA"/>
                    </w:rPr>
                  </w:pPr>
                  <w:r>
                    <w:rPr>
                      <w:rFonts w:hint="eastAsia" w:cs="Times New Roman"/>
                      <w:color w:val="auto"/>
                      <w:kern w:val="2"/>
                      <w:sz w:val="21"/>
                      <w:szCs w:val="24"/>
                      <w:highlight w:val="none"/>
                      <w:lang w:val="en-US" w:eastAsia="zh-CN" w:bidi="ar-SA"/>
                    </w:rPr>
                    <w:t>6</w:t>
                  </w:r>
                </w:p>
              </w:tc>
              <w:tc>
                <w:tcPr>
                  <w:tcW w:w="453" w:type="pct"/>
                  <w:tcBorders>
                    <w:tl2br w:val="nil"/>
                    <w:tr2bl w:val="nil"/>
                  </w:tcBorders>
                  <w:shd w:val="clear" w:color="auto" w:fill="auto"/>
                  <w:vAlign w:val="center"/>
                </w:tcPr>
                <w:p w14:paraId="537611F8">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eastAsia="宋体" w:cs="Times New Roman"/>
                      <w:color w:val="auto"/>
                      <w:kern w:val="2"/>
                      <w:sz w:val="21"/>
                      <w:szCs w:val="21"/>
                      <w:highlight w:val="none"/>
                      <w:lang w:val="en-US" w:eastAsia="zh-CN" w:bidi="ar-SA"/>
                    </w:rPr>
                    <w:t>废润滑油</w:t>
                  </w:r>
                </w:p>
              </w:tc>
              <w:tc>
                <w:tcPr>
                  <w:tcW w:w="363" w:type="pct"/>
                  <w:tcBorders>
                    <w:tl2br w:val="nil"/>
                    <w:tr2bl w:val="nil"/>
                  </w:tcBorders>
                  <w:vAlign w:val="center"/>
                </w:tcPr>
                <w:p w14:paraId="6623D539">
                  <w:pPr>
                    <w:keepNext w:val="0"/>
                    <w:keepLines w:val="0"/>
                    <w:suppressLineNumbers w:val="0"/>
                    <w:spacing w:before="0" w:beforeAutospacing="0" w:after="0" w:afterAutospacing="0"/>
                    <w:ind w:left="0" w:right="0"/>
                    <w:jc w:val="center"/>
                    <w:rPr>
                      <w:rFonts w:hint="default" w:cs="Times New Roman"/>
                      <w:color w:val="auto"/>
                      <w:kern w:val="2"/>
                      <w:sz w:val="21"/>
                      <w:szCs w:val="24"/>
                      <w:highlight w:val="none"/>
                      <w:lang w:val="en-US" w:eastAsia="zh-CN" w:bidi="ar-SA"/>
                    </w:rPr>
                  </w:pPr>
                  <w:r>
                    <w:rPr>
                      <w:rFonts w:hint="eastAsia" w:cs="Times New Roman"/>
                      <w:color w:val="auto"/>
                      <w:kern w:val="2"/>
                      <w:sz w:val="21"/>
                      <w:szCs w:val="24"/>
                      <w:highlight w:val="none"/>
                      <w:lang w:val="en-US" w:eastAsia="zh-CN" w:bidi="ar-SA"/>
                    </w:rPr>
                    <w:t>HW08</w:t>
                  </w:r>
                </w:p>
              </w:tc>
              <w:tc>
                <w:tcPr>
                  <w:tcW w:w="479" w:type="pct"/>
                  <w:tcBorders>
                    <w:tl2br w:val="nil"/>
                    <w:tr2bl w:val="nil"/>
                  </w:tcBorders>
                  <w:shd w:val="clear" w:color="auto" w:fill="auto"/>
                  <w:vAlign w:val="center"/>
                </w:tcPr>
                <w:p w14:paraId="3CB1393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z w:val="21"/>
                      <w:szCs w:val="21"/>
                      <w:highlight w:val="none"/>
                      <w:lang w:val="en-US" w:eastAsia="zh-CN"/>
                    </w:rPr>
                    <w:t>900-210-08</w:t>
                  </w:r>
                </w:p>
              </w:tc>
              <w:tc>
                <w:tcPr>
                  <w:tcW w:w="345" w:type="pct"/>
                  <w:tcBorders>
                    <w:tl2br w:val="nil"/>
                    <w:tr2bl w:val="nil"/>
                  </w:tcBorders>
                  <w:shd w:val="clear" w:color="auto" w:fill="auto"/>
                  <w:vAlign w:val="center"/>
                </w:tcPr>
                <w:p w14:paraId="40BAC471">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eastAsia" w:ascii="Times New Roman" w:hAnsi="Times New Roman" w:eastAsia="宋体" w:cs="Times New Roman"/>
                      <w:b w:val="0"/>
                      <w:bCs/>
                      <w:color w:val="auto"/>
                      <w:kern w:val="2"/>
                      <w:sz w:val="21"/>
                      <w:szCs w:val="24"/>
                      <w:highlight w:val="none"/>
                      <w:lang w:val="en-US" w:eastAsia="zh-CN" w:bidi="ar-SA"/>
                    </w:rPr>
                  </w:pPr>
                  <w:r>
                    <w:rPr>
                      <w:rFonts w:hint="eastAsia" w:ascii="Times New Roman" w:hAnsi="Times New Roman" w:eastAsia="宋体" w:cs="Times New Roman"/>
                      <w:b w:val="0"/>
                      <w:bCs/>
                      <w:color w:val="auto"/>
                      <w:kern w:val="2"/>
                      <w:sz w:val="21"/>
                      <w:szCs w:val="24"/>
                      <w:highlight w:val="none"/>
                      <w:lang w:val="en-US" w:eastAsia="zh-CN" w:bidi="ar-SA"/>
                    </w:rPr>
                    <w:t>0.05</w:t>
                  </w:r>
                </w:p>
              </w:tc>
              <w:tc>
                <w:tcPr>
                  <w:tcW w:w="270" w:type="pct"/>
                  <w:tcBorders>
                    <w:tl2br w:val="nil"/>
                    <w:tr2bl w:val="nil"/>
                  </w:tcBorders>
                  <w:shd w:val="clear" w:color="auto" w:fill="auto"/>
                  <w:vAlign w:val="center"/>
                </w:tcPr>
                <w:p w14:paraId="20841B34">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eastAsia" w:ascii="Times New Roman" w:hAnsi="Times New Roman" w:eastAsia="宋体" w:cs="Times New Roman"/>
                      <w:color w:val="auto"/>
                      <w:spacing w:val="0"/>
                      <w:kern w:val="2"/>
                      <w:sz w:val="21"/>
                      <w:szCs w:val="24"/>
                      <w:highlight w:val="none"/>
                      <w:lang w:val="en-US" w:eastAsia="zh-CN" w:bidi="ar-SA"/>
                    </w:rPr>
                  </w:pPr>
                  <w:r>
                    <w:rPr>
                      <w:rFonts w:hint="eastAsia" w:ascii="Times New Roman" w:hAnsi="Times New Roman" w:eastAsia="宋体" w:cs="Times New Roman"/>
                      <w:color w:val="auto"/>
                      <w:spacing w:val="0"/>
                      <w:sz w:val="21"/>
                      <w:highlight w:val="none"/>
                      <w:lang w:val="en-US" w:eastAsia="zh-CN"/>
                    </w:rPr>
                    <w:t>固态</w:t>
                  </w:r>
                </w:p>
              </w:tc>
              <w:tc>
                <w:tcPr>
                  <w:tcW w:w="395" w:type="pct"/>
                  <w:tcBorders>
                    <w:tl2br w:val="nil"/>
                    <w:tr2bl w:val="nil"/>
                  </w:tcBorders>
                  <w:shd w:val="clear" w:color="auto" w:fill="auto"/>
                  <w:vAlign w:val="center"/>
                </w:tcPr>
                <w:p w14:paraId="5DFEB67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b w:val="0"/>
                      <w:bCs w:val="0"/>
                      <w:color w:val="auto"/>
                      <w:sz w:val="21"/>
                      <w:szCs w:val="21"/>
                      <w:lang w:val="en-US" w:eastAsia="zh-CN"/>
                    </w:rPr>
                    <w:t>矿物油</w:t>
                  </w:r>
                </w:p>
              </w:tc>
              <w:tc>
                <w:tcPr>
                  <w:tcW w:w="389" w:type="pct"/>
                  <w:tcBorders>
                    <w:tl2br w:val="nil"/>
                    <w:tr2bl w:val="nil"/>
                  </w:tcBorders>
                  <w:shd w:val="clear" w:color="auto" w:fill="auto"/>
                  <w:vAlign w:val="center"/>
                </w:tcPr>
                <w:p w14:paraId="37EED82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pacing w:val="0"/>
                      <w:kern w:val="2"/>
                      <w:sz w:val="21"/>
                      <w:szCs w:val="24"/>
                      <w:highlight w:val="none"/>
                      <w:lang w:val="en-US" w:eastAsia="zh-CN" w:bidi="ar-SA"/>
                    </w:rPr>
                    <w:t>桶装</w:t>
                  </w:r>
                </w:p>
              </w:tc>
              <w:tc>
                <w:tcPr>
                  <w:tcW w:w="389" w:type="pct"/>
                  <w:vMerge w:val="continue"/>
                  <w:tcBorders>
                    <w:tl2br w:val="nil"/>
                    <w:tr2bl w:val="nil"/>
                  </w:tcBorders>
                  <w:vAlign w:val="center"/>
                </w:tcPr>
                <w:p w14:paraId="56209E8D">
                  <w:pPr>
                    <w:keepNext w:val="0"/>
                    <w:keepLines w:val="0"/>
                    <w:suppressLineNumbers w:val="0"/>
                    <w:spacing w:before="0" w:beforeAutospacing="0" w:after="0" w:afterAutospacing="0"/>
                    <w:ind w:left="0" w:right="0"/>
                    <w:jc w:val="center"/>
                    <w:rPr>
                      <w:rFonts w:hint="eastAsia" w:cs="Times New Roman"/>
                      <w:color w:val="auto"/>
                      <w:kern w:val="2"/>
                      <w:sz w:val="21"/>
                      <w:szCs w:val="24"/>
                      <w:highlight w:val="none"/>
                      <w:lang w:val="en-US" w:eastAsia="zh-CN" w:bidi="ar-SA"/>
                    </w:rPr>
                  </w:pPr>
                </w:p>
              </w:tc>
              <w:tc>
                <w:tcPr>
                  <w:tcW w:w="407" w:type="pct"/>
                  <w:vMerge w:val="continue"/>
                  <w:tcBorders>
                    <w:tl2br w:val="nil"/>
                    <w:tr2bl w:val="nil"/>
                  </w:tcBorders>
                  <w:vAlign w:val="center"/>
                </w:tcPr>
                <w:p w14:paraId="36E106A6">
                  <w:pPr>
                    <w:keepNext w:val="0"/>
                    <w:keepLines w:val="0"/>
                    <w:suppressLineNumbers w:val="0"/>
                    <w:spacing w:before="0" w:beforeAutospacing="0" w:after="0" w:afterAutospacing="0"/>
                    <w:ind w:left="0" w:right="0"/>
                    <w:jc w:val="center"/>
                    <w:rPr>
                      <w:rFonts w:hint="eastAsia" w:ascii="Times New Roman" w:hAnsi="Times New Roman" w:cs="Times New Roman"/>
                      <w:color w:val="auto"/>
                      <w:kern w:val="2"/>
                      <w:sz w:val="21"/>
                      <w:szCs w:val="24"/>
                      <w:highlight w:val="none"/>
                      <w:lang w:val="en-US" w:eastAsia="zh-CN" w:bidi="ar-SA"/>
                    </w:rPr>
                  </w:pPr>
                </w:p>
              </w:tc>
              <w:tc>
                <w:tcPr>
                  <w:tcW w:w="407" w:type="pct"/>
                  <w:vMerge w:val="continue"/>
                  <w:tcBorders>
                    <w:tl2br w:val="nil"/>
                    <w:tr2bl w:val="nil"/>
                  </w:tcBorders>
                  <w:vAlign w:val="center"/>
                </w:tcPr>
                <w:p w14:paraId="32069F28">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4"/>
                      <w:highlight w:val="none"/>
                      <w:lang w:val="en-US" w:eastAsia="zh-CN" w:bidi="ar-SA"/>
                    </w:rPr>
                  </w:pPr>
                </w:p>
              </w:tc>
              <w:tc>
                <w:tcPr>
                  <w:tcW w:w="413" w:type="pct"/>
                  <w:vMerge w:val="continue"/>
                  <w:tcBorders>
                    <w:tl2br w:val="nil"/>
                    <w:tr2bl w:val="nil"/>
                  </w:tcBorders>
                  <w:vAlign w:val="center"/>
                </w:tcPr>
                <w:p w14:paraId="295D3C48">
                  <w:pPr>
                    <w:keepNext w:val="0"/>
                    <w:keepLines w:val="0"/>
                    <w:suppressLineNumbers w:val="0"/>
                    <w:spacing w:before="0" w:beforeAutospacing="0" w:after="0" w:afterAutospacing="0"/>
                    <w:ind w:left="0" w:right="0"/>
                    <w:jc w:val="center"/>
                    <w:rPr>
                      <w:rFonts w:hint="eastAsia" w:cs="Times New Roman"/>
                      <w:color w:val="auto"/>
                      <w:kern w:val="2"/>
                      <w:sz w:val="21"/>
                      <w:szCs w:val="24"/>
                      <w:highlight w:val="none"/>
                      <w:lang w:val="en-US" w:eastAsia="zh-CN" w:bidi="ar-SA"/>
                    </w:rPr>
                  </w:pPr>
                </w:p>
              </w:tc>
              <w:tc>
                <w:tcPr>
                  <w:tcW w:w="455" w:type="pct"/>
                  <w:vMerge w:val="continue"/>
                  <w:tcBorders>
                    <w:tl2br w:val="nil"/>
                    <w:tr2bl w:val="nil"/>
                  </w:tcBorders>
                  <w:vAlign w:val="center"/>
                </w:tcPr>
                <w:p w14:paraId="37E487B3">
                  <w:pPr>
                    <w:keepNext w:val="0"/>
                    <w:keepLines w:val="0"/>
                    <w:suppressLineNumbers w:val="0"/>
                    <w:spacing w:before="0" w:beforeAutospacing="0" w:after="0" w:afterAutospacing="0"/>
                    <w:ind w:left="0" w:right="0"/>
                    <w:jc w:val="center"/>
                    <w:rPr>
                      <w:rFonts w:hint="eastAsia" w:ascii="Times New Roman" w:hAnsi="Times New Roman" w:eastAsia="宋体" w:cs="Times New Roman"/>
                      <w:color w:val="auto"/>
                      <w:kern w:val="2"/>
                      <w:sz w:val="21"/>
                      <w:szCs w:val="24"/>
                      <w:highlight w:val="none"/>
                      <w:lang w:val="en-US" w:eastAsia="zh-CN" w:bidi="ar-SA"/>
                    </w:rPr>
                  </w:pPr>
                </w:p>
              </w:tc>
            </w:tr>
            <w:tr w14:paraId="1B2C40B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30" w:type="pct"/>
                  <w:tcBorders>
                    <w:tl2br w:val="nil"/>
                    <w:tr2bl w:val="nil"/>
                  </w:tcBorders>
                  <w:vAlign w:val="center"/>
                </w:tcPr>
                <w:p w14:paraId="7DCDF7FD">
                  <w:pPr>
                    <w:keepNext w:val="0"/>
                    <w:keepLines w:val="0"/>
                    <w:suppressLineNumbers w:val="0"/>
                    <w:spacing w:before="0" w:beforeAutospacing="0" w:after="0" w:afterAutospacing="0"/>
                    <w:ind w:left="0" w:right="0"/>
                    <w:jc w:val="center"/>
                    <w:rPr>
                      <w:rFonts w:hint="default" w:cs="Times New Roman"/>
                      <w:color w:val="auto"/>
                      <w:kern w:val="2"/>
                      <w:sz w:val="21"/>
                      <w:szCs w:val="24"/>
                      <w:highlight w:val="none"/>
                      <w:lang w:val="en-US" w:eastAsia="zh-CN" w:bidi="ar-SA"/>
                    </w:rPr>
                  </w:pPr>
                  <w:r>
                    <w:rPr>
                      <w:rFonts w:hint="eastAsia" w:cs="Times New Roman"/>
                      <w:color w:val="auto"/>
                      <w:kern w:val="2"/>
                      <w:sz w:val="21"/>
                      <w:szCs w:val="24"/>
                      <w:highlight w:val="none"/>
                      <w:lang w:val="en-US" w:eastAsia="zh-CN" w:bidi="ar-SA"/>
                    </w:rPr>
                    <w:t>7</w:t>
                  </w:r>
                </w:p>
              </w:tc>
              <w:tc>
                <w:tcPr>
                  <w:tcW w:w="453" w:type="pct"/>
                  <w:tcBorders>
                    <w:tl2br w:val="nil"/>
                    <w:tr2bl w:val="nil"/>
                  </w:tcBorders>
                  <w:shd w:val="clear" w:color="auto" w:fill="auto"/>
                  <w:vAlign w:val="center"/>
                </w:tcPr>
                <w:p w14:paraId="77EEDF27">
                  <w:pPr>
                    <w:keepNext w:val="0"/>
                    <w:keepLines w:val="0"/>
                    <w:widowControl/>
                    <w:suppressLineNumbers w:val="0"/>
                    <w:autoSpaceDE w:val="0"/>
                    <w:autoSpaceDN w:val="0"/>
                    <w:adjustRightInd w:val="0"/>
                    <w:spacing w:before="0" w:beforeAutospacing="0" w:after="0" w:afterAutospacing="0" w:line="240" w:lineRule="exact"/>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bCs/>
                      <w:color w:val="auto"/>
                      <w:sz w:val="21"/>
                      <w:szCs w:val="21"/>
                      <w:lang w:val="en-US" w:eastAsia="zh-CN"/>
                    </w:rPr>
                    <w:t>废机油</w:t>
                  </w:r>
                </w:p>
              </w:tc>
              <w:tc>
                <w:tcPr>
                  <w:tcW w:w="363" w:type="pct"/>
                  <w:tcBorders>
                    <w:tl2br w:val="nil"/>
                    <w:tr2bl w:val="nil"/>
                  </w:tcBorders>
                  <w:vAlign w:val="center"/>
                </w:tcPr>
                <w:p w14:paraId="7E2AD0C3">
                  <w:pPr>
                    <w:keepNext w:val="0"/>
                    <w:keepLines w:val="0"/>
                    <w:suppressLineNumbers w:val="0"/>
                    <w:spacing w:before="0" w:beforeAutospacing="0" w:after="0" w:afterAutospacing="0"/>
                    <w:ind w:left="0" w:right="0"/>
                    <w:jc w:val="center"/>
                    <w:rPr>
                      <w:rFonts w:hint="default" w:cs="Times New Roman"/>
                      <w:color w:val="auto"/>
                      <w:kern w:val="2"/>
                      <w:sz w:val="21"/>
                      <w:szCs w:val="24"/>
                      <w:highlight w:val="none"/>
                      <w:lang w:val="en-US" w:eastAsia="zh-CN" w:bidi="ar-SA"/>
                    </w:rPr>
                  </w:pPr>
                  <w:r>
                    <w:rPr>
                      <w:rFonts w:hint="eastAsia" w:cs="Times New Roman"/>
                      <w:color w:val="auto"/>
                      <w:kern w:val="2"/>
                      <w:sz w:val="21"/>
                      <w:szCs w:val="24"/>
                      <w:highlight w:val="none"/>
                      <w:lang w:val="en-US" w:eastAsia="zh-CN" w:bidi="ar-SA"/>
                    </w:rPr>
                    <w:t>HW08</w:t>
                  </w:r>
                </w:p>
              </w:tc>
              <w:tc>
                <w:tcPr>
                  <w:tcW w:w="479" w:type="pct"/>
                  <w:tcBorders>
                    <w:tl2br w:val="nil"/>
                    <w:tr2bl w:val="nil"/>
                  </w:tcBorders>
                  <w:shd w:val="clear" w:color="auto" w:fill="auto"/>
                  <w:vAlign w:val="center"/>
                </w:tcPr>
                <w:p w14:paraId="411D6E5C">
                  <w:pPr>
                    <w:keepNext w:val="0"/>
                    <w:keepLines w:val="0"/>
                    <w:widowControl/>
                    <w:suppressLineNumbers w:val="0"/>
                    <w:autoSpaceDE w:val="0"/>
                    <w:autoSpaceDN w:val="0"/>
                    <w:adjustRightInd w:val="0"/>
                    <w:spacing w:before="0" w:beforeAutospacing="0" w:after="0" w:afterAutospacing="0" w:line="240" w:lineRule="exact"/>
                    <w:ind w:left="0" w:right="0"/>
                    <w:jc w:val="center"/>
                    <w:rPr>
                      <w:rFonts w:hint="eastAsia"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olor w:val="auto"/>
                      <w:sz w:val="21"/>
                      <w:szCs w:val="21"/>
                    </w:rPr>
                    <w:t>900-249-08</w:t>
                  </w:r>
                </w:p>
              </w:tc>
              <w:tc>
                <w:tcPr>
                  <w:tcW w:w="345" w:type="pct"/>
                  <w:tcBorders>
                    <w:tl2br w:val="nil"/>
                    <w:tr2bl w:val="nil"/>
                  </w:tcBorders>
                  <w:shd w:val="clear" w:color="auto" w:fill="auto"/>
                  <w:vAlign w:val="center"/>
                </w:tcPr>
                <w:p w14:paraId="01185489">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eastAsia" w:ascii="Times New Roman" w:hAnsi="Times New Roman" w:eastAsia="宋体" w:cs="Times New Roman"/>
                      <w:b w:val="0"/>
                      <w:bCs/>
                      <w:color w:val="auto"/>
                      <w:kern w:val="2"/>
                      <w:sz w:val="21"/>
                      <w:szCs w:val="24"/>
                      <w:highlight w:val="none"/>
                      <w:lang w:val="en-US" w:eastAsia="zh-CN" w:bidi="ar-SA"/>
                    </w:rPr>
                  </w:pPr>
                  <w:r>
                    <w:rPr>
                      <w:rFonts w:hint="eastAsia" w:ascii="Times New Roman" w:hAnsi="Times New Roman" w:eastAsia="宋体" w:cs="Times New Roman"/>
                      <w:b w:val="0"/>
                      <w:bCs/>
                      <w:color w:val="auto"/>
                      <w:kern w:val="2"/>
                      <w:sz w:val="21"/>
                      <w:szCs w:val="24"/>
                      <w:highlight w:val="none"/>
                      <w:lang w:val="en-US" w:eastAsia="zh-CN" w:bidi="ar-SA"/>
                    </w:rPr>
                    <w:t>0.2</w:t>
                  </w:r>
                </w:p>
              </w:tc>
              <w:tc>
                <w:tcPr>
                  <w:tcW w:w="270" w:type="pct"/>
                  <w:tcBorders>
                    <w:tl2br w:val="nil"/>
                    <w:tr2bl w:val="nil"/>
                  </w:tcBorders>
                  <w:shd w:val="clear" w:color="auto" w:fill="auto"/>
                  <w:vAlign w:val="center"/>
                </w:tcPr>
                <w:p w14:paraId="14E8A659">
                  <w:pPr>
                    <w:keepNext w:val="0"/>
                    <w:keepLines w:val="0"/>
                    <w:widowControl/>
                    <w:suppressLineNumbers w:val="0"/>
                    <w:autoSpaceDE w:val="0"/>
                    <w:autoSpaceDN w:val="0"/>
                    <w:adjustRightInd w:val="0"/>
                    <w:spacing w:before="0" w:beforeAutospacing="0" w:after="0" w:afterAutospacing="0" w:line="240" w:lineRule="exact"/>
                    <w:ind w:left="0" w:right="0"/>
                    <w:jc w:val="center"/>
                    <w:rPr>
                      <w:rFonts w:hint="eastAsia" w:ascii="Times New Roman" w:hAnsi="Times New Roman" w:eastAsia="宋体" w:cs="Times New Roman"/>
                      <w:color w:val="auto"/>
                      <w:spacing w:val="0"/>
                      <w:kern w:val="2"/>
                      <w:sz w:val="21"/>
                      <w:szCs w:val="24"/>
                      <w:highlight w:val="none"/>
                      <w:lang w:val="en-US" w:eastAsia="zh-CN" w:bidi="ar-SA"/>
                    </w:rPr>
                  </w:pPr>
                  <w:r>
                    <w:rPr>
                      <w:rFonts w:hint="eastAsia" w:ascii="Times New Roman" w:hAnsi="Times New Roman" w:eastAsia="宋体" w:cs="Times New Roman"/>
                      <w:color w:val="auto"/>
                      <w:spacing w:val="0"/>
                      <w:sz w:val="21"/>
                      <w:highlight w:val="none"/>
                      <w:lang w:val="en-US" w:eastAsia="zh-CN"/>
                    </w:rPr>
                    <w:t>固态</w:t>
                  </w:r>
                </w:p>
              </w:tc>
              <w:tc>
                <w:tcPr>
                  <w:tcW w:w="395" w:type="pct"/>
                  <w:tcBorders>
                    <w:tl2br w:val="nil"/>
                    <w:tr2bl w:val="nil"/>
                  </w:tcBorders>
                  <w:shd w:val="clear" w:color="auto" w:fill="auto"/>
                  <w:vAlign w:val="center"/>
                </w:tcPr>
                <w:p w14:paraId="7FDE2EF4">
                  <w:pPr>
                    <w:keepNext w:val="0"/>
                    <w:keepLines w:val="0"/>
                    <w:widowControl/>
                    <w:suppressLineNumbers w:val="0"/>
                    <w:autoSpaceDE w:val="0"/>
                    <w:autoSpaceDN w:val="0"/>
                    <w:adjustRightInd w:val="0"/>
                    <w:spacing w:before="0" w:beforeAutospacing="0" w:after="0" w:afterAutospacing="0" w:line="240" w:lineRule="exact"/>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b w:val="0"/>
                      <w:bCs w:val="0"/>
                      <w:color w:val="auto"/>
                      <w:sz w:val="21"/>
                      <w:szCs w:val="21"/>
                      <w:lang w:val="en-US" w:eastAsia="zh-CN"/>
                    </w:rPr>
                    <w:t>矿物油</w:t>
                  </w:r>
                </w:p>
              </w:tc>
              <w:tc>
                <w:tcPr>
                  <w:tcW w:w="389" w:type="pct"/>
                  <w:tcBorders>
                    <w:tl2br w:val="nil"/>
                    <w:tr2bl w:val="nil"/>
                  </w:tcBorders>
                  <w:shd w:val="clear" w:color="auto" w:fill="auto"/>
                  <w:vAlign w:val="center"/>
                </w:tcPr>
                <w:p w14:paraId="63561631">
                  <w:pPr>
                    <w:keepNext w:val="0"/>
                    <w:keepLines w:val="0"/>
                    <w:widowControl/>
                    <w:suppressLineNumbers w:val="0"/>
                    <w:autoSpaceDE w:val="0"/>
                    <w:autoSpaceDN w:val="0"/>
                    <w:adjustRightInd w:val="0"/>
                    <w:spacing w:before="0" w:beforeAutospacing="0" w:after="0" w:afterAutospacing="0" w:line="240" w:lineRule="exact"/>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pacing w:val="0"/>
                      <w:kern w:val="2"/>
                      <w:sz w:val="21"/>
                      <w:szCs w:val="24"/>
                      <w:highlight w:val="none"/>
                      <w:lang w:val="en-US" w:eastAsia="zh-CN" w:bidi="ar-SA"/>
                    </w:rPr>
                    <w:t>桶装</w:t>
                  </w:r>
                </w:p>
              </w:tc>
              <w:tc>
                <w:tcPr>
                  <w:tcW w:w="389" w:type="pct"/>
                  <w:vMerge w:val="continue"/>
                  <w:tcBorders>
                    <w:tl2br w:val="nil"/>
                    <w:tr2bl w:val="nil"/>
                  </w:tcBorders>
                  <w:vAlign w:val="center"/>
                </w:tcPr>
                <w:p w14:paraId="46592396">
                  <w:pPr>
                    <w:keepNext w:val="0"/>
                    <w:keepLines w:val="0"/>
                    <w:suppressLineNumbers w:val="0"/>
                    <w:spacing w:before="0" w:beforeAutospacing="0" w:after="0" w:afterAutospacing="0"/>
                    <w:ind w:left="0" w:right="0"/>
                    <w:jc w:val="center"/>
                    <w:rPr>
                      <w:rFonts w:hint="eastAsia" w:cs="Times New Roman"/>
                      <w:color w:val="auto"/>
                      <w:kern w:val="2"/>
                      <w:sz w:val="21"/>
                      <w:szCs w:val="24"/>
                      <w:highlight w:val="none"/>
                      <w:lang w:val="en-US" w:eastAsia="zh-CN" w:bidi="ar-SA"/>
                    </w:rPr>
                  </w:pPr>
                </w:p>
              </w:tc>
              <w:tc>
                <w:tcPr>
                  <w:tcW w:w="407" w:type="pct"/>
                  <w:vMerge w:val="continue"/>
                  <w:tcBorders>
                    <w:tl2br w:val="nil"/>
                    <w:tr2bl w:val="nil"/>
                  </w:tcBorders>
                  <w:vAlign w:val="center"/>
                </w:tcPr>
                <w:p w14:paraId="1231D443">
                  <w:pPr>
                    <w:keepNext w:val="0"/>
                    <w:keepLines w:val="0"/>
                    <w:suppressLineNumbers w:val="0"/>
                    <w:spacing w:before="0" w:beforeAutospacing="0" w:after="0" w:afterAutospacing="0"/>
                    <w:ind w:left="0" w:right="0"/>
                    <w:jc w:val="center"/>
                    <w:rPr>
                      <w:rFonts w:hint="eastAsia" w:ascii="Times New Roman" w:hAnsi="Times New Roman" w:cs="Times New Roman"/>
                      <w:color w:val="auto"/>
                      <w:kern w:val="2"/>
                      <w:sz w:val="21"/>
                      <w:szCs w:val="24"/>
                      <w:highlight w:val="none"/>
                      <w:lang w:val="en-US" w:eastAsia="zh-CN" w:bidi="ar-SA"/>
                    </w:rPr>
                  </w:pPr>
                </w:p>
              </w:tc>
              <w:tc>
                <w:tcPr>
                  <w:tcW w:w="407" w:type="pct"/>
                  <w:vMerge w:val="continue"/>
                  <w:tcBorders>
                    <w:tl2br w:val="nil"/>
                    <w:tr2bl w:val="nil"/>
                  </w:tcBorders>
                  <w:vAlign w:val="center"/>
                </w:tcPr>
                <w:p w14:paraId="77DF130E">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4"/>
                      <w:highlight w:val="none"/>
                      <w:lang w:val="en-US" w:eastAsia="zh-CN" w:bidi="ar-SA"/>
                    </w:rPr>
                  </w:pPr>
                </w:p>
              </w:tc>
              <w:tc>
                <w:tcPr>
                  <w:tcW w:w="413" w:type="pct"/>
                  <w:vMerge w:val="continue"/>
                  <w:tcBorders>
                    <w:tl2br w:val="nil"/>
                    <w:tr2bl w:val="nil"/>
                  </w:tcBorders>
                  <w:vAlign w:val="center"/>
                </w:tcPr>
                <w:p w14:paraId="151435EC">
                  <w:pPr>
                    <w:keepNext w:val="0"/>
                    <w:keepLines w:val="0"/>
                    <w:suppressLineNumbers w:val="0"/>
                    <w:spacing w:before="0" w:beforeAutospacing="0" w:after="0" w:afterAutospacing="0"/>
                    <w:ind w:left="0" w:right="0"/>
                    <w:jc w:val="center"/>
                    <w:rPr>
                      <w:rFonts w:hint="eastAsia" w:cs="Times New Roman"/>
                      <w:color w:val="auto"/>
                      <w:kern w:val="2"/>
                      <w:sz w:val="21"/>
                      <w:szCs w:val="24"/>
                      <w:highlight w:val="none"/>
                      <w:lang w:val="en-US" w:eastAsia="zh-CN" w:bidi="ar-SA"/>
                    </w:rPr>
                  </w:pPr>
                </w:p>
              </w:tc>
              <w:tc>
                <w:tcPr>
                  <w:tcW w:w="455" w:type="pct"/>
                  <w:vMerge w:val="continue"/>
                  <w:tcBorders>
                    <w:tl2br w:val="nil"/>
                    <w:tr2bl w:val="nil"/>
                  </w:tcBorders>
                  <w:vAlign w:val="center"/>
                </w:tcPr>
                <w:p w14:paraId="76DDE665">
                  <w:pPr>
                    <w:keepNext w:val="0"/>
                    <w:keepLines w:val="0"/>
                    <w:suppressLineNumbers w:val="0"/>
                    <w:spacing w:before="0" w:beforeAutospacing="0" w:after="0" w:afterAutospacing="0"/>
                    <w:ind w:left="0" w:right="0"/>
                    <w:jc w:val="center"/>
                    <w:rPr>
                      <w:rFonts w:hint="eastAsia" w:ascii="Times New Roman" w:hAnsi="Times New Roman" w:eastAsia="宋体" w:cs="Times New Roman"/>
                      <w:color w:val="auto"/>
                      <w:kern w:val="2"/>
                      <w:sz w:val="21"/>
                      <w:szCs w:val="24"/>
                      <w:highlight w:val="none"/>
                      <w:lang w:val="en-US" w:eastAsia="zh-CN" w:bidi="ar-SA"/>
                    </w:rPr>
                  </w:pPr>
                </w:p>
              </w:tc>
            </w:tr>
            <w:tr w14:paraId="033C898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30" w:type="pct"/>
                  <w:tcBorders>
                    <w:tl2br w:val="nil"/>
                    <w:tr2bl w:val="nil"/>
                  </w:tcBorders>
                  <w:vAlign w:val="center"/>
                </w:tcPr>
                <w:p w14:paraId="511200CC">
                  <w:pPr>
                    <w:keepNext w:val="0"/>
                    <w:keepLines w:val="0"/>
                    <w:suppressLineNumbers w:val="0"/>
                    <w:spacing w:before="0" w:beforeAutospacing="0" w:after="0" w:afterAutospacing="0"/>
                    <w:ind w:left="0" w:right="0"/>
                    <w:jc w:val="center"/>
                    <w:rPr>
                      <w:rFonts w:hint="default" w:cs="Times New Roman"/>
                      <w:color w:val="auto"/>
                      <w:kern w:val="2"/>
                      <w:sz w:val="21"/>
                      <w:szCs w:val="24"/>
                      <w:highlight w:val="none"/>
                      <w:lang w:val="en-US" w:eastAsia="zh-CN" w:bidi="ar-SA"/>
                    </w:rPr>
                  </w:pPr>
                  <w:r>
                    <w:rPr>
                      <w:rFonts w:hint="eastAsia" w:cs="Times New Roman"/>
                      <w:color w:val="auto"/>
                      <w:kern w:val="2"/>
                      <w:sz w:val="21"/>
                      <w:szCs w:val="24"/>
                      <w:highlight w:val="none"/>
                      <w:lang w:val="en-US" w:eastAsia="zh-CN" w:bidi="ar-SA"/>
                    </w:rPr>
                    <w:t>8</w:t>
                  </w:r>
                </w:p>
              </w:tc>
              <w:tc>
                <w:tcPr>
                  <w:tcW w:w="453" w:type="pct"/>
                  <w:tcBorders>
                    <w:tl2br w:val="nil"/>
                    <w:tr2bl w:val="nil"/>
                  </w:tcBorders>
                  <w:shd w:val="clear" w:color="auto" w:fill="auto"/>
                  <w:vAlign w:val="center"/>
                </w:tcPr>
                <w:p w14:paraId="663461FC">
                  <w:pPr>
                    <w:keepNext w:val="0"/>
                    <w:keepLines w:val="0"/>
                    <w:widowControl/>
                    <w:suppressLineNumbers w:val="0"/>
                    <w:autoSpaceDE w:val="0"/>
                    <w:autoSpaceDN w:val="0"/>
                    <w:adjustRightInd w:val="0"/>
                    <w:spacing w:before="0" w:beforeAutospacing="0" w:after="0" w:afterAutospacing="0" w:line="240" w:lineRule="exact"/>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bCs/>
                      <w:color w:val="auto"/>
                      <w:sz w:val="21"/>
                      <w:szCs w:val="21"/>
                      <w:lang w:val="en-US" w:eastAsia="zh-CN"/>
                    </w:rPr>
                    <w:t>废机油</w:t>
                  </w:r>
                  <w:r>
                    <w:rPr>
                      <w:rFonts w:hint="eastAsia" w:ascii="Times New Roman" w:hAnsi="Times New Roman" w:eastAsia="宋体" w:cs="宋体"/>
                      <w:color w:val="auto"/>
                      <w:kern w:val="0"/>
                      <w:sz w:val="21"/>
                      <w:szCs w:val="21"/>
                      <w:lang w:val="en-US" w:eastAsia="zh-CN" w:bidi="ar"/>
                    </w:rPr>
                    <w:t>桶</w:t>
                  </w:r>
                </w:p>
              </w:tc>
              <w:tc>
                <w:tcPr>
                  <w:tcW w:w="363" w:type="pct"/>
                  <w:tcBorders>
                    <w:tl2br w:val="nil"/>
                    <w:tr2bl w:val="nil"/>
                  </w:tcBorders>
                  <w:vAlign w:val="center"/>
                </w:tcPr>
                <w:p w14:paraId="3A4ACA20">
                  <w:pPr>
                    <w:keepNext w:val="0"/>
                    <w:keepLines w:val="0"/>
                    <w:suppressLineNumbers w:val="0"/>
                    <w:spacing w:before="0" w:beforeAutospacing="0" w:after="0" w:afterAutospacing="0"/>
                    <w:ind w:left="0" w:right="0"/>
                    <w:jc w:val="center"/>
                    <w:rPr>
                      <w:rFonts w:hint="default" w:cs="Times New Roman"/>
                      <w:color w:val="auto"/>
                      <w:kern w:val="2"/>
                      <w:sz w:val="21"/>
                      <w:szCs w:val="24"/>
                      <w:highlight w:val="none"/>
                      <w:lang w:val="en-US" w:eastAsia="zh-CN" w:bidi="ar-SA"/>
                    </w:rPr>
                  </w:pPr>
                  <w:r>
                    <w:rPr>
                      <w:rFonts w:hint="eastAsia" w:cs="Times New Roman"/>
                      <w:color w:val="auto"/>
                      <w:kern w:val="2"/>
                      <w:sz w:val="21"/>
                      <w:szCs w:val="24"/>
                      <w:highlight w:val="none"/>
                      <w:lang w:val="en-US" w:eastAsia="zh-CN" w:bidi="ar-SA"/>
                    </w:rPr>
                    <w:t>HW08</w:t>
                  </w:r>
                </w:p>
              </w:tc>
              <w:tc>
                <w:tcPr>
                  <w:tcW w:w="479" w:type="pct"/>
                  <w:tcBorders>
                    <w:tl2br w:val="nil"/>
                    <w:tr2bl w:val="nil"/>
                  </w:tcBorders>
                  <w:shd w:val="clear" w:color="auto" w:fill="auto"/>
                  <w:vAlign w:val="center"/>
                </w:tcPr>
                <w:p w14:paraId="42576304">
                  <w:pPr>
                    <w:keepNext w:val="0"/>
                    <w:keepLines w:val="0"/>
                    <w:widowControl/>
                    <w:suppressLineNumbers w:val="0"/>
                    <w:autoSpaceDE w:val="0"/>
                    <w:autoSpaceDN w:val="0"/>
                    <w:adjustRightInd w:val="0"/>
                    <w:spacing w:before="0" w:beforeAutospacing="0" w:after="0" w:afterAutospacing="0" w:line="240" w:lineRule="exact"/>
                    <w:ind w:left="0" w:right="0"/>
                    <w:jc w:val="center"/>
                    <w:rPr>
                      <w:rFonts w:hint="eastAsia"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900-249-08</w:t>
                  </w:r>
                </w:p>
              </w:tc>
              <w:tc>
                <w:tcPr>
                  <w:tcW w:w="345" w:type="pct"/>
                  <w:tcBorders>
                    <w:tl2br w:val="nil"/>
                    <w:tr2bl w:val="nil"/>
                  </w:tcBorders>
                  <w:shd w:val="clear" w:color="auto" w:fill="auto"/>
                  <w:vAlign w:val="center"/>
                </w:tcPr>
                <w:p w14:paraId="3381A12A">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eastAsia" w:ascii="Times New Roman" w:hAnsi="Times New Roman" w:eastAsia="宋体" w:cs="Times New Roman"/>
                      <w:b w:val="0"/>
                      <w:bCs/>
                      <w:color w:val="auto"/>
                      <w:kern w:val="2"/>
                      <w:sz w:val="21"/>
                      <w:szCs w:val="24"/>
                      <w:highlight w:val="none"/>
                      <w:lang w:val="en-US" w:eastAsia="zh-CN" w:bidi="ar-SA"/>
                    </w:rPr>
                  </w:pPr>
                  <w:r>
                    <w:rPr>
                      <w:rFonts w:hint="eastAsia" w:ascii="Times New Roman" w:hAnsi="Times New Roman" w:eastAsia="宋体" w:cs="Times New Roman"/>
                      <w:b w:val="0"/>
                      <w:bCs/>
                      <w:color w:val="auto"/>
                      <w:kern w:val="2"/>
                      <w:sz w:val="21"/>
                      <w:szCs w:val="24"/>
                      <w:highlight w:val="none"/>
                      <w:lang w:val="en-US" w:eastAsia="zh-CN" w:bidi="ar-SA"/>
                    </w:rPr>
                    <w:t>0.02</w:t>
                  </w:r>
                </w:p>
              </w:tc>
              <w:tc>
                <w:tcPr>
                  <w:tcW w:w="270" w:type="pct"/>
                  <w:tcBorders>
                    <w:tl2br w:val="nil"/>
                    <w:tr2bl w:val="nil"/>
                  </w:tcBorders>
                  <w:shd w:val="clear" w:color="auto" w:fill="auto"/>
                  <w:vAlign w:val="center"/>
                </w:tcPr>
                <w:p w14:paraId="0CEB7F8E">
                  <w:pPr>
                    <w:keepNext w:val="0"/>
                    <w:keepLines w:val="0"/>
                    <w:widowControl/>
                    <w:suppressLineNumbers w:val="0"/>
                    <w:autoSpaceDE w:val="0"/>
                    <w:autoSpaceDN w:val="0"/>
                    <w:adjustRightInd w:val="0"/>
                    <w:spacing w:before="0" w:beforeAutospacing="0" w:after="0" w:afterAutospacing="0" w:line="240" w:lineRule="exact"/>
                    <w:ind w:left="0" w:right="0"/>
                    <w:jc w:val="center"/>
                    <w:rPr>
                      <w:rFonts w:hint="eastAsia" w:ascii="Times New Roman" w:hAnsi="Times New Roman" w:eastAsia="宋体" w:cs="Times New Roman"/>
                      <w:color w:val="auto"/>
                      <w:spacing w:val="0"/>
                      <w:kern w:val="2"/>
                      <w:sz w:val="21"/>
                      <w:szCs w:val="24"/>
                      <w:highlight w:val="none"/>
                      <w:lang w:val="en-US" w:eastAsia="zh-CN" w:bidi="ar-SA"/>
                    </w:rPr>
                  </w:pPr>
                  <w:r>
                    <w:rPr>
                      <w:rFonts w:hint="eastAsia" w:ascii="Times New Roman" w:hAnsi="Times New Roman" w:eastAsia="宋体" w:cs="Times New Roman"/>
                      <w:color w:val="auto"/>
                      <w:spacing w:val="0"/>
                      <w:sz w:val="21"/>
                      <w:highlight w:val="none"/>
                      <w:lang w:val="en-US" w:eastAsia="zh-CN"/>
                    </w:rPr>
                    <w:t>固态</w:t>
                  </w:r>
                </w:p>
              </w:tc>
              <w:tc>
                <w:tcPr>
                  <w:tcW w:w="395" w:type="pct"/>
                  <w:tcBorders>
                    <w:tl2br w:val="nil"/>
                    <w:tr2bl w:val="nil"/>
                  </w:tcBorders>
                  <w:shd w:val="clear" w:color="auto" w:fill="auto"/>
                  <w:vAlign w:val="center"/>
                </w:tcPr>
                <w:p w14:paraId="6DCC27B3">
                  <w:pPr>
                    <w:keepNext w:val="0"/>
                    <w:keepLines w:val="0"/>
                    <w:widowControl/>
                    <w:suppressLineNumbers w:val="0"/>
                    <w:autoSpaceDE w:val="0"/>
                    <w:autoSpaceDN w:val="0"/>
                    <w:adjustRightInd w:val="0"/>
                    <w:spacing w:before="0" w:beforeAutospacing="0" w:after="0" w:afterAutospacing="0" w:line="240" w:lineRule="exact"/>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b w:val="0"/>
                      <w:bCs w:val="0"/>
                      <w:color w:val="auto"/>
                      <w:sz w:val="21"/>
                      <w:szCs w:val="21"/>
                      <w:lang w:val="en-US" w:eastAsia="zh-CN"/>
                    </w:rPr>
                    <w:t>矿物油</w:t>
                  </w:r>
                </w:p>
              </w:tc>
              <w:tc>
                <w:tcPr>
                  <w:tcW w:w="389" w:type="pct"/>
                  <w:tcBorders>
                    <w:tl2br w:val="nil"/>
                    <w:tr2bl w:val="nil"/>
                  </w:tcBorders>
                  <w:shd w:val="clear" w:color="auto" w:fill="auto"/>
                  <w:vAlign w:val="center"/>
                </w:tcPr>
                <w:p w14:paraId="402C5443">
                  <w:pPr>
                    <w:keepNext w:val="0"/>
                    <w:keepLines w:val="0"/>
                    <w:widowControl/>
                    <w:suppressLineNumbers w:val="0"/>
                    <w:autoSpaceDE w:val="0"/>
                    <w:autoSpaceDN w:val="0"/>
                    <w:adjustRightInd w:val="0"/>
                    <w:spacing w:before="0" w:beforeAutospacing="0" w:after="0" w:afterAutospacing="0" w:line="240" w:lineRule="exact"/>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pacing w:val="0"/>
                      <w:kern w:val="2"/>
                      <w:sz w:val="21"/>
                      <w:szCs w:val="24"/>
                      <w:highlight w:val="none"/>
                      <w:lang w:val="en-US" w:eastAsia="zh-CN" w:bidi="ar-SA"/>
                    </w:rPr>
                    <w:t>袋装</w:t>
                  </w:r>
                </w:p>
              </w:tc>
              <w:tc>
                <w:tcPr>
                  <w:tcW w:w="389" w:type="pct"/>
                  <w:vMerge w:val="continue"/>
                  <w:tcBorders>
                    <w:tl2br w:val="nil"/>
                    <w:tr2bl w:val="nil"/>
                  </w:tcBorders>
                  <w:vAlign w:val="center"/>
                </w:tcPr>
                <w:p w14:paraId="583370D0">
                  <w:pPr>
                    <w:keepNext w:val="0"/>
                    <w:keepLines w:val="0"/>
                    <w:suppressLineNumbers w:val="0"/>
                    <w:spacing w:before="0" w:beforeAutospacing="0" w:after="0" w:afterAutospacing="0"/>
                    <w:ind w:left="0" w:right="0"/>
                    <w:jc w:val="center"/>
                    <w:rPr>
                      <w:rFonts w:hint="eastAsia" w:cs="Times New Roman"/>
                      <w:color w:val="auto"/>
                      <w:kern w:val="2"/>
                      <w:sz w:val="21"/>
                      <w:szCs w:val="24"/>
                      <w:highlight w:val="none"/>
                      <w:lang w:val="en-US" w:eastAsia="zh-CN" w:bidi="ar-SA"/>
                    </w:rPr>
                  </w:pPr>
                </w:p>
              </w:tc>
              <w:tc>
                <w:tcPr>
                  <w:tcW w:w="407" w:type="pct"/>
                  <w:vMerge w:val="continue"/>
                  <w:tcBorders>
                    <w:tl2br w:val="nil"/>
                    <w:tr2bl w:val="nil"/>
                  </w:tcBorders>
                  <w:vAlign w:val="center"/>
                </w:tcPr>
                <w:p w14:paraId="23FE0FD6">
                  <w:pPr>
                    <w:keepNext w:val="0"/>
                    <w:keepLines w:val="0"/>
                    <w:suppressLineNumbers w:val="0"/>
                    <w:spacing w:before="0" w:beforeAutospacing="0" w:after="0" w:afterAutospacing="0"/>
                    <w:ind w:left="0" w:right="0"/>
                    <w:jc w:val="center"/>
                    <w:rPr>
                      <w:rFonts w:hint="eastAsia" w:ascii="Times New Roman" w:hAnsi="Times New Roman" w:cs="Times New Roman"/>
                      <w:color w:val="auto"/>
                      <w:kern w:val="2"/>
                      <w:sz w:val="21"/>
                      <w:szCs w:val="24"/>
                      <w:highlight w:val="none"/>
                      <w:lang w:val="en-US" w:eastAsia="zh-CN" w:bidi="ar-SA"/>
                    </w:rPr>
                  </w:pPr>
                </w:p>
              </w:tc>
              <w:tc>
                <w:tcPr>
                  <w:tcW w:w="407" w:type="pct"/>
                  <w:vMerge w:val="continue"/>
                  <w:tcBorders>
                    <w:tl2br w:val="nil"/>
                    <w:tr2bl w:val="nil"/>
                  </w:tcBorders>
                  <w:vAlign w:val="center"/>
                </w:tcPr>
                <w:p w14:paraId="5AA18C07">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4"/>
                      <w:highlight w:val="none"/>
                      <w:lang w:val="en-US" w:eastAsia="zh-CN" w:bidi="ar-SA"/>
                    </w:rPr>
                  </w:pPr>
                </w:p>
              </w:tc>
              <w:tc>
                <w:tcPr>
                  <w:tcW w:w="413" w:type="pct"/>
                  <w:vMerge w:val="continue"/>
                  <w:tcBorders>
                    <w:tl2br w:val="nil"/>
                    <w:tr2bl w:val="nil"/>
                  </w:tcBorders>
                  <w:vAlign w:val="center"/>
                </w:tcPr>
                <w:p w14:paraId="741D54AD">
                  <w:pPr>
                    <w:keepNext w:val="0"/>
                    <w:keepLines w:val="0"/>
                    <w:suppressLineNumbers w:val="0"/>
                    <w:spacing w:before="0" w:beforeAutospacing="0" w:after="0" w:afterAutospacing="0"/>
                    <w:ind w:left="0" w:right="0"/>
                    <w:jc w:val="center"/>
                    <w:rPr>
                      <w:rFonts w:hint="eastAsia" w:cs="Times New Roman"/>
                      <w:color w:val="auto"/>
                      <w:kern w:val="2"/>
                      <w:sz w:val="21"/>
                      <w:szCs w:val="24"/>
                      <w:highlight w:val="none"/>
                      <w:lang w:val="en-US" w:eastAsia="zh-CN" w:bidi="ar-SA"/>
                    </w:rPr>
                  </w:pPr>
                </w:p>
              </w:tc>
              <w:tc>
                <w:tcPr>
                  <w:tcW w:w="455" w:type="pct"/>
                  <w:vMerge w:val="continue"/>
                  <w:tcBorders>
                    <w:tl2br w:val="nil"/>
                    <w:tr2bl w:val="nil"/>
                  </w:tcBorders>
                  <w:vAlign w:val="center"/>
                </w:tcPr>
                <w:p w14:paraId="403DA5F4">
                  <w:pPr>
                    <w:keepNext w:val="0"/>
                    <w:keepLines w:val="0"/>
                    <w:suppressLineNumbers w:val="0"/>
                    <w:spacing w:before="0" w:beforeAutospacing="0" w:after="0" w:afterAutospacing="0"/>
                    <w:ind w:left="0" w:right="0"/>
                    <w:jc w:val="center"/>
                    <w:rPr>
                      <w:rFonts w:hint="eastAsia" w:ascii="Times New Roman" w:hAnsi="Times New Roman" w:eastAsia="宋体" w:cs="Times New Roman"/>
                      <w:color w:val="auto"/>
                      <w:kern w:val="2"/>
                      <w:sz w:val="21"/>
                      <w:szCs w:val="24"/>
                      <w:highlight w:val="none"/>
                      <w:lang w:val="en-US" w:eastAsia="zh-CN" w:bidi="ar-SA"/>
                    </w:rPr>
                  </w:pPr>
                </w:p>
              </w:tc>
            </w:tr>
            <w:tr w14:paraId="17F70CB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30" w:type="pct"/>
                  <w:tcBorders>
                    <w:tl2br w:val="nil"/>
                    <w:tr2bl w:val="nil"/>
                  </w:tcBorders>
                  <w:vAlign w:val="center"/>
                </w:tcPr>
                <w:p w14:paraId="171D3CD8">
                  <w:pPr>
                    <w:keepNext w:val="0"/>
                    <w:keepLines w:val="0"/>
                    <w:suppressLineNumbers w:val="0"/>
                    <w:spacing w:before="0" w:beforeAutospacing="0" w:after="0" w:afterAutospacing="0"/>
                    <w:ind w:left="0" w:right="0"/>
                    <w:jc w:val="center"/>
                    <w:rPr>
                      <w:rFonts w:hint="default" w:cs="Times New Roman"/>
                      <w:color w:val="auto"/>
                      <w:kern w:val="2"/>
                      <w:sz w:val="21"/>
                      <w:szCs w:val="24"/>
                      <w:highlight w:val="none"/>
                      <w:lang w:val="en-US" w:eastAsia="zh-CN" w:bidi="ar-SA"/>
                    </w:rPr>
                  </w:pPr>
                  <w:r>
                    <w:rPr>
                      <w:rFonts w:hint="eastAsia" w:cs="Times New Roman"/>
                      <w:color w:val="auto"/>
                      <w:kern w:val="2"/>
                      <w:sz w:val="21"/>
                      <w:szCs w:val="24"/>
                      <w:highlight w:val="none"/>
                      <w:lang w:val="en-US" w:eastAsia="zh-CN" w:bidi="ar-SA"/>
                    </w:rPr>
                    <w:t>9</w:t>
                  </w:r>
                </w:p>
              </w:tc>
              <w:tc>
                <w:tcPr>
                  <w:tcW w:w="453" w:type="pct"/>
                  <w:tcBorders>
                    <w:tl2br w:val="nil"/>
                    <w:tr2bl w:val="nil"/>
                  </w:tcBorders>
                  <w:shd w:val="clear" w:color="auto" w:fill="auto"/>
                  <w:vAlign w:val="center"/>
                </w:tcPr>
                <w:p w14:paraId="442A295E">
                  <w:pPr>
                    <w:keepNext w:val="0"/>
                    <w:keepLines w:val="0"/>
                    <w:widowControl/>
                    <w:suppressLineNumbers w:val="0"/>
                    <w:autoSpaceDE w:val="0"/>
                    <w:autoSpaceDN w:val="0"/>
                    <w:adjustRightInd w:val="0"/>
                    <w:spacing w:before="0" w:beforeAutospacing="0" w:after="0" w:afterAutospacing="0" w:line="240" w:lineRule="exact"/>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lang w:val="en-US" w:eastAsia="zh-CN"/>
                    </w:rPr>
                    <w:t>废含油手套及抹布</w:t>
                  </w:r>
                </w:p>
              </w:tc>
              <w:tc>
                <w:tcPr>
                  <w:tcW w:w="363" w:type="pct"/>
                  <w:tcBorders>
                    <w:tl2br w:val="nil"/>
                    <w:tr2bl w:val="nil"/>
                  </w:tcBorders>
                  <w:vAlign w:val="center"/>
                </w:tcPr>
                <w:p w14:paraId="024CD11D">
                  <w:pPr>
                    <w:keepNext w:val="0"/>
                    <w:keepLines w:val="0"/>
                    <w:suppressLineNumbers w:val="0"/>
                    <w:spacing w:before="0" w:beforeAutospacing="0" w:after="0" w:afterAutospacing="0"/>
                    <w:ind w:left="0" w:right="0"/>
                    <w:jc w:val="center"/>
                    <w:rPr>
                      <w:rFonts w:hint="eastAsia" w:cs="Times New Roman"/>
                      <w:color w:val="auto"/>
                      <w:kern w:val="2"/>
                      <w:sz w:val="21"/>
                      <w:szCs w:val="24"/>
                      <w:highlight w:val="none"/>
                      <w:lang w:val="en-US" w:eastAsia="zh-CN" w:bidi="ar-SA"/>
                    </w:rPr>
                  </w:pPr>
                  <w:r>
                    <w:rPr>
                      <w:rFonts w:hint="eastAsia" w:cs="Times New Roman"/>
                      <w:color w:val="auto"/>
                      <w:kern w:val="2"/>
                      <w:sz w:val="21"/>
                      <w:szCs w:val="24"/>
                      <w:highlight w:val="none"/>
                      <w:lang w:val="en-US" w:eastAsia="zh-CN" w:bidi="ar-SA"/>
                    </w:rPr>
                    <w:t>HW49</w:t>
                  </w:r>
                </w:p>
              </w:tc>
              <w:tc>
                <w:tcPr>
                  <w:tcW w:w="479" w:type="pct"/>
                  <w:tcBorders>
                    <w:tl2br w:val="nil"/>
                    <w:tr2bl w:val="nil"/>
                  </w:tcBorders>
                  <w:shd w:val="clear" w:color="auto" w:fill="auto"/>
                  <w:vAlign w:val="center"/>
                </w:tcPr>
                <w:p w14:paraId="5929EE35">
                  <w:pPr>
                    <w:keepNext w:val="0"/>
                    <w:keepLines w:val="0"/>
                    <w:widowControl/>
                    <w:suppressLineNumbers w:val="0"/>
                    <w:autoSpaceDE w:val="0"/>
                    <w:autoSpaceDN w:val="0"/>
                    <w:adjustRightInd w:val="0"/>
                    <w:spacing w:before="0" w:beforeAutospacing="0" w:after="0" w:afterAutospacing="0" w:line="240" w:lineRule="exact"/>
                    <w:ind w:left="0" w:right="0"/>
                    <w:jc w:val="center"/>
                    <w:rPr>
                      <w:rFonts w:hint="eastAsia"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b w:val="0"/>
                      <w:bCs w:val="0"/>
                      <w:color w:val="auto"/>
                      <w:sz w:val="21"/>
                      <w:szCs w:val="21"/>
                      <w:lang w:val="en-US" w:eastAsia="zh-CN"/>
                    </w:rPr>
                    <w:t>900-041-49</w:t>
                  </w:r>
                </w:p>
              </w:tc>
              <w:tc>
                <w:tcPr>
                  <w:tcW w:w="345" w:type="pct"/>
                  <w:tcBorders>
                    <w:tl2br w:val="nil"/>
                    <w:tr2bl w:val="nil"/>
                  </w:tcBorders>
                  <w:shd w:val="clear" w:color="auto" w:fill="auto"/>
                  <w:vAlign w:val="center"/>
                </w:tcPr>
                <w:p w14:paraId="79E05B9D">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eastAsia" w:ascii="Times New Roman" w:hAnsi="Times New Roman" w:eastAsia="宋体" w:cs="Times New Roman"/>
                      <w:b w:val="0"/>
                      <w:bCs/>
                      <w:color w:val="auto"/>
                      <w:kern w:val="2"/>
                      <w:sz w:val="21"/>
                      <w:szCs w:val="24"/>
                      <w:highlight w:val="none"/>
                      <w:lang w:val="en-US" w:eastAsia="zh-CN" w:bidi="ar-SA"/>
                    </w:rPr>
                  </w:pPr>
                  <w:r>
                    <w:rPr>
                      <w:rFonts w:hint="eastAsia" w:ascii="Times New Roman" w:hAnsi="Times New Roman" w:eastAsia="宋体" w:cs="Times New Roman"/>
                      <w:b w:val="0"/>
                      <w:bCs/>
                      <w:color w:val="auto"/>
                      <w:kern w:val="2"/>
                      <w:sz w:val="21"/>
                      <w:szCs w:val="24"/>
                      <w:highlight w:val="none"/>
                      <w:lang w:val="en-US" w:eastAsia="zh-CN" w:bidi="ar-SA"/>
                    </w:rPr>
                    <w:t>0.05</w:t>
                  </w:r>
                </w:p>
              </w:tc>
              <w:tc>
                <w:tcPr>
                  <w:tcW w:w="270" w:type="pct"/>
                  <w:tcBorders>
                    <w:tl2br w:val="nil"/>
                    <w:tr2bl w:val="nil"/>
                  </w:tcBorders>
                  <w:shd w:val="clear" w:color="auto" w:fill="auto"/>
                  <w:vAlign w:val="center"/>
                </w:tcPr>
                <w:p w14:paraId="4E782FE9">
                  <w:pPr>
                    <w:keepNext w:val="0"/>
                    <w:keepLines w:val="0"/>
                    <w:widowControl/>
                    <w:suppressLineNumbers w:val="0"/>
                    <w:autoSpaceDE w:val="0"/>
                    <w:autoSpaceDN w:val="0"/>
                    <w:adjustRightInd w:val="0"/>
                    <w:spacing w:before="0" w:beforeAutospacing="0" w:after="0" w:afterAutospacing="0" w:line="240" w:lineRule="exact"/>
                    <w:ind w:left="0" w:right="0"/>
                    <w:jc w:val="center"/>
                    <w:rPr>
                      <w:rFonts w:hint="eastAsia" w:ascii="Times New Roman" w:hAnsi="Times New Roman" w:eastAsia="宋体" w:cs="Times New Roman"/>
                      <w:color w:val="auto"/>
                      <w:spacing w:val="0"/>
                      <w:kern w:val="2"/>
                      <w:sz w:val="21"/>
                      <w:szCs w:val="24"/>
                      <w:highlight w:val="none"/>
                      <w:lang w:val="en-US" w:eastAsia="zh-CN" w:bidi="ar-SA"/>
                    </w:rPr>
                  </w:pPr>
                  <w:r>
                    <w:rPr>
                      <w:rFonts w:hint="eastAsia" w:ascii="Times New Roman" w:hAnsi="Times New Roman" w:eastAsia="宋体" w:cs="Times New Roman"/>
                      <w:color w:val="auto"/>
                      <w:spacing w:val="0"/>
                      <w:sz w:val="21"/>
                      <w:highlight w:val="none"/>
                      <w:lang w:val="en-US" w:eastAsia="zh-CN"/>
                    </w:rPr>
                    <w:t>固态</w:t>
                  </w:r>
                </w:p>
              </w:tc>
              <w:tc>
                <w:tcPr>
                  <w:tcW w:w="395" w:type="pct"/>
                  <w:tcBorders>
                    <w:tl2br w:val="nil"/>
                    <w:tr2bl w:val="nil"/>
                  </w:tcBorders>
                  <w:shd w:val="clear" w:color="auto" w:fill="auto"/>
                  <w:vAlign w:val="center"/>
                </w:tcPr>
                <w:p w14:paraId="23DC73D5">
                  <w:pPr>
                    <w:keepNext w:val="0"/>
                    <w:keepLines w:val="0"/>
                    <w:widowControl/>
                    <w:suppressLineNumbers w:val="0"/>
                    <w:autoSpaceDE w:val="0"/>
                    <w:autoSpaceDN w:val="0"/>
                    <w:adjustRightInd w:val="0"/>
                    <w:spacing w:before="0" w:beforeAutospacing="0" w:after="0" w:afterAutospacing="0" w:line="240" w:lineRule="exact"/>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b w:val="0"/>
                      <w:bCs w:val="0"/>
                      <w:color w:val="auto"/>
                      <w:sz w:val="21"/>
                      <w:szCs w:val="21"/>
                      <w:lang w:val="en-US" w:eastAsia="zh-CN"/>
                    </w:rPr>
                    <w:t>矿物油</w:t>
                  </w:r>
                </w:p>
              </w:tc>
              <w:tc>
                <w:tcPr>
                  <w:tcW w:w="389" w:type="pct"/>
                  <w:tcBorders>
                    <w:tl2br w:val="nil"/>
                    <w:tr2bl w:val="nil"/>
                  </w:tcBorders>
                  <w:shd w:val="clear" w:color="auto" w:fill="auto"/>
                  <w:vAlign w:val="center"/>
                </w:tcPr>
                <w:p w14:paraId="6514EA5C">
                  <w:pPr>
                    <w:keepNext w:val="0"/>
                    <w:keepLines w:val="0"/>
                    <w:widowControl/>
                    <w:suppressLineNumbers w:val="0"/>
                    <w:autoSpaceDE w:val="0"/>
                    <w:autoSpaceDN w:val="0"/>
                    <w:adjustRightInd w:val="0"/>
                    <w:spacing w:before="0" w:beforeAutospacing="0" w:after="0" w:afterAutospacing="0" w:line="240" w:lineRule="exact"/>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pacing w:val="0"/>
                      <w:kern w:val="2"/>
                      <w:sz w:val="21"/>
                      <w:szCs w:val="24"/>
                      <w:highlight w:val="none"/>
                      <w:lang w:val="en-US" w:eastAsia="zh-CN" w:bidi="ar-SA"/>
                    </w:rPr>
                    <w:t>桶装</w:t>
                  </w:r>
                </w:p>
              </w:tc>
              <w:tc>
                <w:tcPr>
                  <w:tcW w:w="389" w:type="pct"/>
                  <w:vMerge w:val="continue"/>
                  <w:tcBorders>
                    <w:tl2br w:val="nil"/>
                    <w:tr2bl w:val="nil"/>
                  </w:tcBorders>
                  <w:vAlign w:val="center"/>
                </w:tcPr>
                <w:p w14:paraId="6C048068">
                  <w:pPr>
                    <w:keepNext w:val="0"/>
                    <w:keepLines w:val="0"/>
                    <w:suppressLineNumbers w:val="0"/>
                    <w:spacing w:before="0" w:beforeAutospacing="0" w:after="0" w:afterAutospacing="0"/>
                    <w:ind w:left="0" w:right="0"/>
                    <w:jc w:val="center"/>
                    <w:rPr>
                      <w:rFonts w:hint="eastAsia" w:cs="Times New Roman"/>
                      <w:color w:val="auto"/>
                      <w:kern w:val="2"/>
                      <w:sz w:val="21"/>
                      <w:szCs w:val="24"/>
                      <w:highlight w:val="none"/>
                      <w:lang w:val="en-US" w:eastAsia="zh-CN" w:bidi="ar-SA"/>
                    </w:rPr>
                  </w:pPr>
                </w:p>
              </w:tc>
              <w:tc>
                <w:tcPr>
                  <w:tcW w:w="407" w:type="pct"/>
                  <w:vMerge w:val="continue"/>
                  <w:tcBorders>
                    <w:tl2br w:val="nil"/>
                    <w:tr2bl w:val="nil"/>
                  </w:tcBorders>
                  <w:vAlign w:val="center"/>
                </w:tcPr>
                <w:p w14:paraId="4746A0AA">
                  <w:pPr>
                    <w:keepNext w:val="0"/>
                    <w:keepLines w:val="0"/>
                    <w:suppressLineNumbers w:val="0"/>
                    <w:spacing w:before="0" w:beforeAutospacing="0" w:after="0" w:afterAutospacing="0"/>
                    <w:ind w:left="0" w:right="0"/>
                    <w:jc w:val="center"/>
                    <w:rPr>
                      <w:rFonts w:hint="eastAsia" w:ascii="Times New Roman" w:hAnsi="Times New Roman" w:cs="Times New Roman"/>
                      <w:color w:val="auto"/>
                      <w:kern w:val="2"/>
                      <w:sz w:val="21"/>
                      <w:szCs w:val="24"/>
                      <w:highlight w:val="none"/>
                      <w:lang w:val="en-US" w:eastAsia="zh-CN" w:bidi="ar-SA"/>
                    </w:rPr>
                  </w:pPr>
                </w:p>
              </w:tc>
              <w:tc>
                <w:tcPr>
                  <w:tcW w:w="407" w:type="pct"/>
                  <w:vMerge w:val="continue"/>
                  <w:tcBorders>
                    <w:tl2br w:val="nil"/>
                    <w:tr2bl w:val="nil"/>
                  </w:tcBorders>
                  <w:vAlign w:val="center"/>
                </w:tcPr>
                <w:p w14:paraId="27378F15">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4"/>
                      <w:highlight w:val="none"/>
                      <w:lang w:val="en-US" w:eastAsia="zh-CN" w:bidi="ar-SA"/>
                    </w:rPr>
                  </w:pPr>
                </w:p>
              </w:tc>
              <w:tc>
                <w:tcPr>
                  <w:tcW w:w="413" w:type="pct"/>
                  <w:vMerge w:val="continue"/>
                  <w:tcBorders>
                    <w:tl2br w:val="nil"/>
                    <w:tr2bl w:val="nil"/>
                  </w:tcBorders>
                  <w:vAlign w:val="center"/>
                </w:tcPr>
                <w:p w14:paraId="14D54271">
                  <w:pPr>
                    <w:keepNext w:val="0"/>
                    <w:keepLines w:val="0"/>
                    <w:suppressLineNumbers w:val="0"/>
                    <w:spacing w:before="0" w:beforeAutospacing="0" w:after="0" w:afterAutospacing="0"/>
                    <w:ind w:left="0" w:right="0"/>
                    <w:jc w:val="center"/>
                    <w:rPr>
                      <w:rFonts w:hint="eastAsia" w:cs="Times New Roman"/>
                      <w:color w:val="auto"/>
                      <w:kern w:val="2"/>
                      <w:sz w:val="21"/>
                      <w:szCs w:val="24"/>
                      <w:highlight w:val="none"/>
                      <w:lang w:val="en-US" w:eastAsia="zh-CN" w:bidi="ar-SA"/>
                    </w:rPr>
                  </w:pPr>
                </w:p>
              </w:tc>
              <w:tc>
                <w:tcPr>
                  <w:tcW w:w="455" w:type="pct"/>
                  <w:vMerge w:val="continue"/>
                  <w:tcBorders>
                    <w:tl2br w:val="nil"/>
                    <w:tr2bl w:val="nil"/>
                  </w:tcBorders>
                  <w:vAlign w:val="center"/>
                </w:tcPr>
                <w:p w14:paraId="3ED9E55E">
                  <w:pPr>
                    <w:keepNext w:val="0"/>
                    <w:keepLines w:val="0"/>
                    <w:suppressLineNumbers w:val="0"/>
                    <w:spacing w:before="0" w:beforeAutospacing="0" w:after="0" w:afterAutospacing="0"/>
                    <w:ind w:left="0" w:right="0"/>
                    <w:jc w:val="center"/>
                    <w:rPr>
                      <w:rFonts w:hint="eastAsia" w:ascii="Times New Roman" w:hAnsi="Times New Roman" w:eastAsia="宋体" w:cs="Times New Roman"/>
                      <w:color w:val="auto"/>
                      <w:kern w:val="2"/>
                      <w:sz w:val="21"/>
                      <w:szCs w:val="24"/>
                      <w:highlight w:val="none"/>
                      <w:lang w:val="en-US" w:eastAsia="zh-CN" w:bidi="ar-SA"/>
                    </w:rPr>
                  </w:pPr>
                </w:p>
              </w:tc>
            </w:tr>
          </w:tbl>
          <w:p w14:paraId="2488390C">
            <w:pPr>
              <w:keepNext w:val="0"/>
              <w:keepLines w:val="0"/>
              <w:suppressLineNumbers w:val="0"/>
              <w:bidi w:val="0"/>
              <w:spacing w:before="0" w:beforeAutospacing="0" w:after="0" w:afterAutospacing="0" w:line="360" w:lineRule="auto"/>
              <w:ind w:left="0" w:right="0"/>
              <w:jc w:val="center"/>
              <w:rPr>
                <w:rFonts w:hint="default"/>
                <w:color w:val="auto"/>
                <w:sz w:val="24"/>
                <w:highlight w:val="none"/>
              </w:rPr>
            </w:pPr>
          </w:p>
        </w:tc>
      </w:tr>
    </w:tbl>
    <w:p w14:paraId="4D126F5E">
      <w:pPr>
        <w:rPr>
          <w:rFonts w:hint="default"/>
          <w:color w:val="auto"/>
          <w:highlight w:val="none"/>
        </w:rPr>
        <w:sectPr>
          <w:pgSz w:w="16840" w:h="11907" w:orient="landscape"/>
          <w:pgMar w:top="1531" w:right="1701" w:bottom="1531" w:left="2127" w:header="851" w:footer="851" w:gutter="0"/>
          <w:pgBorders>
            <w:top w:val="none" w:sz="0" w:space="0"/>
            <w:left w:val="none" w:sz="0" w:space="0"/>
            <w:bottom w:val="none" w:sz="0" w:space="0"/>
            <w:right w:val="none" w:sz="0" w:space="0"/>
          </w:pgBorders>
          <w:pgNumType w:fmt="decimal"/>
          <w:cols w:space="720" w:num="1"/>
          <w:docGrid w:linePitch="312" w:charSpace="0"/>
        </w:sectPr>
      </w:pPr>
    </w:p>
    <w:tbl>
      <w:tblPr>
        <w:tblStyle w:val="26"/>
        <w:tblW w:w="8981"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297"/>
        <w:gridCol w:w="8684"/>
      </w:tblGrid>
      <w:tr w14:paraId="79E3EE2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trHeight w:val="12941" w:hRule="atLeast"/>
          <w:jc w:val="center"/>
        </w:trPr>
        <w:tc>
          <w:tcPr>
            <w:tcW w:w="0" w:type="auto"/>
            <w:tcMar>
              <w:left w:w="28" w:type="dxa"/>
              <w:right w:w="28" w:type="dxa"/>
            </w:tcMar>
            <w:vAlign w:val="center"/>
          </w:tcPr>
          <w:p w14:paraId="0753800C">
            <w:pPr>
              <w:keepNext w:val="0"/>
              <w:keepLines w:val="0"/>
              <w:widowControl/>
              <w:suppressLineNumbers w:val="0"/>
              <w:bidi w:val="0"/>
              <w:spacing w:before="0" w:beforeAutospacing="0" w:after="0" w:afterAutospacing="0" w:line="240" w:lineRule="auto"/>
              <w:ind w:left="0" w:right="0" w:firstLine="0" w:firstLineChars="0"/>
              <w:jc w:val="center"/>
              <w:rPr>
                <w:rFonts w:hint="eastAsia" w:ascii="Times New Roman" w:hAnsi="Times New Roman" w:eastAsia="宋体" w:cs="Times New Roman"/>
                <w:b/>
                <w:bCs/>
                <w:color w:val="auto"/>
                <w:kern w:val="0"/>
                <w:sz w:val="24"/>
                <w:szCs w:val="20"/>
                <w:highlight w:val="none"/>
                <w:lang w:val="en-US" w:eastAsia="zh-CN" w:bidi="ar-SA"/>
              </w:rPr>
            </w:pPr>
            <w:r>
              <w:rPr>
                <w:rFonts w:hint="eastAsia" w:ascii="Times New Roman" w:hAnsi="Times New Roman" w:eastAsia="宋体" w:cs="Times New Roman"/>
                <w:b/>
                <w:bCs/>
                <w:color w:val="auto"/>
                <w:kern w:val="0"/>
                <w:sz w:val="24"/>
                <w:szCs w:val="20"/>
                <w:highlight w:val="none"/>
                <w:lang w:val="en-US" w:eastAsia="zh-CN" w:bidi="ar-SA"/>
              </w:rPr>
              <w:t>运</w:t>
            </w:r>
          </w:p>
          <w:p w14:paraId="17321222">
            <w:pPr>
              <w:keepNext w:val="0"/>
              <w:keepLines w:val="0"/>
              <w:widowControl/>
              <w:suppressLineNumbers w:val="0"/>
              <w:bidi w:val="0"/>
              <w:spacing w:before="0" w:beforeAutospacing="0" w:after="0" w:afterAutospacing="0" w:line="240" w:lineRule="auto"/>
              <w:ind w:left="0" w:right="0" w:firstLine="0" w:firstLineChars="0"/>
              <w:jc w:val="center"/>
              <w:rPr>
                <w:rFonts w:hint="default" w:ascii="Times New Roman" w:hAnsi="Times New Roman" w:eastAsia="宋体" w:cs="Times New Roman"/>
                <w:b/>
                <w:bCs/>
                <w:color w:val="auto"/>
                <w:kern w:val="0"/>
                <w:sz w:val="24"/>
                <w:szCs w:val="20"/>
                <w:highlight w:val="none"/>
                <w:lang w:val="en-US" w:eastAsia="zh-CN" w:bidi="ar-SA"/>
              </w:rPr>
            </w:pPr>
            <w:r>
              <w:rPr>
                <w:rFonts w:hint="eastAsia" w:ascii="Times New Roman" w:hAnsi="Times New Roman" w:eastAsia="宋体" w:cs="Times New Roman"/>
                <w:b/>
                <w:bCs/>
                <w:color w:val="auto"/>
                <w:kern w:val="0"/>
                <w:sz w:val="24"/>
                <w:szCs w:val="20"/>
                <w:highlight w:val="none"/>
                <w:lang w:val="en-US" w:eastAsia="zh-CN" w:bidi="ar-SA"/>
              </w:rPr>
              <w:t>营</w:t>
            </w:r>
            <w:r>
              <w:rPr>
                <w:rFonts w:hint="default" w:ascii="Times New Roman" w:hAnsi="Times New Roman" w:eastAsia="宋体" w:cs="Times New Roman"/>
                <w:b/>
                <w:bCs/>
                <w:color w:val="auto"/>
                <w:kern w:val="0"/>
                <w:sz w:val="24"/>
                <w:szCs w:val="20"/>
                <w:highlight w:val="none"/>
                <w:lang w:val="en-US" w:eastAsia="zh-CN" w:bidi="ar-SA"/>
              </w:rPr>
              <w:t>期</w:t>
            </w:r>
          </w:p>
          <w:p w14:paraId="275880D2">
            <w:pPr>
              <w:keepNext w:val="0"/>
              <w:keepLines w:val="0"/>
              <w:widowControl/>
              <w:suppressLineNumbers w:val="0"/>
              <w:bidi w:val="0"/>
              <w:spacing w:before="0" w:beforeAutospacing="0" w:after="0" w:afterAutospacing="0" w:line="240" w:lineRule="auto"/>
              <w:ind w:left="0" w:right="0" w:firstLine="0" w:firstLineChars="0"/>
              <w:jc w:val="center"/>
              <w:rPr>
                <w:rFonts w:hint="default" w:ascii="Times New Roman" w:hAnsi="Times New Roman" w:eastAsia="宋体" w:cs="Times New Roman"/>
                <w:b/>
                <w:bCs/>
                <w:color w:val="auto"/>
                <w:kern w:val="0"/>
                <w:sz w:val="24"/>
                <w:szCs w:val="20"/>
                <w:highlight w:val="none"/>
                <w:lang w:val="en-US" w:eastAsia="zh-CN" w:bidi="ar-SA"/>
              </w:rPr>
            </w:pPr>
            <w:r>
              <w:rPr>
                <w:rFonts w:hint="default" w:ascii="Times New Roman" w:hAnsi="Times New Roman" w:eastAsia="宋体" w:cs="Times New Roman"/>
                <w:b/>
                <w:bCs/>
                <w:color w:val="auto"/>
                <w:kern w:val="0"/>
                <w:sz w:val="24"/>
                <w:szCs w:val="20"/>
                <w:highlight w:val="none"/>
                <w:lang w:val="en-US" w:eastAsia="zh-CN" w:bidi="ar-SA"/>
              </w:rPr>
              <w:t>环</w:t>
            </w:r>
          </w:p>
          <w:p w14:paraId="32340892">
            <w:pPr>
              <w:keepNext w:val="0"/>
              <w:keepLines w:val="0"/>
              <w:widowControl/>
              <w:suppressLineNumbers w:val="0"/>
              <w:bidi w:val="0"/>
              <w:spacing w:before="0" w:beforeAutospacing="0" w:after="0" w:afterAutospacing="0" w:line="240" w:lineRule="auto"/>
              <w:ind w:left="0" w:right="0" w:firstLine="0" w:firstLineChars="0"/>
              <w:jc w:val="center"/>
              <w:rPr>
                <w:rFonts w:hint="default" w:ascii="Times New Roman" w:hAnsi="Times New Roman" w:eastAsia="宋体" w:cs="Times New Roman"/>
                <w:b/>
                <w:bCs/>
                <w:color w:val="auto"/>
                <w:kern w:val="0"/>
                <w:sz w:val="24"/>
                <w:szCs w:val="20"/>
                <w:highlight w:val="none"/>
                <w:lang w:val="en-US" w:eastAsia="zh-CN" w:bidi="ar-SA"/>
              </w:rPr>
            </w:pPr>
            <w:r>
              <w:rPr>
                <w:rFonts w:hint="default" w:ascii="Times New Roman" w:hAnsi="Times New Roman" w:eastAsia="宋体" w:cs="Times New Roman"/>
                <w:b/>
                <w:bCs/>
                <w:color w:val="auto"/>
                <w:kern w:val="0"/>
                <w:sz w:val="24"/>
                <w:szCs w:val="20"/>
                <w:highlight w:val="none"/>
                <w:lang w:val="en-US" w:eastAsia="zh-CN" w:bidi="ar-SA"/>
              </w:rPr>
              <w:t>境</w:t>
            </w:r>
          </w:p>
          <w:p w14:paraId="194F630C">
            <w:pPr>
              <w:keepNext w:val="0"/>
              <w:keepLines w:val="0"/>
              <w:widowControl/>
              <w:suppressLineNumbers w:val="0"/>
              <w:bidi w:val="0"/>
              <w:spacing w:before="0" w:beforeAutospacing="0" w:after="0" w:afterAutospacing="0" w:line="240" w:lineRule="auto"/>
              <w:ind w:left="0" w:right="0" w:firstLine="0" w:firstLineChars="0"/>
              <w:jc w:val="center"/>
              <w:rPr>
                <w:rFonts w:hint="default" w:ascii="Times New Roman" w:hAnsi="Times New Roman" w:eastAsia="宋体" w:cs="Times New Roman"/>
                <w:b/>
                <w:bCs/>
                <w:color w:val="auto"/>
                <w:kern w:val="0"/>
                <w:sz w:val="24"/>
                <w:szCs w:val="20"/>
                <w:highlight w:val="none"/>
                <w:lang w:val="en-US" w:eastAsia="zh-CN" w:bidi="ar-SA"/>
              </w:rPr>
            </w:pPr>
            <w:r>
              <w:rPr>
                <w:rFonts w:hint="default" w:ascii="Times New Roman" w:hAnsi="Times New Roman" w:eastAsia="宋体" w:cs="Times New Roman"/>
                <w:b/>
                <w:bCs/>
                <w:color w:val="auto"/>
                <w:kern w:val="0"/>
                <w:sz w:val="24"/>
                <w:szCs w:val="20"/>
                <w:highlight w:val="none"/>
                <w:lang w:val="en-US" w:eastAsia="zh-CN" w:bidi="ar-SA"/>
              </w:rPr>
              <w:t>保</w:t>
            </w:r>
          </w:p>
          <w:p w14:paraId="502B0EC0">
            <w:pPr>
              <w:keepNext w:val="0"/>
              <w:keepLines w:val="0"/>
              <w:widowControl/>
              <w:suppressLineNumbers w:val="0"/>
              <w:bidi w:val="0"/>
              <w:spacing w:before="0" w:beforeAutospacing="0" w:after="0" w:afterAutospacing="0" w:line="240" w:lineRule="auto"/>
              <w:ind w:left="0" w:right="0" w:firstLine="0" w:firstLineChars="0"/>
              <w:jc w:val="center"/>
              <w:rPr>
                <w:rFonts w:hint="default" w:ascii="Times New Roman" w:hAnsi="Times New Roman" w:eastAsia="宋体" w:cs="Times New Roman"/>
                <w:b/>
                <w:bCs/>
                <w:color w:val="auto"/>
                <w:kern w:val="0"/>
                <w:sz w:val="24"/>
                <w:szCs w:val="20"/>
                <w:highlight w:val="none"/>
                <w:lang w:val="en-US" w:eastAsia="zh-CN" w:bidi="ar-SA"/>
              </w:rPr>
            </w:pPr>
            <w:r>
              <w:rPr>
                <w:rFonts w:hint="default" w:ascii="Times New Roman" w:hAnsi="Times New Roman" w:eastAsia="宋体" w:cs="Times New Roman"/>
                <w:b/>
                <w:bCs/>
                <w:color w:val="auto"/>
                <w:kern w:val="0"/>
                <w:sz w:val="24"/>
                <w:szCs w:val="20"/>
                <w:highlight w:val="none"/>
                <w:lang w:val="en-US" w:eastAsia="zh-CN" w:bidi="ar-SA"/>
              </w:rPr>
              <w:t>护</w:t>
            </w:r>
          </w:p>
          <w:p w14:paraId="73099198">
            <w:pPr>
              <w:keepNext w:val="0"/>
              <w:keepLines w:val="0"/>
              <w:widowControl/>
              <w:suppressLineNumbers w:val="0"/>
              <w:bidi w:val="0"/>
              <w:spacing w:before="0" w:beforeAutospacing="0" w:after="0" w:afterAutospacing="0" w:line="240" w:lineRule="auto"/>
              <w:ind w:left="0" w:right="0" w:firstLine="0" w:firstLineChars="0"/>
              <w:jc w:val="center"/>
              <w:rPr>
                <w:rFonts w:hint="default" w:ascii="Times New Roman" w:hAnsi="Times New Roman" w:eastAsia="宋体" w:cs="Times New Roman"/>
                <w:b/>
                <w:bCs/>
                <w:color w:val="auto"/>
                <w:kern w:val="0"/>
                <w:sz w:val="24"/>
                <w:szCs w:val="20"/>
                <w:highlight w:val="none"/>
                <w:lang w:val="en-US" w:eastAsia="zh-CN" w:bidi="ar-SA"/>
              </w:rPr>
            </w:pPr>
            <w:r>
              <w:rPr>
                <w:rFonts w:hint="default" w:ascii="Times New Roman" w:hAnsi="Times New Roman" w:eastAsia="宋体" w:cs="Times New Roman"/>
                <w:b/>
                <w:bCs/>
                <w:color w:val="auto"/>
                <w:kern w:val="0"/>
                <w:sz w:val="24"/>
                <w:szCs w:val="20"/>
                <w:highlight w:val="none"/>
                <w:lang w:val="en-US" w:eastAsia="zh-CN" w:bidi="ar-SA"/>
              </w:rPr>
              <w:t>措</w:t>
            </w:r>
          </w:p>
          <w:p w14:paraId="5F1D3A7F">
            <w:pPr>
              <w:keepNext w:val="0"/>
              <w:keepLines w:val="0"/>
              <w:widowControl/>
              <w:suppressLineNumbers w:val="0"/>
              <w:bidi w:val="0"/>
              <w:spacing w:before="0" w:beforeAutospacing="0" w:after="0" w:afterAutospacing="0" w:line="240" w:lineRule="auto"/>
              <w:ind w:left="0" w:right="0" w:firstLine="0" w:firstLineChars="0"/>
              <w:jc w:val="center"/>
              <w:rPr>
                <w:rFonts w:hint="default" w:ascii="Times New Roman" w:hAnsi="Times New Roman" w:eastAsia="宋体" w:cs="Times New Roman"/>
                <w:b/>
                <w:bCs/>
                <w:color w:val="auto"/>
                <w:kern w:val="2"/>
                <w:sz w:val="24"/>
                <w:szCs w:val="21"/>
                <w:highlight w:val="none"/>
                <w:lang w:val="en-US" w:eastAsia="zh-CN" w:bidi="ar-SA"/>
              </w:rPr>
            </w:pPr>
            <w:r>
              <w:rPr>
                <w:rFonts w:hint="default" w:ascii="Times New Roman" w:hAnsi="Times New Roman" w:eastAsia="宋体" w:cs="Times New Roman"/>
                <w:b/>
                <w:bCs/>
                <w:color w:val="auto"/>
                <w:kern w:val="0"/>
                <w:sz w:val="24"/>
                <w:szCs w:val="20"/>
                <w:highlight w:val="none"/>
                <w:lang w:val="en-US" w:eastAsia="zh-CN" w:bidi="ar-SA"/>
              </w:rPr>
              <w:t>施</w:t>
            </w:r>
          </w:p>
        </w:tc>
        <w:tc>
          <w:tcPr>
            <w:tcW w:w="0" w:type="auto"/>
            <w:vAlign w:val="center"/>
          </w:tcPr>
          <w:p w14:paraId="41B1C8E5">
            <w:pPr>
              <w:keepNext w:val="0"/>
              <w:keepLines w:val="0"/>
              <w:suppressLineNumbers w:val="0"/>
              <w:bidi w:val="0"/>
              <w:spacing w:before="0" w:beforeAutospacing="0" w:after="0" w:afterAutospacing="0" w:line="360" w:lineRule="auto"/>
              <w:ind w:left="0" w:right="0" w:firstLine="480" w:firstLineChars="200"/>
              <w:rPr>
                <w:rFonts w:hint="eastAsia"/>
                <w:color w:val="auto"/>
                <w:sz w:val="24"/>
                <w:highlight w:val="none"/>
                <w:lang w:val="en-US" w:eastAsia="zh-CN"/>
              </w:rPr>
            </w:pPr>
            <w:r>
              <w:rPr>
                <w:rFonts w:hint="eastAsia" w:eastAsia="宋体"/>
                <w:color w:val="auto"/>
                <w:sz w:val="24"/>
                <w:highlight w:val="none"/>
                <w:lang w:eastAsia="zh-CN"/>
              </w:rPr>
              <w:t>（</w:t>
            </w:r>
            <w:r>
              <w:rPr>
                <w:rFonts w:hint="eastAsia" w:ascii="Times New Roman" w:eastAsia="宋体"/>
                <w:color w:val="auto"/>
                <w:sz w:val="24"/>
                <w:highlight w:val="none"/>
                <w:lang w:val="en-US" w:eastAsia="zh-CN"/>
              </w:rPr>
              <w:t>2</w:t>
            </w:r>
            <w:r>
              <w:rPr>
                <w:rFonts w:hint="eastAsia" w:eastAsia="宋体"/>
                <w:color w:val="auto"/>
                <w:sz w:val="24"/>
                <w:highlight w:val="none"/>
                <w:lang w:eastAsia="zh-CN"/>
              </w:rPr>
              <w:t>）</w:t>
            </w:r>
            <w:r>
              <w:rPr>
                <w:rFonts w:hint="eastAsia" w:ascii="Times New Roman" w:eastAsia="宋体"/>
                <w:color w:val="auto"/>
                <w:sz w:val="24"/>
                <w:highlight w:val="none"/>
                <w:lang w:val="en-US" w:eastAsia="zh-CN"/>
              </w:rPr>
              <w:t>固体废物源强核算过程</w:t>
            </w:r>
          </w:p>
          <w:p w14:paraId="7A61FFC5">
            <w:pPr>
              <w:keepNext w:val="0"/>
              <w:keepLines w:val="0"/>
              <w:suppressLineNumbers w:val="0"/>
              <w:spacing w:before="0" w:beforeAutospacing="0" w:after="0" w:afterAutospacing="0" w:line="360" w:lineRule="auto"/>
              <w:ind w:left="0" w:right="0" w:firstLine="480" w:firstLineChars="200"/>
              <w:rPr>
                <w:rFonts w:hint="eastAsia"/>
                <w:color w:val="auto"/>
                <w:sz w:val="24"/>
                <w:highlight w:val="none"/>
              </w:rPr>
            </w:pPr>
            <w:r>
              <w:rPr>
                <w:rFonts w:hint="eastAsia"/>
                <w:color w:val="auto"/>
                <w:sz w:val="24"/>
                <w:highlight w:val="none"/>
              </w:rPr>
              <w:t>1</w:t>
            </w:r>
            <w:r>
              <w:rPr>
                <w:rFonts w:hint="default"/>
                <w:color w:val="auto"/>
                <w:sz w:val="24"/>
                <w:highlight w:val="none"/>
              </w:rPr>
              <w:t>）生活垃圾</w:t>
            </w:r>
          </w:p>
          <w:p w14:paraId="59F9E35B">
            <w:pPr>
              <w:keepNext w:val="0"/>
              <w:keepLines w:val="0"/>
              <w:suppressLineNumbers w:val="0"/>
              <w:spacing w:before="0" w:beforeAutospacing="0" w:after="0" w:afterAutospacing="0" w:line="360" w:lineRule="auto"/>
              <w:ind w:left="0" w:right="0" w:firstLine="480" w:firstLineChars="200"/>
              <w:rPr>
                <w:rFonts w:hint="default"/>
                <w:color w:val="auto"/>
                <w:sz w:val="24"/>
                <w:highlight w:val="none"/>
              </w:rPr>
            </w:pPr>
            <w:r>
              <w:rPr>
                <w:rFonts w:hint="default"/>
                <w:color w:val="auto"/>
                <w:sz w:val="24"/>
                <w:highlight w:val="none"/>
              </w:rPr>
              <w:t>生活垃圾来源于企业员工办公、生活，</w:t>
            </w:r>
            <w:r>
              <w:rPr>
                <w:rFonts w:hint="eastAsia"/>
                <w:color w:val="auto"/>
                <w:sz w:val="24"/>
                <w:highlight w:val="none"/>
              </w:rPr>
              <w:t>员工</w:t>
            </w:r>
            <w:r>
              <w:rPr>
                <w:rFonts w:hint="default"/>
                <w:color w:val="auto"/>
                <w:sz w:val="24"/>
                <w:highlight w:val="none"/>
              </w:rPr>
              <w:t>生活垃圾产生量按</w:t>
            </w:r>
            <w:r>
              <w:rPr>
                <w:rFonts w:hint="eastAsia"/>
                <w:color w:val="auto"/>
                <w:sz w:val="24"/>
                <w:highlight w:val="none"/>
              </w:rPr>
              <w:t>0.5</w:t>
            </w:r>
            <w:r>
              <w:rPr>
                <w:rFonts w:hint="default"/>
                <w:color w:val="auto"/>
                <w:sz w:val="24"/>
                <w:highlight w:val="none"/>
              </w:rPr>
              <w:t>kg/人</w:t>
            </w:r>
            <w:r>
              <w:rPr>
                <w:rFonts w:hint="default" w:ascii="Times New Roman" w:hAnsi="Times New Roman" w:cs="Times New Roman"/>
                <w:color w:val="auto"/>
                <w:sz w:val="24"/>
                <w:highlight w:val="none"/>
                <w:lang w:val="en-US" w:eastAsia="zh-CN"/>
              </w:rPr>
              <w:t>·</w:t>
            </w:r>
            <w:r>
              <w:rPr>
                <w:rFonts w:hint="default"/>
                <w:color w:val="auto"/>
                <w:sz w:val="24"/>
                <w:highlight w:val="none"/>
              </w:rPr>
              <w:t>d计，全厂职工人数为</w:t>
            </w:r>
            <w:r>
              <w:rPr>
                <w:rFonts w:hint="eastAsia"/>
                <w:color w:val="auto"/>
                <w:sz w:val="24"/>
                <w:highlight w:val="none"/>
                <w:lang w:val="en-US" w:eastAsia="zh-CN"/>
              </w:rPr>
              <w:t>500</w:t>
            </w:r>
            <w:r>
              <w:rPr>
                <w:rFonts w:hint="default"/>
                <w:color w:val="auto"/>
                <w:sz w:val="24"/>
                <w:highlight w:val="none"/>
              </w:rPr>
              <w:t>人</w:t>
            </w:r>
            <w:r>
              <w:rPr>
                <w:rFonts w:hint="eastAsia"/>
                <w:color w:val="auto"/>
                <w:sz w:val="24"/>
                <w:highlight w:val="none"/>
              </w:rPr>
              <w:t>，员工</w:t>
            </w:r>
            <w:r>
              <w:rPr>
                <w:rFonts w:hint="default"/>
                <w:color w:val="auto"/>
                <w:sz w:val="24"/>
                <w:highlight w:val="none"/>
              </w:rPr>
              <w:t>生活垃圾产生量为</w:t>
            </w:r>
            <w:r>
              <w:rPr>
                <w:rFonts w:hint="eastAsia"/>
                <w:color w:val="auto"/>
                <w:sz w:val="24"/>
                <w:highlight w:val="none"/>
                <w:lang w:val="en-US" w:eastAsia="zh-CN"/>
              </w:rPr>
              <w:t>75</w:t>
            </w:r>
            <w:r>
              <w:rPr>
                <w:rFonts w:hint="default"/>
                <w:color w:val="auto"/>
                <w:sz w:val="24"/>
                <w:highlight w:val="none"/>
              </w:rPr>
              <w:t>t/a</w:t>
            </w:r>
            <w:r>
              <w:rPr>
                <w:rFonts w:hint="eastAsia"/>
                <w:color w:val="auto"/>
                <w:sz w:val="24"/>
                <w:highlight w:val="none"/>
              </w:rPr>
              <w:t>，</w:t>
            </w:r>
            <w:r>
              <w:rPr>
                <w:rFonts w:hint="default"/>
                <w:color w:val="auto"/>
                <w:sz w:val="24"/>
                <w:highlight w:val="none"/>
              </w:rPr>
              <w:t>如不对其采取有效的处理措施，则可能造成这些废物的腐烂，滋生蚊、蝇、鼠、虫等，散发臭气，影响环境卫生，诱发各种传染病。本项目生活垃圾经收集后由</w:t>
            </w:r>
            <w:r>
              <w:rPr>
                <w:rFonts w:hint="eastAsia"/>
                <w:color w:val="auto"/>
                <w:sz w:val="24"/>
                <w:highlight w:val="none"/>
                <w:lang w:val="en-US" w:eastAsia="zh-CN"/>
              </w:rPr>
              <w:t>当地</w:t>
            </w:r>
            <w:r>
              <w:rPr>
                <w:rFonts w:hint="default"/>
                <w:color w:val="auto"/>
                <w:sz w:val="24"/>
                <w:highlight w:val="none"/>
              </w:rPr>
              <w:t>环卫</w:t>
            </w:r>
            <w:r>
              <w:rPr>
                <w:rFonts w:hint="eastAsia"/>
                <w:color w:val="auto"/>
                <w:sz w:val="24"/>
                <w:highlight w:val="none"/>
                <w:lang w:val="en-US" w:eastAsia="zh-CN"/>
              </w:rPr>
              <w:t>部门</w:t>
            </w:r>
            <w:r>
              <w:rPr>
                <w:rFonts w:hint="eastAsia"/>
                <w:color w:val="auto"/>
                <w:sz w:val="24"/>
                <w:highlight w:val="none"/>
              </w:rPr>
              <w:t>定期清运</w:t>
            </w:r>
            <w:r>
              <w:rPr>
                <w:rFonts w:hint="default"/>
                <w:color w:val="auto"/>
                <w:sz w:val="24"/>
                <w:highlight w:val="none"/>
              </w:rPr>
              <w:t>。</w:t>
            </w:r>
          </w:p>
          <w:p w14:paraId="448953F3">
            <w:pPr>
              <w:keepNext w:val="0"/>
              <w:keepLines w:val="0"/>
              <w:suppressLineNumbers w:val="0"/>
              <w:adjustRightInd w:val="0"/>
              <w:snapToGrid w:val="0"/>
              <w:spacing w:before="0" w:beforeAutospacing="0" w:after="0" w:afterAutospacing="0" w:line="360" w:lineRule="auto"/>
              <w:ind w:left="0" w:right="0" w:firstLine="480" w:firstLineChars="200"/>
              <w:rPr>
                <w:rFonts w:hint="eastAsia"/>
                <w:color w:val="auto"/>
                <w:sz w:val="24"/>
                <w:highlight w:val="none"/>
                <w:lang w:val="en-US" w:eastAsia="zh-CN"/>
              </w:rPr>
            </w:pPr>
            <w:r>
              <w:rPr>
                <w:rFonts w:hint="eastAsia"/>
                <w:color w:val="auto"/>
                <w:sz w:val="24"/>
                <w:highlight w:val="none"/>
              </w:rPr>
              <w:t>2）</w:t>
            </w:r>
            <w:r>
              <w:rPr>
                <w:rFonts w:hint="eastAsia"/>
                <w:color w:val="auto"/>
                <w:sz w:val="24"/>
                <w:highlight w:val="none"/>
                <w:lang w:val="en-US" w:eastAsia="zh-CN"/>
              </w:rPr>
              <w:t>一般工业固废</w:t>
            </w:r>
          </w:p>
          <w:p w14:paraId="50BA37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color w:val="auto"/>
                <w:sz w:val="24"/>
                <w:highlight w:val="none"/>
                <w:lang w:val="en-US" w:eastAsia="zh-CN"/>
              </w:rPr>
            </w:pPr>
            <w:r>
              <w:rPr>
                <w:rFonts w:hint="eastAsia"/>
                <w:color w:val="auto"/>
                <w:sz w:val="24"/>
                <w:highlight w:val="none"/>
                <w:lang w:val="en-US" w:eastAsia="zh-CN"/>
              </w:rPr>
              <w:t>①废包装袋：本项目原辅材料拆包使用及产品包装过程会产生一定量的废包装袋，产生量约为1t/a，暂存在一般固废暂存间。经收集后外售综合利用。</w:t>
            </w:r>
          </w:p>
          <w:p w14:paraId="034DB6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color w:val="auto"/>
                <w:sz w:val="24"/>
                <w:highlight w:val="none"/>
                <w:lang w:val="en-US" w:eastAsia="zh-CN"/>
              </w:rPr>
            </w:pPr>
            <w:r>
              <w:rPr>
                <w:rFonts w:hint="eastAsia"/>
                <w:color w:val="auto"/>
                <w:sz w:val="24"/>
                <w:highlight w:val="none"/>
                <w:lang w:val="en-US" w:eastAsia="zh-CN"/>
              </w:rPr>
              <w:t>②废边角料：主要来源于原材料的裁剪和加工环节，根据建设单位同类项目运行经验，产生量约为5g/双鞋。按年产280万双鞋计算，废弃边角料产生量约为14t/a。该部分废物属于一般固体废物，经分类收集后暂存于一般固体废物暂存间，定期外售综合利用。</w:t>
            </w:r>
          </w:p>
          <w:p w14:paraId="6C0078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color w:val="auto"/>
                <w:lang w:val="en-US" w:eastAsia="zh-CN"/>
              </w:rPr>
            </w:pPr>
            <w:r>
              <w:rPr>
                <w:rFonts w:hint="eastAsia"/>
                <w:color w:val="auto"/>
                <w:sz w:val="24"/>
                <w:highlight w:val="none"/>
                <w:lang w:val="en-US" w:eastAsia="zh-CN"/>
              </w:rPr>
              <w:t>③注塑废边角料：项目注塑过程中会产生一定的边角料，根据建设单位同类项目运行经验，注塑边角料产生量为注塑原料的5%，项目注塑原料约124t/a，故注塑边角料产生量约为24.8t/a，经分类收集后暂存于一般固体废物暂存间，定期外售综合利用。</w:t>
            </w:r>
          </w:p>
          <w:p w14:paraId="2FDB20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color w:val="auto"/>
                <w:lang w:val="en-US" w:eastAsia="zh-CN"/>
              </w:rPr>
            </w:pPr>
            <w:r>
              <w:rPr>
                <w:rFonts w:hint="eastAsia"/>
                <w:color w:val="auto"/>
                <w:sz w:val="24"/>
                <w:highlight w:val="none"/>
                <w:lang w:val="en-US" w:eastAsia="zh-CN"/>
              </w:rPr>
              <w:t>④布袋收集粉尘：根据前文废气核算，布袋除尘器收集粉尘为5.95t/a，收集后暂存于一般固体废物暂存间，定期交由环卫部门处置。</w:t>
            </w:r>
          </w:p>
          <w:p w14:paraId="05193C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olor w:val="auto"/>
                <w:sz w:val="24"/>
                <w:highlight w:val="none"/>
                <w:lang w:val="en-US" w:eastAsia="zh-CN"/>
              </w:rPr>
            </w:pPr>
            <w:r>
              <w:rPr>
                <w:rFonts w:hint="eastAsia" w:ascii="Times New Roman" w:hAnsi="Times New Roman"/>
                <w:color w:val="auto"/>
                <w:sz w:val="24"/>
                <w:highlight w:val="none"/>
                <w:lang w:val="en-US" w:eastAsia="zh-CN"/>
              </w:rPr>
              <w:t>⑤废布袋：布袋除尘器中的布袋定期更换，根据建设单位提供资料，废布袋更换周期约2年更换1次，产生量约0.01t/a，废布袋属于一般工业固废，收集后暂存于一般固废暂存间，定期外售处理。</w:t>
            </w:r>
          </w:p>
          <w:p w14:paraId="4CA42A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olor w:val="auto"/>
                <w:sz w:val="24"/>
                <w:highlight w:val="none"/>
                <w:lang w:val="en-US" w:eastAsia="zh-CN"/>
              </w:rPr>
            </w:pPr>
            <w:r>
              <w:rPr>
                <w:rFonts w:hint="eastAsia" w:ascii="Times New Roman" w:hAnsi="Times New Roman"/>
                <w:color w:val="auto"/>
                <w:sz w:val="24"/>
                <w:highlight w:val="none"/>
                <w:lang w:val="en-US" w:eastAsia="zh-CN"/>
              </w:rPr>
              <w:t>⑥不合格品：休闲鞋生产过程中难免存在不合格品，</w:t>
            </w:r>
            <w:r>
              <w:rPr>
                <w:rFonts w:hint="eastAsia"/>
                <w:color w:val="auto"/>
                <w:sz w:val="24"/>
                <w:highlight w:val="none"/>
                <w:lang w:val="en-US" w:eastAsia="zh-CN"/>
              </w:rPr>
              <w:t>根据建设单位同类项目运行经验，</w:t>
            </w:r>
            <w:r>
              <w:rPr>
                <w:rFonts w:hint="eastAsia" w:ascii="Times New Roman" w:hAnsi="Times New Roman"/>
                <w:color w:val="auto"/>
                <w:sz w:val="24"/>
                <w:highlight w:val="none"/>
                <w:lang w:val="en-US" w:eastAsia="zh-CN"/>
              </w:rPr>
              <w:t>不合格率约为0.05%，本项目年产280万双，则不合格品约为1400双，产生量约0.</w:t>
            </w:r>
            <w:r>
              <w:rPr>
                <w:rFonts w:hint="eastAsia"/>
                <w:color w:val="auto"/>
                <w:sz w:val="24"/>
                <w:highlight w:val="none"/>
                <w:lang w:val="en-US" w:eastAsia="zh-CN"/>
              </w:rPr>
              <w:t>91</w:t>
            </w:r>
            <w:r>
              <w:rPr>
                <w:rFonts w:hint="eastAsia" w:ascii="Times New Roman" w:hAnsi="Times New Roman"/>
                <w:color w:val="auto"/>
                <w:sz w:val="24"/>
                <w:highlight w:val="none"/>
                <w:lang w:val="en-US" w:eastAsia="zh-CN"/>
              </w:rPr>
              <w:t>t/a，收集后暂存于一般固废暂存间，定期外售处理。</w:t>
            </w:r>
          </w:p>
          <w:p w14:paraId="763E83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color w:val="auto"/>
                <w:sz w:val="24"/>
                <w:highlight w:val="none"/>
                <w:lang w:val="en-US" w:eastAsia="zh-CN"/>
              </w:rPr>
            </w:pPr>
            <w:r>
              <w:rPr>
                <w:rFonts w:hint="eastAsia"/>
                <w:color w:val="auto"/>
                <w:sz w:val="24"/>
                <w:highlight w:val="none"/>
                <w:lang w:val="en-US" w:eastAsia="zh-CN"/>
              </w:rPr>
              <w:t>2）危险废物</w:t>
            </w:r>
          </w:p>
          <w:p w14:paraId="0324BE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color w:val="auto"/>
                <w:sz w:val="24"/>
                <w:highlight w:val="none"/>
                <w:lang w:val="en-US" w:eastAsia="zh-CN"/>
              </w:rPr>
            </w:pPr>
            <w:r>
              <w:rPr>
                <w:rFonts w:hint="eastAsia"/>
                <w:color w:val="auto"/>
                <w:sz w:val="24"/>
                <w:highlight w:val="none"/>
                <w:lang w:val="en-US" w:eastAsia="zh-CN"/>
              </w:rPr>
              <w:t>①废网版</w:t>
            </w:r>
          </w:p>
          <w:p w14:paraId="3F1642EC">
            <w:pPr>
              <w:keepNext w:val="0"/>
              <w:keepLines w:val="0"/>
              <w:suppressLineNumbers w:val="0"/>
              <w:spacing w:before="0" w:beforeAutospacing="0" w:after="0" w:afterAutospacing="0" w:line="360" w:lineRule="auto"/>
              <w:ind w:left="0" w:right="0" w:firstLine="480" w:firstLineChars="200"/>
              <w:rPr>
                <w:rFonts w:hint="eastAsia"/>
                <w:color w:val="auto"/>
                <w:sz w:val="24"/>
                <w:highlight w:val="none"/>
                <w:lang w:val="en-US" w:eastAsia="zh-CN"/>
              </w:rPr>
            </w:pPr>
            <w:r>
              <w:rPr>
                <w:rFonts w:hint="eastAsia"/>
                <w:color w:val="auto"/>
                <w:sz w:val="24"/>
                <w:highlight w:val="none"/>
                <w:lang w:val="en-US" w:eastAsia="zh-CN"/>
              </w:rPr>
              <w:t>丝印过程会产生废网版，预计每月产生废网版5张，单张网版平均以1kg计，则废网版产生量为0.06t/a。废丝网属《国家危险废物名录（2025年版）》HW12类危险废物，危废代码900-253-12。在厂内临时贮存后，需交由有资质的单位处理。</w:t>
            </w:r>
          </w:p>
          <w:p w14:paraId="0BA2DB38">
            <w:pPr>
              <w:keepNext w:val="0"/>
              <w:keepLines w:val="0"/>
              <w:suppressLineNumbers w:val="0"/>
              <w:spacing w:before="0" w:beforeAutospacing="0" w:after="0" w:afterAutospacing="0" w:line="360" w:lineRule="auto"/>
              <w:ind w:left="0" w:right="0" w:firstLine="480" w:firstLineChars="200"/>
              <w:rPr>
                <w:rFonts w:hint="default"/>
                <w:color w:val="auto"/>
                <w:sz w:val="24"/>
                <w:highlight w:val="none"/>
                <w:lang w:val="en-US" w:eastAsia="zh-CN"/>
              </w:rPr>
            </w:pPr>
            <w:r>
              <w:rPr>
                <w:rFonts w:hint="eastAsia"/>
                <w:color w:val="auto"/>
                <w:sz w:val="24"/>
                <w:highlight w:val="none"/>
                <w:lang w:val="en-US" w:eastAsia="zh-CN"/>
              </w:rPr>
              <w:t>②网版清洗水</w:t>
            </w:r>
          </w:p>
          <w:p w14:paraId="49383C50">
            <w:pPr>
              <w:keepNext w:val="0"/>
              <w:keepLines w:val="0"/>
              <w:suppressLineNumbers w:val="0"/>
              <w:spacing w:before="0" w:beforeAutospacing="0" w:after="0" w:afterAutospacing="0" w:line="360" w:lineRule="auto"/>
              <w:ind w:left="0" w:right="0" w:firstLine="480" w:firstLineChars="200"/>
              <w:rPr>
                <w:rFonts w:hint="default"/>
                <w:color w:val="auto"/>
                <w:sz w:val="24"/>
                <w:highlight w:val="none"/>
                <w:lang w:val="en-US" w:eastAsia="zh-CN"/>
              </w:rPr>
            </w:pPr>
            <w:r>
              <w:rPr>
                <w:rFonts w:hint="eastAsia"/>
                <w:color w:val="auto"/>
                <w:sz w:val="24"/>
                <w:highlight w:val="none"/>
                <w:lang w:val="en-US" w:eastAsia="zh-CN"/>
              </w:rPr>
              <w:t>根据废水源强核算，网版清洗水产生量为6t/a。网版清洗水属《国家危险废物名录（2025年版）》HW09类危险废物，危废代码900-007-09。在厂内临时贮存后，需交由有资质的单位处理。</w:t>
            </w:r>
          </w:p>
          <w:p w14:paraId="1D877673">
            <w:pPr>
              <w:keepNext w:val="0"/>
              <w:keepLines w:val="0"/>
              <w:suppressLineNumbers w:val="0"/>
              <w:spacing w:before="0" w:beforeAutospacing="0" w:after="0" w:afterAutospacing="0" w:line="360" w:lineRule="auto"/>
              <w:ind w:left="0" w:right="0" w:firstLine="480" w:firstLineChars="200"/>
              <w:rPr>
                <w:rFonts w:hint="eastAsia"/>
                <w:color w:val="auto"/>
                <w:sz w:val="24"/>
                <w:highlight w:val="none"/>
                <w:lang w:val="en-US" w:eastAsia="zh-CN"/>
              </w:rPr>
            </w:pPr>
            <w:r>
              <w:rPr>
                <w:rFonts w:hint="eastAsia"/>
                <w:color w:val="auto"/>
                <w:sz w:val="24"/>
                <w:highlight w:val="none"/>
                <w:lang w:val="en-US" w:eastAsia="zh-CN"/>
              </w:rPr>
              <w:t>③废机油</w:t>
            </w:r>
          </w:p>
          <w:p w14:paraId="2F7BBF34">
            <w:pPr>
              <w:keepNext w:val="0"/>
              <w:keepLines w:val="0"/>
              <w:suppressLineNumbers w:val="0"/>
              <w:spacing w:before="0" w:beforeAutospacing="0" w:after="0" w:afterAutospacing="0" w:line="360" w:lineRule="auto"/>
              <w:ind w:left="0" w:right="0" w:firstLine="480" w:firstLineChars="200"/>
              <w:rPr>
                <w:rFonts w:hint="eastAsia"/>
                <w:color w:val="auto"/>
                <w:sz w:val="24"/>
                <w:highlight w:val="none"/>
                <w:lang w:val="en-US" w:eastAsia="zh-CN"/>
              </w:rPr>
            </w:pPr>
            <w:r>
              <w:rPr>
                <w:rFonts w:hint="eastAsia"/>
                <w:color w:val="auto"/>
                <w:sz w:val="24"/>
                <w:highlight w:val="none"/>
                <w:lang w:val="en-US" w:eastAsia="zh-CN"/>
              </w:rPr>
              <w:t>本项目设备使用过程中，机油会产生损耗，需定期补充，但机油使用时间过长，会发生变质，因此需要定期更换。项目机油每年更换一次，每年定期更换的废机油产生量为0.2t/a。根据《国家危险废物名录》（2025年版），废机油属于危废，危废类别为HW08废矿物油，代码900-249-08，收集后暂存于危废间，定期交由有资质单位处置。</w:t>
            </w:r>
          </w:p>
          <w:p w14:paraId="4D300019">
            <w:pPr>
              <w:pStyle w:val="35"/>
              <w:keepNext w:val="0"/>
              <w:keepLines w:val="0"/>
              <w:pageBreakBefore w:val="0"/>
              <w:suppressLineNumbers w:val="0"/>
              <w:kinsoku/>
              <w:wordWrap/>
              <w:overflowPunct/>
              <w:topLinePunct w:val="0"/>
              <w:bidi w:val="0"/>
              <w:snapToGrid/>
              <w:spacing w:before="0" w:beforeAutospacing="0" w:after="0" w:afterAutospacing="0" w:line="360" w:lineRule="auto"/>
              <w:ind w:left="0" w:right="0" w:firstLine="480" w:firstLineChars="200"/>
              <w:textAlignment w:val="auto"/>
              <w:rPr>
                <w:rFonts w:hint="default"/>
                <w:color w:val="auto"/>
                <w:sz w:val="24"/>
                <w:highlight w:val="none"/>
                <w:lang w:val="en-US" w:eastAsia="zh-CN"/>
              </w:rPr>
            </w:pPr>
            <w:r>
              <w:rPr>
                <w:rFonts w:hint="eastAsia"/>
                <w:color w:val="auto"/>
                <w:sz w:val="24"/>
                <w:highlight w:val="none"/>
                <w:lang w:val="en-US" w:eastAsia="zh-CN"/>
              </w:rPr>
              <w:t>④废机油桶</w:t>
            </w:r>
          </w:p>
          <w:p w14:paraId="7F247793">
            <w:pPr>
              <w:pStyle w:val="35"/>
              <w:keepNext w:val="0"/>
              <w:keepLines w:val="0"/>
              <w:pageBreakBefore w:val="0"/>
              <w:suppressLineNumbers w:val="0"/>
              <w:kinsoku/>
              <w:wordWrap/>
              <w:overflowPunct/>
              <w:topLinePunct w:val="0"/>
              <w:bidi w:val="0"/>
              <w:snapToGrid/>
              <w:spacing w:before="0" w:beforeAutospacing="0" w:after="0" w:afterAutospacing="0" w:line="360" w:lineRule="auto"/>
              <w:ind w:left="0" w:right="0" w:firstLine="480" w:firstLineChars="200"/>
              <w:textAlignment w:val="auto"/>
              <w:rPr>
                <w:rFonts w:hint="eastAsia"/>
                <w:color w:val="auto"/>
                <w:sz w:val="24"/>
                <w:highlight w:val="none"/>
                <w:lang w:val="en-US" w:eastAsia="zh-CN"/>
              </w:rPr>
            </w:pPr>
            <w:r>
              <w:rPr>
                <w:rFonts w:hint="eastAsia" w:ascii="Times New Roman" w:hAnsi="Times New Roman" w:eastAsia="宋体"/>
                <w:snapToGrid w:val="0"/>
                <w:color w:val="auto"/>
                <w:sz w:val="24"/>
              </w:rPr>
              <w:t>项目使用</w:t>
            </w:r>
            <w:r>
              <w:rPr>
                <w:rFonts w:hint="eastAsia" w:ascii="Times New Roman" w:hAnsi="Times New Roman" w:eastAsia="宋体"/>
                <w:snapToGrid w:val="0"/>
                <w:color w:val="auto"/>
                <w:sz w:val="24"/>
                <w:lang w:eastAsia="zh-CN"/>
              </w:rPr>
              <w:t>机油</w:t>
            </w:r>
            <w:r>
              <w:rPr>
                <w:rFonts w:hint="eastAsia" w:ascii="Times New Roman" w:hAnsi="Times New Roman" w:eastAsia="宋体"/>
                <w:snapToGrid w:val="0"/>
                <w:color w:val="auto"/>
                <w:sz w:val="24"/>
              </w:rPr>
              <w:t>，会产生少量废</w:t>
            </w:r>
            <w:r>
              <w:rPr>
                <w:rFonts w:hint="eastAsia" w:ascii="Times New Roman" w:hAnsi="Times New Roman" w:eastAsia="宋体"/>
                <w:snapToGrid w:val="0"/>
                <w:color w:val="auto"/>
                <w:sz w:val="24"/>
                <w:lang w:eastAsia="zh-CN"/>
              </w:rPr>
              <w:t>机油</w:t>
            </w:r>
            <w:r>
              <w:rPr>
                <w:rFonts w:hint="eastAsia" w:ascii="Times New Roman" w:hAnsi="Times New Roman" w:eastAsia="宋体"/>
                <w:snapToGrid w:val="0"/>
                <w:color w:val="auto"/>
                <w:sz w:val="24"/>
              </w:rPr>
              <w:t>桶，产生量约为0.0</w:t>
            </w:r>
            <w:r>
              <w:rPr>
                <w:rFonts w:hint="eastAsia" w:ascii="Times New Roman" w:hAnsi="Times New Roman" w:eastAsia="宋体"/>
                <w:snapToGrid w:val="0"/>
                <w:color w:val="auto"/>
                <w:sz w:val="24"/>
                <w:lang w:val="en-US" w:eastAsia="zh-CN"/>
              </w:rPr>
              <w:t>2</w:t>
            </w:r>
            <w:r>
              <w:rPr>
                <w:rFonts w:hint="eastAsia" w:ascii="Times New Roman" w:hAnsi="Times New Roman" w:eastAsia="宋体"/>
                <w:snapToGrid w:val="0"/>
                <w:color w:val="auto"/>
                <w:sz w:val="24"/>
              </w:rPr>
              <w:t>t/a，</w:t>
            </w:r>
            <w:r>
              <w:rPr>
                <w:rFonts w:hint="eastAsia" w:ascii="Times New Roman" w:hAnsi="Times New Roman" w:eastAsia="宋体" w:cs="宋体"/>
                <w:color w:val="auto"/>
                <w:kern w:val="0"/>
                <w:sz w:val="24"/>
                <w:szCs w:val="24"/>
                <w:lang w:val="en-US" w:eastAsia="zh-CN" w:bidi="ar"/>
              </w:rPr>
              <w:t>废机油桶</w:t>
            </w:r>
            <w:r>
              <w:rPr>
                <w:rFonts w:hint="eastAsia" w:ascii="Times New Roman" w:hAnsi="Times New Roman" w:eastAsia="宋体" w:cs="宋体"/>
                <w:color w:val="auto"/>
                <w:sz w:val="24"/>
                <w:lang w:val="en-US" w:eastAsia="zh-CN"/>
              </w:rPr>
              <w:t>属于《国家危险废物名录》</w:t>
            </w:r>
            <w:r>
              <w:rPr>
                <w:rFonts w:hint="eastAsia" w:ascii="Times New Roman" w:hAnsi="Times New Roman" w:cs="宋体"/>
                <w:color w:val="auto"/>
                <w:sz w:val="24"/>
                <w:lang w:val="en-US" w:eastAsia="zh-CN"/>
              </w:rPr>
              <w:t>（2025年版）</w:t>
            </w:r>
            <w:r>
              <w:rPr>
                <w:rFonts w:hint="eastAsia" w:ascii="Times New Roman" w:hAnsi="Times New Roman" w:eastAsia="宋体" w:cs="宋体"/>
                <w:color w:val="auto"/>
                <w:sz w:val="24"/>
                <w:lang w:val="en-US" w:eastAsia="zh-CN"/>
              </w:rPr>
              <w:t>规定的危险废物</w:t>
            </w:r>
            <w:r>
              <w:rPr>
                <w:rFonts w:hint="eastAsia" w:ascii="Times New Roman" w:hAnsi="Times New Roman" w:cs="宋体"/>
                <w:color w:val="auto"/>
                <w:sz w:val="24"/>
                <w:lang w:val="en-US" w:eastAsia="zh-CN"/>
              </w:rPr>
              <w:t>，</w:t>
            </w:r>
            <w:r>
              <w:rPr>
                <w:rFonts w:hint="eastAsia" w:ascii="Times New Roman" w:hAnsi="Times New Roman" w:eastAsia="宋体" w:cs="宋体"/>
                <w:color w:val="auto"/>
                <w:kern w:val="0"/>
                <w:sz w:val="24"/>
                <w:szCs w:val="24"/>
                <w:lang w:val="en-US" w:eastAsia="zh-CN" w:bidi="ar"/>
              </w:rPr>
              <w:t>类别为HW</w:t>
            </w:r>
            <w:r>
              <w:rPr>
                <w:rFonts w:hint="eastAsia" w:ascii="Times New Roman" w:hAnsi="Times New Roman" w:cs="宋体"/>
                <w:color w:val="auto"/>
                <w:kern w:val="0"/>
                <w:sz w:val="24"/>
                <w:szCs w:val="24"/>
                <w:lang w:val="en-US" w:eastAsia="zh-CN" w:bidi="ar"/>
              </w:rPr>
              <w:t>08</w:t>
            </w:r>
            <w:r>
              <w:rPr>
                <w:rFonts w:hint="eastAsia" w:ascii="Times New Roman" w:hAnsi="Times New Roman" w:eastAsia="宋体" w:cs="宋体"/>
                <w:color w:val="auto"/>
                <w:kern w:val="0"/>
                <w:sz w:val="24"/>
                <w:szCs w:val="24"/>
                <w:lang w:val="en-US" w:eastAsia="zh-CN" w:bidi="ar"/>
              </w:rPr>
              <w:t>其他废物，代码900-</w:t>
            </w:r>
            <w:r>
              <w:rPr>
                <w:rFonts w:hint="eastAsia" w:ascii="Times New Roman" w:hAnsi="Times New Roman" w:cs="宋体"/>
                <w:color w:val="auto"/>
                <w:kern w:val="0"/>
                <w:sz w:val="24"/>
                <w:szCs w:val="24"/>
                <w:lang w:val="en-US" w:eastAsia="zh-CN" w:bidi="ar"/>
              </w:rPr>
              <w:t>249</w:t>
            </w:r>
            <w:r>
              <w:rPr>
                <w:rFonts w:hint="eastAsia" w:ascii="Times New Roman" w:hAnsi="Times New Roman" w:eastAsia="宋体" w:cs="宋体"/>
                <w:color w:val="auto"/>
                <w:kern w:val="0"/>
                <w:sz w:val="24"/>
                <w:szCs w:val="24"/>
                <w:lang w:val="en-US" w:eastAsia="zh-CN" w:bidi="ar"/>
              </w:rPr>
              <w:t>-</w:t>
            </w:r>
            <w:r>
              <w:rPr>
                <w:rFonts w:hint="eastAsia" w:ascii="Times New Roman" w:hAnsi="Times New Roman" w:cs="宋体"/>
                <w:color w:val="auto"/>
                <w:kern w:val="0"/>
                <w:sz w:val="24"/>
                <w:szCs w:val="24"/>
                <w:lang w:val="en-US" w:eastAsia="zh-CN" w:bidi="ar"/>
              </w:rPr>
              <w:t>08</w:t>
            </w:r>
            <w:r>
              <w:rPr>
                <w:rFonts w:hint="eastAsia" w:ascii="Times New Roman" w:hAnsi="Times New Roman" w:eastAsia="宋体" w:cs="宋体"/>
                <w:color w:val="auto"/>
                <w:kern w:val="0"/>
                <w:sz w:val="24"/>
                <w:szCs w:val="24"/>
                <w:lang w:val="en-US" w:eastAsia="zh-CN" w:bidi="ar"/>
              </w:rPr>
              <w:t>，</w:t>
            </w:r>
            <w:r>
              <w:rPr>
                <w:rFonts w:hint="eastAsia" w:ascii="Times New Roman" w:hAnsi="Times New Roman" w:eastAsia="宋体" w:cs="宋体"/>
                <w:color w:val="auto"/>
                <w:sz w:val="24"/>
                <w:lang w:val="en-US" w:eastAsia="zh-CN"/>
              </w:rPr>
              <w:t>收集后暂存于危废间，定期交由有资质单位处置。</w:t>
            </w:r>
          </w:p>
          <w:p w14:paraId="0EA380F5">
            <w:pPr>
              <w:keepNext w:val="0"/>
              <w:keepLines w:val="0"/>
              <w:suppressLineNumbers w:val="0"/>
              <w:spacing w:before="0" w:beforeAutospacing="0" w:after="0" w:afterAutospacing="0" w:line="360" w:lineRule="auto"/>
              <w:ind w:left="0" w:right="0" w:firstLine="480" w:firstLineChars="200"/>
              <w:rPr>
                <w:rFonts w:hint="default"/>
                <w:color w:val="auto"/>
                <w:sz w:val="24"/>
                <w:highlight w:val="none"/>
                <w:lang w:val="en-US" w:eastAsia="zh-CN"/>
              </w:rPr>
            </w:pPr>
            <w:r>
              <w:rPr>
                <w:rFonts w:hint="eastAsia"/>
                <w:color w:val="auto"/>
                <w:sz w:val="24"/>
                <w:highlight w:val="none"/>
                <w:lang w:val="en-US" w:eastAsia="zh-CN"/>
              </w:rPr>
              <w:t>⑤废油墨桶</w:t>
            </w:r>
          </w:p>
          <w:p w14:paraId="5BEB99FF">
            <w:pPr>
              <w:keepNext w:val="0"/>
              <w:keepLines w:val="0"/>
              <w:suppressLineNumbers w:val="0"/>
              <w:spacing w:before="0" w:beforeAutospacing="0" w:after="0" w:afterAutospacing="0" w:line="360" w:lineRule="auto"/>
              <w:ind w:left="0" w:right="0" w:firstLine="480" w:firstLineChars="200"/>
              <w:rPr>
                <w:rFonts w:hint="eastAsia"/>
                <w:color w:val="auto"/>
                <w:sz w:val="24"/>
                <w:highlight w:val="none"/>
                <w:lang w:val="en-US" w:eastAsia="zh-CN"/>
              </w:rPr>
            </w:pPr>
            <w:r>
              <w:rPr>
                <w:rFonts w:hint="eastAsia"/>
                <w:color w:val="auto"/>
                <w:sz w:val="24"/>
                <w:highlight w:val="none"/>
                <w:lang w:val="en-US" w:eastAsia="zh-CN"/>
              </w:rPr>
              <w:t>油墨使用完后会产生沾有油墨的废包装桶，包装桶的材质为塑料，根据油墨包装桶规格为20kg/桶，单个包装桶的重量约为100g，项目年消耗油墨约50桶，则产生废包装桶重量约0.005t/a。废油墨桶属《国家危险废物名录（2025年版）》HW49类危险废物，危废代码900-041-49。在厂内临时贮存后，由厂家回收处理。</w:t>
            </w:r>
          </w:p>
          <w:p w14:paraId="3481777A">
            <w:pPr>
              <w:keepNext w:val="0"/>
              <w:keepLines w:val="0"/>
              <w:suppressLineNumbers w:val="0"/>
              <w:spacing w:before="0" w:beforeAutospacing="0" w:after="0" w:afterAutospacing="0" w:line="360" w:lineRule="auto"/>
              <w:ind w:left="0" w:right="0" w:firstLine="480" w:firstLineChars="200"/>
              <w:rPr>
                <w:rFonts w:hint="eastAsia"/>
                <w:color w:val="auto"/>
                <w:sz w:val="24"/>
                <w:highlight w:val="none"/>
                <w:lang w:val="en-US" w:eastAsia="zh-CN"/>
              </w:rPr>
            </w:pPr>
            <w:r>
              <w:rPr>
                <w:rFonts w:hint="eastAsia"/>
                <w:color w:val="auto"/>
                <w:sz w:val="24"/>
                <w:highlight w:val="none"/>
                <w:lang w:val="en-US" w:eastAsia="zh-CN"/>
              </w:rPr>
              <w:t>⑥废活性炭</w:t>
            </w:r>
          </w:p>
          <w:p w14:paraId="13F1E00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textAlignment w:val="auto"/>
              <w:rPr>
                <w:rFonts w:hint="eastAsia"/>
                <w:color w:val="auto"/>
                <w:spacing w:val="0"/>
                <w:sz w:val="24"/>
                <w:szCs w:val="24"/>
                <w:highlight w:val="none"/>
                <w:lang w:eastAsia="zh-CN"/>
              </w:rPr>
            </w:pPr>
            <w:r>
              <w:rPr>
                <w:rFonts w:hint="eastAsia"/>
                <w:color w:val="auto"/>
                <w:spacing w:val="0"/>
                <w:sz w:val="24"/>
                <w:szCs w:val="24"/>
                <w:highlight w:val="none"/>
                <w:lang w:eastAsia="zh-CN"/>
              </w:rPr>
              <w:t>根据工程分析，废气处理装置中有机物活性炭吸附总量为</w:t>
            </w:r>
            <w:r>
              <w:rPr>
                <w:rFonts w:hint="eastAsia"/>
                <w:color w:val="auto"/>
                <w:spacing w:val="0"/>
                <w:sz w:val="24"/>
                <w:szCs w:val="24"/>
                <w:highlight w:val="none"/>
                <w:lang w:val="en-US" w:eastAsia="zh-CN"/>
              </w:rPr>
              <w:t>7.155</w:t>
            </w:r>
            <w:r>
              <w:rPr>
                <w:rFonts w:hint="eastAsia"/>
                <w:color w:val="auto"/>
                <w:spacing w:val="0"/>
                <w:sz w:val="24"/>
                <w:szCs w:val="24"/>
                <w:highlight w:val="none"/>
                <w:lang w:eastAsia="zh-CN"/>
              </w:rPr>
              <w:t>t/a，根据工程实践相关资料，</w:t>
            </w:r>
            <w:r>
              <w:rPr>
                <w:rFonts w:hint="eastAsia"/>
                <w:color w:val="auto"/>
                <w:spacing w:val="0"/>
                <w:sz w:val="24"/>
                <w:szCs w:val="24"/>
                <w:highlight w:val="none"/>
                <w:lang w:val="en-US" w:eastAsia="zh-CN"/>
              </w:rPr>
              <w:t>按照每吨活性吸附挥发性有机物150kg计算</w:t>
            </w:r>
            <w:r>
              <w:rPr>
                <w:rFonts w:hint="eastAsia"/>
                <w:color w:val="auto"/>
                <w:spacing w:val="0"/>
                <w:sz w:val="24"/>
                <w:szCs w:val="24"/>
                <w:highlight w:val="none"/>
                <w:lang w:eastAsia="zh-CN"/>
              </w:rPr>
              <w:t>，</w:t>
            </w:r>
            <w:r>
              <w:rPr>
                <w:rFonts w:hint="eastAsia"/>
                <w:color w:val="auto"/>
                <w:spacing w:val="0"/>
                <w:sz w:val="24"/>
                <w:szCs w:val="24"/>
                <w:highlight w:val="none"/>
                <w:lang w:val="en-US" w:eastAsia="zh-CN"/>
              </w:rPr>
              <w:t>活性炭更换周期一般不超过三个月，</w:t>
            </w:r>
            <w:r>
              <w:rPr>
                <w:rFonts w:hint="eastAsia"/>
                <w:color w:val="auto"/>
                <w:spacing w:val="0"/>
                <w:sz w:val="24"/>
                <w:szCs w:val="24"/>
                <w:highlight w:val="none"/>
                <w:lang w:eastAsia="zh-CN"/>
              </w:rPr>
              <w:t>则生产工艺废气处理中产生的废活性炭为</w:t>
            </w:r>
            <w:r>
              <w:rPr>
                <w:rFonts w:hint="eastAsia"/>
                <w:color w:val="auto"/>
                <w:spacing w:val="0"/>
                <w:sz w:val="24"/>
                <w:szCs w:val="24"/>
                <w:highlight w:val="none"/>
                <w:lang w:val="en-US" w:eastAsia="zh-CN"/>
              </w:rPr>
              <w:t>47.7</w:t>
            </w:r>
            <w:r>
              <w:rPr>
                <w:rFonts w:hint="eastAsia"/>
                <w:color w:val="auto"/>
                <w:spacing w:val="0"/>
                <w:sz w:val="24"/>
                <w:szCs w:val="24"/>
                <w:highlight w:val="none"/>
                <w:lang w:eastAsia="zh-CN"/>
              </w:rPr>
              <w:t>t/a，废物类别为HW49其他废物，</w:t>
            </w:r>
            <w:r>
              <w:rPr>
                <w:rFonts w:hint="eastAsia"/>
                <w:color w:val="auto"/>
                <w:spacing w:val="0"/>
                <w:sz w:val="24"/>
                <w:szCs w:val="24"/>
                <w:highlight w:val="none"/>
                <w:lang w:val="en-US" w:eastAsia="zh-CN"/>
              </w:rPr>
              <w:t>代码</w:t>
            </w:r>
            <w:r>
              <w:rPr>
                <w:rFonts w:hint="eastAsia"/>
                <w:color w:val="auto"/>
                <w:spacing w:val="0"/>
                <w:sz w:val="24"/>
                <w:szCs w:val="24"/>
                <w:highlight w:val="none"/>
                <w:lang w:eastAsia="zh-CN"/>
              </w:rPr>
              <w:t>900-0</w:t>
            </w:r>
            <w:r>
              <w:rPr>
                <w:rFonts w:hint="eastAsia"/>
                <w:color w:val="auto"/>
                <w:spacing w:val="0"/>
                <w:sz w:val="24"/>
                <w:szCs w:val="24"/>
                <w:highlight w:val="none"/>
                <w:lang w:val="en-US" w:eastAsia="zh-CN"/>
              </w:rPr>
              <w:t>39</w:t>
            </w:r>
            <w:r>
              <w:rPr>
                <w:rFonts w:hint="eastAsia"/>
                <w:color w:val="auto"/>
                <w:spacing w:val="0"/>
                <w:sz w:val="24"/>
                <w:szCs w:val="24"/>
                <w:highlight w:val="none"/>
                <w:lang w:eastAsia="zh-CN"/>
              </w:rPr>
              <w:t>-49，废活性炭</w:t>
            </w:r>
            <w:r>
              <w:rPr>
                <w:rFonts w:hint="eastAsia"/>
                <w:color w:val="auto"/>
                <w:spacing w:val="0"/>
                <w:sz w:val="24"/>
                <w:szCs w:val="24"/>
                <w:highlight w:val="none"/>
                <w:lang w:val="en-US" w:eastAsia="zh-CN"/>
              </w:rPr>
              <w:t>交由有资质单位处理</w:t>
            </w:r>
            <w:r>
              <w:rPr>
                <w:rFonts w:hint="eastAsia"/>
                <w:color w:val="auto"/>
                <w:spacing w:val="0"/>
                <w:sz w:val="24"/>
                <w:szCs w:val="24"/>
                <w:highlight w:val="none"/>
                <w:lang w:eastAsia="zh-CN"/>
              </w:rPr>
              <w:t>。</w:t>
            </w:r>
          </w:p>
          <w:p w14:paraId="0F71B9F6">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⑦废含油手套、抹布</w:t>
            </w:r>
          </w:p>
          <w:p w14:paraId="6B39919C">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项目生产及检修过程中会产生废含油手套、抹布，产生量约为0.05t/a。根据《国家危险废物名录》（2025版）危险废物豁免管理清单，属于HW49，危废代码900-041-49，废弃的含油抹布、劳保用品未分类收集的全过程不按危险废物管理，本项目含油手套、抹布集中收集后由当地环卫部门集中清运。</w:t>
            </w:r>
          </w:p>
          <w:p w14:paraId="4D7661C5">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⑧废润滑油</w:t>
            </w:r>
          </w:p>
          <w:p w14:paraId="5114F71A">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本项目在生产过程中会产生废润滑油，机械设备的液压油日常损耗一般一年更换一次，废液压油产生量约为0.05t/a，废润滑油属于《国家危险废物名录》（2025年版）规定的危险废物，类别为HW08废矿物油，代码900-210-08，收集后暂存于危废间，定期交由有资质单位处置。</w:t>
            </w:r>
          </w:p>
          <w:p w14:paraId="6137209F">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⑨废包装桶</w:t>
            </w:r>
          </w:p>
          <w:p w14:paraId="6F7EDEFE">
            <w:pPr>
              <w:keepNext w:val="0"/>
              <w:keepLines w:val="0"/>
              <w:suppressLineNumbers w:val="0"/>
              <w:spacing w:before="0" w:beforeAutospacing="0" w:after="0" w:afterAutospacing="0" w:line="360" w:lineRule="auto"/>
              <w:ind w:left="0" w:right="0" w:firstLine="480" w:firstLineChars="200"/>
              <w:rPr>
                <w:rFonts w:hint="eastAsia"/>
                <w:color w:val="auto"/>
                <w:lang w:val="en-US" w:eastAsia="zh-CN"/>
              </w:rPr>
            </w:pPr>
            <w:r>
              <w:rPr>
                <w:rFonts w:hint="eastAsia" w:ascii="Times New Roman" w:hAnsi="Times New Roman" w:eastAsia="宋体" w:cs="Times New Roman"/>
                <w:color w:val="auto"/>
                <w:sz w:val="24"/>
                <w:highlight w:val="none"/>
                <w:lang w:val="en-US" w:eastAsia="zh-CN"/>
              </w:rPr>
              <w:t>项目使用的PU胶、表面处理剂等均为桶装，其中PU胶为50kg/桶（单个重量按4kg计），表面处理剂等均为25kg/桶（单个重量按2kg计），则废包装桶产生量约为</w:t>
            </w:r>
            <w:r>
              <w:rPr>
                <w:rFonts w:hint="eastAsia" w:cs="Times New Roman"/>
                <w:color w:val="auto"/>
                <w:sz w:val="24"/>
                <w:highlight w:val="none"/>
                <w:lang w:val="en-US" w:eastAsia="zh-CN"/>
              </w:rPr>
              <w:t>0.958</w:t>
            </w:r>
            <w:r>
              <w:rPr>
                <w:rFonts w:hint="eastAsia" w:ascii="Times New Roman" w:hAnsi="Times New Roman" w:eastAsia="宋体" w:cs="Times New Roman"/>
                <w:color w:val="auto"/>
                <w:sz w:val="24"/>
                <w:highlight w:val="none"/>
                <w:lang w:val="en-US" w:eastAsia="zh-CN"/>
              </w:rPr>
              <w:t>t/a。根据《国家危险废物名录（2025年版）》，该部分废物属于危险废物，废物类别HW49其他废物，废物代码为900-041-49，经收集后暂存于危险废物暂存间，定期交由有资质单位处置。</w:t>
            </w:r>
          </w:p>
          <w:p w14:paraId="7AA5D3E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textAlignment w:val="auto"/>
              <w:rPr>
                <w:rFonts w:hint="eastAsia"/>
                <w:color w:val="auto"/>
                <w:spacing w:val="0"/>
                <w:sz w:val="24"/>
                <w:szCs w:val="24"/>
                <w:highlight w:val="none"/>
                <w:lang w:val="en-US" w:eastAsia="zh-CN"/>
              </w:rPr>
            </w:pPr>
            <w:r>
              <w:rPr>
                <w:rFonts w:hint="eastAsia"/>
                <w:color w:val="auto"/>
                <w:spacing w:val="0"/>
                <w:sz w:val="24"/>
                <w:szCs w:val="24"/>
                <w:highlight w:val="none"/>
                <w:lang w:eastAsia="zh-CN"/>
              </w:rPr>
              <w:t>（</w:t>
            </w:r>
            <w:r>
              <w:rPr>
                <w:rFonts w:hint="eastAsia"/>
                <w:color w:val="auto"/>
                <w:spacing w:val="0"/>
                <w:sz w:val="24"/>
                <w:szCs w:val="24"/>
                <w:highlight w:val="none"/>
                <w:lang w:val="en-US" w:eastAsia="zh-CN"/>
              </w:rPr>
              <w:t>3</w:t>
            </w:r>
            <w:r>
              <w:rPr>
                <w:rFonts w:hint="eastAsia"/>
                <w:color w:val="auto"/>
                <w:spacing w:val="0"/>
                <w:sz w:val="24"/>
                <w:szCs w:val="24"/>
                <w:highlight w:val="none"/>
                <w:lang w:eastAsia="zh-CN"/>
              </w:rPr>
              <w:t>）</w:t>
            </w:r>
            <w:r>
              <w:rPr>
                <w:rFonts w:hint="eastAsia"/>
                <w:color w:val="auto"/>
                <w:spacing w:val="0"/>
                <w:sz w:val="24"/>
                <w:szCs w:val="24"/>
                <w:highlight w:val="none"/>
                <w:lang w:val="en-US" w:eastAsia="zh-CN"/>
              </w:rPr>
              <w:t>固体废物环境保护措施</w:t>
            </w:r>
          </w:p>
          <w:p w14:paraId="43653E6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textAlignment w:val="auto"/>
              <w:rPr>
                <w:rFonts w:hint="default"/>
                <w:color w:val="auto"/>
                <w:spacing w:val="0"/>
                <w:sz w:val="24"/>
                <w:szCs w:val="24"/>
                <w:highlight w:val="none"/>
              </w:rPr>
            </w:pPr>
            <w:r>
              <w:rPr>
                <w:rFonts w:hint="default"/>
                <w:color w:val="auto"/>
                <w:spacing w:val="0"/>
                <w:sz w:val="24"/>
                <w:szCs w:val="24"/>
                <w:highlight w:val="none"/>
              </w:rPr>
              <w:t>根据《国家危险废物名录</w:t>
            </w:r>
            <w:r>
              <w:rPr>
                <w:rFonts w:hint="eastAsia" w:eastAsia="宋体"/>
                <w:color w:val="auto"/>
                <w:spacing w:val="0"/>
                <w:sz w:val="24"/>
                <w:szCs w:val="24"/>
                <w:highlight w:val="none"/>
                <w:lang w:eastAsia="zh-CN"/>
              </w:rPr>
              <w:t>（</w:t>
            </w:r>
            <w:r>
              <w:rPr>
                <w:rFonts w:hint="eastAsia" w:ascii="Times New Roman" w:eastAsia="宋体"/>
                <w:color w:val="auto"/>
                <w:spacing w:val="0"/>
                <w:sz w:val="24"/>
                <w:szCs w:val="24"/>
                <w:highlight w:val="none"/>
                <w:lang w:val="en-US" w:eastAsia="zh-CN"/>
              </w:rPr>
              <w:t>202</w:t>
            </w:r>
            <w:r>
              <w:rPr>
                <w:rFonts w:hint="eastAsia"/>
                <w:color w:val="auto"/>
                <w:spacing w:val="0"/>
                <w:sz w:val="24"/>
                <w:szCs w:val="24"/>
                <w:highlight w:val="none"/>
                <w:lang w:val="en-US" w:eastAsia="zh-CN"/>
              </w:rPr>
              <w:t>5</w:t>
            </w:r>
            <w:r>
              <w:rPr>
                <w:rFonts w:hint="eastAsia" w:ascii="Times New Roman" w:eastAsia="宋体"/>
                <w:color w:val="auto"/>
                <w:spacing w:val="0"/>
                <w:sz w:val="24"/>
                <w:szCs w:val="24"/>
                <w:highlight w:val="none"/>
                <w:lang w:val="en-US" w:eastAsia="zh-CN"/>
              </w:rPr>
              <w:t>年版</w:t>
            </w:r>
            <w:r>
              <w:rPr>
                <w:rFonts w:hint="eastAsia" w:eastAsia="宋体"/>
                <w:color w:val="auto"/>
                <w:spacing w:val="0"/>
                <w:sz w:val="24"/>
                <w:szCs w:val="24"/>
                <w:highlight w:val="none"/>
                <w:lang w:eastAsia="zh-CN"/>
              </w:rPr>
              <w:t>）</w:t>
            </w:r>
            <w:r>
              <w:rPr>
                <w:rFonts w:hint="default"/>
                <w:color w:val="auto"/>
                <w:spacing w:val="0"/>
                <w:sz w:val="24"/>
                <w:szCs w:val="24"/>
                <w:highlight w:val="none"/>
              </w:rPr>
              <w:t>》规定，本项目产生的危险废物，应按要求交由有资质单位处理。交由有资质单位处理前，危险废物的存储应单独设置一间存放室。危险废物包装的核心要求是“相容、密封、防渗、防损”，即包装容器和包装物需与盛装的危险废物特性相容，确保无破损、无泄漏，同时根据废物形态分类选择合适的包装形式，各类原材料和危废分区存放，禁止将不相容的原料和危废在同一容器内混装，装载液体、半固体危废容器内必须留有足够空间，容器顶部与液体表面保留100mm以上的空间，装载危险废物的容器上必须粘贴符合GB18597-20</w:t>
            </w:r>
            <w:r>
              <w:rPr>
                <w:rFonts w:hint="eastAsia"/>
                <w:color w:val="auto"/>
                <w:spacing w:val="0"/>
                <w:sz w:val="24"/>
                <w:szCs w:val="24"/>
                <w:highlight w:val="none"/>
                <w:lang w:val="en-US" w:eastAsia="zh-CN"/>
              </w:rPr>
              <w:t>23</w:t>
            </w:r>
            <w:r>
              <w:rPr>
                <w:rFonts w:hint="default"/>
                <w:color w:val="auto"/>
                <w:spacing w:val="0"/>
                <w:sz w:val="24"/>
                <w:szCs w:val="24"/>
                <w:highlight w:val="none"/>
              </w:rPr>
              <w:t>标准附录A所示的标签；车间要做好防风、防雨、防晒工作。并制定好固体废物特别是危险废物转移运输途中的污染防范及事故应急措施。</w:t>
            </w:r>
          </w:p>
          <w:p w14:paraId="71CC14F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textAlignment w:val="auto"/>
              <w:rPr>
                <w:rFonts w:hint="default"/>
                <w:color w:val="auto"/>
                <w:spacing w:val="0"/>
                <w:sz w:val="24"/>
                <w:szCs w:val="24"/>
                <w:highlight w:val="none"/>
              </w:rPr>
            </w:pPr>
            <w:r>
              <w:rPr>
                <w:rFonts w:hint="default"/>
                <w:color w:val="auto"/>
                <w:spacing w:val="0"/>
                <w:sz w:val="24"/>
                <w:szCs w:val="24"/>
                <w:highlight w:val="none"/>
              </w:rPr>
              <w:t>危险废物</w:t>
            </w:r>
            <w:r>
              <w:rPr>
                <w:rFonts w:hint="eastAsia"/>
                <w:color w:val="auto"/>
                <w:spacing w:val="0"/>
                <w:sz w:val="24"/>
                <w:szCs w:val="24"/>
                <w:highlight w:val="none"/>
                <w:lang w:val="en-US" w:eastAsia="zh-CN"/>
              </w:rPr>
              <w:t>厂内运输</w:t>
            </w:r>
            <w:r>
              <w:rPr>
                <w:rFonts w:hint="default"/>
                <w:color w:val="auto"/>
                <w:spacing w:val="0"/>
                <w:sz w:val="24"/>
                <w:szCs w:val="24"/>
                <w:highlight w:val="none"/>
              </w:rPr>
              <w:t>应综合考虑厂区的实际情况确定</w:t>
            </w:r>
            <w:r>
              <w:rPr>
                <w:rFonts w:hint="eastAsia"/>
                <w:color w:val="auto"/>
                <w:spacing w:val="0"/>
                <w:sz w:val="24"/>
                <w:szCs w:val="24"/>
                <w:highlight w:val="none"/>
                <w:lang w:val="en-US" w:eastAsia="zh-CN"/>
              </w:rPr>
              <w:t>运输</w:t>
            </w:r>
            <w:r>
              <w:rPr>
                <w:rFonts w:hint="default"/>
                <w:color w:val="auto"/>
                <w:spacing w:val="0"/>
                <w:sz w:val="24"/>
                <w:szCs w:val="24"/>
                <w:highlight w:val="none"/>
              </w:rPr>
              <w:t>路线，尽量避开办公区和生活区。危险废物</w:t>
            </w:r>
            <w:r>
              <w:rPr>
                <w:rFonts w:hint="eastAsia"/>
                <w:color w:val="auto"/>
                <w:spacing w:val="0"/>
                <w:sz w:val="24"/>
                <w:szCs w:val="24"/>
                <w:highlight w:val="none"/>
                <w:lang w:val="en-US" w:eastAsia="zh-CN"/>
              </w:rPr>
              <w:t>厂内运输</w:t>
            </w:r>
            <w:r>
              <w:rPr>
                <w:rFonts w:hint="default"/>
                <w:color w:val="auto"/>
                <w:spacing w:val="0"/>
                <w:sz w:val="24"/>
                <w:szCs w:val="24"/>
                <w:highlight w:val="none"/>
              </w:rPr>
              <w:t>应采用专用的工具，危险废物</w:t>
            </w:r>
            <w:r>
              <w:rPr>
                <w:rFonts w:hint="eastAsia"/>
                <w:color w:val="auto"/>
                <w:spacing w:val="0"/>
                <w:sz w:val="24"/>
                <w:szCs w:val="24"/>
                <w:highlight w:val="none"/>
                <w:lang w:val="en-US" w:eastAsia="zh-CN"/>
              </w:rPr>
              <w:t>厂内运输</w:t>
            </w:r>
            <w:r>
              <w:rPr>
                <w:rFonts w:hint="default"/>
                <w:color w:val="auto"/>
                <w:spacing w:val="0"/>
                <w:sz w:val="24"/>
                <w:szCs w:val="24"/>
                <w:highlight w:val="none"/>
              </w:rPr>
              <w:t>应填写</w:t>
            </w:r>
            <w:r>
              <w:rPr>
                <w:rFonts w:hint="eastAsia"/>
                <w:color w:val="auto"/>
                <w:spacing w:val="0"/>
                <w:sz w:val="24"/>
                <w:szCs w:val="24"/>
                <w:highlight w:val="none"/>
                <w:lang w:val="en-US" w:eastAsia="zh-CN"/>
              </w:rPr>
              <w:t>相关</w:t>
            </w:r>
            <w:r>
              <w:rPr>
                <w:rFonts w:hint="default"/>
                <w:color w:val="auto"/>
                <w:spacing w:val="0"/>
                <w:sz w:val="24"/>
                <w:szCs w:val="24"/>
                <w:highlight w:val="none"/>
              </w:rPr>
              <w:t>危险废物厂内</w:t>
            </w:r>
            <w:r>
              <w:rPr>
                <w:rFonts w:hint="eastAsia"/>
                <w:color w:val="auto"/>
                <w:spacing w:val="0"/>
                <w:sz w:val="24"/>
                <w:szCs w:val="24"/>
                <w:highlight w:val="none"/>
                <w:lang w:val="en-US" w:eastAsia="zh-CN"/>
              </w:rPr>
              <w:t>运输</w:t>
            </w:r>
            <w:r>
              <w:rPr>
                <w:rFonts w:hint="default"/>
                <w:color w:val="auto"/>
                <w:spacing w:val="0"/>
                <w:sz w:val="24"/>
                <w:szCs w:val="24"/>
                <w:highlight w:val="none"/>
              </w:rPr>
              <w:t>记录表。</w:t>
            </w:r>
          </w:p>
          <w:p w14:paraId="629FF19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textAlignment w:val="auto"/>
              <w:rPr>
                <w:rFonts w:hint="default"/>
                <w:color w:val="auto"/>
                <w:spacing w:val="0"/>
                <w:sz w:val="24"/>
                <w:szCs w:val="24"/>
                <w:highlight w:val="none"/>
              </w:rPr>
            </w:pPr>
            <w:r>
              <w:rPr>
                <w:rFonts w:hint="default"/>
                <w:color w:val="auto"/>
                <w:spacing w:val="0"/>
                <w:sz w:val="24"/>
                <w:szCs w:val="24"/>
                <w:highlight w:val="none"/>
              </w:rPr>
              <w:t>一般</w:t>
            </w:r>
            <w:r>
              <w:rPr>
                <w:rFonts w:hint="eastAsia" w:ascii="Times New Roman" w:eastAsia="宋体"/>
                <w:color w:val="auto"/>
                <w:spacing w:val="0"/>
                <w:sz w:val="24"/>
                <w:szCs w:val="24"/>
                <w:highlight w:val="none"/>
                <w:lang w:val="en-US" w:eastAsia="zh-CN"/>
              </w:rPr>
              <w:t>工业</w:t>
            </w:r>
            <w:r>
              <w:rPr>
                <w:rFonts w:hint="default"/>
                <w:color w:val="auto"/>
                <w:spacing w:val="0"/>
                <w:sz w:val="24"/>
                <w:szCs w:val="24"/>
                <w:highlight w:val="none"/>
              </w:rPr>
              <w:t>固废</w:t>
            </w:r>
            <w:r>
              <w:rPr>
                <w:rFonts w:hint="eastAsia" w:ascii="Times New Roman" w:eastAsia="宋体"/>
                <w:color w:val="auto"/>
                <w:spacing w:val="0"/>
                <w:sz w:val="24"/>
                <w:szCs w:val="24"/>
                <w:highlight w:val="none"/>
                <w:lang w:val="en-US" w:eastAsia="zh-CN"/>
              </w:rPr>
              <w:t>暂存间应防渗漏、防雨淋、防扬尘</w:t>
            </w:r>
            <w:r>
              <w:rPr>
                <w:rFonts w:hint="eastAsia" w:eastAsia="宋体"/>
                <w:color w:val="auto"/>
                <w:spacing w:val="0"/>
                <w:sz w:val="24"/>
                <w:szCs w:val="24"/>
                <w:highlight w:val="none"/>
                <w:lang w:eastAsia="zh-CN"/>
              </w:rPr>
              <w:t>，</w:t>
            </w:r>
            <w:r>
              <w:rPr>
                <w:rFonts w:hint="default"/>
                <w:color w:val="auto"/>
                <w:spacing w:val="0"/>
                <w:sz w:val="24"/>
                <w:szCs w:val="24"/>
                <w:highlight w:val="none"/>
              </w:rPr>
              <w:t>危险固废暂存</w:t>
            </w:r>
            <w:r>
              <w:rPr>
                <w:rFonts w:hint="eastAsia" w:ascii="Times New Roman" w:eastAsia="宋体"/>
                <w:color w:val="auto"/>
                <w:spacing w:val="0"/>
                <w:sz w:val="24"/>
                <w:szCs w:val="24"/>
                <w:highlight w:val="none"/>
                <w:lang w:val="en-US" w:eastAsia="zh-CN"/>
              </w:rPr>
              <w:t>间</w:t>
            </w:r>
            <w:r>
              <w:rPr>
                <w:rFonts w:hint="default"/>
                <w:color w:val="auto"/>
                <w:spacing w:val="0"/>
                <w:sz w:val="24"/>
                <w:szCs w:val="24"/>
                <w:highlight w:val="none"/>
              </w:rPr>
              <w:t>严格按照《危险废物贮存污染控制标准》（GB18597-20</w:t>
            </w:r>
            <w:r>
              <w:rPr>
                <w:rFonts w:hint="eastAsia"/>
                <w:color w:val="auto"/>
                <w:spacing w:val="0"/>
                <w:sz w:val="24"/>
                <w:szCs w:val="24"/>
                <w:highlight w:val="none"/>
                <w:lang w:val="en-US" w:eastAsia="zh-CN"/>
              </w:rPr>
              <w:t>23</w:t>
            </w:r>
            <w:r>
              <w:rPr>
                <w:rFonts w:hint="default"/>
                <w:color w:val="auto"/>
                <w:spacing w:val="0"/>
                <w:sz w:val="24"/>
                <w:szCs w:val="24"/>
                <w:highlight w:val="none"/>
              </w:rPr>
              <w:t>）的有关要求建设，具体固体废物贮存要求如下：</w:t>
            </w:r>
          </w:p>
          <w:p w14:paraId="15D5866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textAlignment w:val="auto"/>
              <w:rPr>
                <w:rFonts w:hint="default"/>
                <w:color w:val="auto"/>
                <w:spacing w:val="0"/>
                <w:sz w:val="24"/>
                <w:szCs w:val="24"/>
                <w:highlight w:val="none"/>
              </w:rPr>
            </w:pPr>
            <w:r>
              <w:rPr>
                <w:rFonts w:hint="eastAsia"/>
                <w:color w:val="auto"/>
                <w:spacing w:val="0"/>
                <w:sz w:val="24"/>
                <w:szCs w:val="24"/>
                <w:highlight w:val="none"/>
                <w:lang w:val="en-US" w:eastAsia="zh-CN"/>
              </w:rPr>
              <w:t>1）贮存设施应根据危险废物的形态、物理化学性质、包装形式和污染物迁移途径，采取必要的防风、防晒、防雨、防漏、防渗、防腐以及其他环境污染防治措施，不应露天堆放危险废物</w:t>
            </w:r>
            <w:r>
              <w:rPr>
                <w:rFonts w:hint="default"/>
                <w:color w:val="auto"/>
                <w:spacing w:val="0"/>
                <w:sz w:val="24"/>
                <w:szCs w:val="24"/>
                <w:highlight w:val="none"/>
              </w:rPr>
              <w:t>。</w:t>
            </w:r>
          </w:p>
          <w:p w14:paraId="01820EC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textAlignment w:val="auto"/>
              <w:rPr>
                <w:rFonts w:hint="default"/>
                <w:color w:val="auto"/>
                <w:spacing w:val="0"/>
                <w:sz w:val="24"/>
                <w:szCs w:val="24"/>
                <w:highlight w:val="none"/>
              </w:rPr>
            </w:pPr>
            <w:r>
              <w:rPr>
                <w:rFonts w:hint="eastAsia"/>
                <w:color w:val="auto"/>
                <w:spacing w:val="0"/>
                <w:sz w:val="24"/>
                <w:szCs w:val="24"/>
                <w:highlight w:val="none"/>
                <w:lang w:val="en-US" w:eastAsia="zh-CN"/>
              </w:rPr>
              <w:t>2）贮存设施应根据危险废物的类别、数量、形态、物理化学性质和污染防治等要求设置必要的贮存分区，避免不相容的危险废物接触、混合</w:t>
            </w:r>
            <w:r>
              <w:rPr>
                <w:rFonts w:hint="default"/>
                <w:color w:val="auto"/>
                <w:spacing w:val="0"/>
                <w:sz w:val="24"/>
                <w:szCs w:val="24"/>
                <w:highlight w:val="none"/>
              </w:rPr>
              <w:t>。</w:t>
            </w:r>
          </w:p>
          <w:p w14:paraId="2D5C8F5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textAlignment w:val="auto"/>
              <w:rPr>
                <w:rFonts w:hint="default"/>
                <w:color w:val="auto"/>
                <w:spacing w:val="0"/>
                <w:sz w:val="24"/>
                <w:szCs w:val="24"/>
                <w:highlight w:val="none"/>
              </w:rPr>
            </w:pPr>
            <w:r>
              <w:rPr>
                <w:rFonts w:hint="eastAsia"/>
                <w:color w:val="auto"/>
                <w:spacing w:val="0"/>
                <w:sz w:val="24"/>
                <w:szCs w:val="24"/>
                <w:highlight w:val="none"/>
                <w:lang w:val="en-US" w:eastAsia="zh-CN"/>
              </w:rPr>
              <w:t>3）贮存设施或贮存分区内地面、墙面裙脚、堵截泄漏的围堰、接触危险废物的隔板和墙体等应采用坚固的材料建造，表面无裂缝</w:t>
            </w:r>
            <w:r>
              <w:rPr>
                <w:rFonts w:hint="default"/>
                <w:color w:val="auto"/>
                <w:spacing w:val="0"/>
                <w:sz w:val="24"/>
                <w:szCs w:val="24"/>
                <w:highlight w:val="none"/>
              </w:rPr>
              <w:t>。</w:t>
            </w:r>
          </w:p>
          <w:p w14:paraId="00528E3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textAlignment w:val="auto"/>
              <w:rPr>
                <w:rFonts w:hint="eastAsia"/>
                <w:color w:val="auto"/>
                <w:spacing w:val="0"/>
                <w:sz w:val="24"/>
                <w:szCs w:val="24"/>
                <w:highlight w:val="none"/>
                <w:lang w:val="en-US" w:eastAsia="zh-CN"/>
              </w:rPr>
            </w:pPr>
            <w:r>
              <w:rPr>
                <w:rFonts w:hint="eastAsia"/>
                <w:color w:val="auto"/>
                <w:spacing w:val="0"/>
                <w:sz w:val="24"/>
                <w:szCs w:val="24"/>
                <w:highlight w:val="none"/>
                <w:lang w:val="en-US" w:eastAsia="zh-CN"/>
              </w:rPr>
              <w:t>4）贮存设施地面与裙脚应采取表面防渗措施；表面防渗材料应与所接触的物料或污染物相容，可采用抗渗混凝土、高密度聚乙烯膜、钠基膨润土防水毯或其他防渗性能等效的材料。贮存的危险废物直接接触地面的，还应进行基础防渗，防渗层为至少1m厚黏土层（渗透系数不大于10</w:t>
            </w:r>
            <w:r>
              <w:rPr>
                <w:rFonts w:hint="eastAsia"/>
                <w:color w:val="auto"/>
                <w:spacing w:val="0"/>
                <w:sz w:val="24"/>
                <w:szCs w:val="24"/>
                <w:highlight w:val="none"/>
                <w:vertAlign w:val="superscript"/>
                <w:lang w:val="en-US" w:eastAsia="zh-CN"/>
              </w:rPr>
              <w:t>-7</w:t>
            </w:r>
            <w:r>
              <w:rPr>
                <w:rFonts w:hint="eastAsia"/>
                <w:color w:val="auto"/>
                <w:spacing w:val="0"/>
                <w:sz w:val="24"/>
                <w:szCs w:val="24"/>
                <w:highlight w:val="none"/>
                <w:lang w:val="en-US" w:eastAsia="zh-CN"/>
              </w:rPr>
              <w:t>cm/s)，或至少2mm厚高密度聚乙烯膜等人工防渗材料（渗透系数不大于10</w:t>
            </w:r>
            <w:r>
              <w:rPr>
                <w:rFonts w:hint="eastAsia"/>
                <w:color w:val="auto"/>
                <w:spacing w:val="0"/>
                <w:sz w:val="24"/>
                <w:szCs w:val="24"/>
                <w:highlight w:val="none"/>
                <w:vertAlign w:val="superscript"/>
                <w:lang w:val="en-US" w:eastAsia="zh-CN"/>
              </w:rPr>
              <w:t>-10</w:t>
            </w:r>
            <w:r>
              <w:rPr>
                <w:rFonts w:hint="eastAsia"/>
                <w:color w:val="auto"/>
                <w:spacing w:val="0"/>
                <w:sz w:val="24"/>
                <w:szCs w:val="24"/>
                <w:highlight w:val="none"/>
                <w:lang w:val="en-US" w:eastAsia="zh-CN"/>
              </w:rPr>
              <w:t>cm/s)，或其他防渗性能等效的材料。</w:t>
            </w:r>
          </w:p>
          <w:p w14:paraId="3E819E5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textAlignment w:val="auto"/>
              <w:rPr>
                <w:rFonts w:hint="default"/>
                <w:color w:val="auto"/>
                <w:spacing w:val="0"/>
                <w:sz w:val="24"/>
                <w:szCs w:val="24"/>
                <w:highlight w:val="none"/>
              </w:rPr>
            </w:pPr>
            <w:r>
              <w:rPr>
                <w:rFonts w:hint="eastAsia" w:ascii="Times New Roman" w:hAnsi="Times New Roman" w:eastAsia="宋体" w:cs="Times New Roman"/>
                <w:color w:val="auto"/>
                <w:spacing w:val="0"/>
                <w:sz w:val="24"/>
                <w:szCs w:val="24"/>
                <w:highlight w:val="none"/>
                <w:lang w:val="en-US" w:eastAsia="zh-CN"/>
              </w:rPr>
              <w:t>5）</w:t>
            </w:r>
            <w:r>
              <w:rPr>
                <w:rFonts w:hint="eastAsia"/>
                <w:color w:val="auto"/>
                <w:spacing w:val="0"/>
                <w:sz w:val="24"/>
                <w:szCs w:val="24"/>
                <w:highlight w:val="none"/>
                <w:lang w:val="en-US" w:eastAsia="zh-CN"/>
              </w:rPr>
              <w:t>同一贮存设施宜采用相同的防渗、防腐工艺（包括防渗、防腐结构或材料），防渗、防腐材料应覆盖所有可能与废物及其渗滤液、渗漏液等接触的构筑物表面；采用不同防渗、防腐工艺应分别建设贮存分区</w:t>
            </w:r>
            <w:r>
              <w:rPr>
                <w:rFonts w:hint="default"/>
                <w:color w:val="auto"/>
                <w:spacing w:val="0"/>
                <w:sz w:val="24"/>
                <w:szCs w:val="24"/>
                <w:highlight w:val="none"/>
              </w:rPr>
              <w:t>。</w:t>
            </w:r>
          </w:p>
          <w:p w14:paraId="610492E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textAlignment w:val="auto"/>
              <w:rPr>
                <w:rFonts w:hint="eastAsia" w:ascii="Times New Roman" w:hAnsi="Times New Roman" w:eastAsia="宋体" w:cs="Times New Roman"/>
                <w:color w:val="auto"/>
                <w:spacing w:val="0"/>
                <w:sz w:val="24"/>
                <w:szCs w:val="24"/>
                <w:highlight w:val="none"/>
                <w:lang w:val="en-US" w:eastAsia="zh-CN"/>
              </w:rPr>
            </w:pPr>
            <w:r>
              <w:rPr>
                <w:rFonts w:hint="eastAsia" w:ascii="Times New Roman" w:hAnsi="Times New Roman" w:eastAsia="宋体" w:cs="Times New Roman"/>
                <w:color w:val="auto"/>
                <w:spacing w:val="0"/>
                <w:sz w:val="24"/>
                <w:szCs w:val="24"/>
                <w:highlight w:val="none"/>
                <w:lang w:val="en-US" w:eastAsia="zh-CN"/>
              </w:rPr>
              <w:t>6）贮存设施应采取技术和管理措施防止无关人员进入。</w:t>
            </w:r>
          </w:p>
          <w:p w14:paraId="53B6567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textAlignment w:val="auto"/>
              <w:rPr>
                <w:rFonts w:hint="default"/>
                <w:color w:val="auto"/>
                <w:spacing w:val="0"/>
                <w:sz w:val="24"/>
                <w:szCs w:val="24"/>
                <w:highlight w:val="none"/>
                <w:lang w:val="en-US" w:eastAsia="zh-CN"/>
              </w:rPr>
            </w:pPr>
            <w:bookmarkStart w:id="22" w:name="_Toc16610_WPSOffice_Level3"/>
            <w:r>
              <w:rPr>
                <w:rFonts w:hint="eastAsia"/>
                <w:color w:val="auto"/>
                <w:spacing w:val="0"/>
                <w:sz w:val="24"/>
                <w:szCs w:val="24"/>
                <w:highlight w:val="none"/>
                <w:lang w:val="en-US" w:eastAsia="zh-CN"/>
              </w:rPr>
              <w:t>7）危废暂存间可整体或分区设计液体导流沟和收集设施。</w:t>
            </w:r>
          </w:p>
          <w:p w14:paraId="4DEAD3B5">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textAlignment w:val="auto"/>
              <w:rPr>
                <w:rFonts w:hint="default"/>
                <w:color w:val="auto"/>
                <w:spacing w:val="0"/>
                <w:sz w:val="24"/>
                <w:szCs w:val="24"/>
                <w:highlight w:val="none"/>
                <w:lang w:val="en-US" w:eastAsia="zh-CN"/>
              </w:rPr>
            </w:pPr>
            <w:r>
              <w:rPr>
                <w:rFonts w:hint="eastAsia"/>
                <w:color w:val="auto"/>
                <w:spacing w:val="0"/>
                <w:sz w:val="24"/>
                <w:szCs w:val="24"/>
                <w:highlight w:val="none"/>
                <w:lang w:val="en-US" w:eastAsia="zh-CN"/>
              </w:rPr>
              <w:t>（4）</w:t>
            </w:r>
            <w:r>
              <w:rPr>
                <w:rFonts w:hint="default"/>
                <w:color w:val="auto"/>
                <w:spacing w:val="0"/>
                <w:sz w:val="24"/>
                <w:szCs w:val="24"/>
                <w:highlight w:val="none"/>
                <w:lang w:val="en-US" w:eastAsia="zh-CN"/>
              </w:rPr>
              <w:t>固废暂存场所设置可行性</w:t>
            </w:r>
            <w:r>
              <w:rPr>
                <w:rFonts w:hint="eastAsia"/>
                <w:color w:val="auto"/>
                <w:spacing w:val="0"/>
                <w:sz w:val="24"/>
                <w:szCs w:val="24"/>
                <w:highlight w:val="none"/>
                <w:lang w:val="en-US" w:eastAsia="zh-CN"/>
              </w:rPr>
              <w:t>及合理</w:t>
            </w:r>
            <w:r>
              <w:rPr>
                <w:rFonts w:hint="default"/>
                <w:color w:val="auto"/>
                <w:spacing w:val="0"/>
                <w:sz w:val="24"/>
                <w:szCs w:val="24"/>
                <w:highlight w:val="none"/>
                <w:lang w:val="en-US" w:eastAsia="zh-CN"/>
              </w:rPr>
              <w:t>分析</w:t>
            </w:r>
            <w:bookmarkEnd w:id="22"/>
          </w:p>
          <w:p w14:paraId="00A4551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firstLine="480" w:firstLineChars="200"/>
              <w:jc w:val="both"/>
              <w:textAlignment w:val="auto"/>
              <w:rPr>
                <w:rFonts w:hint="default" w:ascii="Times New Roman" w:hAnsi="Times New Roman" w:eastAsia="宋体" w:cs="Times New Roman"/>
                <w:color w:val="auto"/>
                <w:spacing w:val="0"/>
                <w:sz w:val="24"/>
                <w:szCs w:val="24"/>
                <w:highlight w:val="none"/>
                <w:lang w:val="en-US" w:eastAsia="zh-CN"/>
              </w:rPr>
            </w:pPr>
            <w:r>
              <w:rPr>
                <w:rFonts w:hint="default" w:ascii="Times New Roman" w:hAnsi="Times New Roman" w:eastAsia="宋体" w:cs="Times New Roman"/>
                <w:color w:val="auto"/>
                <w:spacing w:val="0"/>
                <w:sz w:val="24"/>
                <w:szCs w:val="24"/>
                <w:highlight w:val="none"/>
                <w:lang w:val="en-US" w:eastAsia="zh-CN"/>
              </w:rPr>
              <w:t>建设项目</w:t>
            </w:r>
            <w:r>
              <w:rPr>
                <w:rFonts w:hint="eastAsia" w:ascii="Times New Roman" w:hAnsi="Times New Roman" w:cs="Times New Roman"/>
                <w:color w:val="auto"/>
                <w:spacing w:val="0"/>
                <w:sz w:val="24"/>
                <w:szCs w:val="24"/>
                <w:highlight w:val="none"/>
                <w:lang w:val="en-US" w:eastAsia="zh-CN"/>
              </w:rPr>
              <w:t>建设</w:t>
            </w:r>
            <w:r>
              <w:rPr>
                <w:rFonts w:hint="default" w:ascii="Times New Roman" w:hAnsi="Times New Roman" w:eastAsia="宋体" w:cs="Times New Roman"/>
                <w:color w:val="auto"/>
                <w:spacing w:val="0"/>
                <w:sz w:val="24"/>
                <w:szCs w:val="24"/>
                <w:highlight w:val="none"/>
                <w:lang w:val="en-US" w:eastAsia="zh-CN"/>
              </w:rPr>
              <w:t>一座</w:t>
            </w:r>
            <w:r>
              <w:rPr>
                <w:rFonts w:hint="eastAsia" w:cs="Times New Roman"/>
                <w:color w:val="auto"/>
                <w:spacing w:val="0"/>
                <w:sz w:val="24"/>
                <w:szCs w:val="24"/>
                <w:highlight w:val="none"/>
                <w:lang w:val="en-US" w:eastAsia="zh-CN"/>
              </w:rPr>
              <w:t>50</w:t>
            </w:r>
            <w:r>
              <w:rPr>
                <w:rFonts w:hint="default" w:ascii="Times New Roman" w:hAnsi="Times New Roman" w:eastAsia="宋体" w:cs="Times New Roman"/>
                <w:color w:val="auto"/>
                <w:spacing w:val="0"/>
                <w:sz w:val="24"/>
                <w:szCs w:val="24"/>
                <w:highlight w:val="none"/>
                <w:lang w:val="en-US" w:eastAsia="zh-CN"/>
              </w:rPr>
              <w:t>m</w:t>
            </w:r>
            <w:r>
              <w:rPr>
                <w:rFonts w:hint="default" w:ascii="Times New Roman" w:hAnsi="Times New Roman" w:eastAsia="宋体" w:cs="Times New Roman"/>
                <w:color w:val="auto"/>
                <w:spacing w:val="0"/>
                <w:sz w:val="24"/>
                <w:szCs w:val="24"/>
                <w:highlight w:val="none"/>
                <w:vertAlign w:val="superscript"/>
                <w:lang w:val="en-US" w:eastAsia="zh-CN"/>
              </w:rPr>
              <w:t>2</w:t>
            </w:r>
            <w:r>
              <w:rPr>
                <w:rFonts w:hint="default" w:ascii="Times New Roman" w:hAnsi="Times New Roman" w:eastAsia="宋体" w:cs="Times New Roman"/>
                <w:color w:val="auto"/>
                <w:spacing w:val="0"/>
                <w:sz w:val="24"/>
                <w:szCs w:val="24"/>
                <w:highlight w:val="none"/>
                <w:lang w:val="en-US" w:eastAsia="zh-CN"/>
              </w:rPr>
              <w:t>的</w:t>
            </w:r>
            <w:r>
              <w:rPr>
                <w:rFonts w:hint="eastAsia" w:ascii="Times New Roman" w:hAnsi="Times New Roman" w:eastAsia="宋体" w:cs="Times New Roman"/>
                <w:color w:val="auto"/>
                <w:spacing w:val="0"/>
                <w:sz w:val="24"/>
                <w:szCs w:val="24"/>
                <w:highlight w:val="none"/>
                <w:lang w:val="en-US" w:eastAsia="zh-CN"/>
              </w:rPr>
              <w:t>一般</w:t>
            </w:r>
            <w:r>
              <w:rPr>
                <w:rFonts w:hint="eastAsia" w:ascii="Times New Roman" w:hAnsi="Times New Roman" w:cs="Times New Roman"/>
                <w:color w:val="auto"/>
                <w:spacing w:val="0"/>
                <w:sz w:val="24"/>
                <w:szCs w:val="24"/>
                <w:highlight w:val="none"/>
                <w:lang w:val="en-US" w:eastAsia="zh-CN"/>
              </w:rPr>
              <w:t>固废暂存</w:t>
            </w:r>
            <w:r>
              <w:rPr>
                <w:rFonts w:hint="eastAsia" w:cs="Times New Roman"/>
                <w:color w:val="auto"/>
                <w:spacing w:val="0"/>
                <w:sz w:val="24"/>
                <w:szCs w:val="24"/>
                <w:highlight w:val="none"/>
                <w:lang w:val="en-US" w:eastAsia="zh-CN"/>
              </w:rPr>
              <w:t>间</w:t>
            </w:r>
            <w:r>
              <w:rPr>
                <w:rFonts w:hint="default" w:ascii="Times New Roman" w:hAnsi="Times New Roman" w:eastAsia="宋体" w:cs="Times New Roman"/>
                <w:color w:val="auto"/>
                <w:spacing w:val="0"/>
                <w:sz w:val="24"/>
                <w:szCs w:val="24"/>
                <w:highlight w:val="none"/>
                <w:lang w:val="en-US" w:eastAsia="zh-CN"/>
              </w:rPr>
              <w:t>，建设项目建成后一般工业固废年产生量为</w:t>
            </w:r>
            <w:r>
              <w:rPr>
                <w:rFonts w:hint="eastAsia" w:cs="Times New Roman"/>
                <w:color w:val="auto"/>
                <w:spacing w:val="0"/>
                <w:sz w:val="24"/>
                <w:szCs w:val="24"/>
                <w:highlight w:val="none"/>
                <w:lang w:val="en-US" w:eastAsia="zh-CN"/>
              </w:rPr>
              <w:t>46.67</w:t>
            </w:r>
            <w:r>
              <w:rPr>
                <w:rFonts w:hint="default" w:ascii="Times New Roman" w:hAnsi="Times New Roman" w:eastAsia="宋体" w:cs="Times New Roman"/>
                <w:color w:val="auto"/>
                <w:spacing w:val="0"/>
                <w:sz w:val="24"/>
                <w:szCs w:val="24"/>
                <w:highlight w:val="none"/>
                <w:lang w:val="en-US" w:eastAsia="zh-CN"/>
              </w:rPr>
              <w:t>t/a；生活垃圾年产生量为</w:t>
            </w:r>
            <w:r>
              <w:rPr>
                <w:rFonts w:hint="eastAsia" w:cs="Times New Roman"/>
                <w:color w:val="auto"/>
                <w:spacing w:val="0"/>
                <w:sz w:val="24"/>
                <w:szCs w:val="24"/>
                <w:highlight w:val="none"/>
                <w:lang w:val="en-US" w:eastAsia="zh-CN"/>
              </w:rPr>
              <w:t>75</w:t>
            </w:r>
            <w:r>
              <w:rPr>
                <w:rFonts w:hint="default" w:ascii="Times New Roman" w:hAnsi="Times New Roman" w:eastAsia="宋体" w:cs="Times New Roman"/>
                <w:color w:val="auto"/>
                <w:spacing w:val="0"/>
                <w:sz w:val="24"/>
                <w:szCs w:val="24"/>
                <w:highlight w:val="none"/>
                <w:lang w:val="en-US" w:eastAsia="zh-CN"/>
              </w:rPr>
              <w:t>t/a。生活垃圾日产日清，不占用</w:t>
            </w:r>
            <w:r>
              <w:rPr>
                <w:rFonts w:hint="eastAsia" w:ascii="Times New Roman" w:hAnsi="Times New Roman" w:eastAsia="宋体" w:cs="Times New Roman"/>
                <w:color w:val="auto"/>
                <w:spacing w:val="0"/>
                <w:sz w:val="24"/>
                <w:szCs w:val="24"/>
                <w:highlight w:val="none"/>
                <w:lang w:val="en-US" w:eastAsia="zh-CN"/>
              </w:rPr>
              <w:t>一般</w:t>
            </w:r>
            <w:r>
              <w:rPr>
                <w:rFonts w:hint="eastAsia" w:ascii="Times New Roman" w:hAnsi="Times New Roman" w:cs="Times New Roman"/>
                <w:color w:val="auto"/>
                <w:spacing w:val="0"/>
                <w:sz w:val="24"/>
                <w:szCs w:val="24"/>
                <w:highlight w:val="none"/>
                <w:lang w:val="en-US" w:eastAsia="zh-CN"/>
              </w:rPr>
              <w:t>固废暂存</w:t>
            </w:r>
            <w:r>
              <w:rPr>
                <w:rFonts w:hint="eastAsia" w:cs="Times New Roman"/>
                <w:color w:val="auto"/>
                <w:spacing w:val="0"/>
                <w:sz w:val="24"/>
                <w:szCs w:val="24"/>
                <w:highlight w:val="none"/>
                <w:lang w:val="en-US" w:eastAsia="zh-CN"/>
              </w:rPr>
              <w:t>间</w:t>
            </w:r>
            <w:r>
              <w:rPr>
                <w:rFonts w:hint="default" w:ascii="Times New Roman" w:hAnsi="Times New Roman" w:eastAsia="宋体" w:cs="Times New Roman"/>
                <w:color w:val="auto"/>
                <w:spacing w:val="0"/>
                <w:sz w:val="24"/>
                <w:szCs w:val="24"/>
                <w:highlight w:val="none"/>
                <w:lang w:val="en-US" w:eastAsia="zh-CN"/>
              </w:rPr>
              <w:t>。一般工业固废平均转运周期为</w:t>
            </w:r>
            <w:r>
              <w:rPr>
                <w:rFonts w:hint="eastAsia" w:cs="Times New Roman"/>
                <w:color w:val="auto"/>
                <w:spacing w:val="0"/>
                <w:sz w:val="24"/>
                <w:szCs w:val="24"/>
                <w:highlight w:val="none"/>
                <w:lang w:val="en-US" w:eastAsia="zh-CN"/>
              </w:rPr>
              <w:t>1</w:t>
            </w:r>
            <w:r>
              <w:rPr>
                <w:rFonts w:hint="default" w:ascii="Times New Roman" w:hAnsi="Times New Roman" w:eastAsia="宋体" w:cs="Times New Roman"/>
                <w:color w:val="auto"/>
                <w:spacing w:val="0"/>
                <w:sz w:val="24"/>
                <w:szCs w:val="24"/>
                <w:highlight w:val="none"/>
                <w:lang w:val="en-US" w:eastAsia="zh-CN"/>
              </w:rPr>
              <w:t>个月，</w:t>
            </w:r>
            <w:r>
              <w:rPr>
                <w:rFonts w:hint="eastAsia" w:ascii="Times New Roman" w:hAnsi="Times New Roman" w:eastAsia="宋体" w:cs="Times New Roman"/>
                <w:color w:val="auto"/>
                <w:spacing w:val="0"/>
                <w:sz w:val="24"/>
                <w:szCs w:val="24"/>
                <w:highlight w:val="none"/>
                <w:lang w:val="en-US" w:eastAsia="zh-CN"/>
              </w:rPr>
              <w:t>则</w:t>
            </w:r>
            <w:r>
              <w:rPr>
                <w:rFonts w:hint="eastAsia" w:ascii="Times New Roman" w:hAnsi="Times New Roman" w:cs="Times New Roman"/>
                <w:color w:val="auto"/>
                <w:spacing w:val="0"/>
                <w:sz w:val="24"/>
                <w:szCs w:val="24"/>
                <w:highlight w:val="none"/>
                <w:lang w:val="en-US" w:eastAsia="zh-CN"/>
              </w:rPr>
              <w:t>一般</w:t>
            </w:r>
            <w:r>
              <w:rPr>
                <w:rFonts w:hint="default" w:ascii="Times New Roman" w:hAnsi="Times New Roman" w:eastAsia="宋体" w:cs="Times New Roman"/>
                <w:color w:val="auto"/>
                <w:spacing w:val="0"/>
                <w:sz w:val="24"/>
                <w:szCs w:val="24"/>
                <w:highlight w:val="none"/>
                <w:lang w:val="en-US" w:eastAsia="zh-CN"/>
              </w:rPr>
              <w:t>固废最大</w:t>
            </w:r>
            <w:r>
              <w:rPr>
                <w:rFonts w:hint="eastAsia" w:ascii="Times New Roman" w:hAnsi="Times New Roman" w:cs="Times New Roman"/>
                <w:color w:val="auto"/>
                <w:spacing w:val="0"/>
                <w:sz w:val="24"/>
                <w:szCs w:val="24"/>
                <w:highlight w:val="none"/>
                <w:lang w:val="en-US" w:eastAsia="zh-CN"/>
              </w:rPr>
              <w:t>暂存</w:t>
            </w:r>
            <w:r>
              <w:rPr>
                <w:rFonts w:hint="default" w:ascii="Times New Roman" w:hAnsi="Times New Roman" w:eastAsia="宋体" w:cs="Times New Roman"/>
                <w:color w:val="auto"/>
                <w:spacing w:val="0"/>
                <w:sz w:val="24"/>
                <w:szCs w:val="24"/>
                <w:highlight w:val="none"/>
                <w:lang w:val="en-US" w:eastAsia="zh-CN"/>
              </w:rPr>
              <w:t>量为</w:t>
            </w:r>
            <w:r>
              <w:rPr>
                <w:rFonts w:hint="eastAsia" w:cs="Times New Roman"/>
                <w:color w:val="auto"/>
                <w:spacing w:val="0"/>
                <w:sz w:val="24"/>
                <w:szCs w:val="24"/>
                <w:highlight w:val="none"/>
                <w:lang w:val="en-US" w:eastAsia="zh-CN"/>
              </w:rPr>
              <w:t>3.89</w:t>
            </w:r>
            <w:r>
              <w:rPr>
                <w:rFonts w:hint="default" w:ascii="Times New Roman" w:hAnsi="Times New Roman" w:eastAsia="宋体" w:cs="Times New Roman"/>
                <w:color w:val="auto"/>
                <w:spacing w:val="0"/>
                <w:sz w:val="24"/>
                <w:szCs w:val="24"/>
                <w:highlight w:val="none"/>
                <w:lang w:val="en-US" w:eastAsia="zh-CN"/>
              </w:rPr>
              <w:t>t，</w:t>
            </w:r>
            <w:r>
              <w:rPr>
                <w:rFonts w:hint="eastAsia" w:ascii="Times New Roman" w:hAnsi="Times New Roman" w:eastAsia="宋体" w:cs="Times New Roman"/>
                <w:color w:val="auto"/>
                <w:spacing w:val="0"/>
                <w:sz w:val="24"/>
                <w:szCs w:val="24"/>
                <w:highlight w:val="none"/>
                <w:lang w:val="en-US" w:eastAsia="zh-CN"/>
              </w:rPr>
              <w:t>按全部用</w:t>
            </w:r>
            <w:r>
              <w:rPr>
                <w:rFonts w:hint="default" w:ascii="Times New Roman" w:hAnsi="Times New Roman" w:eastAsia="宋体" w:cs="Times New Roman"/>
                <w:color w:val="auto"/>
                <w:spacing w:val="0"/>
                <w:sz w:val="24"/>
                <w:szCs w:val="24"/>
                <w:highlight w:val="none"/>
              </w:rPr>
              <w:t>250kg塑料桶盛装</w:t>
            </w:r>
            <w:r>
              <w:rPr>
                <w:rFonts w:hint="eastAsia" w:ascii="Times New Roman" w:hAnsi="Times New Roman" w:eastAsia="宋体" w:cs="Times New Roman"/>
                <w:color w:val="auto"/>
                <w:spacing w:val="0"/>
                <w:sz w:val="24"/>
                <w:szCs w:val="24"/>
                <w:highlight w:val="none"/>
                <w:lang w:val="en-US" w:eastAsia="zh-CN"/>
              </w:rPr>
              <w:t>计</w:t>
            </w:r>
            <w:r>
              <w:rPr>
                <w:rFonts w:hint="default" w:ascii="Times New Roman" w:hAnsi="Times New Roman" w:eastAsia="宋体" w:cs="Times New Roman"/>
                <w:color w:val="auto"/>
                <w:spacing w:val="0"/>
                <w:sz w:val="24"/>
                <w:szCs w:val="24"/>
                <w:highlight w:val="none"/>
              </w:rPr>
              <w:t>，需要约</w:t>
            </w:r>
            <w:r>
              <w:rPr>
                <w:rFonts w:hint="eastAsia" w:cs="Times New Roman"/>
                <w:color w:val="auto"/>
                <w:spacing w:val="0"/>
                <w:sz w:val="24"/>
                <w:szCs w:val="24"/>
                <w:highlight w:val="none"/>
                <w:lang w:val="en-US" w:eastAsia="zh-CN"/>
              </w:rPr>
              <w:t>16</w:t>
            </w:r>
            <w:r>
              <w:rPr>
                <w:rFonts w:hint="eastAsia" w:ascii="Times New Roman" w:hAnsi="Times New Roman" w:eastAsia="宋体" w:cs="Times New Roman"/>
                <w:color w:val="auto"/>
                <w:spacing w:val="0"/>
                <w:sz w:val="24"/>
                <w:szCs w:val="24"/>
                <w:highlight w:val="none"/>
                <w:lang w:val="en-US" w:eastAsia="zh-CN"/>
              </w:rPr>
              <w:t>个</w:t>
            </w:r>
            <w:r>
              <w:rPr>
                <w:rFonts w:hint="default" w:ascii="Times New Roman" w:hAnsi="Times New Roman" w:eastAsia="宋体" w:cs="Times New Roman"/>
                <w:color w:val="auto"/>
                <w:spacing w:val="0"/>
                <w:sz w:val="24"/>
                <w:szCs w:val="24"/>
                <w:highlight w:val="none"/>
              </w:rPr>
              <w:t>桶，每只塑料桶按照占地面积0.</w:t>
            </w:r>
            <w:r>
              <w:rPr>
                <w:rFonts w:hint="eastAsia" w:ascii="Times New Roman" w:hAnsi="Times New Roman" w:cs="Times New Roman"/>
                <w:color w:val="auto"/>
                <w:spacing w:val="0"/>
                <w:sz w:val="24"/>
                <w:szCs w:val="24"/>
                <w:highlight w:val="none"/>
                <w:lang w:val="en-US" w:eastAsia="zh-CN"/>
              </w:rPr>
              <w:t>5</w:t>
            </w:r>
            <w:r>
              <w:rPr>
                <w:rFonts w:hint="default" w:ascii="Times New Roman" w:hAnsi="Times New Roman" w:eastAsia="宋体" w:cs="Times New Roman"/>
                <w:color w:val="auto"/>
                <w:spacing w:val="0"/>
                <w:sz w:val="24"/>
                <w:szCs w:val="24"/>
                <w:highlight w:val="none"/>
              </w:rPr>
              <w:t>m</w:t>
            </w:r>
            <w:r>
              <w:rPr>
                <w:rFonts w:hint="default" w:ascii="Times New Roman" w:hAnsi="Times New Roman" w:eastAsia="宋体" w:cs="Times New Roman"/>
                <w:color w:val="auto"/>
                <w:spacing w:val="0"/>
                <w:sz w:val="24"/>
                <w:szCs w:val="24"/>
                <w:highlight w:val="none"/>
                <w:vertAlign w:val="superscript"/>
              </w:rPr>
              <w:t>2</w:t>
            </w:r>
            <w:r>
              <w:rPr>
                <w:rFonts w:hint="default" w:ascii="Times New Roman" w:hAnsi="Times New Roman" w:eastAsia="宋体" w:cs="Times New Roman"/>
                <w:color w:val="auto"/>
                <w:spacing w:val="0"/>
                <w:sz w:val="24"/>
                <w:szCs w:val="24"/>
                <w:highlight w:val="none"/>
              </w:rPr>
              <w:t>计，按单层暂存考虑，则所需</w:t>
            </w:r>
            <w:r>
              <w:rPr>
                <w:rFonts w:hint="eastAsia" w:ascii="Times New Roman" w:hAnsi="Times New Roman" w:cs="Times New Roman"/>
                <w:color w:val="auto"/>
                <w:spacing w:val="0"/>
                <w:sz w:val="24"/>
                <w:szCs w:val="24"/>
                <w:highlight w:val="none"/>
                <w:lang w:eastAsia="zh-CN"/>
              </w:rPr>
              <w:t>一般固废</w:t>
            </w:r>
            <w:r>
              <w:rPr>
                <w:rFonts w:hint="default" w:ascii="Times New Roman" w:hAnsi="Times New Roman" w:eastAsia="宋体" w:cs="Times New Roman"/>
                <w:color w:val="auto"/>
                <w:spacing w:val="0"/>
                <w:sz w:val="24"/>
                <w:szCs w:val="24"/>
                <w:highlight w:val="none"/>
              </w:rPr>
              <w:t>暂存面积约为</w:t>
            </w:r>
            <w:r>
              <w:rPr>
                <w:rFonts w:hint="eastAsia" w:cs="Times New Roman"/>
                <w:color w:val="auto"/>
                <w:spacing w:val="0"/>
                <w:sz w:val="24"/>
                <w:szCs w:val="24"/>
                <w:highlight w:val="none"/>
                <w:lang w:val="en-US" w:eastAsia="zh-CN"/>
              </w:rPr>
              <w:t>8</w:t>
            </w:r>
            <w:r>
              <w:rPr>
                <w:rFonts w:hint="default" w:ascii="Times New Roman" w:hAnsi="Times New Roman" w:eastAsia="宋体" w:cs="Times New Roman"/>
                <w:color w:val="auto"/>
                <w:spacing w:val="0"/>
                <w:sz w:val="24"/>
                <w:szCs w:val="24"/>
                <w:highlight w:val="none"/>
              </w:rPr>
              <w:t>m</w:t>
            </w:r>
            <w:r>
              <w:rPr>
                <w:rFonts w:hint="default" w:ascii="Times New Roman" w:hAnsi="Times New Roman" w:eastAsia="宋体" w:cs="Times New Roman"/>
                <w:color w:val="auto"/>
                <w:spacing w:val="0"/>
                <w:sz w:val="24"/>
                <w:szCs w:val="24"/>
                <w:highlight w:val="none"/>
                <w:vertAlign w:val="superscript"/>
              </w:rPr>
              <w:t>2</w:t>
            </w:r>
            <w:r>
              <w:rPr>
                <w:rFonts w:hint="default" w:ascii="Times New Roman" w:hAnsi="Times New Roman" w:eastAsia="宋体" w:cs="Times New Roman"/>
                <w:color w:val="auto"/>
                <w:spacing w:val="0"/>
                <w:sz w:val="24"/>
                <w:szCs w:val="24"/>
                <w:highlight w:val="none"/>
                <w:vertAlign w:val="baseline"/>
                <w:lang w:eastAsia="zh-CN"/>
              </w:rPr>
              <w:t>，</w:t>
            </w:r>
            <w:r>
              <w:rPr>
                <w:rFonts w:hint="default" w:ascii="Times New Roman" w:hAnsi="Times New Roman" w:eastAsia="宋体" w:cs="Times New Roman"/>
                <w:color w:val="auto"/>
                <w:spacing w:val="0"/>
                <w:sz w:val="24"/>
                <w:szCs w:val="24"/>
                <w:highlight w:val="none"/>
                <w:lang w:val="en-US" w:eastAsia="zh-CN"/>
              </w:rPr>
              <w:t>所以</w:t>
            </w:r>
            <w:r>
              <w:rPr>
                <w:rFonts w:hint="eastAsia" w:cs="Times New Roman"/>
                <w:color w:val="auto"/>
                <w:spacing w:val="0"/>
                <w:sz w:val="24"/>
                <w:szCs w:val="24"/>
                <w:highlight w:val="none"/>
                <w:lang w:val="en-US" w:eastAsia="zh-CN"/>
              </w:rPr>
              <w:t>50</w:t>
            </w:r>
            <w:r>
              <w:rPr>
                <w:rFonts w:hint="default" w:ascii="Times New Roman" w:hAnsi="Times New Roman" w:eastAsia="宋体" w:cs="Times New Roman"/>
                <w:color w:val="auto"/>
                <w:spacing w:val="0"/>
                <w:sz w:val="24"/>
                <w:szCs w:val="24"/>
                <w:highlight w:val="none"/>
                <w:lang w:val="en-US" w:eastAsia="zh-CN"/>
              </w:rPr>
              <w:t>m</w:t>
            </w:r>
            <w:r>
              <w:rPr>
                <w:rFonts w:hint="default" w:ascii="Times New Roman" w:hAnsi="Times New Roman" w:eastAsia="宋体" w:cs="Times New Roman"/>
                <w:color w:val="auto"/>
                <w:spacing w:val="0"/>
                <w:sz w:val="24"/>
                <w:szCs w:val="24"/>
                <w:highlight w:val="none"/>
                <w:vertAlign w:val="superscript"/>
                <w:lang w:val="en-US" w:eastAsia="zh-CN"/>
              </w:rPr>
              <w:t>2</w:t>
            </w:r>
            <w:r>
              <w:rPr>
                <w:rFonts w:hint="eastAsia" w:ascii="Times New Roman" w:hAnsi="Times New Roman" w:cs="Times New Roman"/>
                <w:color w:val="auto"/>
                <w:spacing w:val="0"/>
                <w:sz w:val="24"/>
                <w:szCs w:val="24"/>
                <w:highlight w:val="none"/>
                <w:vertAlign w:val="baseline"/>
                <w:lang w:val="en-US" w:eastAsia="zh-CN"/>
              </w:rPr>
              <w:t>一般</w:t>
            </w:r>
            <w:r>
              <w:rPr>
                <w:rFonts w:hint="default" w:ascii="Times New Roman" w:hAnsi="Times New Roman" w:eastAsia="宋体" w:cs="Times New Roman"/>
                <w:color w:val="auto"/>
                <w:spacing w:val="0"/>
                <w:sz w:val="24"/>
                <w:szCs w:val="24"/>
                <w:highlight w:val="none"/>
                <w:lang w:val="en-US" w:eastAsia="zh-CN"/>
              </w:rPr>
              <w:t>固废</w:t>
            </w:r>
            <w:r>
              <w:rPr>
                <w:rFonts w:hint="eastAsia" w:ascii="Times New Roman" w:hAnsi="Times New Roman" w:cs="Times New Roman"/>
                <w:color w:val="auto"/>
                <w:spacing w:val="0"/>
                <w:sz w:val="24"/>
                <w:szCs w:val="24"/>
                <w:highlight w:val="none"/>
                <w:lang w:val="en-US" w:eastAsia="zh-CN"/>
              </w:rPr>
              <w:t>暂存间</w:t>
            </w:r>
            <w:r>
              <w:rPr>
                <w:rFonts w:hint="default" w:ascii="Times New Roman" w:hAnsi="Times New Roman" w:eastAsia="宋体" w:cs="Times New Roman"/>
                <w:color w:val="auto"/>
                <w:spacing w:val="0"/>
                <w:sz w:val="24"/>
                <w:szCs w:val="24"/>
                <w:highlight w:val="none"/>
                <w:lang w:val="en-US" w:eastAsia="zh-CN"/>
              </w:rPr>
              <w:t>可以满足本项目</w:t>
            </w:r>
            <w:r>
              <w:rPr>
                <w:rFonts w:hint="eastAsia" w:ascii="Times New Roman" w:hAnsi="Times New Roman" w:cs="Times New Roman"/>
                <w:color w:val="auto"/>
                <w:spacing w:val="0"/>
                <w:sz w:val="24"/>
                <w:szCs w:val="24"/>
                <w:highlight w:val="none"/>
                <w:lang w:val="en-US" w:eastAsia="zh-CN"/>
              </w:rPr>
              <w:t>一般</w:t>
            </w:r>
            <w:r>
              <w:rPr>
                <w:rFonts w:hint="default" w:ascii="Times New Roman" w:hAnsi="Times New Roman" w:eastAsia="宋体" w:cs="Times New Roman"/>
                <w:color w:val="auto"/>
                <w:spacing w:val="0"/>
                <w:sz w:val="24"/>
                <w:szCs w:val="24"/>
                <w:highlight w:val="none"/>
                <w:lang w:val="en-US" w:eastAsia="zh-CN"/>
              </w:rPr>
              <w:t>固废暂存需求。</w:t>
            </w:r>
          </w:p>
          <w:p w14:paraId="1607CB73">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lang w:val="en-US" w:eastAsia="zh-CN"/>
              </w:rPr>
            </w:pPr>
            <w:r>
              <w:rPr>
                <w:rFonts w:hint="default" w:ascii="Times New Roman" w:hAnsi="Times New Roman" w:eastAsia="宋体" w:cs="Times New Roman"/>
                <w:color w:val="auto"/>
                <w:spacing w:val="0"/>
                <w:sz w:val="24"/>
                <w:szCs w:val="24"/>
                <w:highlight w:val="none"/>
                <w:lang w:val="en-US" w:eastAsia="zh-CN"/>
              </w:rPr>
              <w:t>建设项目</w:t>
            </w:r>
            <w:r>
              <w:rPr>
                <w:rFonts w:hint="eastAsia" w:ascii="Times New Roman" w:hAnsi="Times New Roman" w:cs="Times New Roman"/>
                <w:color w:val="auto"/>
                <w:spacing w:val="0"/>
                <w:sz w:val="24"/>
                <w:szCs w:val="24"/>
                <w:highlight w:val="none"/>
                <w:lang w:val="en-US" w:eastAsia="zh-CN"/>
              </w:rPr>
              <w:t>建设</w:t>
            </w:r>
            <w:r>
              <w:rPr>
                <w:rFonts w:hint="default" w:ascii="Times New Roman" w:hAnsi="Times New Roman" w:eastAsia="宋体" w:cs="Times New Roman"/>
                <w:color w:val="auto"/>
                <w:spacing w:val="0"/>
                <w:sz w:val="24"/>
                <w:szCs w:val="24"/>
                <w:highlight w:val="none"/>
                <w:lang w:val="en-US" w:eastAsia="zh-CN"/>
              </w:rPr>
              <w:t>一座</w:t>
            </w:r>
            <w:r>
              <w:rPr>
                <w:rFonts w:hint="eastAsia" w:cs="Times New Roman"/>
                <w:color w:val="auto"/>
                <w:spacing w:val="0"/>
                <w:sz w:val="24"/>
                <w:szCs w:val="24"/>
                <w:highlight w:val="none"/>
                <w:lang w:val="en-US" w:eastAsia="zh-CN"/>
              </w:rPr>
              <w:t>20</w:t>
            </w:r>
            <w:r>
              <w:rPr>
                <w:rFonts w:hint="default" w:ascii="Times New Roman" w:hAnsi="Times New Roman" w:eastAsia="宋体" w:cs="Times New Roman"/>
                <w:color w:val="auto"/>
                <w:spacing w:val="0"/>
                <w:sz w:val="24"/>
                <w:szCs w:val="24"/>
                <w:highlight w:val="none"/>
                <w:lang w:val="en-US" w:eastAsia="zh-CN"/>
              </w:rPr>
              <w:t>m</w:t>
            </w:r>
            <w:r>
              <w:rPr>
                <w:rFonts w:hint="default" w:ascii="Times New Roman" w:hAnsi="Times New Roman" w:eastAsia="宋体" w:cs="Times New Roman"/>
                <w:color w:val="auto"/>
                <w:spacing w:val="0"/>
                <w:sz w:val="24"/>
                <w:szCs w:val="24"/>
                <w:highlight w:val="none"/>
                <w:vertAlign w:val="superscript"/>
                <w:lang w:val="en-US" w:eastAsia="zh-CN"/>
              </w:rPr>
              <w:t>2</w:t>
            </w:r>
            <w:r>
              <w:rPr>
                <w:rFonts w:hint="default" w:ascii="Times New Roman" w:hAnsi="Times New Roman" w:eastAsia="宋体" w:cs="Times New Roman"/>
                <w:color w:val="auto"/>
                <w:spacing w:val="0"/>
                <w:sz w:val="24"/>
                <w:szCs w:val="24"/>
                <w:highlight w:val="none"/>
                <w:lang w:val="en-US" w:eastAsia="zh-CN"/>
              </w:rPr>
              <w:t>的</w:t>
            </w:r>
            <w:r>
              <w:rPr>
                <w:rFonts w:hint="eastAsia" w:ascii="Times New Roman" w:hAnsi="Times New Roman" w:cs="Times New Roman"/>
                <w:color w:val="auto"/>
                <w:spacing w:val="0"/>
                <w:sz w:val="24"/>
                <w:szCs w:val="24"/>
                <w:highlight w:val="none"/>
                <w:lang w:val="en-US" w:eastAsia="zh-CN"/>
              </w:rPr>
              <w:t>危废暂存</w:t>
            </w:r>
            <w:r>
              <w:rPr>
                <w:rFonts w:hint="eastAsia" w:cs="Times New Roman"/>
                <w:color w:val="auto"/>
                <w:spacing w:val="0"/>
                <w:sz w:val="24"/>
                <w:szCs w:val="24"/>
                <w:highlight w:val="none"/>
                <w:lang w:val="en-US" w:eastAsia="zh-CN"/>
              </w:rPr>
              <w:t>间</w:t>
            </w:r>
            <w:r>
              <w:rPr>
                <w:rFonts w:hint="default" w:ascii="Times New Roman" w:hAnsi="Times New Roman" w:eastAsia="宋体" w:cs="Times New Roman"/>
                <w:color w:val="auto"/>
                <w:spacing w:val="0"/>
                <w:sz w:val="24"/>
                <w:szCs w:val="24"/>
                <w:highlight w:val="none"/>
                <w:lang w:val="en-US" w:eastAsia="zh-CN"/>
              </w:rPr>
              <w:t>。建设项目建成后</w:t>
            </w:r>
            <w:r>
              <w:rPr>
                <w:rFonts w:hint="eastAsia" w:ascii="Times New Roman" w:hAnsi="Times New Roman" w:eastAsia="宋体" w:cs="Times New Roman"/>
                <w:color w:val="auto"/>
                <w:spacing w:val="0"/>
                <w:sz w:val="24"/>
                <w:szCs w:val="24"/>
                <w:highlight w:val="none"/>
                <w:lang w:val="en-US" w:eastAsia="zh-CN"/>
              </w:rPr>
              <w:t>危废</w:t>
            </w:r>
            <w:r>
              <w:rPr>
                <w:rFonts w:hint="default" w:ascii="Times New Roman" w:hAnsi="Times New Roman" w:eastAsia="宋体" w:cs="Times New Roman"/>
                <w:color w:val="auto"/>
                <w:spacing w:val="0"/>
                <w:sz w:val="24"/>
                <w:szCs w:val="24"/>
                <w:highlight w:val="none"/>
                <w:lang w:val="en-US" w:eastAsia="zh-CN"/>
              </w:rPr>
              <w:t>年产生量为</w:t>
            </w:r>
            <w:r>
              <w:rPr>
                <w:rFonts w:hint="eastAsia" w:cs="Times New Roman"/>
                <w:color w:val="auto"/>
                <w:spacing w:val="0"/>
                <w:sz w:val="24"/>
                <w:szCs w:val="24"/>
                <w:highlight w:val="none"/>
                <w:lang w:val="en-US" w:eastAsia="zh-CN"/>
              </w:rPr>
              <w:t>55.043</w:t>
            </w:r>
            <w:r>
              <w:rPr>
                <w:rFonts w:hint="default" w:ascii="Times New Roman" w:hAnsi="Times New Roman" w:eastAsia="宋体" w:cs="Times New Roman"/>
                <w:color w:val="auto"/>
                <w:spacing w:val="0"/>
                <w:sz w:val="24"/>
                <w:szCs w:val="24"/>
                <w:highlight w:val="none"/>
                <w:lang w:val="en-US" w:eastAsia="zh-CN"/>
              </w:rPr>
              <w:t>t/a</w:t>
            </w:r>
            <w:r>
              <w:rPr>
                <w:rFonts w:hint="eastAsia" w:ascii="Times New Roman" w:hAnsi="Times New Roman" w:eastAsia="宋体" w:cs="Times New Roman"/>
                <w:color w:val="auto"/>
                <w:spacing w:val="0"/>
                <w:sz w:val="24"/>
                <w:szCs w:val="24"/>
                <w:highlight w:val="none"/>
                <w:lang w:val="en-US" w:eastAsia="zh-CN"/>
              </w:rPr>
              <w:t>，</w:t>
            </w:r>
            <w:r>
              <w:rPr>
                <w:rFonts w:hint="eastAsia" w:cs="Times New Roman"/>
                <w:color w:val="auto"/>
                <w:spacing w:val="0"/>
                <w:sz w:val="24"/>
                <w:szCs w:val="24"/>
                <w:highlight w:val="none"/>
                <w:lang w:val="en-US" w:eastAsia="zh-CN"/>
              </w:rPr>
              <w:t>预计暂存1个月，则最大暂存量为4.59t</w:t>
            </w:r>
            <w:r>
              <w:rPr>
                <w:rFonts w:hint="default" w:ascii="Times New Roman" w:hAnsi="Times New Roman" w:eastAsia="宋体" w:cs="Times New Roman"/>
                <w:color w:val="auto"/>
                <w:spacing w:val="0"/>
                <w:sz w:val="24"/>
                <w:szCs w:val="24"/>
                <w:highlight w:val="none"/>
              </w:rPr>
              <w:t>，</w:t>
            </w:r>
            <w:r>
              <w:rPr>
                <w:rFonts w:hint="default" w:ascii="Times New Roman" w:hAnsi="Times New Roman" w:eastAsia="宋体" w:cs="Times New Roman"/>
                <w:color w:val="auto"/>
                <w:spacing w:val="0"/>
                <w:sz w:val="24"/>
                <w:szCs w:val="24"/>
                <w:highlight w:val="none"/>
                <w:lang w:val="en-US" w:eastAsia="zh-CN"/>
              </w:rPr>
              <w:t>按全部用</w:t>
            </w:r>
            <w:r>
              <w:rPr>
                <w:rFonts w:hint="default" w:ascii="Times New Roman" w:hAnsi="Times New Roman" w:eastAsia="宋体" w:cs="Times New Roman"/>
                <w:color w:val="auto"/>
                <w:spacing w:val="0"/>
                <w:sz w:val="24"/>
                <w:szCs w:val="24"/>
                <w:highlight w:val="none"/>
              </w:rPr>
              <w:t>250kg</w:t>
            </w:r>
            <w:r>
              <w:rPr>
                <w:rFonts w:hint="eastAsia" w:ascii="Times New Roman" w:hAnsi="Times New Roman" w:eastAsia="宋体" w:cs="Times New Roman"/>
                <w:color w:val="auto"/>
                <w:spacing w:val="0"/>
                <w:sz w:val="24"/>
                <w:szCs w:val="24"/>
                <w:highlight w:val="none"/>
                <w:lang w:val="en-US" w:eastAsia="zh-CN"/>
              </w:rPr>
              <w:t>密封容器</w:t>
            </w:r>
            <w:r>
              <w:rPr>
                <w:rFonts w:hint="default" w:ascii="Times New Roman" w:hAnsi="Times New Roman" w:eastAsia="宋体" w:cs="Times New Roman"/>
                <w:color w:val="auto"/>
                <w:spacing w:val="0"/>
                <w:sz w:val="24"/>
                <w:szCs w:val="24"/>
                <w:highlight w:val="none"/>
              </w:rPr>
              <w:t>盛装</w:t>
            </w:r>
            <w:r>
              <w:rPr>
                <w:rFonts w:hint="default" w:ascii="Times New Roman" w:hAnsi="Times New Roman" w:eastAsia="宋体" w:cs="Times New Roman"/>
                <w:color w:val="auto"/>
                <w:spacing w:val="0"/>
                <w:sz w:val="24"/>
                <w:szCs w:val="24"/>
                <w:highlight w:val="none"/>
                <w:lang w:val="en-US" w:eastAsia="zh-CN"/>
              </w:rPr>
              <w:t>计</w:t>
            </w:r>
            <w:r>
              <w:rPr>
                <w:rFonts w:hint="default" w:ascii="Times New Roman" w:hAnsi="Times New Roman" w:eastAsia="宋体" w:cs="Times New Roman"/>
                <w:color w:val="auto"/>
                <w:spacing w:val="0"/>
                <w:sz w:val="24"/>
                <w:szCs w:val="24"/>
                <w:highlight w:val="none"/>
              </w:rPr>
              <w:t>，</w:t>
            </w:r>
            <w:r>
              <w:rPr>
                <w:rFonts w:hint="eastAsia" w:ascii="Times New Roman" w:hAnsi="Times New Roman" w:eastAsia="宋体" w:cs="Times New Roman"/>
                <w:color w:val="auto"/>
                <w:spacing w:val="0"/>
                <w:sz w:val="24"/>
                <w:szCs w:val="24"/>
                <w:highlight w:val="none"/>
                <w:lang w:val="en-US" w:eastAsia="zh-CN"/>
              </w:rPr>
              <w:t>约</w:t>
            </w:r>
            <w:r>
              <w:rPr>
                <w:rFonts w:hint="eastAsia" w:cs="Times New Roman"/>
                <w:color w:val="auto"/>
                <w:spacing w:val="0"/>
                <w:sz w:val="24"/>
                <w:szCs w:val="24"/>
                <w:highlight w:val="none"/>
                <w:lang w:val="en-US" w:eastAsia="zh-CN"/>
              </w:rPr>
              <w:t>需要19</w:t>
            </w:r>
            <w:r>
              <w:rPr>
                <w:rFonts w:hint="default" w:ascii="Times New Roman" w:hAnsi="Times New Roman" w:eastAsia="宋体" w:cs="Times New Roman"/>
                <w:color w:val="auto"/>
                <w:spacing w:val="0"/>
                <w:sz w:val="24"/>
                <w:szCs w:val="24"/>
                <w:highlight w:val="none"/>
                <w:lang w:val="en-US" w:eastAsia="zh-CN"/>
              </w:rPr>
              <w:t>个</w:t>
            </w:r>
            <w:r>
              <w:rPr>
                <w:rFonts w:hint="eastAsia" w:ascii="Times New Roman" w:hAnsi="Times New Roman" w:eastAsia="宋体" w:cs="Times New Roman"/>
                <w:color w:val="auto"/>
                <w:spacing w:val="0"/>
                <w:sz w:val="24"/>
                <w:szCs w:val="24"/>
                <w:highlight w:val="none"/>
                <w:lang w:val="en-US" w:eastAsia="zh-CN"/>
              </w:rPr>
              <w:t>容器</w:t>
            </w:r>
            <w:r>
              <w:rPr>
                <w:rFonts w:hint="default" w:ascii="Times New Roman" w:hAnsi="Times New Roman" w:eastAsia="宋体" w:cs="Times New Roman"/>
                <w:color w:val="auto"/>
                <w:spacing w:val="0"/>
                <w:sz w:val="24"/>
                <w:szCs w:val="24"/>
                <w:highlight w:val="none"/>
              </w:rPr>
              <w:t>，每</w:t>
            </w:r>
            <w:r>
              <w:rPr>
                <w:rFonts w:hint="eastAsia" w:ascii="Times New Roman" w:hAnsi="Times New Roman" w:eastAsia="宋体" w:cs="Times New Roman"/>
                <w:color w:val="auto"/>
                <w:spacing w:val="0"/>
                <w:sz w:val="24"/>
                <w:szCs w:val="24"/>
                <w:highlight w:val="none"/>
                <w:lang w:val="en-US" w:eastAsia="zh-CN"/>
              </w:rPr>
              <w:t>个</w:t>
            </w:r>
            <w:r>
              <w:rPr>
                <w:rFonts w:hint="default" w:ascii="Times New Roman" w:hAnsi="Times New Roman" w:eastAsia="宋体" w:cs="Times New Roman"/>
                <w:color w:val="auto"/>
                <w:spacing w:val="0"/>
                <w:sz w:val="24"/>
                <w:szCs w:val="24"/>
                <w:highlight w:val="none"/>
                <w:lang w:val="en-US" w:eastAsia="zh-CN"/>
              </w:rPr>
              <w:t>密封容器</w:t>
            </w:r>
            <w:r>
              <w:rPr>
                <w:rFonts w:hint="default" w:ascii="Times New Roman" w:hAnsi="Times New Roman" w:eastAsia="宋体" w:cs="Times New Roman"/>
                <w:color w:val="auto"/>
                <w:spacing w:val="0"/>
                <w:sz w:val="24"/>
                <w:szCs w:val="24"/>
                <w:highlight w:val="none"/>
              </w:rPr>
              <w:t>按照占地面积0.</w:t>
            </w:r>
            <w:r>
              <w:rPr>
                <w:rFonts w:hint="eastAsia" w:ascii="Times New Roman" w:hAnsi="Times New Roman" w:eastAsia="宋体" w:cs="Times New Roman"/>
                <w:color w:val="auto"/>
                <w:spacing w:val="0"/>
                <w:sz w:val="24"/>
                <w:szCs w:val="24"/>
                <w:highlight w:val="none"/>
                <w:lang w:val="en-US" w:eastAsia="zh-CN"/>
              </w:rPr>
              <w:t>5</w:t>
            </w:r>
            <w:r>
              <w:rPr>
                <w:rFonts w:hint="default" w:ascii="Times New Roman" w:hAnsi="Times New Roman" w:eastAsia="宋体" w:cs="Times New Roman"/>
                <w:color w:val="auto"/>
                <w:spacing w:val="0"/>
                <w:sz w:val="24"/>
                <w:szCs w:val="24"/>
                <w:highlight w:val="none"/>
              </w:rPr>
              <w:t>m</w:t>
            </w:r>
            <w:r>
              <w:rPr>
                <w:rFonts w:hint="default" w:ascii="Times New Roman" w:hAnsi="Times New Roman" w:eastAsia="宋体" w:cs="Times New Roman"/>
                <w:color w:val="auto"/>
                <w:spacing w:val="0"/>
                <w:sz w:val="24"/>
                <w:szCs w:val="24"/>
                <w:highlight w:val="none"/>
                <w:vertAlign w:val="superscript"/>
              </w:rPr>
              <w:t>2</w:t>
            </w:r>
            <w:r>
              <w:rPr>
                <w:rFonts w:hint="default" w:ascii="Times New Roman" w:hAnsi="Times New Roman" w:eastAsia="宋体" w:cs="Times New Roman"/>
                <w:color w:val="auto"/>
                <w:spacing w:val="0"/>
                <w:sz w:val="24"/>
                <w:szCs w:val="24"/>
                <w:highlight w:val="none"/>
              </w:rPr>
              <w:t>计，按单层暂存考虑，则所需</w:t>
            </w:r>
            <w:r>
              <w:rPr>
                <w:rFonts w:hint="eastAsia" w:ascii="Times New Roman" w:hAnsi="Times New Roman" w:cs="Times New Roman"/>
                <w:color w:val="auto"/>
                <w:spacing w:val="0"/>
                <w:sz w:val="24"/>
                <w:szCs w:val="24"/>
                <w:highlight w:val="none"/>
                <w:lang w:val="en-US" w:eastAsia="zh-CN"/>
              </w:rPr>
              <w:t>危废暂存</w:t>
            </w:r>
            <w:r>
              <w:rPr>
                <w:rFonts w:hint="eastAsia" w:cs="Times New Roman"/>
                <w:color w:val="auto"/>
                <w:spacing w:val="0"/>
                <w:sz w:val="24"/>
                <w:szCs w:val="24"/>
                <w:highlight w:val="none"/>
                <w:lang w:val="en-US" w:eastAsia="zh-CN"/>
              </w:rPr>
              <w:t>间</w:t>
            </w:r>
            <w:r>
              <w:rPr>
                <w:rFonts w:hint="default" w:ascii="Times New Roman" w:hAnsi="Times New Roman" w:eastAsia="宋体" w:cs="Times New Roman"/>
                <w:color w:val="auto"/>
                <w:spacing w:val="0"/>
                <w:sz w:val="24"/>
                <w:szCs w:val="24"/>
                <w:highlight w:val="none"/>
              </w:rPr>
              <w:t>面积约为</w:t>
            </w:r>
            <w:r>
              <w:rPr>
                <w:rFonts w:hint="eastAsia" w:cs="Times New Roman"/>
                <w:color w:val="auto"/>
                <w:spacing w:val="0"/>
                <w:sz w:val="24"/>
                <w:szCs w:val="24"/>
                <w:highlight w:val="none"/>
                <w:lang w:val="en-US" w:eastAsia="zh-CN"/>
              </w:rPr>
              <w:t>9.5</w:t>
            </w:r>
            <w:r>
              <w:rPr>
                <w:rFonts w:hint="default" w:ascii="Times New Roman" w:hAnsi="Times New Roman" w:eastAsia="宋体" w:cs="Times New Roman"/>
                <w:color w:val="auto"/>
                <w:spacing w:val="0"/>
                <w:sz w:val="24"/>
                <w:szCs w:val="24"/>
                <w:highlight w:val="none"/>
              </w:rPr>
              <w:t>m</w:t>
            </w:r>
            <w:r>
              <w:rPr>
                <w:rFonts w:hint="default" w:ascii="Times New Roman" w:hAnsi="Times New Roman" w:eastAsia="宋体" w:cs="Times New Roman"/>
                <w:color w:val="auto"/>
                <w:spacing w:val="0"/>
                <w:sz w:val="24"/>
                <w:szCs w:val="24"/>
                <w:highlight w:val="none"/>
                <w:vertAlign w:val="superscript"/>
              </w:rPr>
              <w:t>2</w:t>
            </w:r>
            <w:r>
              <w:rPr>
                <w:rFonts w:hint="eastAsia" w:ascii="Times New Roman" w:hAnsi="Times New Roman" w:eastAsia="宋体" w:cs="Times New Roman"/>
                <w:color w:val="auto"/>
                <w:spacing w:val="0"/>
                <w:sz w:val="24"/>
                <w:szCs w:val="24"/>
                <w:highlight w:val="none"/>
                <w:vertAlign w:val="baseline"/>
                <w:lang w:eastAsia="zh-CN"/>
              </w:rPr>
              <w:t>，</w:t>
            </w:r>
            <w:r>
              <w:rPr>
                <w:rFonts w:hint="eastAsia" w:ascii="Times New Roman" w:hAnsi="Times New Roman" w:eastAsia="宋体" w:cs="Times New Roman"/>
                <w:color w:val="auto"/>
                <w:spacing w:val="0"/>
                <w:sz w:val="24"/>
                <w:szCs w:val="24"/>
                <w:highlight w:val="none"/>
                <w:lang w:val="en-US" w:eastAsia="zh-CN"/>
              </w:rPr>
              <w:t>故项目</w:t>
            </w:r>
            <w:r>
              <w:rPr>
                <w:rFonts w:hint="eastAsia" w:cs="Times New Roman"/>
                <w:color w:val="auto"/>
                <w:spacing w:val="0"/>
                <w:sz w:val="24"/>
                <w:szCs w:val="24"/>
                <w:highlight w:val="none"/>
                <w:lang w:val="en-US" w:eastAsia="zh-CN"/>
              </w:rPr>
              <w:t>20</w:t>
            </w:r>
            <w:r>
              <w:rPr>
                <w:rFonts w:hint="default" w:ascii="Times New Roman" w:hAnsi="Times New Roman" w:eastAsia="宋体" w:cs="Times New Roman"/>
                <w:color w:val="auto"/>
                <w:spacing w:val="0"/>
                <w:sz w:val="24"/>
                <w:szCs w:val="24"/>
                <w:highlight w:val="none"/>
                <w:lang w:val="en-US" w:eastAsia="zh-CN"/>
              </w:rPr>
              <w:t>m</w:t>
            </w:r>
            <w:r>
              <w:rPr>
                <w:rFonts w:hint="default" w:ascii="Times New Roman" w:hAnsi="Times New Roman" w:eastAsia="宋体" w:cs="Times New Roman"/>
                <w:color w:val="auto"/>
                <w:spacing w:val="0"/>
                <w:sz w:val="24"/>
                <w:szCs w:val="24"/>
                <w:highlight w:val="none"/>
                <w:vertAlign w:val="superscript"/>
                <w:lang w:val="en-US" w:eastAsia="zh-CN"/>
              </w:rPr>
              <w:t>2</w:t>
            </w:r>
            <w:r>
              <w:rPr>
                <w:rFonts w:hint="eastAsia" w:ascii="Times New Roman" w:hAnsi="Times New Roman" w:cs="Times New Roman"/>
                <w:color w:val="auto"/>
                <w:spacing w:val="0"/>
                <w:sz w:val="24"/>
                <w:szCs w:val="24"/>
                <w:highlight w:val="none"/>
                <w:vertAlign w:val="baseline"/>
                <w:lang w:val="en-US" w:eastAsia="zh-CN"/>
              </w:rPr>
              <w:t>危废</w:t>
            </w:r>
            <w:r>
              <w:rPr>
                <w:rFonts w:hint="eastAsia" w:ascii="Times New Roman" w:hAnsi="Times New Roman" w:cs="Times New Roman"/>
                <w:color w:val="auto"/>
                <w:spacing w:val="0"/>
                <w:sz w:val="24"/>
                <w:szCs w:val="24"/>
                <w:highlight w:val="none"/>
                <w:lang w:val="en-US" w:eastAsia="zh-CN"/>
              </w:rPr>
              <w:t>暂存间</w:t>
            </w:r>
            <w:r>
              <w:rPr>
                <w:rFonts w:hint="default" w:ascii="Times New Roman" w:hAnsi="Times New Roman" w:eastAsia="宋体" w:cs="Times New Roman"/>
                <w:color w:val="auto"/>
                <w:spacing w:val="0"/>
                <w:sz w:val="24"/>
                <w:szCs w:val="24"/>
                <w:highlight w:val="none"/>
                <w:lang w:val="en-US" w:eastAsia="zh-CN"/>
              </w:rPr>
              <w:t>可以满足本项目</w:t>
            </w:r>
            <w:r>
              <w:rPr>
                <w:rFonts w:hint="eastAsia" w:cs="Times New Roman"/>
                <w:color w:val="auto"/>
                <w:spacing w:val="0"/>
                <w:sz w:val="24"/>
                <w:szCs w:val="24"/>
                <w:highlight w:val="none"/>
                <w:lang w:val="en-US" w:eastAsia="zh-CN"/>
              </w:rPr>
              <w:t>危废</w:t>
            </w:r>
            <w:r>
              <w:rPr>
                <w:rFonts w:hint="default" w:ascii="Times New Roman" w:hAnsi="Times New Roman" w:eastAsia="宋体" w:cs="Times New Roman"/>
                <w:color w:val="auto"/>
                <w:spacing w:val="0"/>
                <w:sz w:val="24"/>
                <w:szCs w:val="24"/>
                <w:highlight w:val="none"/>
                <w:lang w:val="en-US" w:eastAsia="zh-CN"/>
              </w:rPr>
              <w:t>暂存需求。</w:t>
            </w:r>
          </w:p>
          <w:p w14:paraId="5EA0018E">
            <w:pPr>
              <w:keepNext w:val="0"/>
              <w:keepLines w:val="0"/>
              <w:suppressLineNumbers w:val="0"/>
              <w:bidi w:val="0"/>
              <w:spacing w:before="0" w:beforeAutospacing="0" w:after="0" w:afterAutospacing="0" w:line="360" w:lineRule="auto"/>
              <w:ind w:left="0" w:right="0" w:firstLine="482" w:firstLineChars="200"/>
              <w:rPr>
                <w:rFonts w:hint="default"/>
                <w:b/>
                <w:bCs/>
                <w:color w:val="auto"/>
                <w:sz w:val="24"/>
                <w:highlight w:val="none"/>
                <w:lang w:val="zh-CN"/>
              </w:rPr>
            </w:pPr>
            <w:r>
              <w:rPr>
                <w:rFonts w:hint="eastAsia" w:ascii="Times New Roman" w:eastAsia="宋体"/>
                <w:b/>
                <w:bCs/>
                <w:color w:val="auto"/>
                <w:sz w:val="24"/>
                <w:highlight w:val="none"/>
                <w:lang w:val="en-US" w:eastAsia="zh-CN"/>
              </w:rPr>
              <w:t>5、</w:t>
            </w:r>
            <w:r>
              <w:rPr>
                <w:rFonts w:hint="default"/>
                <w:b/>
                <w:bCs/>
                <w:color w:val="auto"/>
                <w:sz w:val="24"/>
                <w:highlight w:val="none"/>
                <w:lang w:val="zh-CN"/>
              </w:rPr>
              <w:t>地下水</w:t>
            </w:r>
            <w:r>
              <w:rPr>
                <w:rFonts w:hint="eastAsia" w:ascii="Times New Roman"/>
                <w:b/>
                <w:bCs/>
                <w:color w:val="auto"/>
                <w:sz w:val="24"/>
                <w:highlight w:val="none"/>
                <w:lang w:val="zh-CN"/>
              </w:rPr>
              <w:t>、</w:t>
            </w:r>
            <w:r>
              <w:rPr>
                <w:rFonts w:hint="default"/>
                <w:b/>
                <w:bCs/>
                <w:color w:val="auto"/>
                <w:sz w:val="24"/>
                <w:highlight w:val="none"/>
                <w:lang w:val="zh-CN"/>
              </w:rPr>
              <w:t>土壤环境影响分析</w:t>
            </w:r>
          </w:p>
          <w:p w14:paraId="153D6FAC">
            <w:pPr>
              <w:keepNext w:val="0"/>
              <w:keepLines w:val="0"/>
              <w:suppressLineNumbers w:val="0"/>
              <w:bidi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r>
              <w:rPr>
                <w:rFonts w:hint="default" w:ascii="Times New Roman" w:hAnsi="Times New Roman" w:eastAsia="宋体" w:cs="Times New Roman"/>
                <w:color w:val="auto"/>
                <w:sz w:val="24"/>
                <w:highlight w:val="none"/>
                <w:lang w:eastAsia="zh-CN"/>
              </w:rPr>
              <w:t>（</w:t>
            </w:r>
            <w:r>
              <w:rPr>
                <w:rFonts w:hint="default" w:ascii="Times New Roman" w:hAnsi="Times New Roman" w:eastAsia="宋体" w:cs="Times New Roman"/>
                <w:color w:val="auto"/>
                <w:sz w:val="24"/>
                <w:highlight w:val="none"/>
                <w:lang w:val="en-US" w:eastAsia="zh-CN"/>
              </w:rPr>
              <w:t>1</w:t>
            </w:r>
            <w:r>
              <w:rPr>
                <w:rFonts w:hint="default" w:ascii="Times New Roman" w:hAnsi="Times New Roman" w:eastAsia="宋体" w:cs="Times New Roman"/>
                <w:color w:val="auto"/>
                <w:sz w:val="24"/>
                <w:highlight w:val="none"/>
                <w:lang w:eastAsia="zh-CN"/>
              </w:rPr>
              <w:t>）</w:t>
            </w:r>
            <w:r>
              <w:rPr>
                <w:rFonts w:hint="default" w:ascii="Times New Roman" w:hAnsi="Times New Roman" w:eastAsia="宋体" w:cs="Times New Roman"/>
                <w:color w:val="auto"/>
                <w:sz w:val="24"/>
                <w:highlight w:val="none"/>
              </w:rPr>
              <w:t>地下水、土壤</w:t>
            </w:r>
            <w:r>
              <w:rPr>
                <w:rFonts w:hint="default" w:ascii="Times New Roman" w:hAnsi="Times New Roman" w:eastAsia="宋体" w:cs="Times New Roman"/>
                <w:color w:val="auto"/>
                <w:sz w:val="24"/>
                <w:highlight w:val="none"/>
                <w:lang w:val="en-US" w:eastAsia="zh-CN"/>
              </w:rPr>
              <w:t>污染途径</w:t>
            </w:r>
          </w:p>
          <w:p w14:paraId="097B47A0">
            <w:pPr>
              <w:keepNext w:val="0"/>
              <w:keepLines w:val="0"/>
              <w:suppressLineNumbers w:val="0"/>
              <w:bidi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本项目采用源头控制措施，根据项目生产特点，设置分区防渗等措施，不存在土壤、地下水环境污染途径</w:t>
            </w:r>
            <w:r>
              <w:rPr>
                <w:rFonts w:hint="default" w:ascii="Times New Roman" w:hAnsi="Times New Roman" w:eastAsia="宋体" w:cs="Times New Roman"/>
                <w:color w:val="auto"/>
                <w:sz w:val="24"/>
                <w:highlight w:val="none"/>
                <w:lang w:eastAsia="zh-CN"/>
              </w:rPr>
              <w:t>。</w:t>
            </w:r>
          </w:p>
          <w:p w14:paraId="1067FA86">
            <w:pPr>
              <w:keepNext w:val="0"/>
              <w:keepLines w:val="0"/>
              <w:suppressLineNumbers w:val="0"/>
              <w:bidi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lang w:eastAsia="zh-CN"/>
              </w:rPr>
              <w:t>（</w:t>
            </w:r>
            <w:r>
              <w:rPr>
                <w:rFonts w:hint="default" w:ascii="Times New Roman" w:hAnsi="Times New Roman" w:eastAsia="宋体" w:cs="Times New Roman"/>
                <w:color w:val="auto"/>
                <w:sz w:val="24"/>
                <w:highlight w:val="none"/>
                <w:lang w:val="en-US" w:eastAsia="zh-CN"/>
              </w:rPr>
              <w:t>2</w:t>
            </w:r>
            <w:r>
              <w:rPr>
                <w:rFonts w:hint="default" w:ascii="Times New Roman" w:hAnsi="Times New Roman" w:eastAsia="宋体" w:cs="Times New Roman"/>
                <w:color w:val="auto"/>
                <w:sz w:val="24"/>
                <w:highlight w:val="none"/>
                <w:lang w:eastAsia="zh-CN"/>
              </w:rPr>
              <w:t>）防控</w:t>
            </w:r>
            <w:r>
              <w:rPr>
                <w:rFonts w:hint="default" w:ascii="Times New Roman" w:hAnsi="Times New Roman" w:eastAsia="宋体" w:cs="Times New Roman"/>
                <w:color w:val="auto"/>
                <w:sz w:val="24"/>
                <w:highlight w:val="none"/>
              </w:rPr>
              <w:t>措施</w:t>
            </w:r>
          </w:p>
          <w:p w14:paraId="7C6E13E0">
            <w:pPr>
              <w:keepNext w:val="0"/>
              <w:keepLines w:val="0"/>
              <w:suppressLineNumbers w:val="0"/>
              <w:bidi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rPr>
              <w:t>鉴于本项目污染物产生和排放特点，针对土壤、地下水环境污染的可能途径，为防止建设项目</w:t>
            </w:r>
            <w:r>
              <w:rPr>
                <w:rFonts w:hint="default" w:ascii="Times New Roman" w:hAnsi="Times New Roman" w:eastAsia="宋体" w:cs="Times New Roman"/>
                <w:color w:val="auto"/>
                <w:sz w:val="24"/>
                <w:highlight w:val="none"/>
                <w:lang w:val="en-US" w:eastAsia="zh-CN"/>
              </w:rPr>
              <w:t>危险废物</w:t>
            </w:r>
            <w:r>
              <w:rPr>
                <w:rFonts w:hint="default" w:ascii="Times New Roman" w:hAnsi="Times New Roman" w:eastAsia="宋体" w:cs="Times New Roman"/>
                <w:color w:val="auto"/>
                <w:sz w:val="24"/>
                <w:highlight w:val="none"/>
              </w:rPr>
              <w:t>下渗对地下水造成污染，本评价建议：</w:t>
            </w:r>
          </w:p>
          <w:p w14:paraId="2CDA167E">
            <w:pPr>
              <w:keepNext w:val="0"/>
              <w:keepLines w:val="0"/>
              <w:suppressLineNumbers w:val="0"/>
              <w:bidi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rPr>
            </w:pPr>
            <w:r>
              <w:rPr>
                <w:rFonts w:hint="default" w:ascii="Times New Roman" w:hAnsi="Times New Roman" w:eastAsia="宋体" w:cs="Times New Roman"/>
                <w:color w:val="auto"/>
                <w:sz w:val="24"/>
                <w:highlight w:val="none"/>
                <w:lang w:val="en-US" w:eastAsia="zh-CN"/>
              </w:rPr>
              <w:t>1</w:t>
            </w:r>
            <w:r>
              <w:rPr>
                <w:rFonts w:hint="default" w:ascii="Times New Roman" w:hAnsi="Times New Roman" w:eastAsia="宋体" w:cs="Times New Roman"/>
                <w:color w:val="auto"/>
                <w:sz w:val="24"/>
                <w:highlight w:val="none"/>
                <w:lang w:eastAsia="zh-CN"/>
              </w:rPr>
              <w:t>）</w:t>
            </w:r>
            <w:r>
              <w:rPr>
                <w:rFonts w:hint="default" w:ascii="Times New Roman" w:hAnsi="Times New Roman" w:eastAsia="宋体" w:cs="Times New Roman"/>
                <w:color w:val="auto"/>
                <w:sz w:val="24"/>
                <w:highlight w:val="none"/>
              </w:rPr>
              <w:t>项目一般</w:t>
            </w:r>
            <w:r>
              <w:rPr>
                <w:rFonts w:hint="default" w:ascii="Times New Roman" w:hAnsi="Times New Roman" w:eastAsia="宋体" w:cs="Times New Roman"/>
                <w:color w:val="auto"/>
                <w:sz w:val="24"/>
                <w:highlight w:val="none"/>
                <w:lang w:val="en-US" w:eastAsia="zh-CN"/>
              </w:rPr>
              <w:t>工业</w:t>
            </w:r>
            <w:r>
              <w:rPr>
                <w:rFonts w:hint="default" w:ascii="Times New Roman" w:hAnsi="Times New Roman" w:eastAsia="宋体" w:cs="Times New Roman"/>
                <w:color w:val="auto"/>
                <w:sz w:val="24"/>
                <w:highlight w:val="none"/>
              </w:rPr>
              <w:t>固废和危险废物分类存放于相应的暂存</w:t>
            </w:r>
            <w:r>
              <w:rPr>
                <w:rFonts w:hint="default" w:ascii="Times New Roman" w:hAnsi="Times New Roman" w:eastAsia="宋体" w:cs="Times New Roman"/>
                <w:color w:val="auto"/>
                <w:sz w:val="24"/>
                <w:highlight w:val="none"/>
                <w:lang w:val="en-US" w:eastAsia="zh-CN"/>
              </w:rPr>
              <w:t>间</w:t>
            </w:r>
            <w:r>
              <w:rPr>
                <w:rFonts w:hint="default" w:ascii="Times New Roman" w:hAnsi="Times New Roman" w:eastAsia="宋体" w:cs="Times New Roman"/>
                <w:color w:val="auto"/>
                <w:sz w:val="24"/>
                <w:highlight w:val="none"/>
              </w:rPr>
              <w:t>内，不设置露天堆场。</w:t>
            </w:r>
          </w:p>
          <w:p w14:paraId="623A1A18">
            <w:pPr>
              <w:keepNext w:val="0"/>
              <w:keepLines w:val="0"/>
              <w:suppressLineNumbers w:val="0"/>
              <w:bidi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r>
              <w:rPr>
                <w:rFonts w:hint="default" w:ascii="Times New Roman" w:hAnsi="Times New Roman" w:eastAsia="宋体" w:cs="Times New Roman"/>
                <w:color w:val="auto"/>
                <w:sz w:val="24"/>
                <w:highlight w:val="none"/>
                <w:lang w:val="en-US" w:eastAsia="zh-CN"/>
              </w:rPr>
              <w:t>2</w:t>
            </w:r>
            <w:r>
              <w:rPr>
                <w:rFonts w:hint="default" w:ascii="Times New Roman" w:hAnsi="Times New Roman" w:eastAsia="宋体" w:cs="Times New Roman"/>
                <w:color w:val="auto"/>
                <w:sz w:val="24"/>
                <w:highlight w:val="none"/>
                <w:lang w:eastAsia="zh-CN"/>
              </w:rPr>
              <w:t>）</w:t>
            </w:r>
            <w:r>
              <w:rPr>
                <w:rFonts w:hint="default" w:ascii="Times New Roman" w:hAnsi="Times New Roman" w:eastAsia="宋体" w:cs="Times New Roman"/>
                <w:color w:val="auto"/>
                <w:sz w:val="24"/>
                <w:highlight w:val="none"/>
              </w:rPr>
              <w:t>根据本项目厂区可能泄漏至地面区域污染物的性质和生产单元的构筑方式，将厂区划分为重点防渗区</w:t>
            </w:r>
            <w:r>
              <w:rPr>
                <w:rFonts w:hint="default" w:ascii="Times New Roman" w:hAnsi="Times New Roman" w:eastAsia="宋体" w:cs="Times New Roman"/>
                <w:color w:val="auto"/>
                <w:sz w:val="24"/>
                <w:highlight w:val="none"/>
                <w:lang w:eastAsia="zh-CN"/>
              </w:rPr>
              <w:t>、</w:t>
            </w:r>
            <w:r>
              <w:rPr>
                <w:rFonts w:hint="default" w:ascii="Times New Roman" w:hAnsi="Times New Roman" w:eastAsia="宋体" w:cs="Times New Roman"/>
                <w:color w:val="auto"/>
                <w:sz w:val="24"/>
                <w:highlight w:val="none"/>
              </w:rPr>
              <w:t>一般防渗区</w:t>
            </w:r>
            <w:r>
              <w:rPr>
                <w:rFonts w:hint="default" w:ascii="Times New Roman" w:hAnsi="Times New Roman" w:eastAsia="宋体" w:cs="Times New Roman"/>
                <w:color w:val="auto"/>
                <w:sz w:val="24"/>
                <w:highlight w:val="none"/>
                <w:lang w:val="en-US" w:eastAsia="zh-CN"/>
              </w:rPr>
              <w:t>和</w:t>
            </w:r>
            <w:r>
              <w:rPr>
                <w:rFonts w:hint="default" w:ascii="Times New Roman" w:hAnsi="Times New Roman" w:eastAsia="宋体" w:cs="Times New Roman"/>
                <w:color w:val="auto"/>
                <w:sz w:val="24"/>
                <w:highlight w:val="none"/>
              </w:rPr>
              <w:t>简单防渗区，针对不同的区域提出相应的防渗措施。</w:t>
            </w:r>
          </w:p>
          <w:p w14:paraId="24D053D6">
            <w:pPr>
              <w:keepNext w:val="0"/>
              <w:keepLines w:val="0"/>
              <w:numPr>
                <w:ilvl w:val="0"/>
                <w:numId w:val="0"/>
              </w:numPr>
              <w:suppressLineNumbers w:val="0"/>
              <w:tabs>
                <w:tab w:val="left" w:pos="0"/>
              </w:tabs>
              <w:spacing w:before="0" w:beforeAutospacing="0" w:after="0" w:afterAutospacing="0"/>
              <w:ind w:left="0" w:leftChars="0" w:right="0"/>
              <w:jc w:val="center"/>
              <w:rPr>
                <w:rFonts w:hint="default" w:ascii="Times New Roman" w:hAnsi="Times New Roman" w:eastAsia="宋体" w:cs="Times New Roman"/>
                <w:b/>
                <w:color w:val="auto"/>
                <w:szCs w:val="21"/>
                <w:highlight w:val="none"/>
              </w:rPr>
            </w:pPr>
            <w:r>
              <w:rPr>
                <w:rFonts w:hint="eastAsia" w:hAnsi="宋体" w:cs="Times New Roman"/>
                <w:b/>
                <w:color w:val="auto"/>
                <w:szCs w:val="21"/>
                <w:highlight w:val="none"/>
                <w:lang w:val="en-US" w:eastAsia="zh-CN"/>
              </w:rPr>
              <w:t xml:space="preserve">表4-16  </w:t>
            </w:r>
            <w:r>
              <w:rPr>
                <w:rFonts w:hint="default" w:ascii="Times New Roman" w:hAnsi="宋体" w:eastAsia="宋体" w:cs="Times New Roman"/>
                <w:b/>
                <w:color w:val="auto"/>
                <w:szCs w:val="21"/>
                <w:highlight w:val="none"/>
                <w:lang w:val="en-US" w:eastAsia="zh-CN"/>
              </w:rPr>
              <w:t>项目污染区划分及防渗等级一览表</w:t>
            </w:r>
          </w:p>
          <w:tbl>
            <w:tblPr>
              <w:tblStyle w:val="26"/>
              <w:tblW w:w="8433"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533"/>
              <w:gridCol w:w="1459"/>
              <w:gridCol w:w="1200"/>
              <w:gridCol w:w="1295"/>
              <w:gridCol w:w="3946"/>
            </w:tblGrid>
            <w:tr w14:paraId="0B7FFEA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33" w:type="dxa"/>
                  <w:tcBorders>
                    <w:bottom w:val="single" w:color="auto" w:sz="12" w:space="0"/>
                  </w:tcBorders>
                  <w:noWrap w:val="0"/>
                  <w:vAlign w:val="center"/>
                </w:tcPr>
                <w:p w14:paraId="60614E01">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firstLine="0" w:firstLineChars="0"/>
                    <w:jc w:val="center"/>
                    <w:textAlignment w:val="auto"/>
                    <w:rPr>
                      <w:rFonts w:hint="default" w:ascii="Times New Roman" w:hAnsi="Times New Roman" w:eastAsia="宋体" w:cs="Times New Roman"/>
                      <w:b/>
                      <w:bCs/>
                      <w:color w:val="auto"/>
                      <w:spacing w:val="0"/>
                      <w:sz w:val="21"/>
                      <w:szCs w:val="21"/>
                      <w:highlight w:val="none"/>
                      <w:lang w:val="en-US" w:eastAsia="zh-CN"/>
                    </w:rPr>
                  </w:pPr>
                  <w:r>
                    <w:rPr>
                      <w:rFonts w:hint="default" w:ascii="Times New Roman" w:hAnsi="Times New Roman" w:eastAsia="宋体" w:cs="Times New Roman"/>
                      <w:b/>
                      <w:bCs/>
                      <w:color w:val="auto"/>
                      <w:spacing w:val="0"/>
                      <w:sz w:val="21"/>
                      <w:szCs w:val="21"/>
                      <w:highlight w:val="none"/>
                      <w:lang w:val="en-US" w:eastAsia="zh-CN"/>
                    </w:rPr>
                    <w:t>序号</w:t>
                  </w:r>
                </w:p>
              </w:tc>
              <w:tc>
                <w:tcPr>
                  <w:tcW w:w="2659" w:type="dxa"/>
                  <w:gridSpan w:val="2"/>
                  <w:tcBorders>
                    <w:bottom w:val="single" w:color="auto" w:sz="12" w:space="0"/>
                  </w:tcBorders>
                  <w:noWrap w:val="0"/>
                  <w:vAlign w:val="center"/>
                </w:tcPr>
                <w:p w14:paraId="24821C04">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firstLine="0" w:firstLineChars="0"/>
                    <w:jc w:val="center"/>
                    <w:textAlignment w:val="auto"/>
                    <w:rPr>
                      <w:rFonts w:hint="default" w:ascii="Times New Roman" w:hAnsi="Times New Roman" w:eastAsia="宋体" w:cs="Times New Roman"/>
                      <w:b/>
                      <w:bCs/>
                      <w:color w:val="auto"/>
                      <w:spacing w:val="0"/>
                      <w:sz w:val="21"/>
                      <w:szCs w:val="21"/>
                      <w:highlight w:val="none"/>
                      <w:lang w:val="en-US" w:eastAsia="zh-CN"/>
                    </w:rPr>
                  </w:pPr>
                  <w:r>
                    <w:rPr>
                      <w:rFonts w:hint="default" w:ascii="Times New Roman" w:hAnsi="Times New Roman" w:eastAsia="宋体" w:cs="Times New Roman"/>
                      <w:b/>
                      <w:bCs/>
                      <w:color w:val="auto"/>
                      <w:spacing w:val="0"/>
                      <w:sz w:val="21"/>
                      <w:szCs w:val="21"/>
                      <w:highlight w:val="none"/>
                      <w:lang w:val="en-US" w:eastAsia="zh-CN"/>
                    </w:rPr>
                    <w:t>防渗区域或部位</w:t>
                  </w:r>
                </w:p>
              </w:tc>
              <w:tc>
                <w:tcPr>
                  <w:tcW w:w="1295" w:type="dxa"/>
                  <w:tcBorders>
                    <w:bottom w:val="single" w:color="auto" w:sz="12" w:space="0"/>
                  </w:tcBorders>
                  <w:noWrap w:val="0"/>
                  <w:vAlign w:val="center"/>
                </w:tcPr>
                <w:p w14:paraId="6ED96183">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firstLine="0" w:firstLineChars="0"/>
                    <w:jc w:val="center"/>
                    <w:textAlignment w:val="auto"/>
                    <w:rPr>
                      <w:rFonts w:hint="default" w:ascii="Times New Roman" w:hAnsi="Times New Roman" w:eastAsia="宋体" w:cs="Times New Roman"/>
                      <w:b/>
                      <w:bCs/>
                      <w:color w:val="auto"/>
                      <w:spacing w:val="0"/>
                      <w:sz w:val="21"/>
                      <w:szCs w:val="21"/>
                      <w:highlight w:val="none"/>
                      <w:lang w:val="en-US" w:eastAsia="zh-CN"/>
                    </w:rPr>
                  </w:pPr>
                  <w:r>
                    <w:rPr>
                      <w:rFonts w:hint="default" w:ascii="Times New Roman" w:hAnsi="Times New Roman" w:eastAsia="宋体" w:cs="Times New Roman"/>
                      <w:b/>
                      <w:bCs/>
                      <w:color w:val="auto"/>
                      <w:spacing w:val="0"/>
                      <w:sz w:val="21"/>
                      <w:szCs w:val="21"/>
                      <w:highlight w:val="none"/>
                      <w:lang w:val="en-US" w:eastAsia="zh-CN"/>
                    </w:rPr>
                    <w:t>防渗</w:t>
                  </w:r>
                </w:p>
                <w:p w14:paraId="38903846">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firstLine="0" w:firstLineChars="0"/>
                    <w:jc w:val="center"/>
                    <w:textAlignment w:val="auto"/>
                    <w:rPr>
                      <w:rFonts w:hint="default" w:ascii="Times New Roman" w:hAnsi="Times New Roman" w:eastAsia="宋体" w:cs="Times New Roman"/>
                      <w:b/>
                      <w:bCs/>
                      <w:color w:val="auto"/>
                      <w:spacing w:val="0"/>
                      <w:sz w:val="21"/>
                      <w:szCs w:val="21"/>
                      <w:highlight w:val="none"/>
                      <w:lang w:val="en-US" w:eastAsia="zh-CN"/>
                    </w:rPr>
                  </w:pPr>
                  <w:r>
                    <w:rPr>
                      <w:rFonts w:hint="default" w:ascii="Times New Roman" w:hAnsi="Times New Roman" w:eastAsia="宋体" w:cs="Times New Roman"/>
                      <w:b/>
                      <w:bCs/>
                      <w:color w:val="auto"/>
                      <w:spacing w:val="0"/>
                      <w:sz w:val="21"/>
                      <w:szCs w:val="21"/>
                      <w:highlight w:val="none"/>
                      <w:lang w:val="en-US" w:eastAsia="zh-CN"/>
                    </w:rPr>
                    <w:t>等级</w:t>
                  </w:r>
                </w:p>
              </w:tc>
              <w:tc>
                <w:tcPr>
                  <w:tcW w:w="3946" w:type="dxa"/>
                  <w:tcBorders>
                    <w:bottom w:val="single" w:color="auto" w:sz="12" w:space="0"/>
                  </w:tcBorders>
                  <w:noWrap w:val="0"/>
                  <w:vAlign w:val="center"/>
                </w:tcPr>
                <w:p w14:paraId="54017654">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firstLine="0" w:firstLineChars="0"/>
                    <w:jc w:val="center"/>
                    <w:textAlignment w:val="auto"/>
                    <w:rPr>
                      <w:rFonts w:hint="default" w:ascii="Times New Roman" w:hAnsi="Times New Roman" w:eastAsia="宋体" w:cs="Times New Roman"/>
                      <w:b/>
                      <w:bCs/>
                      <w:color w:val="auto"/>
                      <w:spacing w:val="0"/>
                      <w:sz w:val="21"/>
                      <w:szCs w:val="21"/>
                      <w:highlight w:val="none"/>
                      <w:lang w:val="en-US" w:eastAsia="zh-CN"/>
                    </w:rPr>
                  </w:pPr>
                  <w:r>
                    <w:rPr>
                      <w:rFonts w:hint="default" w:ascii="Times New Roman" w:hAnsi="Times New Roman" w:eastAsia="宋体" w:cs="Times New Roman"/>
                      <w:b/>
                      <w:bCs/>
                      <w:color w:val="auto"/>
                      <w:spacing w:val="0"/>
                      <w:sz w:val="21"/>
                      <w:szCs w:val="21"/>
                      <w:highlight w:val="none"/>
                      <w:lang w:val="en-US" w:eastAsia="zh-CN"/>
                    </w:rPr>
                    <w:t>防渗要求</w:t>
                  </w:r>
                </w:p>
              </w:tc>
            </w:tr>
            <w:tr w14:paraId="142F6E3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33" w:type="dxa"/>
                  <w:tcBorders>
                    <w:top w:val="single" w:color="auto" w:sz="12" w:space="0"/>
                  </w:tcBorders>
                  <w:noWrap w:val="0"/>
                  <w:vAlign w:val="center"/>
                </w:tcPr>
                <w:p w14:paraId="3D1A2E7A">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firstLine="0" w:firstLineChars="0"/>
                    <w:jc w:val="center"/>
                    <w:textAlignment w:val="auto"/>
                    <w:rPr>
                      <w:rFonts w:hint="default" w:ascii="Times New Roman" w:hAnsi="Times New Roman" w:eastAsia="宋体" w:cs="Times New Roman"/>
                      <w:color w:val="auto"/>
                      <w:spacing w:val="0"/>
                      <w:sz w:val="21"/>
                      <w:szCs w:val="21"/>
                      <w:highlight w:val="none"/>
                      <w:lang w:val="en-US" w:eastAsia="zh-CN"/>
                    </w:rPr>
                  </w:pPr>
                  <w:r>
                    <w:rPr>
                      <w:rFonts w:hint="default" w:ascii="Times New Roman" w:hAnsi="Times New Roman" w:eastAsia="宋体" w:cs="Times New Roman"/>
                      <w:color w:val="auto"/>
                      <w:spacing w:val="0"/>
                      <w:sz w:val="21"/>
                      <w:szCs w:val="21"/>
                      <w:highlight w:val="none"/>
                      <w:lang w:val="en-US" w:eastAsia="zh-CN"/>
                    </w:rPr>
                    <w:t>1</w:t>
                  </w:r>
                </w:p>
              </w:tc>
              <w:tc>
                <w:tcPr>
                  <w:tcW w:w="1459" w:type="dxa"/>
                  <w:tcBorders>
                    <w:top w:val="single" w:color="auto" w:sz="12" w:space="0"/>
                  </w:tcBorders>
                  <w:noWrap w:val="0"/>
                  <w:vAlign w:val="center"/>
                </w:tcPr>
                <w:p w14:paraId="23296331">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firstLine="0" w:firstLineChars="0"/>
                    <w:jc w:val="center"/>
                    <w:textAlignment w:val="auto"/>
                    <w:rPr>
                      <w:rFonts w:hint="default" w:ascii="Times New Roman" w:hAnsi="Times New Roman" w:eastAsia="宋体" w:cs="Times New Roman"/>
                      <w:color w:val="auto"/>
                      <w:spacing w:val="0"/>
                      <w:sz w:val="21"/>
                      <w:szCs w:val="21"/>
                      <w:highlight w:val="none"/>
                      <w:lang w:val="en-US" w:eastAsia="zh-CN"/>
                    </w:rPr>
                  </w:pPr>
                  <w:r>
                    <w:rPr>
                      <w:rFonts w:hint="default" w:ascii="Times New Roman" w:hAnsi="Times New Roman" w:eastAsia="宋体" w:cs="Times New Roman"/>
                      <w:color w:val="auto"/>
                      <w:spacing w:val="0"/>
                      <w:sz w:val="21"/>
                      <w:szCs w:val="21"/>
                      <w:highlight w:val="none"/>
                      <w:lang w:val="en-US" w:eastAsia="zh-CN"/>
                    </w:rPr>
                    <w:t>危废暂存间</w:t>
                  </w:r>
                  <w:r>
                    <w:rPr>
                      <w:rFonts w:hint="eastAsia" w:eastAsia="宋体" w:cs="Times New Roman"/>
                      <w:color w:val="auto"/>
                      <w:spacing w:val="0"/>
                      <w:sz w:val="21"/>
                      <w:szCs w:val="21"/>
                      <w:highlight w:val="none"/>
                      <w:lang w:val="en-US" w:eastAsia="zh-CN"/>
                    </w:rPr>
                    <w:t>、化学品仓库</w:t>
                  </w:r>
                </w:p>
              </w:tc>
              <w:tc>
                <w:tcPr>
                  <w:tcW w:w="1200" w:type="dxa"/>
                  <w:tcBorders>
                    <w:top w:val="single" w:color="auto" w:sz="12" w:space="0"/>
                  </w:tcBorders>
                  <w:noWrap w:val="0"/>
                  <w:vAlign w:val="center"/>
                </w:tcPr>
                <w:p w14:paraId="1B11AD00">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firstLine="0" w:firstLineChars="0"/>
                    <w:jc w:val="center"/>
                    <w:textAlignment w:val="auto"/>
                    <w:rPr>
                      <w:rFonts w:hint="default" w:ascii="Times New Roman" w:hAnsi="Times New Roman" w:eastAsia="宋体" w:cs="Times New Roman"/>
                      <w:color w:val="auto"/>
                      <w:spacing w:val="0"/>
                      <w:sz w:val="21"/>
                      <w:szCs w:val="21"/>
                      <w:highlight w:val="none"/>
                      <w:lang w:val="en-US" w:eastAsia="zh-CN"/>
                    </w:rPr>
                  </w:pPr>
                  <w:r>
                    <w:rPr>
                      <w:rFonts w:hint="default" w:ascii="Times New Roman" w:hAnsi="Times New Roman" w:eastAsia="宋体" w:cs="Times New Roman"/>
                      <w:color w:val="auto"/>
                      <w:spacing w:val="0"/>
                      <w:sz w:val="21"/>
                      <w:szCs w:val="21"/>
                      <w:highlight w:val="none"/>
                      <w:lang w:val="en-US" w:eastAsia="zh-CN"/>
                    </w:rPr>
                    <w:t>地面、侧壁</w:t>
                  </w:r>
                </w:p>
              </w:tc>
              <w:tc>
                <w:tcPr>
                  <w:tcW w:w="1295" w:type="dxa"/>
                  <w:tcBorders>
                    <w:top w:val="single" w:color="auto" w:sz="12" w:space="0"/>
                  </w:tcBorders>
                  <w:noWrap w:val="0"/>
                  <w:vAlign w:val="center"/>
                </w:tcPr>
                <w:p w14:paraId="06FA2417">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firstLine="0" w:firstLineChars="0"/>
                    <w:jc w:val="center"/>
                    <w:textAlignment w:val="auto"/>
                    <w:rPr>
                      <w:rFonts w:hint="default" w:ascii="Times New Roman" w:hAnsi="Times New Roman" w:eastAsia="宋体" w:cs="Times New Roman"/>
                      <w:color w:val="auto"/>
                      <w:spacing w:val="0"/>
                      <w:sz w:val="21"/>
                      <w:szCs w:val="21"/>
                      <w:highlight w:val="none"/>
                      <w:lang w:val="en-US" w:eastAsia="zh-CN"/>
                    </w:rPr>
                  </w:pPr>
                  <w:r>
                    <w:rPr>
                      <w:rFonts w:hint="default" w:ascii="Times New Roman" w:hAnsi="Times New Roman" w:eastAsia="宋体" w:cs="Times New Roman"/>
                      <w:color w:val="auto"/>
                      <w:spacing w:val="0"/>
                      <w:sz w:val="21"/>
                      <w:szCs w:val="21"/>
                      <w:highlight w:val="none"/>
                      <w:lang w:val="en-US" w:eastAsia="zh-CN"/>
                    </w:rPr>
                    <w:t>重点防渗区</w:t>
                  </w:r>
                </w:p>
              </w:tc>
              <w:tc>
                <w:tcPr>
                  <w:tcW w:w="3946" w:type="dxa"/>
                  <w:tcBorders>
                    <w:top w:val="single" w:color="auto" w:sz="12" w:space="0"/>
                  </w:tcBorders>
                  <w:noWrap w:val="0"/>
                  <w:vAlign w:val="center"/>
                </w:tcPr>
                <w:p w14:paraId="364811D1">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firstLine="0" w:firstLineChars="0"/>
                    <w:jc w:val="center"/>
                    <w:textAlignment w:val="auto"/>
                    <w:rPr>
                      <w:rFonts w:hint="default" w:ascii="Times New Roman" w:hAnsi="Times New Roman" w:eastAsia="宋体" w:cs="Times New Roman"/>
                      <w:color w:val="auto"/>
                      <w:spacing w:val="0"/>
                      <w:sz w:val="21"/>
                      <w:szCs w:val="21"/>
                      <w:highlight w:val="none"/>
                      <w:lang w:val="en-US" w:eastAsia="zh-CN"/>
                    </w:rPr>
                  </w:pPr>
                  <w:r>
                    <w:rPr>
                      <w:rFonts w:hint="default" w:ascii="Times New Roman" w:hAnsi="Times New Roman" w:eastAsia="宋体" w:cs="Times New Roman"/>
                      <w:color w:val="auto"/>
                      <w:spacing w:val="0"/>
                      <w:sz w:val="21"/>
                      <w:szCs w:val="21"/>
                      <w:highlight w:val="none"/>
                      <w:lang w:val="en-US" w:eastAsia="zh-CN"/>
                    </w:rPr>
                    <w:t>防渗层为至少1m厚黏土层K≤1.0×10</w:t>
                  </w:r>
                  <w:r>
                    <w:rPr>
                      <w:rFonts w:hint="default" w:ascii="Times New Roman" w:hAnsi="Times New Roman" w:eastAsia="宋体" w:cs="Times New Roman"/>
                      <w:color w:val="auto"/>
                      <w:spacing w:val="0"/>
                      <w:sz w:val="21"/>
                      <w:szCs w:val="21"/>
                      <w:highlight w:val="none"/>
                      <w:vertAlign w:val="superscript"/>
                      <w:lang w:val="en-US" w:eastAsia="zh-CN"/>
                    </w:rPr>
                    <w:t>-10</w:t>
                  </w:r>
                  <w:r>
                    <w:rPr>
                      <w:rFonts w:hint="default" w:ascii="Times New Roman" w:hAnsi="Times New Roman" w:eastAsia="宋体" w:cs="Times New Roman"/>
                      <w:color w:val="auto"/>
                      <w:spacing w:val="0"/>
                      <w:sz w:val="21"/>
                      <w:szCs w:val="21"/>
                      <w:highlight w:val="none"/>
                      <w:lang w:val="en-US" w:eastAsia="zh-CN"/>
                    </w:rPr>
                    <w:t>cm/s；或参照GB18597执行。</w:t>
                  </w:r>
                </w:p>
              </w:tc>
            </w:tr>
            <w:tr w14:paraId="75554EB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33" w:type="dxa"/>
                  <w:noWrap w:val="0"/>
                  <w:vAlign w:val="center"/>
                </w:tcPr>
                <w:p w14:paraId="04E74051">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default" w:ascii="Times New Roman" w:hAnsi="Times New Roman" w:eastAsia="宋体" w:cs="Times New Roman"/>
                      <w:color w:val="auto"/>
                      <w:spacing w:val="0"/>
                      <w:sz w:val="21"/>
                      <w:szCs w:val="21"/>
                      <w:highlight w:val="none"/>
                      <w:lang w:val="en-US" w:eastAsia="zh-CN"/>
                    </w:rPr>
                  </w:pPr>
                  <w:r>
                    <w:rPr>
                      <w:rFonts w:hint="default" w:ascii="Times New Roman" w:hAnsi="Times New Roman" w:eastAsia="宋体" w:cs="Times New Roman"/>
                      <w:color w:val="auto"/>
                      <w:spacing w:val="0"/>
                      <w:sz w:val="21"/>
                      <w:szCs w:val="21"/>
                      <w:highlight w:val="none"/>
                      <w:lang w:val="en-US" w:eastAsia="zh-CN"/>
                    </w:rPr>
                    <w:t>2</w:t>
                  </w:r>
                </w:p>
              </w:tc>
              <w:tc>
                <w:tcPr>
                  <w:tcW w:w="1459" w:type="dxa"/>
                  <w:noWrap w:val="0"/>
                  <w:vAlign w:val="center"/>
                </w:tcPr>
                <w:p w14:paraId="0F9ABDAF">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default" w:ascii="Times New Roman" w:hAnsi="Times New Roman" w:eastAsia="宋体" w:cs="Times New Roman"/>
                      <w:color w:val="auto"/>
                      <w:spacing w:val="0"/>
                      <w:sz w:val="21"/>
                      <w:szCs w:val="21"/>
                      <w:highlight w:val="none"/>
                      <w:lang w:val="en-US" w:eastAsia="zh-CN"/>
                    </w:rPr>
                  </w:pPr>
                  <w:r>
                    <w:rPr>
                      <w:rFonts w:hint="eastAsia" w:eastAsia="宋体"/>
                      <w:color w:val="auto"/>
                      <w:sz w:val="21"/>
                      <w:lang w:val="en-US" w:eastAsia="zh-CN"/>
                    </w:rPr>
                    <w:t>皮鞋、高跟鞋、PVC注塑鞋生产线、裁断区、注塑鞋底制造线、鞋垫制造线、丝网印花区、原材料堆放区、半成品暂存区、成品堆放区、</w:t>
                  </w:r>
                  <w:r>
                    <w:rPr>
                      <w:rFonts w:hint="default" w:eastAsia="宋体"/>
                      <w:color w:val="auto"/>
                      <w:sz w:val="21"/>
                      <w:lang w:val="en-US" w:eastAsia="zh-CN"/>
                    </w:rPr>
                    <w:t>一般固废暂存间</w:t>
                  </w:r>
                  <w:r>
                    <w:rPr>
                      <w:rFonts w:hint="eastAsia" w:eastAsia="宋体"/>
                      <w:color w:val="auto"/>
                      <w:sz w:val="21"/>
                      <w:lang w:val="en-US" w:eastAsia="zh-CN"/>
                    </w:rPr>
                    <w:t>、化粪池及隔油池</w:t>
                  </w:r>
                </w:p>
              </w:tc>
              <w:tc>
                <w:tcPr>
                  <w:tcW w:w="1200" w:type="dxa"/>
                  <w:noWrap w:val="0"/>
                  <w:vAlign w:val="center"/>
                </w:tcPr>
                <w:p w14:paraId="694DB390">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default" w:ascii="Times New Roman" w:hAnsi="Times New Roman" w:eastAsia="宋体" w:cs="Times New Roman"/>
                      <w:color w:val="auto"/>
                      <w:spacing w:val="0"/>
                      <w:sz w:val="21"/>
                      <w:szCs w:val="21"/>
                      <w:highlight w:val="none"/>
                      <w:lang w:val="en-US" w:eastAsia="zh-CN"/>
                    </w:rPr>
                  </w:pPr>
                  <w:r>
                    <w:rPr>
                      <w:rFonts w:hint="default" w:ascii="Times New Roman" w:hAnsi="Times New Roman" w:eastAsia="宋体" w:cs="Times New Roman"/>
                      <w:color w:val="auto"/>
                      <w:spacing w:val="0"/>
                      <w:sz w:val="21"/>
                      <w:szCs w:val="21"/>
                      <w:highlight w:val="none"/>
                      <w:lang w:val="en-US" w:eastAsia="zh-CN"/>
                    </w:rPr>
                    <w:t>地面</w:t>
                  </w:r>
                </w:p>
              </w:tc>
              <w:tc>
                <w:tcPr>
                  <w:tcW w:w="1295" w:type="dxa"/>
                  <w:noWrap w:val="0"/>
                  <w:vAlign w:val="center"/>
                </w:tcPr>
                <w:p w14:paraId="5FE46A75">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default" w:ascii="Times New Roman" w:hAnsi="Times New Roman" w:eastAsia="宋体" w:cs="Times New Roman"/>
                      <w:color w:val="auto"/>
                      <w:spacing w:val="0"/>
                      <w:sz w:val="21"/>
                      <w:szCs w:val="21"/>
                      <w:highlight w:val="none"/>
                      <w:lang w:val="en-US" w:eastAsia="zh-CN"/>
                    </w:rPr>
                  </w:pPr>
                  <w:r>
                    <w:rPr>
                      <w:rFonts w:hint="default" w:ascii="Times New Roman" w:hAnsi="Times New Roman" w:eastAsia="宋体" w:cs="Times New Roman"/>
                      <w:color w:val="auto"/>
                      <w:spacing w:val="0"/>
                      <w:sz w:val="21"/>
                      <w:szCs w:val="21"/>
                      <w:highlight w:val="none"/>
                      <w:lang w:val="en-US" w:eastAsia="zh-CN"/>
                    </w:rPr>
                    <w:t>一般防渗区</w:t>
                  </w:r>
                </w:p>
              </w:tc>
              <w:tc>
                <w:tcPr>
                  <w:tcW w:w="3946" w:type="dxa"/>
                  <w:noWrap w:val="0"/>
                  <w:vAlign w:val="center"/>
                </w:tcPr>
                <w:p w14:paraId="7D219C6D">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default" w:ascii="Times New Roman" w:hAnsi="Times New Roman" w:eastAsia="宋体" w:cs="Times New Roman"/>
                      <w:color w:val="auto"/>
                      <w:spacing w:val="0"/>
                      <w:sz w:val="21"/>
                      <w:szCs w:val="21"/>
                      <w:highlight w:val="none"/>
                      <w:lang w:val="en-US" w:eastAsia="zh-CN"/>
                    </w:rPr>
                  </w:pPr>
                  <w:r>
                    <w:rPr>
                      <w:rFonts w:hint="default" w:ascii="Times New Roman" w:hAnsi="Times New Roman" w:eastAsia="宋体" w:cs="Times New Roman"/>
                      <w:color w:val="auto"/>
                      <w:spacing w:val="0"/>
                      <w:sz w:val="21"/>
                      <w:szCs w:val="21"/>
                      <w:highlight w:val="none"/>
                      <w:lang w:val="en-US" w:eastAsia="zh-CN"/>
                    </w:rPr>
                    <w:t>等效黏土防渗层M</w:t>
                  </w:r>
                  <w:r>
                    <w:rPr>
                      <w:rFonts w:hint="default" w:ascii="Times New Roman" w:hAnsi="Times New Roman" w:eastAsia="宋体" w:cs="Times New Roman"/>
                      <w:color w:val="auto"/>
                      <w:spacing w:val="0"/>
                      <w:sz w:val="21"/>
                      <w:szCs w:val="21"/>
                      <w:highlight w:val="none"/>
                      <w:vertAlign w:val="subscript"/>
                      <w:lang w:val="en-US" w:eastAsia="zh-CN"/>
                    </w:rPr>
                    <w:t>b</w:t>
                  </w:r>
                  <w:r>
                    <w:rPr>
                      <w:rFonts w:hint="default" w:ascii="Times New Roman" w:hAnsi="Times New Roman" w:eastAsia="宋体" w:cs="Times New Roman"/>
                      <w:color w:val="auto"/>
                      <w:spacing w:val="0"/>
                      <w:sz w:val="21"/>
                      <w:szCs w:val="21"/>
                      <w:highlight w:val="none"/>
                      <w:lang w:val="en-US" w:eastAsia="zh-CN"/>
                    </w:rPr>
                    <w:t>≥1.5m，K≤1.0×10</w:t>
                  </w:r>
                  <w:r>
                    <w:rPr>
                      <w:rFonts w:hint="default" w:ascii="Times New Roman" w:hAnsi="Times New Roman" w:eastAsia="宋体" w:cs="Times New Roman"/>
                      <w:color w:val="auto"/>
                      <w:spacing w:val="0"/>
                      <w:sz w:val="21"/>
                      <w:szCs w:val="21"/>
                      <w:highlight w:val="none"/>
                      <w:vertAlign w:val="superscript"/>
                      <w:lang w:val="en-US" w:eastAsia="zh-CN"/>
                    </w:rPr>
                    <w:t>-7</w:t>
                  </w:r>
                  <w:r>
                    <w:rPr>
                      <w:rFonts w:hint="default" w:ascii="Times New Roman" w:hAnsi="Times New Roman" w:eastAsia="宋体" w:cs="Times New Roman"/>
                      <w:color w:val="auto"/>
                      <w:spacing w:val="0"/>
                      <w:sz w:val="21"/>
                      <w:szCs w:val="21"/>
                      <w:highlight w:val="none"/>
                      <w:lang w:val="en-US" w:eastAsia="zh-CN"/>
                    </w:rPr>
                    <w:t>cm/s；或参照GB16889执行。</w:t>
                  </w:r>
                </w:p>
              </w:tc>
            </w:tr>
            <w:tr w14:paraId="5BFD801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33" w:type="dxa"/>
                  <w:noWrap w:val="0"/>
                  <w:vAlign w:val="center"/>
                </w:tcPr>
                <w:p w14:paraId="24E6FF7C">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firstLine="0" w:firstLineChars="0"/>
                    <w:jc w:val="center"/>
                    <w:textAlignment w:val="auto"/>
                    <w:rPr>
                      <w:rFonts w:hint="default" w:ascii="Times New Roman" w:hAnsi="Times New Roman" w:eastAsia="宋体" w:cs="Times New Roman"/>
                      <w:color w:val="auto"/>
                      <w:spacing w:val="0"/>
                      <w:sz w:val="21"/>
                      <w:szCs w:val="21"/>
                      <w:highlight w:val="none"/>
                      <w:lang w:val="en-US" w:eastAsia="zh-CN"/>
                    </w:rPr>
                  </w:pPr>
                  <w:r>
                    <w:rPr>
                      <w:rFonts w:hint="default" w:ascii="Times New Roman" w:hAnsi="Times New Roman" w:eastAsia="宋体" w:cs="Times New Roman"/>
                      <w:color w:val="auto"/>
                      <w:spacing w:val="0"/>
                      <w:sz w:val="21"/>
                      <w:szCs w:val="21"/>
                      <w:highlight w:val="none"/>
                      <w:lang w:val="en-US" w:eastAsia="zh-CN"/>
                    </w:rPr>
                    <w:t>3</w:t>
                  </w:r>
                </w:p>
              </w:tc>
              <w:tc>
                <w:tcPr>
                  <w:tcW w:w="1459" w:type="dxa"/>
                  <w:noWrap w:val="0"/>
                  <w:vAlign w:val="center"/>
                </w:tcPr>
                <w:p w14:paraId="1E7AA1F0">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firstLine="0" w:firstLineChars="0"/>
                    <w:jc w:val="center"/>
                    <w:textAlignment w:val="auto"/>
                    <w:rPr>
                      <w:rFonts w:hint="default" w:ascii="Times New Roman" w:hAnsi="Times New Roman" w:eastAsia="宋体" w:cs="Times New Roman"/>
                      <w:color w:val="auto"/>
                      <w:spacing w:val="0"/>
                      <w:sz w:val="21"/>
                      <w:szCs w:val="21"/>
                      <w:highlight w:val="none"/>
                      <w:lang w:val="en-US" w:eastAsia="zh-CN"/>
                    </w:rPr>
                  </w:pPr>
                  <w:r>
                    <w:rPr>
                      <w:rFonts w:hint="eastAsia" w:eastAsia="宋体" w:cs="Times New Roman"/>
                      <w:color w:val="auto"/>
                      <w:spacing w:val="0"/>
                      <w:sz w:val="21"/>
                      <w:szCs w:val="21"/>
                      <w:highlight w:val="none"/>
                      <w:lang w:val="en-US" w:eastAsia="zh-CN"/>
                    </w:rPr>
                    <w:t>办公区、食堂</w:t>
                  </w:r>
                </w:p>
              </w:tc>
              <w:tc>
                <w:tcPr>
                  <w:tcW w:w="1200" w:type="dxa"/>
                  <w:noWrap w:val="0"/>
                  <w:vAlign w:val="center"/>
                </w:tcPr>
                <w:p w14:paraId="7FDD10CF">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firstLine="0" w:firstLineChars="0"/>
                    <w:jc w:val="center"/>
                    <w:textAlignment w:val="auto"/>
                    <w:rPr>
                      <w:rFonts w:hint="default" w:ascii="Times New Roman" w:hAnsi="Times New Roman" w:eastAsia="宋体" w:cs="Times New Roman"/>
                      <w:color w:val="auto"/>
                      <w:spacing w:val="0"/>
                      <w:sz w:val="21"/>
                      <w:szCs w:val="21"/>
                      <w:highlight w:val="none"/>
                      <w:lang w:val="en-US" w:eastAsia="zh-CN"/>
                    </w:rPr>
                  </w:pPr>
                  <w:r>
                    <w:rPr>
                      <w:rFonts w:hint="default" w:ascii="Times New Roman" w:hAnsi="Times New Roman" w:eastAsia="宋体" w:cs="Times New Roman"/>
                      <w:color w:val="auto"/>
                      <w:spacing w:val="0"/>
                      <w:sz w:val="21"/>
                      <w:szCs w:val="21"/>
                      <w:highlight w:val="none"/>
                      <w:lang w:val="en-US" w:eastAsia="zh-CN"/>
                    </w:rPr>
                    <w:t>地面</w:t>
                  </w:r>
                </w:p>
              </w:tc>
              <w:tc>
                <w:tcPr>
                  <w:tcW w:w="1295" w:type="dxa"/>
                  <w:noWrap w:val="0"/>
                  <w:vAlign w:val="center"/>
                </w:tcPr>
                <w:p w14:paraId="1E575CCF">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firstLine="0" w:firstLineChars="0"/>
                    <w:jc w:val="center"/>
                    <w:textAlignment w:val="auto"/>
                    <w:rPr>
                      <w:rFonts w:hint="default" w:ascii="Times New Roman" w:hAnsi="Times New Roman" w:eastAsia="宋体" w:cs="Times New Roman"/>
                      <w:color w:val="auto"/>
                      <w:spacing w:val="0"/>
                      <w:sz w:val="21"/>
                      <w:szCs w:val="21"/>
                      <w:highlight w:val="none"/>
                      <w:lang w:val="en-US" w:eastAsia="zh-CN"/>
                    </w:rPr>
                  </w:pPr>
                  <w:r>
                    <w:rPr>
                      <w:rFonts w:hint="default" w:ascii="Times New Roman" w:hAnsi="Times New Roman" w:eastAsia="宋体" w:cs="Times New Roman"/>
                      <w:color w:val="auto"/>
                      <w:spacing w:val="0"/>
                      <w:sz w:val="21"/>
                      <w:szCs w:val="21"/>
                      <w:highlight w:val="none"/>
                      <w:lang w:val="en-US" w:eastAsia="zh-CN"/>
                    </w:rPr>
                    <w:t>简单防渗区</w:t>
                  </w:r>
                </w:p>
              </w:tc>
              <w:tc>
                <w:tcPr>
                  <w:tcW w:w="3946" w:type="dxa"/>
                  <w:noWrap w:val="0"/>
                  <w:vAlign w:val="center"/>
                </w:tcPr>
                <w:p w14:paraId="2E1422F1">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firstLine="0" w:firstLineChars="0"/>
                    <w:jc w:val="center"/>
                    <w:textAlignment w:val="auto"/>
                    <w:rPr>
                      <w:rFonts w:hint="default" w:ascii="Times New Roman" w:hAnsi="Times New Roman" w:eastAsia="宋体" w:cs="Times New Roman"/>
                      <w:color w:val="auto"/>
                      <w:spacing w:val="0"/>
                      <w:sz w:val="21"/>
                      <w:szCs w:val="21"/>
                      <w:highlight w:val="none"/>
                      <w:lang w:val="en-US" w:eastAsia="zh-CN"/>
                    </w:rPr>
                  </w:pPr>
                  <w:r>
                    <w:rPr>
                      <w:rFonts w:hint="default" w:ascii="Times New Roman" w:hAnsi="Times New Roman" w:eastAsia="宋体" w:cs="Times New Roman"/>
                      <w:color w:val="auto"/>
                      <w:spacing w:val="0"/>
                      <w:sz w:val="21"/>
                      <w:szCs w:val="21"/>
                      <w:highlight w:val="none"/>
                      <w:lang w:val="en-US" w:eastAsia="zh-CN"/>
                    </w:rPr>
                    <w:t>一般地面硬化</w:t>
                  </w:r>
                </w:p>
              </w:tc>
            </w:tr>
          </w:tbl>
          <w:p w14:paraId="79CF89EC">
            <w:pPr>
              <w:keepNext w:val="0"/>
              <w:keepLines w:val="0"/>
              <w:suppressLineNumbers w:val="0"/>
              <w:bidi w:val="0"/>
              <w:spacing w:before="0" w:beforeAutospacing="0" w:after="0" w:afterAutospacing="0" w:line="360" w:lineRule="auto"/>
              <w:ind w:left="0" w:right="0" w:firstLine="482" w:firstLineChars="200"/>
              <w:rPr>
                <w:rFonts w:hint="default"/>
                <w:b/>
                <w:bCs/>
                <w:color w:val="auto"/>
                <w:sz w:val="24"/>
                <w:highlight w:val="none"/>
              </w:rPr>
            </w:pPr>
            <w:r>
              <w:rPr>
                <w:rFonts w:hint="eastAsia" w:ascii="Times New Roman" w:eastAsia="宋体"/>
                <w:b/>
                <w:bCs/>
                <w:color w:val="auto"/>
                <w:sz w:val="24"/>
                <w:highlight w:val="none"/>
                <w:lang w:val="en-US" w:eastAsia="zh-CN"/>
              </w:rPr>
              <w:t>6、</w:t>
            </w:r>
            <w:r>
              <w:rPr>
                <w:rFonts w:hint="default"/>
                <w:b/>
                <w:bCs/>
                <w:color w:val="auto"/>
                <w:sz w:val="24"/>
                <w:highlight w:val="none"/>
              </w:rPr>
              <w:t>环境风险分析</w:t>
            </w:r>
          </w:p>
          <w:p w14:paraId="70A28A3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textAlignment w:val="auto"/>
              <w:rPr>
                <w:rFonts w:hint="eastAsia"/>
                <w:color w:val="auto"/>
                <w:spacing w:val="0"/>
                <w:sz w:val="24"/>
                <w:szCs w:val="24"/>
                <w:highlight w:val="none"/>
              </w:rPr>
            </w:pPr>
            <w:r>
              <w:rPr>
                <w:rFonts w:hint="eastAsia"/>
                <w:color w:val="auto"/>
                <w:spacing w:val="0"/>
                <w:sz w:val="24"/>
                <w:szCs w:val="24"/>
                <w:highlight w:val="none"/>
              </w:rPr>
              <w:t>（1）风险调查</w:t>
            </w:r>
          </w:p>
          <w:p w14:paraId="58061E8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textAlignment w:val="auto"/>
              <w:rPr>
                <w:rFonts w:hint="eastAsia"/>
                <w:color w:val="auto"/>
                <w:spacing w:val="0"/>
                <w:sz w:val="24"/>
                <w:szCs w:val="24"/>
                <w:highlight w:val="none"/>
              </w:rPr>
            </w:pPr>
            <w:r>
              <w:rPr>
                <w:rFonts w:hint="eastAsia"/>
                <w:color w:val="auto"/>
                <w:spacing w:val="0"/>
                <w:sz w:val="24"/>
                <w:szCs w:val="24"/>
                <w:highlight w:val="none"/>
              </w:rPr>
              <w:t>根据《建设项目环境风险评价技术导则》（HJ169</w:t>
            </w:r>
            <w:r>
              <w:rPr>
                <w:rFonts w:hint="eastAsia"/>
                <w:color w:val="auto"/>
                <w:spacing w:val="0"/>
                <w:sz w:val="24"/>
                <w:szCs w:val="24"/>
                <w:highlight w:val="none"/>
                <w:lang w:val="en-US" w:eastAsia="zh-CN"/>
              </w:rPr>
              <w:t>-</w:t>
            </w:r>
            <w:r>
              <w:rPr>
                <w:rFonts w:hint="eastAsia"/>
                <w:color w:val="auto"/>
                <w:spacing w:val="0"/>
                <w:sz w:val="24"/>
                <w:szCs w:val="24"/>
                <w:highlight w:val="none"/>
              </w:rPr>
              <w:t>2018）附录C，Q按下式进行计算：</w:t>
            </w:r>
          </w:p>
          <w:p w14:paraId="49D990D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center"/>
              <w:textAlignment w:val="auto"/>
              <w:rPr>
                <w:rFonts w:hint="eastAsia"/>
                <w:color w:val="auto"/>
                <w:spacing w:val="0"/>
                <w:sz w:val="24"/>
                <w:szCs w:val="24"/>
                <w:highlight w:val="none"/>
              </w:rPr>
            </w:pPr>
            <w:r>
              <w:rPr>
                <w:rFonts w:hint="eastAsia"/>
                <w:color w:val="auto"/>
                <w:spacing w:val="0"/>
                <w:sz w:val="24"/>
                <w:szCs w:val="24"/>
                <w:highlight w:val="none"/>
              </w:rPr>
              <w:drawing>
                <wp:inline distT="0" distB="0" distL="114300" distR="114300">
                  <wp:extent cx="2076450" cy="628650"/>
                  <wp:effectExtent l="0" t="0" r="0" b="0"/>
                  <wp:docPr id="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9"/>
                          <pic:cNvPicPr>
                            <a:picLocks noChangeAspect="1"/>
                          </pic:cNvPicPr>
                        </pic:nvPicPr>
                        <pic:blipFill>
                          <a:blip r:embed="rId28"/>
                          <a:stretch>
                            <a:fillRect/>
                          </a:stretch>
                        </pic:blipFill>
                        <pic:spPr>
                          <a:xfrm>
                            <a:off x="0" y="0"/>
                            <a:ext cx="2076450" cy="628650"/>
                          </a:xfrm>
                          <a:prstGeom prst="rect">
                            <a:avLst/>
                          </a:prstGeom>
                          <a:noFill/>
                          <a:ln>
                            <a:noFill/>
                          </a:ln>
                        </pic:spPr>
                      </pic:pic>
                    </a:graphicData>
                  </a:graphic>
                </wp:inline>
              </w:drawing>
            </w:r>
          </w:p>
          <w:p w14:paraId="4165823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textAlignment w:val="auto"/>
              <w:rPr>
                <w:rFonts w:hint="eastAsia"/>
                <w:color w:val="auto"/>
                <w:spacing w:val="0"/>
                <w:sz w:val="24"/>
                <w:szCs w:val="24"/>
                <w:highlight w:val="none"/>
              </w:rPr>
            </w:pPr>
            <w:r>
              <w:rPr>
                <w:rFonts w:hint="eastAsia"/>
                <w:color w:val="auto"/>
                <w:spacing w:val="0"/>
                <w:sz w:val="24"/>
                <w:szCs w:val="24"/>
                <w:highlight w:val="none"/>
              </w:rPr>
              <w:t>式中：q1，q2……qn—每种危险物质的最大存在量，t；</w:t>
            </w:r>
          </w:p>
          <w:p w14:paraId="680D5BD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textAlignment w:val="auto"/>
              <w:rPr>
                <w:rFonts w:hint="eastAsia"/>
                <w:color w:val="auto"/>
                <w:spacing w:val="0"/>
                <w:sz w:val="24"/>
                <w:szCs w:val="24"/>
                <w:highlight w:val="none"/>
              </w:rPr>
            </w:pPr>
            <w:r>
              <w:rPr>
                <w:rFonts w:hint="eastAsia"/>
                <w:color w:val="auto"/>
                <w:spacing w:val="0"/>
                <w:sz w:val="24"/>
                <w:szCs w:val="24"/>
                <w:highlight w:val="none"/>
              </w:rPr>
              <w:t>Q1，Q2…Qn—每种危险物质的临界量，t。</w:t>
            </w:r>
          </w:p>
          <w:p w14:paraId="703B6D3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textAlignment w:val="auto"/>
              <w:rPr>
                <w:rFonts w:hint="default"/>
                <w:color w:val="auto"/>
                <w:spacing w:val="0"/>
                <w:sz w:val="24"/>
                <w:szCs w:val="24"/>
                <w:highlight w:val="none"/>
              </w:rPr>
            </w:pPr>
            <w:r>
              <w:rPr>
                <w:rFonts w:hint="eastAsia"/>
                <w:color w:val="auto"/>
                <w:spacing w:val="0"/>
                <w:sz w:val="24"/>
                <w:szCs w:val="24"/>
                <w:highlight w:val="none"/>
              </w:rPr>
              <w:t>当Q</w:t>
            </w:r>
            <w:r>
              <w:rPr>
                <w:rFonts w:hint="eastAsia"/>
                <w:color w:val="auto"/>
                <w:spacing w:val="0"/>
                <w:sz w:val="24"/>
                <w:szCs w:val="24"/>
                <w:highlight w:val="none"/>
                <w:lang w:val="en-US" w:eastAsia="zh-CN"/>
              </w:rPr>
              <w:t>&lt;</w:t>
            </w:r>
            <w:r>
              <w:rPr>
                <w:rFonts w:hint="default"/>
                <w:color w:val="auto"/>
                <w:spacing w:val="0"/>
                <w:sz w:val="24"/>
                <w:szCs w:val="24"/>
                <w:highlight w:val="none"/>
              </w:rPr>
              <w:t>1时，该项目环境风险潜势为I。</w:t>
            </w:r>
          </w:p>
          <w:p w14:paraId="1431E2E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textAlignment w:val="auto"/>
              <w:rPr>
                <w:rFonts w:hint="default"/>
                <w:color w:val="auto"/>
                <w:spacing w:val="0"/>
                <w:sz w:val="24"/>
                <w:szCs w:val="24"/>
                <w:highlight w:val="none"/>
              </w:rPr>
            </w:pPr>
            <w:r>
              <w:rPr>
                <w:rFonts w:hint="default"/>
                <w:color w:val="auto"/>
                <w:spacing w:val="0"/>
                <w:sz w:val="24"/>
                <w:szCs w:val="24"/>
                <w:highlight w:val="none"/>
              </w:rPr>
              <w:t>当Q≥1时，将Q值划分为：1≤Q＜10；10≤Q＜100；Q≥100。</w:t>
            </w:r>
          </w:p>
          <w:p w14:paraId="4494A56C">
            <w:pPr>
              <w:keepNext w:val="0"/>
              <w:keepLines w:val="0"/>
              <w:suppressLineNumbers w:val="0"/>
              <w:bidi w:val="0"/>
              <w:spacing w:before="0" w:beforeAutospacing="0" w:after="0" w:afterAutospacing="0" w:line="360" w:lineRule="auto"/>
              <w:ind w:left="0" w:right="0" w:firstLine="480" w:firstLineChars="200"/>
              <w:rPr>
                <w:rFonts w:hint="eastAsia" w:ascii="Times New Roman" w:hAnsi="Times New Roman" w:cs="Times New Roman"/>
                <w:color w:val="auto"/>
                <w:spacing w:val="0"/>
                <w:sz w:val="24"/>
                <w:highlight w:val="none"/>
              </w:rPr>
            </w:pPr>
            <w:r>
              <w:rPr>
                <w:rFonts w:hint="eastAsia" w:ascii="Times New Roman" w:hAnsi="Times New Roman" w:cs="Times New Roman"/>
                <w:color w:val="auto"/>
                <w:spacing w:val="0"/>
                <w:sz w:val="24"/>
                <w:highlight w:val="none"/>
              </w:rPr>
              <w:t>本项目Q值计算见表</w:t>
            </w:r>
            <w:r>
              <w:rPr>
                <w:rFonts w:hint="eastAsia" w:ascii="Times New Roman" w:hAnsi="Times New Roman" w:cs="Times New Roman"/>
                <w:color w:val="auto"/>
                <w:spacing w:val="0"/>
                <w:sz w:val="24"/>
                <w:highlight w:val="none"/>
                <w:lang w:val="en-US" w:eastAsia="zh-CN"/>
              </w:rPr>
              <w:t>4-</w:t>
            </w:r>
            <w:r>
              <w:rPr>
                <w:rFonts w:hint="eastAsia" w:cs="Times New Roman"/>
                <w:color w:val="auto"/>
                <w:spacing w:val="0"/>
                <w:sz w:val="24"/>
                <w:highlight w:val="none"/>
                <w:lang w:val="en-US" w:eastAsia="zh-CN"/>
              </w:rPr>
              <w:t>17</w:t>
            </w:r>
            <w:r>
              <w:rPr>
                <w:rFonts w:hint="eastAsia" w:ascii="Times New Roman" w:hAnsi="Times New Roman" w:cs="Times New Roman"/>
                <w:color w:val="auto"/>
                <w:spacing w:val="0"/>
                <w:sz w:val="24"/>
                <w:highlight w:val="none"/>
              </w:rPr>
              <w:t>。</w:t>
            </w:r>
          </w:p>
          <w:p w14:paraId="2132053D">
            <w:pPr>
              <w:pStyle w:val="109"/>
              <w:keepNext w:val="0"/>
              <w:keepLines w:val="0"/>
              <w:suppressLineNumbers w:val="0"/>
              <w:spacing w:before="0" w:beforeAutospacing="0" w:after="0" w:afterAutospacing="0"/>
              <w:ind w:left="0" w:right="0" w:firstLine="480"/>
              <w:rPr>
                <w:rFonts w:hint="default"/>
                <w:color w:val="auto"/>
                <w:u w:val="none"/>
              </w:rPr>
            </w:pPr>
            <w:r>
              <w:rPr>
                <w:rFonts w:hint="eastAsia"/>
                <w:color w:val="auto"/>
                <w:u w:val="none"/>
              </w:rPr>
              <w:t>表4-1</w:t>
            </w:r>
            <w:r>
              <w:rPr>
                <w:rFonts w:hint="eastAsia"/>
                <w:color w:val="auto"/>
                <w:u w:val="none"/>
                <w:lang w:val="en-US" w:eastAsia="zh-CN"/>
              </w:rPr>
              <w:t>7</w:t>
            </w:r>
            <w:r>
              <w:rPr>
                <w:rFonts w:hint="eastAsia"/>
                <w:color w:val="auto"/>
                <w:u w:val="none"/>
              </w:rPr>
              <w:t xml:space="preserve"> 企业涉及的环境风险物质最大存在总量与其临界比值</w:t>
            </w:r>
          </w:p>
          <w:tbl>
            <w:tblPr>
              <w:tblStyle w:val="26"/>
              <w:tblW w:w="5000" w:type="pct"/>
              <w:jc w:val="center"/>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Layout w:type="autofit"/>
              <w:tblCellMar>
                <w:top w:w="0" w:type="dxa"/>
                <w:left w:w="108" w:type="dxa"/>
                <w:bottom w:w="0" w:type="dxa"/>
                <w:right w:w="108" w:type="dxa"/>
              </w:tblCellMar>
            </w:tblPr>
            <w:tblGrid>
              <w:gridCol w:w="753"/>
              <w:gridCol w:w="1611"/>
              <w:gridCol w:w="1196"/>
              <w:gridCol w:w="2070"/>
              <w:gridCol w:w="1256"/>
              <w:gridCol w:w="1562"/>
            </w:tblGrid>
            <w:tr w14:paraId="69F01CAF">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338" w:hRule="atLeast"/>
                <w:jc w:val="center"/>
              </w:trPr>
              <w:tc>
                <w:tcPr>
                  <w:tcW w:w="446" w:type="pct"/>
                  <w:noWrap w:val="0"/>
                  <w:vAlign w:val="center"/>
                </w:tcPr>
                <w:p w14:paraId="6A905FE5">
                  <w:pPr>
                    <w:pStyle w:val="110"/>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b/>
                      <w:bCs/>
                      <w:color w:val="auto"/>
                      <w:sz w:val="21"/>
                      <w:szCs w:val="21"/>
                      <w:u w:val="none"/>
                    </w:rPr>
                  </w:pPr>
                  <w:r>
                    <w:rPr>
                      <w:rFonts w:hint="eastAsia" w:ascii="Times New Roman" w:hAnsi="Times New Roman" w:eastAsia="宋体"/>
                      <w:b/>
                      <w:bCs/>
                      <w:color w:val="auto"/>
                      <w:sz w:val="21"/>
                      <w:szCs w:val="21"/>
                      <w:u w:val="none"/>
                    </w:rPr>
                    <w:t>序号</w:t>
                  </w:r>
                </w:p>
              </w:tc>
              <w:tc>
                <w:tcPr>
                  <w:tcW w:w="954" w:type="pct"/>
                  <w:noWrap w:val="0"/>
                  <w:vAlign w:val="center"/>
                </w:tcPr>
                <w:p w14:paraId="018F4CCC">
                  <w:pPr>
                    <w:pStyle w:val="110"/>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b/>
                      <w:bCs/>
                      <w:color w:val="auto"/>
                      <w:sz w:val="21"/>
                      <w:szCs w:val="21"/>
                      <w:u w:val="none"/>
                    </w:rPr>
                  </w:pPr>
                  <w:r>
                    <w:rPr>
                      <w:rFonts w:hint="eastAsia" w:ascii="Times New Roman" w:hAnsi="Times New Roman" w:eastAsia="宋体"/>
                      <w:b/>
                      <w:bCs/>
                      <w:color w:val="auto"/>
                      <w:sz w:val="21"/>
                      <w:szCs w:val="21"/>
                      <w:u w:val="none"/>
                    </w:rPr>
                    <w:t>风险物质名称</w:t>
                  </w:r>
                </w:p>
              </w:tc>
              <w:tc>
                <w:tcPr>
                  <w:tcW w:w="707" w:type="pct"/>
                  <w:noWrap w:val="0"/>
                  <w:vAlign w:val="center"/>
                </w:tcPr>
                <w:p w14:paraId="0665744E">
                  <w:pPr>
                    <w:pStyle w:val="110"/>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b/>
                      <w:bCs/>
                      <w:color w:val="auto"/>
                      <w:sz w:val="21"/>
                      <w:szCs w:val="21"/>
                      <w:u w:val="none"/>
                    </w:rPr>
                  </w:pPr>
                  <w:r>
                    <w:rPr>
                      <w:rFonts w:hint="eastAsia" w:ascii="Times New Roman" w:hAnsi="Times New Roman" w:eastAsia="宋体"/>
                      <w:b/>
                      <w:bCs/>
                      <w:color w:val="auto"/>
                      <w:sz w:val="21"/>
                      <w:szCs w:val="21"/>
                      <w:u w:val="none"/>
                    </w:rPr>
                    <w:t>CAS号</w:t>
                  </w:r>
                </w:p>
              </w:tc>
              <w:tc>
                <w:tcPr>
                  <w:tcW w:w="1225" w:type="pct"/>
                  <w:noWrap w:val="0"/>
                  <w:vAlign w:val="center"/>
                </w:tcPr>
                <w:p w14:paraId="6E58766C">
                  <w:pPr>
                    <w:pStyle w:val="110"/>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b/>
                      <w:bCs/>
                      <w:color w:val="auto"/>
                      <w:sz w:val="21"/>
                      <w:szCs w:val="21"/>
                      <w:u w:val="none"/>
                    </w:rPr>
                  </w:pPr>
                  <w:r>
                    <w:rPr>
                      <w:rFonts w:hint="eastAsia" w:ascii="Times New Roman" w:hAnsi="Times New Roman" w:eastAsia="宋体"/>
                      <w:b/>
                      <w:bCs/>
                      <w:color w:val="auto"/>
                      <w:sz w:val="21"/>
                      <w:szCs w:val="21"/>
                      <w:u w:val="none"/>
                    </w:rPr>
                    <w:t>最大存在总量（t）</w:t>
                  </w:r>
                </w:p>
              </w:tc>
              <w:tc>
                <w:tcPr>
                  <w:tcW w:w="742" w:type="pct"/>
                  <w:noWrap w:val="0"/>
                  <w:vAlign w:val="center"/>
                </w:tcPr>
                <w:p w14:paraId="242ECF49">
                  <w:pPr>
                    <w:pStyle w:val="110"/>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b/>
                      <w:bCs/>
                      <w:color w:val="auto"/>
                      <w:sz w:val="21"/>
                      <w:szCs w:val="21"/>
                      <w:u w:val="none"/>
                    </w:rPr>
                  </w:pPr>
                  <w:r>
                    <w:rPr>
                      <w:rFonts w:hint="eastAsia" w:ascii="Times New Roman" w:hAnsi="Times New Roman" w:eastAsia="宋体"/>
                      <w:b/>
                      <w:bCs/>
                      <w:color w:val="auto"/>
                      <w:sz w:val="21"/>
                      <w:szCs w:val="21"/>
                      <w:u w:val="none"/>
                    </w:rPr>
                    <w:t>临界量（t）</w:t>
                  </w:r>
                </w:p>
              </w:tc>
              <w:tc>
                <w:tcPr>
                  <w:tcW w:w="924" w:type="pct"/>
                  <w:noWrap w:val="0"/>
                  <w:vAlign w:val="center"/>
                </w:tcPr>
                <w:p w14:paraId="0B32D908">
                  <w:pPr>
                    <w:pStyle w:val="110"/>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b/>
                      <w:bCs/>
                      <w:color w:val="auto"/>
                      <w:sz w:val="21"/>
                      <w:szCs w:val="21"/>
                      <w:u w:val="none"/>
                    </w:rPr>
                  </w:pPr>
                  <w:r>
                    <w:rPr>
                      <w:rFonts w:hint="eastAsia" w:ascii="Times New Roman" w:hAnsi="Times New Roman" w:eastAsia="宋体"/>
                      <w:b/>
                      <w:bCs/>
                      <w:color w:val="auto"/>
                      <w:sz w:val="21"/>
                      <w:szCs w:val="21"/>
                      <w:u w:val="none"/>
                    </w:rPr>
                    <w:t>Q值</w:t>
                  </w:r>
                </w:p>
              </w:tc>
            </w:tr>
            <w:tr w14:paraId="2D61C26A">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330" w:hRule="atLeast"/>
                <w:jc w:val="center"/>
              </w:trPr>
              <w:tc>
                <w:tcPr>
                  <w:tcW w:w="446" w:type="pct"/>
                  <w:noWrap w:val="0"/>
                  <w:vAlign w:val="center"/>
                </w:tcPr>
                <w:p w14:paraId="0DA9A1A2">
                  <w:pPr>
                    <w:pStyle w:val="110"/>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olor w:val="auto"/>
                      <w:sz w:val="21"/>
                      <w:szCs w:val="21"/>
                      <w:u w:val="none"/>
                    </w:rPr>
                  </w:pPr>
                  <w:r>
                    <w:rPr>
                      <w:rFonts w:hint="eastAsia" w:ascii="Times New Roman" w:hAnsi="Times New Roman" w:eastAsia="宋体"/>
                      <w:color w:val="auto"/>
                      <w:sz w:val="21"/>
                      <w:szCs w:val="21"/>
                      <w:u w:val="none"/>
                    </w:rPr>
                    <w:t>1</w:t>
                  </w:r>
                </w:p>
              </w:tc>
              <w:tc>
                <w:tcPr>
                  <w:tcW w:w="954" w:type="pct"/>
                  <w:shd w:val="clear" w:color="auto" w:fill="auto"/>
                  <w:noWrap w:val="0"/>
                  <w:vAlign w:val="center"/>
                </w:tcPr>
                <w:p w14:paraId="3C66B52A">
                  <w:pPr>
                    <w:pStyle w:val="110"/>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olor w:val="auto"/>
                      <w:sz w:val="21"/>
                      <w:szCs w:val="21"/>
                      <w:u w:val="none"/>
                    </w:rPr>
                    <w:t>丁酮</w:t>
                  </w:r>
                </w:p>
              </w:tc>
              <w:tc>
                <w:tcPr>
                  <w:tcW w:w="707" w:type="pct"/>
                  <w:shd w:val="clear" w:color="auto" w:fill="auto"/>
                  <w:noWrap w:val="0"/>
                  <w:vAlign w:val="center"/>
                </w:tcPr>
                <w:p w14:paraId="03D05B5D">
                  <w:pPr>
                    <w:pStyle w:val="110"/>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olor w:val="auto"/>
                      <w:sz w:val="21"/>
                      <w:szCs w:val="21"/>
                      <w:u w:val="none"/>
                    </w:rPr>
                    <w:t>78-93-3</w:t>
                  </w:r>
                </w:p>
              </w:tc>
              <w:tc>
                <w:tcPr>
                  <w:tcW w:w="1225" w:type="pct"/>
                  <w:shd w:val="clear" w:color="auto" w:fill="auto"/>
                  <w:noWrap w:val="0"/>
                  <w:vAlign w:val="center"/>
                </w:tcPr>
                <w:p w14:paraId="24369C21">
                  <w:pPr>
                    <w:pStyle w:val="110"/>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s="Times New Roman"/>
                      <w:color w:val="auto"/>
                      <w:kern w:val="2"/>
                      <w:sz w:val="21"/>
                      <w:szCs w:val="21"/>
                      <w:u w:val="none"/>
                      <w:lang w:val="en-US" w:eastAsia="zh-CN" w:bidi="ar-SA"/>
                    </w:rPr>
                    <w:t>0.205</w:t>
                  </w:r>
                </w:p>
              </w:tc>
              <w:tc>
                <w:tcPr>
                  <w:tcW w:w="742" w:type="pct"/>
                  <w:shd w:val="clear" w:color="auto" w:fill="auto"/>
                  <w:noWrap w:val="0"/>
                  <w:vAlign w:val="center"/>
                </w:tcPr>
                <w:p w14:paraId="5B022211">
                  <w:pPr>
                    <w:pStyle w:val="110"/>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olor w:val="auto"/>
                      <w:sz w:val="21"/>
                      <w:szCs w:val="21"/>
                      <w:u w:val="none"/>
                    </w:rPr>
                    <w:t>10</w:t>
                  </w:r>
                </w:p>
              </w:tc>
              <w:tc>
                <w:tcPr>
                  <w:tcW w:w="924" w:type="pct"/>
                  <w:noWrap w:val="0"/>
                  <w:vAlign w:val="center"/>
                </w:tcPr>
                <w:p w14:paraId="2EF836D9">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宋体"/>
                      <w:color w:val="auto"/>
                      <w:sz w:val="21"/>
                      <w:szCs w:val="21"/>
                      <w:u w:val="none"/>
                    </w:rPr>
                  </w:pPr>
                  <w:r>
                    <w:rPr>
                      <w:rFonts w:hint="eastAsia" w:ascii="Times New Roman" w:hAnsi="Times New Roman" w:eastAsia="宋体" w:cs="微软雅黑"/>
                      <w:i w:val="0"/>
                      <w:iCs w:val="0"/>
                      <w:color w:val="auto"/>
                      <w:kern w:val="0"/>
                      <w:sz w:val="21"/>
                      <w:szCs w:val="20"/>
                      <w:u w:val="none"/>
                      <w:lang w:val="en-US" w:eastAsia="zh-CN" w:bidi="ar"/>
                    </w:rPr>
                    <w:t>0.0205</w:t>
                  </w:r>
                </w:p>
              </w:tc>
            </w:tr>
            <w:tr w14:paraId="76F501D7">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338" w:hRule="atLeast"/>
                <w:jc w:val="center"/>
              </w:trPr>
              <w:tc>
                <w:tcPr>
                  <w:tcW w:w="446" w:type="pct"/>
                  <w:noWrap w:val="0"/>
                  <w:vAlign w:val="center"/>
                </w:tcPr>
                <w:p w14:paraId="33A98283">
                  <w:pPr>
                    <w:pStyle w:val="110"/>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olor w:val="auto"/>
                      <w:sz w:val="21"/>
                      <w:szCs w:val="21"/>
                      <w:u w:val="none"/>
                    </w:rPr>
                  </w:pPr>
                  <w:r>
                    <w:rPr>
                      <w:rFonts w:hint="eastAsia" w:ascii="Times New Roman" w:hAnsi="Times New Roman" w:eastAsia="宋体"/>
                      <w:color w:val="auto"/>
                      <w:sz w:val="21"/>
                      <w:szCs w:val="21"/>
                      <w:u w:val="none"/>
                    </w:rPr>
                    <w:t>2</w:t>
                  </w:r>
                </w:p>
              </w:tc>
              <w:tc>
                <w:tcPr>
                  <w:tcW w:w="954" w:type="pct"/>
                  <w:shd w:val="clear" w:color="auto" w:fill="auto"/>
                  <w:noWrap w:val="0"/>
                  <w:vAlign w:val="center"/>
                </w:tcPr>
                <w:p w14:paraId="753A1C57">
                  <w:pPr>
                    <w:pStyle w:val="110"/>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olor w:val="auto"/>
                      <w:sz w:val="21"/>
                      <w:szCs w:val="21"/>
                      <w:u w:val="none"/>
                    </w:rPr>
                    <w:t>乙酸甲酯</w:t>
                  </w:r>
                </w:p>
              </w:tc>
              <w:tc>
                <w:tcPr>
                  <w:tcW w:w="707" w:type="pct"/>
                  <w:shd w:val="clear" w:color="auto" w:fill="auto"/>
                  <w:noWrap w:val="0"/>
                  <w:vAlign w:val="center"/>
                </w:tcPr>
                <w:p w14:paraId="38B3E8F8">
                  <w:pPr>
                    <w:pStyle w:val="110"/>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olor w:val="auto"/>
                      <w:sz w:val="21"/>
                      <w:szCs w:val="21"/>
                      <w:u w:val="none"/>
                    </w:rPr>
                    <w:t>79-20-9</w:t>
                  </w:r>
                </w:p>
              </w:tc>
              <w:tc>
                <w:tcPr>
                  <w:tcW w:w="1225" w:type="pct"/>
                  <w:shd w:val="clear" w:color="auto" w:fill="auto"/>
                  <w:noWrap w:val="0"/>
                  <w:vAlign w:val="center"/>
                </w:tcPr>
                <w:p w14:paraId="323C9EA3">
                  <w:pPr>
                    <w:pStyle w:val="110"/>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s="Times New Roman"/>
                      <w:color w:val="auto"/>
                      <w:kern w:val="2"/>
                      <w:sz w:val="21"/>
                      <w:szCs w:val="21"/>
                      <w:u w:val="none"/>
                      <w:lang w:val="en-US" w:eastAsia="zh-CN" w:bidi="ar-SA"/>
                    </w:rPr>
                    <w:t>0.4625</w:t>
                  </w:r>
                </w:p>
              </w:tc>
              <w:tc>
                <w:tcPr>
                  <w:tcW w:w="742" w:type="pct"/>
                  <w:shd w:val="clear" w:color="auto" w:fill="auto"/>
                  <w:noWrap w:val="0"/>
                  <w:vAlign w:val="center"/>
                </w:tcPr>
                <w:p w14:paraId="3EA25B14">
                  <w:pPr>
                    <w:pStyle w:val="110"/>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olor w:val="auto"/>
                      <w:sz w:val="21"/>
                      <w:szCs w:val="21"/>
                      <w:u w:val="none"/>
                    </w:rPr>
                    <w:t>10</w:t>
                  </w:r>
                </w:p>
              </w:tc>
              <w:tc>
                <w:tcPr>
                  <w:tcW w:w="924" w:type="pct"/>
                  <w:noWrap w:val="0"/>
                  <w:vAlign w:val="center"/>
                </w:tcPr>
                <w:p w14:paraId="444FE4DC">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olor w:val="auto"/>
                      <w:sz w:val="21"/>
                      <w:szCs w:val="21"/>
                      <w:u w:val="none"/>
                    </w:rPr>
                  </w:pPr>
                  <w:r>
                    <w:rPr>
                      <w:rFonts w:hint="eastAsia" w:ascii="Times New Roman" w:hAnsi="Times New Roman" w:eastAsia="宋体" w:cs="微软雅黑"/>
                      <w:i w:val="0"/>
                      <w:iCs w:val="0"/>
                      <w:color w:val="auto"/>
                      <w:kern w:val="0"/>
                      <w:sz w:val="21"/>
                      <w:szCs w:val="20"/>
                      <w:u w:val="none"/>
                      <w:lang w:val="en-US" w:eastAsia="zh-CN" w:bidi="ar"/>
                    </w:rPr>
                    <w:t>0.04625</w:t>
                  </w:r>
                </w:p>
              </w:tc>
            </w:tr>
            <w:tr w14:paraId="706A8206">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338" w:hRule="atLeast"/>
                <w:jc w:val="center"/>
              </w:trPr>
              <w:tc>
                <w:tcPr>
                  <w:tcW w:w="446" w:type="pct"/>
                  <w:noWrap w:val="0"/>
                  <w:vAlign w:val="center"/>
                </w:tcPr>
                <w:p w14:paraId="1C2DC8F7">
                  <w:pPr>
                    <w:pStyle w:val="110"/>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olor w:val="auto"/>
                      <w:sz w:val="21"/>
                      <w:szCs w:val="21"/>
                      <w:u w:val="none"/>
                    </w:rPr>
                  </w:pPr>
                  <w:r>
                    <w:rPr>
                      <w:rFonts w:hint="eastAsia" w:ascii="Times New Roman" w:hAnsi="Times New Roman" w:eastAsia="宋体"/>
                      <w:color w:val="auto"/>
                      <w:sz w:val="21"/>
                      <w:szCs w:val="21"/>
                      <w:u w:val="none"/>
                    </w:rPr>
                    <w:t>3</w:t>
                  </w:r>
                </w:p>
              </w:tc>
              <w:tc>
                <w:tcPr>
                  <w:tcW w:w="954" w:type="pct"/>
                  <w:shd w:val="clear" w:color="auto" w:fill="auto"/>
                  <w:noWrap w:val="0"/>
                  <w:vAlign w:val="center"/>
                </w:tcPr>
                <w:p w14:paraId="50321805">
                  <w:pPr>
                    <w:pStyle w:val="110"/>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olor w:val="auto"/>
                      <w:sz w:val="21"/>
                      <w:szCs w:val="21"/>
                      <w:u w:val="none"/>
                    </w:rPr>
                    <w:t>乙酸乙酯</w:t>
                  </w:r>
                </w:p>
              </w:tc>
              <w:tc>
                <w:tcPr>
                  <w:tcW w:w="707" w:type="pct"/>
                  <w:shd w:val="clear" w:color="auto" w:fill="auto"/>
                  <w:noWrap w:val="0"/>
                  <w:vAlign w:val="center"/>
                </w:tcPr>
                <w:p w14:paraId="3DADB7F6">
                  <w:pPr>
                    <w:pStyle w:val="110"/>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olor w:val="auto"/>
                      <w:sz w:val="21"/>
                      <w:szCs w:val="21"/>
                      <w:u w:val="none"/>
                    </w:rPr>
                    <w:t>141-78-6</w:t>
                  </w:r>
                </w:p>
              </w:tc>
              <w:tc>
                <w:tcPr>
                  <w:tcW w:w="1225" w:type="pct"/>
                  <w:shd w:val="clear" w:color="auto" w:fill="auto"/>
                  <w:noWrap w:val="0"/>
                  <w:vAlign w:val="center"/>
                </w:tcPr>
                <w:p w14:paraId="475DC28E">
                  <w:pPr>
                    <w:pStyle w:val="110"/>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s="Times New Roman"/>
                      <w:color w:val="auto"/>
                      <w:kern w:val="2"/>
                      <w:sz w:val="21"/>
                      <w:szCs w:val="21"/>
                      <w:u w:val="none"/>
                      <w:lang w:val="en-US" w:eastAsia="zh-CN" w:bidi="ar-SA"/>
                    </w:rPr>
                    <w:t>0.88125</w:t>
                  </w:r>
                </w:p>
              </w:tc>
              <w:tc>
                <w:tcPr>
                  <w:tcW w:w="742" w:type="pct"/>
                  <w:shd w:val="clear" w:color="auto" w:fill="auto"/>
                  <w:noWrap w:val="0"/>
                  <w:vAlign w:val="center"/>
                </w:tcPr>
                <w:p w14:paraId="29A85F61">
                  <w:pPr>
                    <w:pStyle w:val="110"/>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olor w:val="auto"/>
                      <w:sz w:val="21"/>
                      <w:szCs w:val="21"/>
                      <w:u w:val="none"/>
                    </w:rPr>
                    <w:t>10</w:t>
                  </w:r>
                </w:p>
              </w:tc>
              <w:tc>
                <w:tcPr>
                  <w:tcW w:w="924" w:type="pct"/>
                  <w:noWrap w:val="0"/>
                  <w:vAlign w:val="center"/>
                </w:tcPr>
                <w:p w14:paraId="368A4997">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宋体"/>
                      <w:color w:val="auto"/>
                      <w:sz w:val="21"/>
                      <w:szCs w:val="21"/>
                      <w:u w:val="none"/>
                    </w:rPr>
                  </w:pPr>
                  <w:r>
                    <w:rPr>
                      <w:rFonts w:hint="eastAsia" w:ascii="Times New Roman" w:hAnsi="Times New Roman" w:eastAsia="宋体" w:cs="微软雅黑"/>
                      <w:i w:val="0"/>
                      <w:iCs w:val="0"/>
                      <w:color w:val="auto"/>
                      <w:kern w:val="0"/>
                      <w:sz w:val="21"/>
                      <w:szCs w:val="20"/>
                      <w:u w:val="none"/>
                      <w:lang w:val="en-US" w:eastAsia="zh-CN" w:bidi="ar"/>
                    </w:rPr>
                    <w:t>0.088125</w:t>
                  </w:r>
                </w:p>
              </w:tc>
            </w:tr>
            <w:tr w14:paraId="4C80197E">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330" w:hRule="atLeast"/>
                <w:jc w:val="center"/>
              </w:trPr>
              <w:tc>
                <w:tcPr>
                  <w:tcW w:w="446" w:type="pct"/>
                  <w:noWrap w:val="0"/>
                  <w:vAlign w:val="center"/>
                </w:tcPr>
                <w:p w14:paraId="49951244">
                  <w:pPr>
                    <w:pStyle w:val="110"/>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olor w:val="auto"/>
                      <w:sz w:val="21"/>
                      <w:szCs w:val="21"/>
                      <w:u w:val="none"/>
                    </w:rPr>
                  </w:pPr>
                  <w:r>
                    <w:rPr>
                      <w:rFonts w:hint="eastAsia" w:ascii="Times New Roman" w:hAnsi="Times New Roman" w:eastAsia="宋体"/>
                      <w:color w:val="auto"/>
                      <w:sz w:val="21"/>
                      <w:szCs w:val="21"/>
                      <w:u w:val="none"/>
                    </w:rPr>
                    <w:t>4</w:t>
                  </w:r>
                </w:p>
              </w:tc>
              <w:tc>
                <w:tcPr>
                  <w:tcW w:w="954" w:type="pct"/>
                  <w:shd w:val="clear" w:color="auto" w:fill="auto"/>
                  <w:noWrap w:val="0"/>
                  <w:vAlign w:val="center"/>
                </w:tcPr>
                <w:p w14:paraId="7B424DE3">
                  <w:pPr>
                    <w:pStyle w:val="110"/>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u w:val="none"/>
                      <w:lang w:val="en-US" w:eastAsia="zh-CN" w:bidi="ar-SA"/>
                    </w:rPr>
                  </w:pPr>
                  <w:r>
                    <w:rPr>
                      <w:rFonts w:hint="eastAsia" w:cs="Times New Roman"/>
                      <w:color w:val="auto"/>
                      <w:kern w:val="2"/>
                      <w:sz w:val="21"/>
                      <w:szCs w:val="21"/>
                      <w:u w:val="none"/>
                      <w:lang w:val="en-US" w:eastAsia="zh-CN" w:bidi="ar-SA"/>
                    </w:rPr>
                    <w:t>丙酮</w:t>
                  </w:r>
                </w:p>
              </w:tc>
              <w:tc>
                <w:tcPr>
                  <w:tcW w:w="707" w:type="pct"/>
                  <w:shd w:val="clear" w:color="auto" w:fill="auto"/>
                  <w:noWrap w:val="0"/>
                  <w:vAlign w:val="center"/>
                </w:tcPr>
                <w:p w14:paraId="4DDD69BE">
                  <w:pPr>
                    <w:pStyle w:val="110"/>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u w:val="none"/>
                      <w:lang w:val="en-US" w:eastAsia="zh-CN" w:bidi="ar-SA"/>
                    </w:rPr>
                  </w:pPr>
                  <w:r>
                    <w:rPr>
                      <w:rFonts w:hint="eastAsia" w:cs="Times New Roman"/>
                      <w:color w:val="auto"/>
                      <w:kern w:val="2"/>
                      <w:sz w:val="21"/>
                      <w:szCs w:val="21"/>
                      <w:u w:val="none"/>
                      <w:lang w:val="en-US" w:eastAsia="zh-CN" w:bidi="ar-SA"/>
                    </w:rPr>
                    <w:t>67-47-1</w:t>
                  </w:r>
                </w:p>
              </w:tc>
              <w:tc>
                <w:tcPr>
                  <w:tcW w:w="1225" w:type="pct"/>
                  <w:shd w:val="clear" w:color="auto" w:fill="auto"/>
                  <w:noWrap w:val="0"/>
                  <w:vAlign w:val="center"/>
                </w:tcPr>
                <w:p w14:paraId="328C961C">
                  <w:pPr>
                    <w:pStyle w:val="110"/>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u w:val="none"/>
                      <w:lang w:val="en-US" w:eastAsia="zh-CN" w:bidi="ar-SA"/>
                    </w:rPr>
                  </w:pPr>
                  <w:r>
                    <w:rPr>
                      <w:rFonts w:hint="eastAsia" w:cs="Times New Roman"/>
                      <w:color w:val="auto"/>
                      <w:kern w:val="2"/>
                      <w:sz w:val="21"/>
                      <w:szCs w:val="21"/>
                      <w:u w:val="none"/>
                      <w:lang w:val="en-US" w:eastAsia="zh-CN" w:bidi="ar-SA"/>
                    </w:rPr>
                    <w:t>0.6</w:t>
                  </w:r>
                </w:p>
              </w:tc>
              <w:tc>
                <w:tcPr>
                  <w:tcW w:w="742" w:type="pct"/>
                  <w:shd w:val="clear" w:color="auto" w:fill="auto"/>
                  <w:noWrap w:val="0"/>
                  <w:vAlign w:val="center"/>
                </w:tcPr>
                <w:p w14:paraId="31BE543B">
                  <w:pPr>
                    <w:pStyle w:val="110"/>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u w:val="none"/>
                      <w:lang w:val="en-US" w:eastAsia="zh-CN" w:bidi="ar-SA"/>
                    </w:rPr>
                  </w:pPr>
                  <w:r>
                    <w:rPr>
                      <w:rFonts w:hint="eastAsia" w:cs="Times New Roman"/>
                      <w:color w:val="auto"/>
                      <w:kern w:val="2"/>
                      <w:sz w:val="21"/>
                      <w:szCs w:val="21"/>
                      <w:u w:val="none"/>
                      <w:lang w:val="en-US" w:eastAsia="zh-CN" w:bidi="ar-SA"/>
                    </w:rPr>
                    <w:t>10</w:t>
                  </w:r>
                </w:p>
              </w:tc>
              <w:tc>
                <w:tcPr>
                  <w:tcW w:w="924" w:type="pct"/>
                  <w:shd w:val="clear" w:color="auto" w:fill="auto"/>
                  <w:noWrap w:val="0"/>
                  <w:vAlign w:val="center"/>
                </w:tcPr>
                <w:p w14:paraId="5BCDBECB">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宋体" w:cs="Times New Roman"/>
                      <w:color w:val="auto"/>
                      <w:kern w:val="2"/>
                      <w:sz w:val="21"/>
                      <w:szCs w:val="21"/>
                      <w:u w:val="none"/>
                      <w:lang w:val="en-US" w:eastAsia="zh-CN" w:bidi="ar-SA"/>
                    </w:rPr>
                  </w:pPr>
                  <w:r>
                    <w:rPr>
                      <w:rFonts w:hint="eastAsia"/>
                      <w:color w:val="auto"/>
                      <w:sz w:val="21"/>
                      <w:szCs w:val="21"/>
                      <w:u w:val="none"/>
                      <w:lang w:val="en-US" w:eastAsia="zh-CN"/>
                    </w:rPr>
                    <w:t>0.06</w:t>
                  </w:r>
                </w:p>
              </w:tc>
            </w:tr>
            <w:tr w14:paraId="720D2CF0">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330" w:hRule="atLeast"/>
                <w:jc w:val="center"/>
              </w:trPr>
              <w:tc>
                <w:tcPr>
                  <w:tcW w:w="446" w:type="pct"/>
                  <w:shd w:val="clear" w:color="auto" w:fill="auto"/>
                  <w:noWrap w:val="0"/>
                  <w:vAlign w:val="center"/>
                </w:tcPr>
                <w:p w14:paraId="502A3015">
                  <w:pPr>
                    <w:pStyle w:val="110"/>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olor w:val="auto"/>
                      <w:sz w:val="21"/>
                      <w:szCs w:val="21"/>
                      <w:u w:val="none"/>
                    </w:rPr>
                    <w:t>5</w:t>
                  </w:r>
                </w:p>
              </w:tc>
              <w:tc>
                <w:tcPr>
                  <w:tcW w:w="954" w:type="pct"/>
                  <w:shd w:val="clear" w:color="auto" w:fill="auto"/>
                  <w:noWrap w:val="0"/>
                  <w:vAlign w:val="center"/>
                </w:tcPr>
                <w:p w14:paraId="11813350">
                  <w:pPr>
                    <w:pStyle w:val="110"/>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u w:val="none"/>
                      <w:lang w:val="en-US" w:eastAsia="zh-CN" w:bidi="ar-SA"/>
                    </w:rPr>
                  </w:pPr>
                  <w:r>
                    <w:rPr>
                      <w:rFonts w:hint="eastAsia"/>
                      <w:color w:val="auto"/>
                      <w:lang w:val="en-US" w:eastAsia="zh-CN"/>
                    </w:rPr>
                    <w:t>油类物质（机油润滑油、废机油、废润滑油）</w:t>
                  </w:r>
                </w:p>
              </w:tc>
              <w:tc>
                <w:tcPr>
                  <w:tcW w:w="707" w:type="pct"/>
                  <w:shd w:val="clear" w:color="auto" w:fill="auto"/>
                  <w:noWrap w:val="0"/>
                  <w:vAlign w:val="center"/>
                </w:tcPr>
                <w:p w14:paraId="7FBA30E3">
                  <w:pPr>
                    <w:pStyle w:val="110"/>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olor w:val="auto"/>
                      <w:sz w:val="21"/>
                      <w:szCs w:val="21"/>
                      <w:u w:val="none"/>
                    </w:rPr>
                    <w:t>/</w:t>
                  </w:r>
                </w:p>
              </w:tc>
              <w:tc>
                <w:tcPr>
                  <w:tcW w:w="1225" w:type="pct"/>
                  <w:shd w:val="clear" w:color="auto" w:fill="auto"/>
                  <w:noWrap w:val="0"/>
                  <w:vAlign w:val="center"/>
                </w:tcPr>
                <w:p w14:paraId="0FF26FDF">
                  <w:pPr>
                    <w:pStyle w:val="110"/>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u w:val="none"/>
                      <w:lang w:val="en-US" w:eastAsia="zh-CN" w:bidi="ar-SA"/>
                    </w:rPr>
                  </w:pPr>
                  <w:r>
                    <w:rPr>
                      <w:rFonts w:hint="eastAsia" w:cs="Times New Roman"/>
                      <w:color w:val="auto"/>
                      <w:kern w:val="0"/>
                      <w:sz w:val="21"/>
                      <w:szCs w:val="21"/>
                      <w:u w:val="none"/>
                      <w:lang w:val="en-US" w:eastAsia="zh-CN" w:bidi="ar-SA"/>
                    </w:rPr>
                    <w:t>0.7488</w:t>
                  </w:r>
                </w:p>
              </w:tc>
              <w:tc>
                <w:tcPr>
                  <w:tcW w:w="742" w:type="pct"/>
                  <w:shd w:val="clear" w:color="auto" w:fill="auto"/>
                  <w:noWrap w:val="0"/>
                  <w:vAlign w:val="center"/>
                </w:tcPr>
                <w:p w14:paraId="067FDC49">
                  <w:pPr>
                    <w:pStyle w:val="110"/>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olor w:val="auto"/>
                      <w:sz w:val="21"/>
                      <w:szCs w:val="21"/>
                      <w:u w:val="none"/>
                    </w:rPr>
                    <w:t>2500</w:t>
                  </w:r>
                </w:p>
              </w:tc>
              <w:tc>
                <w:tcPr>
                  <w:tcW w:w="924" w:type="pct"/>
                  <w:shd w:val="clear" w:color="auto" w:fill="auto"/>
                  <w:noWrap w:val="0"/>
                  <w:vAlign w:val="center"/>
                </w:tcPr>
                <w:p w14:paraId="43BCC2DF">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s="微软雅黑"/>
                      <w:i w:val="0"/>
                      <w:iCs w:val="0"/>
                      <w:color w:val="auto"/>
                      <w:kern w:val="0"/>
                      <w:sz w:val="21"/>
                      <w:szCs w:val="20"/>
                      <w:u w:val="none"/>
                      <w:lang w:val="en-US" w:eastAsia="zh-CN" w:bidi="ar"/>
                    </w:rPr>
                    <w:t>0.000</w:t>
                  </w:r>
                  <w:r>
                    <w:rPr>
                      <w:rFonts w:hint="eastAsia" w:cs="微软雅黑"/>
                      <w:i w:val="0"/>
                      <w:iCs w:val="0"/>
                      <w:color w:val="auto"/>
                      <w:kern w:val="0"/>
                      <w:sz w:val="21"/>
                      <w:szCs w:val="20"/>
                      <w:u w:val="none"/>
                      <w:lang w:val="en-US" w:eastAsia="zh-CN" w:bidi="ar"/>
                    </w:rPr>
                    <w:t>2995</w:t>
                  </w:r>
                </w:p>
              </w:tc>
            </w:tr>
            <w:tr w14:paraId="103138B9">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338" w:hRule="atLeast"/>
                <w:jc w:val="center"/>
              </w:trPr>
              <w:tc>
                <w:tcPr>
                  <w:tcW w:w="446" w:type="pct"/>
                  <w:shd w:val="clear" w:color="auto" w:fill="auto"/>
                  <w:noWrap w:val="0"/>
                  <w:vAlign w:val="center"/>
                </w:tcPr>
                <w:p w14:paraId="16BEDBDF">
                  <w:pPr>
                    <w:pStyle w:val="110"/>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olor w:val="auto"/>
                      <w:sz w:val="21"/>
                      <w:szCs w:val="21"/>
                      <w:u w:val="none"/>
                    </w:rPr>
                    <w:t>6</w:t>
                  </w:r>
                </w:p>
              </w:tc>
              <w:tc>
                <w:tcPr>
                  <w:tcW w:w="954" w:type="pct"/>
                  <w:shd w:val="clear" w:color="auto" w:fill="auto"/>
                  <w:noWrap w:val="0"/>
                  <w:vAlign w:val="center"/>
                </w:tcPr>
                <w:p w14:paraId="5017C7DB">
                  <w:pPr>
                    <w:pStyle w:val="110"/>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u w:val="none"/>
                      <w:lang w:val="en-US" w:eastAsia="zh-CN" w:bidi="ar-SA"/>
                    </w:rPr>
                  </w:pPr>
                  <w:r>
                    <w:rPr>
                      <w:rFonts w:hint="default" w:ascii="Times New Roman" w:hAnsi="Times New Roman" w:eastAsia="宋体" w:cs="Times New Roman"/>
                      <w:color w:val="auto"/>
                      <w:kern w:val="0"/>
                      <w:sz w:val="21"/>
                      <w:szCs w:val="21"/>
                      <w:u w:val="none"/>
                      <w:lang w:val="en-US" w:eastAsia="zh-CN" w:bidi="ar"/>
                    </w:rPr>
                    <w:t>MDI</w:t>
                  </w:r>
                </w:p>
              </w:tc>
              <w:tc>
                <w:tcPr>
                  <w:tcW w:w="707" w:type="pct"/>
                  <w:shd w:val="clear" w:color="auto" w:fill="auto"/>
                  <w:noWrap w:val="0"/>
                  <w:vAlign w:val="center"/>
                </w:tcPr>
                <w:p w14:paraId="3032F0AF">
                  <w:pPr>
                    <w:pStyle w:val="110"/>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olor w:val="auto"/>
                      <w:sz w:val="21"/>
                      <w:szCs w:val="21"/>
                      <w:u w:val="none"/>
                    </w:rPr>
                    <w:t>26447-40-5</w:t>
                  </w:r>
                </w:p>
              </w:tc>
              <w:tc>
                <w:tcPr>
                  <w:tcW w:w="1225" w:type="pct"/>
                  <w:shd w:val="clear" w:color="auto" w:fill="auto"/>
                  <w:noWrap w:val="0"/>
                  <w:vAlign w:val="center"/>
                </w:tcPr>
                <w:p w14:paraId="48DAD48F">
                  <w:pPr>
                    <w:pStyle w:val="110"/>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olor w:val="auto"/>
                      <w:sz w:val="21"/>
                      <w:szCs w:val="21"/>
                      <w:u w:val="none"/>
                      <w:lang w:val="en-US" w:eastAsia="zh-CN"/>
                    </w:rPr>
                    <w:t>0.3</w:t>
                  </w:r>
                </w:p>
              </w:tc>
              <w:tc>
                <w:tcPr>
                  <w:tcW w:w="742" w:type="pct"/>
                  <w:shd w:val="clear" w:color="auto" w:fill="auto"/>
                  <w:noWrap w:val="0"/>
                  <w:vAlign w:val="center"/>
                </w:tcPr>
                <w:p w14:paraId="0D81DD26">
                  <w:pPr>
                    <w:pStyle w:val="110"/>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olor w:val="auto"/>
                      <w:sz w:val="21"/>
                      <w:szCs w:val="21"/>
                      <w:u w:val="none"/>
                      <w:lang w:val="en-US" w:eastAsia="zh-CN"/>
                    </w:rPr>
                    <w:t>0.5</w:t>
                  </w:r>
                </w:p>
              </w:tc>
              <w:tc>
                <w:tcPr>
                  <w:tcW w:w="924" w:type="pct"/>
                  <w:shd w:val="clear" w:color="auto" w:fill="auto"/>
                  <w:noWrap w:val="0"/>
                  <w:vAlign w:val="center"/>
                </w:tcPr>
                <w:p w14:paraId="72AC2603">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1"/>
                      <w:u w:val="none"/>
                      <w:lang w:val="en-US" w:eastAsia="zh-CN" w:bidi="ar-SA"/>
                    </w:rPr>
                  </w:pPr>
                  <w:r>
                    <w:rPr>
                      <w:rFonts w:hint="eastAsia" w:ascii="Times New Roman" w:hAnsi="Times New Roman" w:eastAsia="宋体" w:cs="微软雅黑"/>
                      <w:i w:val="0"/>
                      <w:iCs w:val="0"/>
                      <w:color w:val="auto"/>
                      <w:kern w:val="0"/>
                      <w:sz w:val="21"/>
                      <w:szCs w:val="20"/>
                      <w:u w:val="none"/>
                      <w:lang w:val="en-US" w:eastAsia="zh-CN" w:bidi="ar"/>
                    </w:rPr>
                    <w:t>0.6</w:t>
                  </w:r>
                </w:p>
              </w:tc>
            </w:tr>
            <w:tr w14:paraId="44BA81BB">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338" w:hRule="atLeast"/>
                <w:jc w:val="center"/>
              </w:trPr>
              <w:tc>
                <w:tcPr>
                  <w:tcW w:w="446" w:type="pct"/>
                  <w:shd w:val="clear" w:color="auto" w:fill="auto"/>
                  <w:noWrap w:val="0"/>
                  <w:vAlign w:val="center"/>
                </w:tcPr>
                <w:p w14:paraId="603585BD">
                  <w:pPr>
                    <w:pStyle w:val="110"/>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u w:val="none"/>
                      <w:lang w:val="en-US" w:eastAsia="zh-CN"/>
                    </w:rPr>
                  </w:pPr>
                  <w:r>
                    <w:rPr>
                      <w:rFonts w:hint="eastAsia"/>
                      <w:color w:val="auto"/>
                      <w:sz w:val="21"/>
                      <w:szCs w:val="21"/>
                      <w:u w:val="none"/>
                      <w:lang w:val="en-US" w:eastAsia="zh-CN"/>
                    </w:rPr>
                    <w:t>7</w:t>
                  </w:r>
                </w:p>
              </w:tc>
              <w:tc>
                <w:tcPr>
                  <w:tcW w:w="954" w:type="pct"/>
                  <w:shd w:val="clear" w:color="auto" w:fill="auto"/>
                  <w:noWrap w:val="0"/>
                  <w:vAlign w:val="center"/>
                </w:tcPr>
                <w:p w14:paraId="4E07EC13">
                  <w:pPr>
                    <w:pStyle w:val="110"/>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u w:val="none"/>
                      <w:lang w:val="en-US" w:eastAsia="zh-CN" w:bidi="ar"/>
                    </w:rPr>
                  </w:pPr>
                  <w:r>
                    <w:rPr>
                      <w:rFonts w:hint="eastAsia" w:cs="Times New Roman"/>
                      <w:color w:val="auto"/>
                      <w:kern w:val="0"/>
                      <w:sz w:val="21"/>
                      <w:szCs w:val="21"/>
                      <w:u w:val="none"/>
                      <w:lang w:val="en-US" w:eastAsia="zh-CN" w:bidi="ar"/>
                    </w:rPr>
                    <w:t>危险废物</w:t>
                  </w:r>
                </w:p>
              </w:tc>
              <w:tc>
                <w:tcPr>
                  <w:tcW w:w="707" w:type="pct"/>
                  <w:shd w:val="clear" w:color="auto" w:fill="auto"/>
                  <w:noWrap w:val="0"/>
                  <w:vAlign w:val="center"/>
                </w:tcPr>
                <w:p w14:paraId="7C304BD7">
                  <w:pPr>
                    <w:pStyle w:val="110"/>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u w:val="none"/>
                      <w:lang w:val="en-US" w:eastAsia="zh-CN"/>
                    </w:rPr>
                  </w:pPr>
                  <w:r>
                    <w:rPr>
                      <w:rFonts w:hint="eastAsia"/>
                      <w:color w:val="auto"/>
                      <w:sz w:val="21"/>
                      <w:szCs w:val="21"/>
                      <w:u w:val="none"/>
                      <w:lang w:val="en-US" w:eastAsia="zh-CN"/>
                    </w:rPr>
                    <w:t>/</w:t>
                  </w:r>
                </w:p>
              </w:tc>
              <w:tc>
                <w:tcPr>
                  <w:tcW w:w="1225" w:type="pct"/>
                  <w:shd w:val="clear" w:color="auto" w:fill="auto"/>
                  <w:noWrap w:val="0"/>
                  <w:vAlign w:val="center"/>
                </w:tcPr>
                <w:p w14:paraId="7DBB7834">
                  <w:pPr>
                    <w:pStyle w:val="110"/>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olor w:val="auto"/>
                      <w:sz w:val="21"/>
                      <w:szCs w:val="21"/>
                      <w:u w:val="none"/>
                      <w:lang w:val="en-US" w:eastAsia="zh-CN"/>
                    </w:rPr>
                  </w:pPr>
                  <w:r>
                    <w:rPr>
                      <w:rFonts w:hint="eastAsia"/>
                      <w:color w:val="auto"/>
                      <w:sz w:val="21"/>
                      <w:szCs w:val="21"/>
                      <w:u w:val="none"/>
                      <w:lang w:val="en-US" w:eastAsia="zh-CN"/>
                    </w:rPr>
                    <w:t>4.59</w:t>
                  </w:r>
                </w:p>
              </w:tc>
              <w:tc>
                <w:tcPr>
                  <w:tcW w:w="742" w:type="pct"/>
                  <w:shd w:val="clear" w:color="auto" w:fill="auto"/>
                  <w:noWrap w:val="0"/>
                  <w:vAlign w:val="center"/>
                </w:tcPr>
                <w:p w14:paraId="2F0E7DC0">
                  <w:pPr>
                    <w:pStyle w:val="110"/>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olor w:val="auto"/>
                      <w:sz w:val="21"/>
                      <w:szCs w:val="21"/>
                      <w:u w:val="none"/>
                      <w:lang w:val="en-US" w:eastAsia="zh-CN"/>
                    </w:rPr>
                  </w:pPr>
                  <w:r>
                    <w:rPr>
                      <w:rFonts w:hint="eastAsia"/>
                      <w:color w:val="auto"/>
                      <w:sz w:val="21"/>
                      <w:szCs w:val="21"/>
                      <w:u w:val="none"/>
                      <w:lang w:val="en-US" w:eastAsia="zh-CN"/>
                    </w:rPr>
                    <w:t>50</w:t>
                  </w:r>
                </w:p>
              </w:tc>
              <w:tc>
                <w:tcPr>
                  <w:tcW w:w="924" w:type="pct"/>
                  <w:shd w:val="clear" w:color="auto" w:fill="auto"/>
                  <w:noWrap w:val="0"/>
                  <w:vAlign w:val="center"/>
                </w:tcPr>
                <w:p w14:paraId="74AEF098">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微软雅黑"/>
                      <w:i w:val="0"/>
                      <w:iCs w:val="0"/>
                      <w:color w:val="auto"/>
                      <w:kern w:val="0"/>
                      <w:sz w:val="21"/>
                      <w:szCs w:val="20"/>
                      <w:u w:val="none"/>
                      <w:lang w:val="en-US" w:eastAsia="zh-CN" w:bidi="ar"/>
                    </w:rPr>
                  </w:pPr>
                  <w:r>
                    <w:rPr>
                      <w:rFonts w:hint="eastAsia" w:cs="微软雅黑"/>
                      <w:i w:val="0"/>
                      <w:iCs w:val="0"/>
                      <w:color w:val="auto"/>
                      <w:kern w:val="0"/>
                      <w:sz w:val="21"/>
                      <w:szCs w:val="20"/>
                      <w:u w:val="none"/>
                      <w:lang w:val="en-US" w:eastAsia="zh-CN" w:bidi="ar"/>
                    </w:rPr>
                    <w:t>0.0918</w:t>
                  </w:r>
                </w:p>
              </w:tc>
            </w:tr>
            <w:tr w14:paraId="78F26790">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338" w:hRule="atLeast"/>
                <w:jc w:val="center"/>
              </w:trPr>
              <w:tc>
                <w:tcPr>
                  <w:tcW w:w="4075" w:type="pct"/>
                  <w:gridSpan w:val="5"/>
                  <w:noWrap w:val="0"/>
                  <w:vAlign w:val="center"/>
                </w:tcPr>
                <w:p w14:paraId="7950800F">
                  <w:pPr>
                    <w:pStyle w:val="110"/>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u w:val="none"/>
                    </w:rPr>
                  </w:pPr>
                  <w:r>
                    <w:rPr>
                      <w:rFonts w:hint="eastAsia" w:ascii="Times New Roman" w:hAnsi="Times New Roman" w:eastAsia="宋体"/>
                      <w:color w:val="auto"/>
                      <w:sz w:val="21"/>
                      <w:szCs w:val="21"/>
                      <w:u w:val="none"/>
                    </w:rPr>
                    <w:t>∑Q</w:t>
                  </w:r>
                </w:p>
              </w:tc>
              <w:tc>
                <w:tcPr>
                  <w:tcW w:w="924" w:type="pct"/>
                  <w:noWrap w:val="0"/>
                  <w:vAlign w:val="center"/>
                </w:tcPr>
                <w:p w14:paraId="22EC82B7">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olor w:val="auto"/>
                      <w:sz w:val="21"/>
                      <w:szCs w:val="21"/>
                      <w:u w:val="none"/>
                      <w:lang w:val="en-US"/>
                    </w:rPr>
                  </w:pPr>
                  <w:r>
                    <w:rPr>
                      <w:rFonts w:hint="eastAsia" w:cs="微软雅黑"/>
                      <w:i w:val="0"/>
                      <w:iCs w:val="0"/>
                      <w:color w:val="auto"/>
                      <w:kern w:val="0"/>
                      <w:sz w:val="21"/>
                      <w:szCs w:val="20"/>
                      <w:u w:val="none"/>
                      <w:lang w:val="en-US" w:eastAsia="zh-CN" w:bidi="ar"/>
                    </w:rPr>
                    <w:t>0.9069745</w:t>
                  </w:r>
                </w:p>
              </w:tc>
            </w:tr>
          </w:tbl>
          <w:p w14:paraId="23C3EF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cs="Times New Roman"/>
                <w:b w:val="0"/>
                <w:bCs w:val="0"/>
                <w:color w:val="auto"/>
                <w:sz w:val="24"/>
                <w:szCs w:val="24"/>
                <w:highlight w:val="none"/>
                <w:lang w:val="en-US" w:eastAsia="zh-CN"/>
              </w:rPr>
            </w:pPr>
            <w:r>
              <w:rPr>
                <w:rFonts w:hint="eastAsia" w:ascii="Times New Roman" w:hAnsi="Times New Roman" w:eastAsia="宋体" w:cs="Times New Roman"/>
                <w:b w:val="0"/>
                <w:bCs w:val="0"/>
                <w:color w:val="auto"/>
                <w:sz w:val="24"/>
                <w:szCs w:val="24"/>
                <w:highlight w:val="none"/>
                <w:lang w:val="en-US" w:eastAsia="zh-CN"/>
              </w:rPr>
              <w:t>本项目危险物质数量与临界量比值为0.9069745＜1。根据《建设项目环境风险评价技术导则》（HJ169-2018）附录C，Q＜1时，企业环境风险潜式为</w:t>
            </w:r>
            <w:r>
              <w:rPr>
                <w:rFonts w:hint="eastAsia" w:ascii="Times New Roman" w:hAnsi="Times New Roman" w:eastAsia="宋体" w:cs="Times New Roman"/>
                <w:b w:val="0"/>
                <w:bCs w:val="0"/>
                <w:color w:val="auto"/>
                <w:sz w:val="24"/>
                <w:szCs w:val="24"/>
                <w:highlight w:val="none"/>
                <w:lang w:val="en-US" w:eastAsia="zh-CN"/>
              </w:rPr>
              <w:fldChar w:fldCharType="begin"/>
            </w:r>
            <w:r>
              <w:rPr>
                <w:rFonts w:hint="eastAsia" w:ascii="Times New Roman" w:hAnsi="Times New Roman" w:eastAsia="宋体" w:cs="Times New Roman"/>
                <w:b w:val="0"/>
                <w:bCs w:val="0"/>
                <w:color w:val="auto"/>
                <w:sz w:val="24"/>
                <w:szCs w:val="24"/>
                <w:highlight w:val="none"/>
                <w:lang w:val="en-US" w:eastAsia="zh-CN"/>
              </w:rPr>
              <w:instrText xml:space="preserve"> = 1 \* ROMAN </w:instrText>
            </w:r>
            <w:r>
              <w:rPr>
                <w:rFonts w:hint="eastAsia" w:ascii="Times New Roman" w:hAnsi="Times New Roman" w:eastAsia="宋体" w:cs="Times New Roman"/>
                <w:b w:val="0"/>
                <w:bCs w:val="0"/>
                <w:color w:val="auto"/>
                <w:sz w:val="24"/>
                <w:szCs w:val="24"/>
                <w:highlight w:val="none"/>
                <w:lang w:val="en-US" w:eastAsia="zh-CN"/>
              </w:rPr>
              <w:fldChar w:fldCharType="separate"/>
            </w:r>
            <w:r>
              <w:rPr>
                <w:rFonts w:hint="eastAsia" w:ascii="Times New Roman" w:hAnsi="Times New Roman" w:eastAsia="宋体" w:cs="Times New Roman"/>
                <w:b w:val="0"/>
                <w:bCs w:val="0"/>
                <w:color w:val="auto"/>
                <w:sz w:val="24"/>
                <w:szCs w:val="24"/>
                <w:highlight w:val="none"/>
                <w:lang w:val="en-US" w:eastAsia="zh-CN"/>
              </w:rPr>
              <w:t>I</w:t>
            </w:r>
            <w:r>
              <w:rPr>
                <w:rFonts w:hint="eastAsia" w:ascii="Times New Roman" w:hAnsi="Times New Roman" w:eastAsia="宋体" w:cs="Times New Roman"/>
                <w:b w:val="0"/>
                <w:bCs w:val="0"/>
                <w:color w:val="auto"/>
                <w:sz w:val="24"/>
                <w:szCs w:val="24"/>
                <w:highlight w:val="none"/>
                <w:lang w:val="en-US" w:eastAsia="zh-CN"/>
              </w:rPr>
              <w:fldChar w:fldCharType="end"/>
            </w:r>
            <w:r>
              <w:rPr>
                <w:rFonts w:hint="eastAsia" w:ascii="Times New Roman" w:hAnsi="Times New Roman" w:eastAsia="宋体" w:cs="Times New Roman"/>
                <w:b w:val="0"/>
                <w:bCs w:val="0"/>
                <w:color w:val="auto"/>
                <w:sz w:val="24"/>
                <w:szCs w:val="24"/>
                <w:highlight w:val="none"/>
                <w:lang w:val="en-US" w:eastAsia="zh-CN"/>
              </w:rPr>
              <w:t>，对风险评价作简单分析，仅分析风险源分布情况及可能影响途径，并提出相应环境风险防范措施。</w:t>
            </w:r>
          </w:p>
          <w:p w14:paraId="1DF044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b w:val="0"/>
                <w:bCs w:val="0"/>
                <w:color w:val="auto"/>
                <w:sz w:val="24"/>
                <w:szCs w:val="24"/>
                <w:highlight w:val="none"/>
                <w:lang w:val="en-US" w:eastAsia="zh-CN"/>
              </w:rPr>
            </w:pPr>
            <w:r>
              <w:rPr>
                <w:rFonts w:hint="eastAsia"/>
                <w:b w:val="0"/>
                <w:bCs w:val="0"/>
                <w:color w:val="auto"/>
                <w:sz w:val="24"/>
                <w:szCs w:val="24"/>
                <w:highlight w:val="none"/>
                <w:lang w:val="en-US" w:eastAsia="zh-CN"/>
              </w:rPr>
              <w:t>（2）生产过程环境风险识别</w:t>
            </w:r>
          </w:p>
          <w:p w14:paraId="5D136D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b w:val="0"/>
                <w:bCs w:val="0"/>
                <w:color w:val="auto"/>
                <w:sz w:val="24"/>
                <w:szCs w:val="24"/>
                <w:highlight w:val="none"/>
                <w:lang w:val="en-US" w:eastAsia="zh-CN"/>
              </w:rPr>
            </w:pPr>
            <w:r>
              <w:rPr>
                <w:rFonts w:hint="eastAsia"/>
                <w:b w:val="0"/>
                <w:bCs w:val="0"/>
                <w:color w:val="auto"/>
                <w:sz w:val="24"/>
                <w:szCs w:val="24"/>
                <w:highlight w:val="none"/>
                <w:lang w:val="en-US" w:eastAsia="zh-CN"/>
              </w:rPr>
              <w:t>项目在危险废物和危险化学品运输、贮存过程中，如管理操作不当或意外事故，存在泄漏事故风险。评估的内容可具体划分为：</w:t>
            </w:r>
          </w:p>
          <w:p w14:paraId="25C345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b w:val="0"/>
                <w:bCs w:val="0"/>
                <w:color w:val="auto"/>
                <w:sz w:val="24"/>
                <w:szCs w:val="24"/>
                <w:highlight w:val="none"/>
                <w:lang w:val="en-US" w:eastAsia="zh-CN"/>
              </w:rPr>
            </w:pPr>
            <w:r>
              <w:rPr>
                <w:rFonts w:hint="eastAsia"/>
                <w:b w:val="0"/>
                <w:bCs w:val="0"/>
                <w:color w:val="auto"/>
                <w:sz w:val="24"/>
                <w:szCs w:val="24"/>
                <w:highlight w:val="none"/>
                <w:lang w:val="en-US" w:eastAsia="zh-CN"/>
              </w:rPr>
              <w:t>危废暂存间和胶水、表面处理剂：本项目危险废物和胶水、表面处理剂在储存和运输过程中，均可能会因自然或人为因素，出现事故造成泄漏。发生泄漏时，对皮肤具有轻度刺激作用；若遇明火会发生火灾，如不能及时扑灭，会产生烟尘、NO等空气污染物，同时可能造成经济损失以及人员伤亡。</w:t>
            </w:r>
          </w:p>
          <w:p w14:paraId="7E0986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b w:val="0"/>
                <w:bCs w:val="0"/>
                <w:color w:val="auto"/>
                <w:sz w:val="24"/>
                <w:szCs w:val="24"/>
                <w:highlight w:val="none"/>
                <w:lang w:val="en-US" w:eastAsia="zh-CN"/>
              </w:rPr>
            </w:pPr>
            <w:r>
              <w:rPr>
                <w:rFonts w:hint="eastAsia"/>
                <w:b w:val="0"/>
                <w:bCs w:val="0"/>
                <w:color w:val="auto"/>
                <w:sz w:val="24"/>
                <w:szCs w:val="24"/>
                <w:highlight w:val="none"/>
                <w:lang w:val="en-US" w:eastAsia="zh-CN"/>
              </w:rPr>
              <w:t>评价工作等级判定</w:t>
            </w:r>
          </w:p>
          <w:p w14:paraId="5BBBDE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b w:val="0"/>
                <w:bCs w:val="0"/>
                <w:color w:val="auto"/>
                <w:sz w:val="24"/>
                <w:szCs w:val="24"/>
                <w:highlight w:val="none"/>
                <w:u w:val="none"/>
                <w:lang w:val="en-US" w:eastAsia="zh-CN"/>
              </w:rPr>
            </w:pPr>
            <w:r>
              <w:rPr>
                <w:rFonts w:hint="eastAsia"/>
                <w:b w:val="0"/>
                <w:bCs w:val="0"/>
                <w:color w:val="auto"/>
                <w:sz w:val="24"/>
                <w:szCs w:val="24"/>
                <w:highlight w:val="none"/>
                <w:u w:val="none"/>
                <w:lang w:val="en-US" w:eastAsia="zh-CN"/>
              </w:rPr>
              <w:t>根据《建设项目环境风险评价技术导则》（HJ/T169-2018）中的评价工作等级判据，本项目风险潜势为</w:t>
            </w:r>
            <w:r>
              <w:rPr>
                <w:rFonts w:hint="default" w:ascii="Times New Roman" w:hAnsi="Times New Roman" w:cs="Times New Roman"/>
                <w:b w:val="0"/>
                <w:bCs w:val="0"/>
                <w:color w:val="auto"/>
                <w:sz w:val="24"/>
                <w:szCs w:val="24"/>
                <w:highlight w:val="none"/>
                <w:u w:val="none"/>
                <w:lang w:val="en-US" w:eastAsia="zh-CN"/>
              </w:rPr>
              <w:t>Ⅰ</w:t>
            </w:r>
            <w:r>
              <w:rPr>
                <w:rFonts w:hint="eastAsia"/>
                <w:b w:val="0"/>
                <w:bCs w:val="0"/>
                <w:color w:val="auto"/>
                <w:sz w:val="24"/>
                <w:szCs w:val="24"/>
                <w:highlight w:val="none"/>
                <w:u w:val="none"/>
                <w:lang w:val="en-US" w:eastAsia="zh-CN"/>
              </w:rPr>
              <w:t>，确定本项目环境风险评价等级为简单分析。</w:t>
            </w:r>
          </w:p>
          <w:p w14:paraId="001C9551">
            <w:pPr>
              <w:pStyle w:val="109"/>
              <w:keepNext w:val="0"/>
              <w:keepLines w:val="0"/>
              <w:suppressLineNumbers w:val="0"/>
              <w:spacing w:before="0" w:beforeAutospacing="0" w:after="0" w:afterAutospacing="0"/>
              <w:ind w:left="0" w:right="0" w:firstLine="480"/>
              <w:rPr>
                <w:rFonts w:hint="default"/>
                <w:color w:val="auto"/>
                <w:u w:val="none"/>
              </w:rPr>
            </w:pPr>
            <w:r>
              <w:rPr>
                <w:rFonts w:hint="eastAsia"/>
                <w:color w:val="auto"/>
                <w:u w:val="none"/>
              </w:rPr>
              <w:t>表4-</w:t>
            </w:r>
            <w:r>
              <w:rPr>
                <w:rFonts w:hint="eastAsia"/>
                <w:color w:val="auto"/>
                <w:u w:val="none"/>
                <w:lang w:val="en-US" w:eastAsia="zh-CN"/>
              </w:rPr>
              <w:t>18</w:t>
            </w:r>
            <w:r>
              <w:rPr>
                <w:rFonts w:hint="eastAsia"/>
                <w:color w:val="auto"/>
                <w:u w:val="none"/>
              </w:rPr>
              <w:t xml:space="preserve">  评价工作等级划分</w:t>
            </w:r>
          </w:p>
          <w:tbl>
            <w:tblPr>
              <w:tblStyle w:val="26"/>
              <w:tblW w:w="4998" w:type="pct"/>
              <w:jc w:val="center"/>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Layout w:type="autofit"/>
              <w:tblCellMar>
                <w:top w:w="0" w:type="dxa"/>
                <w:left w:w="108" w:type="dxa"/>
                <w:bottom w:w="0" w:type="dxa"/>
                <w:right w:w="108" w:type="dxa"/>
              </w:tblCellMar>
            </w:tblPr>
            <w:tblGrid>
              <w:gridCol w:w="1728"/>
              <w:gridCol w:w="1309"/>
              <w:gridCol w:w="1309"/>
              <w:gridCol w:w="1964"/>
              <w:gridCol w:w="2135"/>
            </w:tblGrid>
            <w:tr w14:paraId="4332C80D">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jc w:val="center"/>
              </w:trPr>
              <w:tc>
                <w:tcPr>
                  <w:tcW w:w="1023" w:type="pct"/>
                  <w:noWrap w:val="0"/>
                  <w:vAlign w:val="center"/>
                </w:tcPr>
                <w:p w14:paraId="07B1DDB4">
                  <w:pPr>
                    <w:pStyle w:val="111"/>
                    <w:keepNext w:val="0"/>
                    <w:keepLines w:val="0"/>
                    <w:widowControl/>
                    <w:suppressLineNumbers w:val="0"/>
                    <w:spacing w:before="81" w:beforeAutospacing="0" w:after="81" w:afterAutospacing="0" w:line="300" w:lineRule="exact"/>
                    <w:ind w:left="0" w:right="0" w:firstLine="0" w:firstLineChars="0"/>
                    <w:jc w:val="center"/>
                    <w:rPr>
                      <w:rFonts w:hint="default" w:ascii="Times New Roman" w:hAnsi="Times New Roman" w:eastAsia="宋体" w:cs="Times New Roman"/>
                      <w:b/>
                      <w:bCs/>
                      <w:snapToGrid w:val="0"/>
                      <w:color w:val="auto"/>
                      <w:sz w:val="21"/>
                      <w:szCs w:val="21"/>
                      <w:u w:val="none"/>
                    </w:rPr>
                  </w:pPr>
                  <w:r>
                    <w:rPr>
                      <w:rFonts w:hint="default" w:ascii="Times New Roman" w:hAnsi="Times New Roman" w:eastAsia="宋体" w:cs="Times New Roman"/>
                      <w:b/>
                      <w:bCs/>
                      <w:snapToGrid w:val="0"/>
                      <w:color w:val="auto"/>
                      <w:sz w:val="21"/>
                      <w:szCs w:val="21"/>
                      <w:u w:val="none"/>
                    </w:rPr>
                    <w:t>环境风险</w:t>
                  </w:r>
                  <w:r>
                    <w:rPr>
                      <w:rFonts w:hint="eastAsia" w:ascii="Times New Roman" w:hAnsi="Times New Roman" w:eastAsia="宋体" w:cs="Times New Roman"/>
                      <w:b/>
                      <w:bCs/>
                      <w:snapToGrid w:val="0"/>
                      <w:color w:val="auto"/>
                      <w:sz w:val="21"/>
                      <w:szCs w:val="21"/>
                      <w:u w:val="none"/>
                      <w:lang w:eastAsia="zh-CN"/>
                    </w:rPr>
                    <w:t>趋势</w:t>
                  </w:r>
                </w:p>
              </w:tc>
              <w:tc>
                <w:tcPr>
                  <w:tcW w:w="775" w:type="pct"/>
                  <w:noWrap w:val="0"/>
                  <w:vAlign w:val="center"/>
                </w:tcPr>
                <w:p w14:paraId="193BE5DE">
                  <w:pPr>
                    <w:pStyle w:val="111"/>
                    <w:keepNext w:val="0"/>
                    <w:keepLines w:val="0"/>
                    <w:widowControl/>
                    <w:suppressLineNumbers w:val="0"/>
                    <w:spacing w:before="81" w:beforeAutospacing="0" w:after="81" w:afterAutospacing="0" w:line="300" w:lineRule="exact"/>
                    <w:ind w:left="0" w:right="0" w:firstLine="0" w:firstLineChars="0"/>
                    <w:jc w:val="center"/>
                    <w:rPr>
                      <w:rFonts w:hint="default" w:ascii="Times New Roman" w:hAnsi="Times New Roman" w:eastAsia="宋体" w:cs="Times New Roman"/>
                      <w:b/>
                      <w:bCs/>
                      <w:snapToGrid w:val="0"/>
                      <w:color w:val="auto"/>
                      <w:sz w:val="21"/>
                      <w:szCs w:val="21"/>
                      <w:u w:val="none"/>
                    </w:rPr>
                  </w:pPr>
                  <w:r>
                    <w:rPr>
                      <w:rFonts w:hint="default" w:ascii="Times New Roman" w:hAnsi="Times New Roman" w:eastAsia="宋体" w:cs="Times New Roman"/>
                      <w:b/>
                      <w:bCs/>
                      <w:snapToGrid w:val="0"/>
                      <w:color w:val="auto"/>
                      <w:sz w:val="21"/>
                      <w:szCs w:val="21"/>
                      <w:u w:val="none"/>
                    </w:rPr>
                    <w:t>Ⅳ</w:t>
                  </w:r>
                  <w:r>
                    <w:rPr>
                      <w:rFonts w:hint="default" w:ascii="Times New Roman" w:hAnsi="Times New Roman" w:eastAsia="宋体" w:cs="Times New Roman"/>
                      <w:b/>
                      <w:bCs/>
                      <w:snapToGrid w:val="0"/>
                      <w:color w:val="auto"/>
                      <w:sz w:val="21"/>
                      <w:szCs w:val="21"/>
                      <w:u w:val="none"/>
                      <w:vertAlign w:val="superscript"/>
                    </w:rPr>
                    <w:t>+</w:t>
                  </w:r>
                  <w:r>
                    <w:rPr>
                      <w:rFonts w:hint="default" w:ascii="Times New Roman" w:hAnsi="Times New Roman" w:eastAsia="宋体" w:cs="Times New Roman"/>
                      <w:b/>
                      <w:bCs/>
                      <w:snapToGrid w:val="0"/>
                      <w:color w:val="auto"/>
                      <w:sz w:val="21"/>
                      <w:szCs w:val="21"/>
                      <w:u w:val="none"/>
                    </w:rPr>
                    <w:t>、Ⅳ</w:t>
                  </w:r>
                </w:p>
              </w:tc>
              <w:tc>
                <w:tcPr>
                  <w:tcW w:w="775" w:type="pct"/>
                  <w:noWrap w:val="0"/>
                  <w:vAlign w:val="center"/>
                </w:tcPr>
                <w:p w14:paraId="2A155B1F">
                  <w:pPr>
                    <w:pStyle w:val="111"/>
                    <w:keepNext w:val="0"/>
                    <w:keepLines w:val="0"/>
                    <w:widowControl/>
                    <w:suppressLineNumbers w:val="0"/>
                    <w:spacing w:before="81" w:beforeAutospacing="0" w:after="81" w:afterAutospacing="0" w:line="300" w:lineRule="exact"/>
                    <w:ind w:left="0" w:right="0" w:firstLine="0" w:firstLineChars="0"/>
                    <w:jc w:val="center"/>
                    <w:rPr>
                      <w:rFonts w:hint="default" w:ascii="Times New Roman" w:hAnsi="Times New Roman" w:eastAsia="宋体" w:cs="Times New Roman"/>
                      <w:b/>
                      <w:bCs/>
                      <w:snapToGrid w:val="0"/>
                      <w:color w:val="auto"/>
                      <w:sz w:val="21"/>
                      <w:szCs w:val="21"/>
                      <w:u w:val="none"/>
                    </w:rPr>
                  </w:pPr>
                  <w:r>
                    <w:rPr>
                      <w:rFonts w:hint="default" w:ascii="Times New Roman" w:hAnsi="Times New Roman" w:eastAsia="宋体" w:cs="Times New Roman"/>
                      <w:b/>
                      <w:bCs/>
                      <w:snapToGrid w:val="0"/>
                      <w:color w:val="auto"/>
                      <w:sz w:val="21"/>
                      <w:szCs w:val="21"/>
                      <w:u w:val="none"/>
                    </w:rPr>
                    <w:t>Ⅲ</w:t>
                  </w:r>
                </w:p>
              </w:tc>
              <w:tc>
                <w:tcPr>
                  <w:tcW w:w="1163" w:type="pct"/>
                  <w:noWrap w:val="0"/>
                  <w:vAlign w:val="center"/>
                </w:tcPr>
                <w:p w14:paraId="3387A0EE">
                  <w:pPr>
                    <w:pStyle w:val="111"/>
                    <w:keepNext w:val="0"/>
                    <w:keepLines w:val="0"/>
                    <w:widowControl/>
                    <w:suppressLineNumbers w:val="0"/>
                    <w:spacing w:before="81" w:beforeAutospacing="0" w:after="81" w:afterAutospacing="0" w:line="300" w:lineRule="exact"/>
                    <w:ind w:left="0" w:right="0" w:firstLine="0" w:firstLineChars="0"/>
                    <w:jc w:val="center"/>
                    <w:rPr>
                      <w:rFonts w:hint="default" w:ascii="Times New Roman" w:hAnsi="Times New Roman" w:eastAsia="宋体" w:cs="Times New Roman"/>
                      <w:b/>
                      <w:bCs/>
                      <w:snapToGrid w:val="0"/>
                      <w:color w:val="auto"/>
                      <w:sz w:val="21"/>
                      <w:szCs w:val="21"/>
                      <w:u w:val="none"/>
                    </w:rPr>
                  </w:pPr>
                  <w:r>
                    <w:rPr>
                      <w:rFonts w:hint="default" w:ascii="Times New Roman" w:hAnsi="Times New Roman" w:eastAsia="宋体" w:cs="Times New Roman"/>
                      <w:b/>
                      <w:bCs/>
                      <w:snapToGrid w:val="0"/>
                      <w:color w:val="auto"/>
                      <w:sz w:val="21"/>
                      <w:szCs w:val="21"/>
                      <w:u w:val="none"/>
                    </w:rPr>
                    <w:t>Ⅱ</w:t>
                  </w:r>
                </w:p>
              </w:tc>
              <w:tc>
                <w:tcPr>
                  <w:tcW w:w="1261" w:type="pct"/>
                  <w:noWrap w:val="0"/>
                  <w:vAlign w:val="center"/>
                </w:tcPr>
                <w:p w14:paraId="03FFC08F">
                  <w:pPr>
                    <w:pStyle w:val="111"/>
                    <w:keepNext w:val="0"/>
                    <w:keepLines w:val="0"/>
                    <w:widowControl/>
                    <w:suppressLineNumbers w:val="0"/>
                    <w:spacing w:before="81" w:beforeAutospacing="0" w:after="81" w:afterAutospacing="0" w:line="300" w:lineRule="exact"/>
                    <w:ind w:left="0" w:right="0" w:firstLine="0" w:firstLineChars="0"/>
                    <w:jc w:val="center"/>
                    <w:rPr>
                      <w:rFonts w:hint="default" w:ascii="Times New Roman" w:hAnsi="Times New Roman" w:eastAsia="宋体" w:cs="Times New Roman"/>
                      <w:b/>
                      <w:bCs/>
                      <w:snapToGrid w:val="0"/>
                      <w:color w:val="auto"/>
                      <w:sz w:val="21"/>
                      <w:szCs w:val="21"/>
                      <w:u w:val="none"/>
                    </w:rPr>
                  </w:pPr>
                  <w:r>
                    <w:rPr>
                      <w:rFonts w:hint="default" w:ascii="Times New Roman" w:hAnsi="Times New Roman" w:eastAsia="宋体" w:cs="Times New Roman"/>
                      <w:b/>
                      <w:bCs/>
                      <w:snapToGrid w:val="0"/>
                      <w:color w:val="auto"/>
                      <w:sz w:val="21"/>
                      <w:szCs w:val="21"/>
                      <w:u w:val="none"/>
                    </w:rPr>
                    <w:t>Ⅰ</w:t>
                  </w:r>
                </w:p>
              </w:tc>
            </w:tr>
            <w:tr w14:paraId="1F8D3922">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jc w:val="center"/>
              </w:trPr>
              <w:tc>
                <w:tcPr>
                  <w:tcW w:w="1023" w:type="pct"/>
                  <w:noWrap w:val="0"/>
                  <w:vAlign w:val="center"/>
                </w:tcPr>
                <w:p w14:paraId="79988464">
                  <w:pPr>
                    <w:pStyle w:val="111"/>
                    <w:keepNext w:val="0"/>
                    <w:keepLines w:val="0"/>
                    <w:widowControl/>
                    <w:suppressLineNumbers w:val="0"/>
                    <w:spacing w:before="81" w:beforeAutospacing="0" w:after="81" w:afterAutospacing="0" w:line="300" w:lineRule="exact"/>
                    <w:ind w:left="0" w:right="0" w:firstLine="0" w:firstLineChars="0"/>
                    <w:jc w:val="center"/>
                    <w:rPr>
                      <w:rFonts w:hint="default" w:ascii="Times New Roman" w:hAnsi="Times New Roman" w:eastAsia="宋体" w:cs="Times New Roman"/>
                      <w:snapToGrid w:val="0"/>
                      <w:color w:val="auto"/>
                      <w:sz w:val="21"/>
                      <w:szCs w:val="21"/>
                      <w:u w:val="none"/>
                    </w:rPr>
                  </w:pPr>
                  <w:r>
                    <w:rPr>
                      <w:rFonts w:hint="default" w:ascii="Times New Roman" w:hAnsi="Times New Roman" w:eastAsia="宋体" w:cs="Times New Roman"/>
                      <w:snapToGrid w:val="0"/>
                      <w:color w:val="auto"/>
                      <w:sz w:val="21"/>
                      <w:szCs w:val="21"/>
                      <w:u w:val="none"/>
                    </w:rPr>
                    <w:t>评价工作等级</w:t>
                  </w:r>
                </w:p>
              </w:tc>
              <w:tc>
                <w:tcPr>
                  <w:tcW w:w="775" w:type="pct"/>
                  <w:noWrap w:val="0"/>
                  <w:vAlign w:val="center"/>
                </w:tcPr>
                <w:p w14:paraId="2E23934C">
                  <w:pPr>
                    <w:pStyle w:val="111"/>
                    <w:keepNext w:val="0"/>
                    <w:keepLines w:val="0"/>
                    <w:widowControl/>
                    <w:suppressLineNumbers w:val="0"/>
                    <w:spacing w:before="81" w:beforeAutospacing="0" w:after="81" w:afterAutospacing="0" w:line="300" w:lineRule="exact"/>
                    <w:ind w:left="0" w:right="0" w:firstLine="0" w:firstLineChars="0"/>
                    <w:jc w:val="center"/>
                    <w:rPr>
                      <w:rFonts w:hint="default" w:ascii="Times New Roman" w:hAnsi="Times New Roman" w:eastAsia="宋体" w:cs="Times New Roman"/>
                      <w:snapToGrid w:val="0"/>
                      <w:color w:val="auto"/>
                      <w:sz w:val="21"/>
                      <w:szCs w:val="21"/>
                      <w:u w:val="none"/>
                    </w:rPr>
                  </w:pPr>
                  <w:r>
                    <w:rPr>
                      <w:rFonts w:hint="default" w:ascii="Times New Roman" w:hAnsi="Times New Roman" w:eastAsia="宋体" w:cs="Times New Roman"/>
                      <w:snapToGrid w:val="0"/>
                      <w:color w:val="auto"/>
                      <w:sz w:val="21"/>
                      <w:szCs w:val="21"/>
                      <w:u w:val="none"/>
                    </w:rPr>
                    <w:t>一</w:t>
                  </w:r>
                </w:p>
              </w:tc>
              <w:tc>
                <w:tcPr>
                  <w:tcW w:w="775" w:type="pct"/>
                  <w:noWrap w:val="0"/>
                  <w:vAlign w:val="center"/>
                </w:tcPr>
                <w:p w14:paraId="1C588024">
                  <w:pPr>
                    <w:pStyle w:val="111"/>
                    <w:keepNext w:val="0"/>
                    <w:keepLines w:val="0"/>
                    <w:widowControl/>
                    <w:suppressLineNumbers w:val="0"/>
                    <w:spacing w:before="81" w:beforeAutospacing="0" w:after="81" w:afterAutospacing="0" w:line="300" w:lineRule="exact"/>
                    <w:ind w:left="0" w:right="0" w:firstLine="0" w:firstLineChars="0"/>
                    <w:jc w:val="center"/>
                    <w:rPr>
                      <w:rFonts w:hint="default" w:ascii="Times New Roman" w:hAnsi="Times New Roman" w:eastAsia="宋体" w:cs="Times New Roman"/>
                      <w:snapToGrid w:val="0"/>
                      <w:color w:val="auto"/>
                      <w:sz w:val="21"/>
                      <w:szCs w:val="21"/>
                      <w:u w:val="none"/>
                    </w:rPr>
                  </w:pPr>
                  <w:r>
                    <w:rPr>
                      <w:rFonts w:hint="default" w:ascii="Times New Roman" w:hAnsi="Times New Roman" w:eastAsia="宋体" w:cs="Times New Roman"/>
                      <w:snapToGrid w:val="0"/>
                      <w:color w:val="auto"/>
                      <w:sz w:val="21"/>
                      <w:szCs w:val="21"/>
                      <w:u w:val="none"/>
                    </w:rPr>
                    <w:t>二</w:t>
                  </w:r>
                </w:p>
              </w:tc>
              <w:tc>
                <w:tcPr>
                  <w:tcW w:w="1163" w:type="pct"/>
                  <w:noWrap w:val="0"/>
                  <w:vAlign w:val="center"/>
                </w:tcPr>
                <w:p w14:paraId="0812726E">
                  <w:pPr>
                    <w:pStyle w:val="111"/>
                    <w:keepNext w:val="0"/>
                    <w:keepLines w:val="0"/>
                    <w:widowControl/>
                    <w:suppressLineNumbers w:val="0"/>
                    <w:spacing w:before="81" w:beforeAutospacing="0" w:after="81" w:afterAutospacing="0" w:line="300" w:lineRule="exact"/>
                    <w:ind w:left="0" w:right="0" w:firstLine="0" w:firstLineChars="0"/>
                    <w:jc w:val="center"/>
                    <w:rPr>
                      <w:rFonts w:hint="default" w:ascii="Times New Roman" w:hAnsi="Times New Roman" w:eastAsia="宋体" w:cs="Times New Roman"/>
                      <w:snapToGrid w:val="0"/>
                      <w:color w:val="auto"/>
                      <w:sz w:val="21"/>
                      <w:szCs w:val="21"/>
                      <w:u w:val="none"/>
                    </w:rPr>
                  </w:pPr>
                  <w:r>
                    <w:rPr>
                      <w:rFonts w:hint="default" w:ascii="Times New Roman" w:hAnsi="Times New Roman" w:eastAsia="宋体" w:cs="Times New Roman"/>
                      <w:snapToGrid w:val="0"/>
                      <w:color w:val="auto"/>
                      <w:sz w:val="21"/>
                      <w:szCs w:val="21"/>
                      <w:u w:val="none"/>
                    </w:rPr>
                    <w:t>三</w:t>
                  </w:r>
                </w:p>
              </w:tc>
              <w:tc>
                <w:tcPr>
                  <w:tcW w:w="1261" w:type="pct"/>
                  <w:noWrap w:val="0"/>
                  <w:vAlign w:val="center"/>
                </w:tcPr>
                <w:p w14:paraId="6608D3E2">
                  <w:pPr>
                    <w:pStyle w:val="111"/>
                    <w:keepNext w:val="0"/>
                    <w:keepLines w:val="0"/>
                    <w:widowControl/>
                    <w:suppressLineNumbers w:val="0"/>
                    <w:spacing w:before="81" w:beforeAutospacing="0" w:after="81" w:afterAutospacing="0" w:line="300" w:lineRule="exact"/>
                    <w:ind w:left="0" w:right="0" w:firstLine="0" w:firstLineChars="0"/>
                    <w:jc w:val="center"/>
                    <w:rPr>
                      <w:rFonts w:hint="default" w:ascii="Times New Roman" w:hAnsi="Times New Roman" w:eastAsia="宋体" w:cs="Times New Roman"/>
                      <w:snapToGrid w:val="0"/>
                      <w:color w:val="auto"/>
                      <w:sz w:val="21"/>
                      <w:szCs w:val="21"/>
                      <w:u w:val="none"/>
                    </w:rPr>
                  </w:pPr>
                  <w:r>
                    <w:rPr>
                      <w:rFonts w:hint="default" w:ascii="Times New Roman" w:hAnsi="Times New Roman" w:eastAsia="宋体" w:cs="Times New Roman"/>
                      <w:snapToGrid w:val="0"/>
                      <w:color w:val="auto"/>
                      <w:sz w:val="21"/>
                      <w:szCs w:val="21"/>
                      <w:u w:val="none"/>
                    </w:rPr>
                    <w:t>简单分析</w:t>
                  </w:r>
                  <w:r>
                    <w:rPr>
                      <w:rFonts w:hint="default" w:ascii="Times New Roman" w:hAnsi="Times New Roman" w:eastAsia="宋体" w:cs="Times New Roman"/>
                      <w:snapToGrid w:val="0"/>
                      <w:color w:val="auto"/>
                      <w:sz w:val="21"/>
                      <w:szCs w:val="21"/>
                      <w:u w:val="none"/>
                      <w:vertAlign w:val="superscript"/>
                    </w:rPr>
                    <w:t>a</w:t>
                  </w:r>
                </w:p>
              </w:tc>
            </w:tr>
            <w:tr w14:paraId="0D8708A1">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jc w:val="center"/>
              </w:trPr>
              <w:tc>
                <w:tcPr>
                  <w:tcW w:w="5000" w:type="pct"/>
                  <w:gridSpan w:val="5"/>
                  <w:noWrap w:val="0"/>
                  <w:vAlign w:val="center"/>
                </w:tcPr>
                <w:p w14:paraId="175A24FD">
                  <w:pPr>
                    <w:pStyle w:val="111"/>
                    <w:keepNext w:val="0"/>
                    <w:keepLines w:val="0"/>
                    <w:widowControl/>
                    <w:suppressLineNumbers w:val="0"/>
                    <w:spacing w:before="81" w:beforeAutospacing="0" w:after="81" w:afterAutospacing="0" w:line="300" w:lineRule="exact"/>
                    <w:ind w:left="0" w:right="0" w:firstLine="0" w:firstLineChars="0"/>
                    <w:rPr>
                      <w:rFonts w:hint="default" w:ascii="Times New Roman" w:hAnsi="Times New Roman" w:eastAsia="宋体" w:cs="Times New Roman"/>
                      <w:snapToGrid w:val="0"/>
                      <w:color w:val="auto"/>
                      <w:sz w:val="21"/>
                      <w:szCs w:val="21"/>
                      <w:u w:val="none"/>
                    </w:rPr>
                  </w:pPr>
                  <w:r>
                    <w:rPr>
                      <w:rFonts w:hint="default" w:ascii="Times New Roman" w:hAnsi="Times New Roman" w:eastAsia="宋体" w:cs="Times New Roman"/>
                      <w:snapToGrid w:val="0"/>
                      <w:color w:val="auto"/>
                      <w:sz w:val="21"/>
                      <w:szCs w:val="21"/>
                      <w:u w:val="none"/>
                    </w:rPr>
                    <w:t>a是相对于详细评价工作内容而言，在描述危险物质、环境影响途径、环境危害后果、风险防范措施等方面给出定性的说明。见附录A</w:t>
                  </w:r>
                </w:p>
              </w:tc>
            </w:tr>
          </w:tbl>
          <w:p w14:paraId="280355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b w:val="0"/>
                <w:bCs w:val="0"/>
                <w:color w:val="auto"/>
                <w:sz w:val="24"/>
                <w:szCs w:val="24"/>
                <w:highlight w:val="none"/>
                <w:lang w:val="en-US" w:eastAsia="zh-CN"/>
              </w:rPr>
            </w:pPr>
            <w:r>
              <w:rPr>
                <w:rFonts w:hint="eastAsia"/>
                <w:b w:val="0"/>
                <w:bCs w:val="0"/>
                <w:color w:val="auto"/>
                <w:sz w:val="24"/>
                <w:szCs w:val="24"/>
                <w:highlight w:val="none"/>
                <w:lang w:val="en-US" w:eastAsia="zh-CN"/>
              </w:rPr>
              <w:t>3、防治措施</w:t>
            </w:r>
          </w:p>
          <w:p w14:paraId="2A4042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b w:val="0"/>
                <w:bCs w:val="0"/>
                <w:color w:val="auto"/>
                <w:sz w:val="24"/>
                <w:szCs w:val="24"/>
                <w:highlight w:val="none"/>
                <w:lang w:val="en-US" w:eastAsia="zh-CN"/>
              </w:rPr>
            </w:pPr>
            <w:r>
              <w:rPr>
                <w:rFonts w:hint="eastAsia"/>
                <w:b w:val="0"/>
                <w:bCs w:val="0"/>
                <w:color w:val="auto"/>
                <w:sz w:val="24"/>
                <w:szCs w:val="24"/>
                <w:highlight w:val="none"/>
                <w:lang w:val="en-US" w:eastAsia="zh-CN"/>
              </w:rPr>
              <w:t>（1）运营和生产管理的风险防范措施</w:t>
            </w:r>
          </w:p>
          <w:p w14:paraId="6B2F8C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b w:val="0"/>
                <w:bCs w:val="0"/>
                <w:color w:val="auto"/>
                <w:sz w:val="24"/>
                <w:szCs w:val="24"/>
                <w:highlight w:val="none"/>
                <w:lang w:val="en-US" w:eastAsia="zh-CN"/>
              </w:rPr>
            </w:pPr>
            <w:r>
              <w:rPr>
                <w:rFonts w:hint="eastAsia"/>
                <w:b w:val="0"/>
                <w:bCs w:val="0"/>
                <w:color w:val="auto"/>
                <w:sz w:val="24"/>
                <w:szCs w:val="24"/>
                <w:highlight w:val="none"/>
                <w:lang w:val="en-US" w:eastAsia="zh-CN"/>
              </w:rPr>
              <w:t>加强工艺管理，严格控制工艺指标。应建立科学、严格的生产操作规程和安全管理体系，做到各车间、工段生产、安全都有专业人员专职负责。</w:t>
            </w:r>
          </w:p>
          <w:p w14:paraId="03FCF9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b w:val="0"/>
                <w:bCs w:val="0"/>
                <w:color w:val="auto"/>
                <w:sz w:val="24"/>
                <w:szCs w:val="24"/>
                <w:highlight w:val="none"/>
                <w:lang w:val="en-US" w:eastAsia="zh-CN"/>
              </w:rPr>
            </w:pPr>
            <w:r>
              <w:rPr>
                <w:rFonts w:hint="eastAsia"/>
                <w:b w:val="0"/>
                <w:bCs w:val="0"/>
                <w:color w:val="auto"/>
                <w:sz w:val="24"/>
                <w:szCs w:val="24"/>
                <w:highlight w:val="none"/>
                <w:lang w:val="en-US" w:eastAsia="zh-CN"/>
              </w:rPr>
              <w:t>加强安全生产教育。让所有员工了解本厂各种原材料、最终产品以及废物的物理、化学和生理特性及其毒性，所有防护措施、环境影响等。</w:t>
            </w:r>
          </w:p>
          <w:p w14:paraId="46437C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b w:val="0"/>
                <w:bCs w:val="0"/>
                <w:color w:val="auto"/>
                <w:sz w:val="24"/>
                <w:szCs w:val="24"/>
                <w:highlight w:val="none"/>
                <w:lang w:val="en-US" w:eastAsia="zh-CN"/>
              </w:rPr>
            </w:pPr>
            <w:r>
              <w:rPr>
                <w:rFonts w:hint="eastAsia"/>
                <w:b w:val="0"/>
                <w:bCs w:val="0"/>
                <w:color w:val="auto"/>
                <w:sz w:val="24"/>
                <w:szCs w:val="24"/>
                <w:highlight w:val="none"/>
                <w:lang w:val="en-US" w:eastAsia="zh-CN"/>
              </w:rPr>
              <w:t>把好设备进场关，将隐患消灭在正式投入使用前。同时加强容器、设备、管道、阀门等密封检查与维护，发现问题及时解决，保证设备完好。</w:t>
            </w:r>
          </w:p>
          <w:p w14:paraId="3DF13B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b w:val="0"/>
                <w:bCs w:val="0"/>
                <w:color w:val="auto"/>
                <w:sz w:val="24"/>
                <w:szCs w:val="24"/>
                <w:highlight w:val="none"/>
                <w:lang w:val="en-US" w:eastAsia="zh-CN"/>
              </w:rPr>
            </w:pPr>
            <w:r>
              <w:rPr>
                <w:rFonts w:hint="eastAsia"/>
                <w:b w:val="0"/>
                <w:bCs w:val="0"/>
                <w:color w:val="auto"/>
                <w:sz w:val="24"/>
                <w:szCs w:val="24"/>
                <w:highlight w:val="none"/>
                <w:lang w:val="en-US" w:eastAsia="zh-CN"/>
              </w:rPr>
              <w:t>厂区应建立处理环境事故的日常和应急两级物资储备，包括应急车辆以及自身防护装置、抢修设备工具等应急物资。同时需配备相应的应急物资及装备，如灭火器、堵漏卡箍、消防沙土等。</w:t>
            </w:r>
          </w:p>
          <w:p w14:paraId="584D5E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b w:val="0"/>
                <w:bCs w:val="0"/>
                <w:color w:val="auto"/>
                <w:sz w:val="24"/>
                <w:szCs w:val="24"/>
                <w:highlight w:val="none"/>
                <w:lang w:val="en-US" w:eastAsia="zh-CN"/>
              </w:rPr>
            </w:pPr>
            <w:r>
              <w:rPr>
                <w:rFonts w:hint="eastAsia"/>
                <w:b w:val="0"/>
                <w:bCs w:val="0"/>
                <w:color w:val="auto"/>
                <w:sz w:val="24"/>
                <w:szCs w:val="24"/>
                <w:highlight w:val="none"/>
                <w:lang w:val="en-US" w:eastAsia="zh-CN"/>
              </w:rPr>
              <w:t>（2）总图布置和建筑物安全防范措施</w:t>
            </w:r>
          </w:p>
          <w:p w14:paraId="21E3AE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b w:val="0"/>
                <w:bCs w:val="0"/>
                <w:color w:val="auto"/>
                <w:sz w:val="24"/>
                <w:szCs w:val="24"/>
                <w:highlight w:val="none"/>
                <w:lang w:val="en-US" w:eastAsia="zh-CN"/>
              </w:rPr>
            </w:pPr>
            <w:r>
              <w:rPr>
                <w:rFonts w:hint="eastAsia"/>
                <w:b w:val="0"/>
                <w:bCs w:val="0"/>
                <w:color w:val="auto"/>
                <w:sz w:val="24"/>
                <w:szCs w:val="24"/>
                <w:highlight w:val="none"/>
                <w:lang w:val="en-US" w:eastAsia="zh-CN"/>
              </w:rPr>
              <w:t>总平面布置根据厂区内生产装置及安全、卫生要求合理分区，分区内部和相互之间保持一定的通道和间距；总图布置的建筑防火间距严格按《建筑设计防火规范》（GB50016-2014）设计。</w:t>
            </w:r>
          </w:p>
          <w:p w14:paraId="323A70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b w:val="0"/>
                <w:bCs w:val="0"/>
                <w:color w:val="auto"/>
                <w:sz w:val="24"/>
                <w:szCs w:val="24"/>
                <w:highlight w:val="none"/>
                <w:lang w:val="en-US" w:eastAsia="zh-CN"/>
              </w:rPr>
            </w:pPr>
            <w:r>
              <w:rPr>
                <w:rFonts w:hint="eastAsia"/>
                <w:b w:val="0"/>
                <w:bCs w:val="0"/>
                <w:color w:val="auto"/>
                <w:sz w:val="24"/>
                <w:szCs w:val="24"/>
                <w:highlight w:val="none"/>
                <w:lang w:val="en-US" w:eastAsia="zh-CN"/>
              </w:rPr>
              <w:t>厂区应有两个以上的出入口，人流和货运应明确分开，原料、产品、副产品等大宗货物须有单独路线，不与人流及其他货流混行和平交。</w:t>
            </w:r>
          </w:p>
          <w:p w14:paraId="3DE26F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b w:val="0"/>
                <w:bCs w:val="0"/>
                <w:color w:val="auto"/>
                <w:sz w:val="24"/>
                <w:szCs w:val="24"/>
                <w:highlight w:val="none"/>
                <w:lang w:val="en-US" w:eastAsia="zh-CN"/>
              </w:rPr>
            </w:pPr>
            <w:r>
              <w:rPr>
                <w:rFonts w:hint="eastAsia"/>
                <w:b w:val="0"/>
                <w:bCs w:val="0"/>
                <w:color w:val="auto"/>
                <w:sz w:val="24"/>
                <w:szCs w:val="24"/>
                <w:highlight w:val="none"/>
                <w:lang w:val="en-US" w:eastAsia="zh-CN"/>
              </w:rPr>
              <w:t>厂区道路应根据交通、消防和分区的要求合理布置，力求顺畅，保证消防、急救车辆畅行无阻。</w:t>
            </w:r>
          </w:p>
          <w:p w14:paraId="7E3248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b w:val="0"/>
                <w:bCs w:val="0"/>
                <w:color w:val="auto"/>
                <w:sz w:val="24"/>
                <w:szCs w:val="24"/>
                <w:highlight w:val="none"/>
                <w:lang w:val="en-US" w:eastAsia="zh-CN"/>
              </w:rPr>
            </w:pPr>
            <w:r>
              <w:rPr>
                <w:rFonts w:hint="eastAsia"/>
                <w:b w:val="0"/>
                <w:bCs w:val="0"/>
                <w:color w:val="auto"/>
                <w:sz w:val="24"/>
                <w:szCs w:val="24"/>
                <w:highlight w:val="none"/>
                <w:lang w:val="en-US" w:eastAsia="zh-CN"/>
              </w:rPr>
              <w:t>（3）火灾风险防范措施</w:t>
            </w:r>
          </w:p>
          <w:p w14:paraId="2D5A31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b w:val="0"/>
                <w:bCs w:val="0"/>
                <w:color w:val="auto"/>
                <w:sz w:val="24"/>
                <w:szCs w:val="24"/>
                <w:highlight w:val="none"/>
                <w:lang w:val="en-US" w:eastAsia="zh-CN"/>
              </w:rPr>
            </w:pPr>
            <w:r>
              <w:rPr>
                <w:rFonts w:hint="eastAsia"/>
                <w:b w:val="0"/>
                <w:bCs w:val="0"/>
                <w:color w:val="auto"/>
                <w:sz w:val="24"/>
                <w:szCs w:val="24"/>
                <w:highlight w:val="none"/>
                <w:lang w:val="en-US" w:eastAsia="zh-CN"/>
              </w:rPr>
              <w:t>建设单位应规范胶水、表面处理剂等原辅材料的存储，化学品在取料后应立即重新密封容器，储存于阴凉处，远离热源、火源；储存及使用生产区应为禁烟区。车间、原辅料仓库采用混凝土硬化防渗处理。仓库保持通风良好，规划平面布局并设置消防通道。</w:t>
            </w:r>
          </w:p>
          <w:p w14:paraId="49EE37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b w:val="0"/>
                <w:bCs w:val="0"/>
                <w:color w:val="auto"/>
                <w:sz w:val="24"/>
                <w:szCs w:val="24"/>
                <w:highlight w:val="none"/>
                <w:lang w:val="en-US" w:eastAsia="zh-CN"/>
              </w:rPr>
            </w:pPr>
            <w:r>
              <w:rPr>
                <w:rFonts w:hint="eastAsia"/>
                <w:b w:val="0"/>
                <w:bCs w:val="0"/>
                <w:color w:val="auto"/>
                <w:sz w:val="24"/>
                <w:szCs w:val="24"/>
                <w:highlight w:val="none"/>
                <w:lang w:val="en-US" w:eastAsia="zh-CN"/>
              </w:rPr>
              <w:t>（4）废气事故排放风险防范措施</w:t>
            </w:r>
          </w:p>
          <w:p w14:paraId="2A2151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b w:val="0"/>
                <w:bCs w:val="0"/>
                <w:color w:val="auto"/>
                <w:sz w:val="24"/>
                <w:szCs w:val="24"/>
                <w:highlight w:val="none"/>
                <w:lang w:val="en-US" w:eastAsia="zh-CN"/>
              </w:rPr>
            </w:pPr>
            <w:r>
              <w:rPr>
                <w:rFonts w:hint="eastAsia"/>
                <w:b w:val="0"/>
                <w:bCs w:val="0"/>
                <w:color w:val="auto"/>
                <w:sz w:val="24"/>
                <w:szCs w:val="24"/>
                <w:highlight w:val="none"/>
                <w:lang w:val="en-US" w:eastAsia="zh-CN"/>
              </w:rPr>
              <w:t>废气处理设施运行不正常，造成废气排放量增大。项目应加强维护管理，增设应急处理装置。</w:t>
            </w:r>
          </w:p>
          <w:p w14:paraId="671EA7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b w:val="0"/>
                <w:bCs w:val="0"/>
                <w:color w:val="auto"/>
                <w:sz w:val="24"/>
                <w:szCs w:val="24"/>
                <w:highlight w:val="none"/>
                <w:lang w:val="en-US" w:eastAsia="zh-CN"/>
              </w:rPr>
            </w:pPr>
            <w:r>
              <w:rPr>
                <w:rFonts w:hint="eastAsia"/>
                <w:b w:val="0"/>
                <w:bCs w:val="0"/>
                <w:color w:val="auto"/>
                <w:sz w:val="24"/>
                <w:szCs w:val="24"/>
                <w:highlight w:val="none"/>
                <w:lang w:val="en-US" w:eastAsia="zh-CN"/>
              </w:rPr>
              <w:t>A、各生产环节严格执行生产管理的有关规定，加强设备的检修及保养，提高管理人员素质，并设置机器事故应急措施及管理制度，确保设备长期处于良好状态，使设备达到预期的处理效果</w:t>
            </w:r>
          </w:p>
          <w:p w14:paraId="087736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b w:val="0"/>
                <w:bCs w:val="0"/>
                <w:color w:val="auto"/>
                <w:sz w:val="24"/>
                <w:szCs w:val="24"/>
                <w:highlight w:val="none"/>
                <w:lang w:val="en-US" w:eastAsia="zh-CN"/>
              </w:rPr>
            </w:pPr>
            <w:r>
              <w:rPr>
                <w:rFonts w:hint="eastAsia"/>
                <w:b w:val="0"/>
                <w:bCs w:val="0"/>
                <w:color w:val="auto"/>
                <w:sz w:val="24"/>
                <w:szCs w:val="24"/>
                <w:highlight w:val="none"/>
                <w:lang w:val="en-US" w:eastAsia="zh-CN"/>
              </w:rPr>
              <w:t>B、现场作业人员定时记录废气处理状况，如对废气处理设施的循环水系统、抽风机等设备进行点检工作，并派专人巡视，遇不良工作状况立即停止车间相关作业，维修正常后再开始作业，杜绝事故性废气直排，并及时呈报单位主管。待检修完毕再通知生产车间相关工序。</w:t>
            </w:r>
          </w:p>
          <w:p w14:paraId="759DB5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b w:val="0"/>
                <w:bCs w:val="0"/>
                <w:color w:val="auto"/>
                <w:sz w:val="24"/>
                <w:szCs w:val="24"/>
                <w:highlight w:val="none"/>
                <w:lang w:val="en-US" w:eastAsia="zh-CN"/>
              </w:rPr>
            </w:pPr>
            <w:r>
              <w:rPr>
                <w:rFonts w:hint="eastAsia"/>
                <w:b w:val="0"/>
                <w:bCs w:val="0"/>
                <w:color w:val="auto"/>
                <w:sz w:val="24"/>
                <w:szCs w:val="24"/>
                <w:highlight w:val="none"/>
                <w:lang w:val="en-US" w:eastAsia="zh-CN"/>
              </w:rPr>
              <w:t>C、建设单位必须严加管理，杜绝事故排放的事故发生。建议预留足够的强制通风口及设施，车间正常换气的排风口通过风管经预留烟道引至楼顶排放。治理设施等发生故障，应及时维修，如情况严重，应停止生产直至系统运作正常。定期对废气排放口的污染物浓度进行监测，加强环境保护管理。</w:t>
            </w:r>
          </w:p>
          <w:p w14:paraId="172575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b w:val="0"/>
                <w:bCs w:val="0"/>
                <w:color w:val="auto"/>
                <w:sz w:val="24"/>
                <w:szCs w:val="24"/>
                <w:highlight w:val="none"/>
                <w:lang w:val="en-US" w:eastAsia="zh-CN"/>
              </w:rPr>
            </w:pPr>
            <w:r>
              <w:rPr>
                <w:rFonts w:hint="eastAsia"/>
                <w:b w:val="0"/>
                <w:bCs w:val="0"/>
                <w:color w:val="auto"/>
                <w:sz w:val="24"/>
                <w:szCs w:val="24"/>
                <w:highlight w:val="none"/>
                <w:lang w:val="en-US" w:eastAsia="zh-CN"/>
              </w:rPr>
              <w:t>D、废气处理设施中，应设相应的备用设备，主要是风机。</w:t>
            </w:r>
          </w:p>
          <w:p w14:paraId="7095F2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b w:val="0"/>
                <w:bCs w:val="0"/>
                <w:color w:val="auto"/>
                <w:sz w:val="24"/>
                <w:szCs w:val="24"/>
                <w:highlight w:val="none"/>
                <w:lang w:val="en-US" w:eastAsia="zh-CN"/>
              </w:rPr>
            </w:pPr>
            <w:r>
              <w:rPr>
                <w:rFonts w:hint="eastAsia"/>
                <w:b w:val="0"/>
                <w:bCs w:val="0"/>
                <w:color w:val="auto"/>
                <w:sz w:val="24"/>
                <w:szCs w:val="24"/>
                <w:highlight w:val="none"/>
                <w:lang w:val="en-US" w:eastAsia="zh-CN"/>
              </w:rPr>
              <w:t>⑥危险废物泄漏风险防范措施</w:t>
            </w:r>
          </w:p>
          <w:p w14:paraId="68EC2A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b w:val="0"/>
                <w:bCs w:val="0"/>
                <w:color w:val="auto"/>
                <w:sz w:val="24"/>
                <w:szCs w:val="24"/>
                <w:highlight w:val="none"/>
                <w:lang w:val="en-US" w:eastAsia="zh-CN"/>
              </w:rPr>
            </w:pPr>
            <w:r>
              <w:rPr>
                <w:rFonts w:hint="eastAsia"/>
                <w:b w:val="0"/>
                <w:bCs w:val="0"/>
                <w:color w:val="auto"/>
                <w:sz w:val="24"/>
                <w:szCs w:val="24"/>
                <w:highlight w:val="none"/>
                <w:lang w:val="en-US" w:eastAsia="zh-CN"/>
              </w:rPr>
              <w:t>生产过程中会产生部分危险废物，暂存于危险废物暂存间内，有可能发生危险废物的泄漏事故，给周边人员及环境造成重大损害。</w:t>
            </w:r>
          </w:p>
          <w:p w14:paraId="1B603C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b w:val="0"/>
                <w:bCs w:val="0"/>
                <w:color w:val="auto"/>
                <w:sz w:val="24"/>
                <w:szCs w:val="24"/>
                <w:highlight w:val="none"/>
                <w:lang w:val="en-US" w:eastAsia="zh-CN"/>
              </w:rPr>
            </w:pPr>
            <w:r>
              <w:rPr>
                <w:rFonts w:hint="eastAsia"/>
                <w:b w:val="0"/>
                <w:bCs w:val="0"/>
                <w:color w:val="auto"/>
                <w:sz w:val="24"/>
                <w:szCs w:val="24"/>
                <w:highlight w:val="none"/>
                <w:lang w:val="en-US" w:eastAsia="zh-CN"/>
              </w:rPr>
              <w:t>危险废物暂存场所应严格按照《危险废物贮存污染控制标准》(GB18597-2023)及其修改单中的相关规定设计。危险废物临时暂存场所规范性建设要求：</w:t>
            </w:r>
          </w:p>
          <w:p w14:paraId="799825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b w:val="0"/>
                <w:bCs w:val="0"/>
                <w:color w:val="auto"/>
                <w:sz w:val="24"/>
                <w:szCs w:val="24"/>
                <w:highlight w:val="none"/>
                <w:lang w:val="en-US" w:eastAsia="zh-CN"/>
              </w:rPr>
            </w:pPr>
            <w:r>
              <w:rPr>
                <w:rFonts w:hint="eastAsia"/>
                <w:b w:val="0"/>
                <w:bCs w:val="0"/>
                <w:color w:val="auto"/>
                <w:sz w:val="24"/>
                <w:szCs w:val="24"/>
                <w:highlight w:val="none"/>
                <w:lang w:val="en-US" w:eastAsia="zh-CN"/>
              </w:rPr>
              <w:t>A、地面与裙脚要用坚固、防渗的材料建造，建筑材料必须与危险废物相容。</w:t>
            </w:r>
          </w:p>
          <w:p w14:paraId="066B85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b w:val="0"/>
                <w:bCs w:val="0"/>
                <w:color w:val="auto"/>
                <w:sz w:val="24"/>
                <w:szCs w:val="24"/>
                <w:highlight w:val="none"/>
                <w:lang w:val="en-US" w:eastAsia="zh-CN"/>
              </w:rPr>
            </w:pPr>
            <w:r>
              <w:rPr>
                <w:rFonts w:hint="eastAsia"/>
                <w:b w:val="0"/>
                <w:bCs w:val="0"/>
                <w:color w:val="auto"/>
                <w:sz w:val="24"/>
                <w:szCs w:val="24"/>
                <w:highlight w:val="none"/>
                <w:lang w:val="en-US" w:eastAsia="zh-CN"/>
              </w:rPr>
              <w:t>B、应在易燃、易爆等危险品仓库防护区域以外。</w:t>
            </w:r>
          </w:p>
          <w:p w14:paraId="199017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b w:val="0"/>
                <w:bCs w:val="0"/>
                <w:color w:val="auto"/>
                <w:sz w:val="24"/>
                <w:szCs w:val="24"/>
                <w:highlight w:val="none"/>
                <w:lang w:val="en-US" w:eastAsia="zh-CN"/>
              </w:rPr>
            </w:pPr>
            <w:r>
              <w:rPr>
                <w:rFonts w:hint="eastAsia"/>
                <w:b w:val="0"/>
                <w:bCs w:val="0"/>
                <w:color w:val="auto"/>
                <w:sz w:val="24"/>
                <w:szCs w:val="24"/>
                <w:highlight w:val="none"/>
                <w:lang w:val="en-US" w:eastAsia="zh-CN"/>
              </w:rPr>
              <w:t>C、设施内要有安全照明设施和观察窗口。</w:t>
            </w:r>
          </w:p>
          <w:p w14:paraId="7D511B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b w:val="0"/>
                <w:bCs w:val="0"/>
                <w:color w:val="auto"/>
                <w:sz w:val="24"/>
                <w:szCs w:val="24"/>
                <w:highlight w:val="none"/>
                <w:lang w:val="en-US" w:eastAsia="zh-CN"/>
              </w:rPr>
            </w:pPr>
            <w:r>
              <w:rPr>
                <w:rFonts w:hint="eastAsia"/>
                <w:b w:val="0"/>
                <w:bCs w:val="0"/>
                <w:color w:val="auto"/>
                <w:sz w:val="24"/>
                <w:szCs w:val="24"/>
                <w:highlight w:val="none"/>
                <w:lang w:val="en-US" w:eastAsia="zh-CN"/>
              </w:rPr>
              <w:t>D、用以存放危险废物容器的地方，必须有耐腐蚀的硬化地面，且表面无裂隙。</w:t>
            </w:r>
          </w:p>
          <w:p w14:paraId="721871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b w:val="0"/>
                <w:bCs w:val="0"/>
                <w:color w:val="auto"/>
                <w:sz w:val="24"/>
                <w:szCs w:val="24"/>
                <w:highlight w:val="none"/>
                <w:lang w:val="en-US" w:eastAsia="zh-CN"/>
              </w:rPr>
            </w:pPr>
            <w:r>
              <w:rPr>
                <w:rFonts w:hint="eastAsia"/>
                <w:b w:val="0"/>
                <w:bCs w:val="0"/>
                <w:color w:val="auto"/>
                <w:sz w:val="24"/>
                <w:szCs w:val="24"/>
                <w:highlight w:val="none"/>
                <w:lang w:val="en-US" w:eastAsia="zh-CN"/>
              </w:rPr>
              <w:t>E、基础必须防渗，防渗要求：等效黏土防渗层Mb≥6.0m，K≤1.0×10</w:t>
            </w:r>
            <w:r>
              <w:rPr>
                <w:rFonts w:hint="eastAsia"/>
                <w:b w:val="0"/>
                <w:bCs w:val="0"/>
                <w:color w:val="auto"/>
                <w:sz w:val="24"/>
                <w:szCs w:val="24"/>
                <w:highlight w:val="none"/>
                <w:vertAlign w:val="superscript"/>
                <w:lang w:val="en-US" w:eastAsia="zh-CN"/>
              </w:rPr>
              <w:t>-7</w:t>
            </w:r>
            <w:r>
              <w:rPr>
                <w:rFonts w:hint="eastAsia"/>
                <w:b w:val="0"/>
                <w:bCs w:val="0"/>
                <w:color w:val="auto"/>
                <w:sz w:val="24"/>
                <w:szCs w:val="24"/>
                <w:highlight w:val="none"/>
                <w:lang w:val="en-US" w:eastAsia="zh-CN"/>
              </w:rPr>
              <w:t>cm/s，以防止生产中跑、冒、滴、漏以及各种构筑物渗漏对区域地下水造成污染。</w:t>
            </w:r>
          </w:p>
          <w:p w14:paraId="2B1C80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b w:val="0"/>
                <w:bCs w:val="0"/>
                <w:color w:val="auto"/>
                <w:sz w:val="24"/>
                <w:szCs w:val="24"/>
                <w:highlight w:val="none"/>
                <w:lang w:val="en-US" w:eastAsia="zh-CN"/>
              </w:rPr>
            </w:pPr>
            <w:r>
              <w:rPr>
                <w:rFonts w:hint="eastAsia"/>
                <w:b w:val="0"/>
                <w:bCs w:val="0"/>
                <w:color w:val="auto"/>
                <w:sz w:val="24"/>
                <w:szCs w:val="24"/>
                <w:highlight w:val="none"/>
                <w:lang w:val="en-US" w:eastAsia="zh-CN"/>
              </w:rPr>
              <w:t>F、危险废物堆要防风、防雨、防晒。</w:t>
            </w:r>
          </w:p>
          <w:p w14:paraId="78B7A4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b w:val="0"/>
                <w:bCs w:val="0"/>
                <w:color w:val="auto"/>
                <w:sz w:val="24"/>
                <w:szCs w:val="24"/>
                <w:highlight w:val="none"/>
                <w:lang w:val="en-US" w:eastAsia="zh-CN"/>
              </w:rPr>
            </w:pPr>
            <w:r>
              <w:rPr>
                <w:rFonts w:hint="eastAsia"/>
                <w:b w:val="0"/>
                <w:bCs w:val="0"/>
                <w:color w:val="auto"/>
                <w:sz w:val="24"/>
                <w:szCs w:val="24"/>
                <w:highlight w:val="none"/>
                <w:lang w:val="en-US" w:eastAsia="zh-CN"/>
              </w:rPr>
              <w:t>（5）环境风险评价结论</w:t>
            </w:r>
          </w:p>
          <w:p w14:paraId="35D78C5B">
            <w:pPr>
              <w:pStyle w:val="109"/>
              <w:keepNext w:val="0"/>
              <w:keepLines w:val="0"/>
              <w:suppressLineNumbers w:val="0"/>
              <w:spacing w:before="0" w:beforeAutospacing="0" w:after="0" w:afterAutospacing="0"/>
              <w:ind w:left="0" w:right="0" w:firstLine="480"/>
              <w:rPr>
                <w:rFonts w:hint="default"/>
                <w:color w:val="auto"/>
              </w:rPr>
            </w:pPr>
            <w:r>
              <w:rPr>
                <w:rFonts w:hint="default"/>
                <w:color w:val="auto"/>
              </w:rPr>
              <w:t>表4-</w:t>
            </w:r>
            <w:r>
              <w:rPr>
                <w:rFonts w:hint="eastAsia"/>
                <w:color w:val="auto"/>
                <w:lang w:val="en-US" w:eastAsia="zh-CN"/>
              </w:rPr>
              <w:t>19</w:t>
            </w:r>
            <w:r>
              <w:rPr>
                <w:rFonts w:hint="default"/>
                <w:color w:val="auto"/>
              </w:rPr>
              <w:t xml:space="preserve"> 建设项目环境风险简单分析内容表</w:t>
            </w:r>
          </w:p>
          <w:tbl>
            <w:tblPr>
              <w:tblStyle w:val="26"/>
              <w:tblW w:w="5000" w:type="pct"/>
              <w:jc w:val="center"/>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Layout w:type="autofit"/>
              <w:tblCellMar>
                <w:top w:w="0" w:type="dxa"/>
                <w:left w:w="108" w:type="dxa"/>
                <w:bottom w:w="0" w:type="dxa"/>
                <w:right w:w="108" w:type="dxa"/>
              </w:tblCellMar>
            </w:tblPr>
            <w:tblGrid>
              <w:gridCol w:w="1846"/>
              <w:gridCol w:w="968"/>
              <w:gridCol w:w="2496"/>
              <w:gridCol w:w="779"/>
              <w:gridCol w:w="2359"/>
            </w:tblGrid>
            <w:tr w14:paraId="2896DA85">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326" w:hRule="atLeast"/>
                <w:jc w:val="center"/>
              </w:trPr>
              <w:tc>
                <w:tcPr>
                  <w:tcW w:w="1093" w:type="pct"/>
                  <w:noWrap w:val="0"/>
                  <w:vAlign w:val="center"/>
                </w:tcPr>
                <w:p w14:paraId="04E54030">
                  <w:pPr>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r>
                    <w:rPr>
                      <w:rFonts w:hint="default"/>
                      <w:color w:val="auto"/>
                      <w:sz w:val="21"/>
                      <w:szCs w:val="21"/>
                    </w:rPr>
                    <w:t>建设项目名称</w:t>
                  </w:r>
                </w:p>
              </w:tc>
              <w:tc>
                <w:tcPr>
                  <w:tcW w:w="3907" w:type="pct"/>
                  <w:gridSpan w:val="4"/>
                  <w:noWrap w:val="0"/>
                  <w:vAlign w:val="center"/>
                </w:tcPr>
                <w:p w14:paraId="6825157B">
                  <w:pPr>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r>
                    <w:rPr>
                      <w:rFonts w:hint="default"/>
                      <w:color w:val="auto"/>
                      <w:sz w:val="21"/>
                      <w:szCs w:val="21"/>
                      <w:lang w:val="en-US" w:eastAsia="zh-CN"/>
                    </w:rPr>
                    <w:t>江西红鲤鱼鞋业有限公司年产280万双休闲鞋项目</w:t>
                  </w:r>
                </w:p>
              </w:tc>
            </w:tr>
            <w:tr w14:paraId="730F942C">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299" w:hRule="atLeast"/>
                <w:jc w:val="center"/>
              </w:trPr>
              <w:tc>
                <w:tcPr>
                  <w:tcW w:w="1093" w:type="pct"/>
                  <w:noWrap w:val="0"/>
                  <w:vAlign w:val="center"/>
                </w:tcPr>
                <w:p w14:paraId="02DACD18">
                  <w:pPr>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r>
                    <w:rPr>
                      <w:rFonts w:hint="default"/>
                      <w:color w:val="auto"/>
                      <w:sz w:val="21"/>
                      <w:szCs w:val="21"/>
                    </w:rPr>
                    <w:t>建设地点</w:t>
                  </w:r>
                </w:p>
              </w:tc>
              <w:tc>
                <w:tcPr>
                  <w:tcW w:w="3907" w:type="pct"/>
                  <w:gridSpan w:val="4"/>
                  <w:noWrap w:val="0"/>
                  <w:vAlign w:val="center"/>
                </w:tcPr>
                <w:p w14:paraId="5AEC7D87">
                  <w:pPr>
                    <w:keepNext w:val="0"/>
                    <w:keepLines w:val="0"/>
                    <w:suppressLineNumbers w:val="0"/>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lang w:val="en-US" w:eastAsia="zh-CN"/>
                    </w:rPr>
                    <w:t>江西省景德镇市乐平市金山工业园</w:t>
                  </w:r>
                </w:p>
              </w:tc>
            </w:tr>
            <w:tr w14:paraId="093FDB02">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507" w:hRule="atLeast"/>
                <w:jc w:val="center"/>
              </w:trPr>
              <w:tc>
                <w:tcPr>
                  <w:tcW w:w="1093" w:type="pct"/>
                  <w:noWrap w:val="0"/>
                  <w:vAlign w:val="center"/>
                </w:tcPr>
                <w:p w14:paraId="701965F9">
                  <w:pPr>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r>
                    <w:rPr>
                      <w:rFonts w:hint="default"/>
                      <w:color w:val="auto"/>
                      <w:sz w:val="21"/>
                      <w:szCs w:val="21"/>
                    </w:rPr>
                    <w:t>地理坐标</w:t>
                  </w:r>
                </w:p>
              </w:tc>
              <w:tc>
                <w:tcPr>
                  <w:tcW w:w="573" w:type="pct"/>
                  <w:noWrap w:val="0"/>
                  <w:vAlign w:val="center"/>
                </w:tcPr>
                <w:p w14:paraId="6D3D7044">
                  <w:pPr>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r>
                    <w:rPr>
                      <w:rFonts w:hint="default"/>
                      <w:color w:val="auto"/>
                      <w:sz w:val="21"/>
                      <w:szCs w:val="21"/>
                    </w:rPr>
                    <w:t>经度</w:t>
                  </w:r>
                </w:p>
              </w:tc>
              <w:tc>
                <w:tcPr>
                  <w:tcW w:w="1477" w:type="pct"/>
                  <w:noWrap w:val="0"/>
                  <w:vAlign w:val="center"/>
                </w:tcPr>
                <w:p w14:paraId="6AAF59C6">
                  <w:pPr>
                    <w:keepNext w:val="0"/>
                    <w:keepLines w:val="0"/>
                    <w:suppressLineNumbers w:val="0"/>
                    <w:spacing w:before="0" w:beforeAutospacing="0" w:after="0" w:afterAutospacing="0" w:line="240" w:lineRule="auto"/>
                    <w:ind w:left="0" w:right="0" w:firstLine="0" w:firstLineChars="0"/>
                    <w:jc w:val="center"/>
                    <w:rPr>
                      <w:rFonts w:hint="eastAsia"/>
                      <w:color w:val="auto"/>
                      <w:sz w:val="21"/>
                      <w:szCs w:val="21"/>
                    </w:rPr>
                  </w:pPr>
                  <w:r>
                    <w:rPr>
                      <w:rFonts w:hint="default" w:ascii="Times New Roman" w:hAnsi="Times New Roman" w:cs="Times New Roman"/>
                      <w:color w:val="auto"/>
                      <w:sz w:val="21"/>
                      <w:szCs w:val="21"/>
                      <w:highlight w:val="none"/>
                      <w:lang w:val="en-US" w:eastAsia="zh-CN"/>
                    </w:rPr>
                    <w:t>117°9′29.</w:t>
                  </w:r>
                  <w:r>
                    <w:rPr>
                      <w:rFonts w:hint="eastAsia" w:cs="Times New Roman"/>
                      <w:color w:val="auto"/>
                      <w:sz w:val="21"/>
                      <w:szCs w:val="21"/>
                      <w:highlight w:val="none"/>
                      <w:lang w:val="en-US" w:eastAsia="zh-CN"/>
                    </w:rPr>
                    <w:t>243</w:t>
                  </w:r>
                  <w:r>
                    <w:rPr>
                      <w:rFonts w:hint="default" w:ascii="Times New Roman" w:hAnsi="Times New Roman" w:cs="Times New Roman"/>
                      <w:color w:val="auto"/>
                      <w:sz w:val="21"/>
                      <w:szCs w:val="21"/>
                      <w:highlight w:val="none"/>
                      <w:lang w:val="en-US" w:eastAsia="zh-CN"/>
                    </w:rPr>
                    <w:t>″</w:t>
                  </w:r>
                </w:p>
              </w:tc>
              <w:tc>
                <w:tcPr>
                  <w:tcW w:w="461" w:type="pct"/>
                  <w:noWrap w:val="0"/>
                  <w:vAlign w:val="center"/>
                </w:tcPr>
                <w:p w14:paraId="11C1DB9E">
                  <w:pPr>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r>
                    <w:rPr>
                      <w:rFonts w:hint="default"/>
                      <w:color w:val="auto"/>
                      <w:sz w:val="21"/>
                      <w:szCs w:val="21"/>
                    </w:rPr>
                    <w:t>纬度</w:t>
                  </w:r>
                </w:p>
              </w:tc>
              <w:tc>
                <w:tcPr>
                  <w:tcW w:w="1395" w:type="pct"/>
                  <w:noWrap w:val="0"/>
                  <w:vAlign w:val="center"/>
                </w:tcPr>
                <w:p w14:paraId="1B8D9072">
                  <w:pPr>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r>
                    <w:rPr>
                      <w:rFonts w:hint="default" w:ascii="Times New Roman" w:hAnsi="Times New Roman" w:cs="Times New Roman"/>
                      <w:color w:val="auto"/>
                      <w:sz w:val="21"/>
                      <w:szCs w:val="21"/>
                      <w:highlight w:val="none"/>
                      <w:lang w:val="en-US" w:eastAsia="zh-CN"/>
                    </w:rPr>
                    <w:t>29°0′26.751″</w:t>
                  </w:r>
                </w:p>
              </w:tc>
            </w:tr>
            <w:tr w14:paraId="33C9EA65">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507" w:hRule="atLeast"/>
                <w:jc w:val="center"/>
              </w:trPr>
              <w:tc>
                <w:tcPr>
                  <w:tcW w:w="1093" w:type="pct"/>
                  <w:noWrap w:val="0"/>
                  <w:vAlign w:val="center"/>
                </w:tcPr>
                <w:p w14:paraId="691570D8">
                  <w:pPr>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r>
                    <w:rPr>
                      <w:rFonts w:hint="default"/>
                      <w:color w:val="auto"/>
                      <w:sz w:val="21"/>
                      <w:szCs w:val="21"/>
                    </w:rPr>
                    <w:t>主要危险物质及分布</w:t>
                  </w:r>
                </w:p>
              </w:tc>
              <w:tc>
                <w:tcPr>
                  <w:tcW w:w="3907" w:type="pct"/>
                  <w:gridSpan w:val="4"/>
                  <w:noWrap w:val="0"/>
                  <w:vAlign w:val="center"/>
                </w:tcPr>
                <w:p w14:paraId="2AFED256">
                  <w:pPr>
                    <w:keepNext w:val="0"/>
                    <w:keepLines w:val="0"/>
                    <w:suppressLineNumbers w:val="0"/>
                    <w:spacing w:before="0" w:beforeAutospacing="0" w:after="0" w:afterAutospacing="0" w:line="240" w:lineRule="auto"/>
                    <w:ind w:left="0" w:right="0" w:firstLine="0" w:firstLineChars="0"/>
                    <w:rPr>
                      <w:rFonts w:hint="default"/>
                      <w:color w:val="auto"/>
                      <w:sz w:val="21"/>
                      <w:szCs w:val="21"/>
                    </w:rPr>
                  </w:pPr>
                  <w:r>
                    <w:rPr>
                      <w:rFonts w:hint="default"/>
                      <w:color w:val="auto"/>
                      <w:sz w:val="21"/>
                      <w:szCs w:val="21"/>
                    </w:rPr>
                    <w:t>主要危险物质为</w:t>
                  </w:r>
                  <w:r>
                    <w:rPr>
                      <w:rFonts w:hint="eastAsia"/>
                      <w:color w:val="auto"/>
                      <w:sz w:val="21"/>
                      <w:szCs w:val="21"/>
                    </w:rPr>
                    <w:t>PU胶、表面处理剂</w:t>
                  </w:r>
                  <w:r>
                    <w:rPr>
                      <w:rFonts w:hint="eastAsia"/>
                      <w:color w:val="auto"/>
                      <w:sz w:val="21"/>
                      <w:szCs w:val="21"/>
                      <w:lang w:eastAsia="zh-CN"/>
                    </w:rPr>
                    <w:t>，</w:t>
                  </w:r>
                  <w:r>
                    <w:rPr>
                      <w:rFonts w:hint="eastAsia"/>
                      <w:color w:val="auto"/>
                      <w:sz w:val="21"/>
                      <w:szCs w:val="21"/>
                      <w:lang w:val="en-US" w:eastAsia="zh-CN"/>
                    </w:rPr>
                    <w:t>改性MDI等</w:t>
                  </w:r>
                  <w:r>
                    <w:rPr>
                      <w:rFonts w:hint="default"/>
                      <w:color w:val="auto"/>
                      <w:sz w:val="21"/>
                      <w:szCs w:val="21"/>
                    </w:rPr>
                    <w:t>，</w:t>
                  </w:r>
                  <w:r>
                    <w:rPr>
                      <w:rFonts w:hint="eastAsia"/>
                      <w:color w:val="auto"/>
                      <w:sz w:val="21"/>
                      <w:szCs w:val="21"/>
                    </w:rPr>
                    <w:t>分别</w:t>
                  </w:r>
                  <w:r>
                    <w:rPr>
                      <w:rFonts w:hint="default"/>
                      <w:color w:val="auto"/>
                      <w:sz w:val="21"/>
                      <w:szCs w:val="21"/>
                    </w:rPr>
                    <w:t>存</w:t>
                  </w:r>
                  <w:r>
                    <w:rPr>
                      <w:rFonts w:hint="eastAsia"/>
                      <w:color w:val="auto"/>
                      <w:sz w:val="21"/>
                      <w:szCs w:val="21"/>
                      <w:lang w:eastAsia="zh-CN"/>
                    </w:rPr>
                    <w:t>储在</w:t>
                  </w:r>
                  <w:r>
                    <w:rPr>
                      <w:rFonts w:hint="eastAsia"/>
                      <w:color w:val="auto"/>
                      <w:sz w:val="21"/>
                      <w:szCs w:val="21"/>
                    </w:rPr>
                    <w:t>化学品仓库和</w:t>
                  </w:r>
                  <w:r>
                    <w:rPr>
                      <w:rFonts w:hint="default"/>
                      <w:color w:val="auto"/>
                      <w:sz w:val="21"/>
                      <w:szCs w:val="21"/>
                    </w:rPr>
                    <w:t>危废暂存间内。</w:t>
                  </w:r>
                </w:p>
              </w:tc>
            </w:tr>
            <w:tr w14:paraId="75E182D8">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1022" w:hRule="atLeast"/>
                <w:jc w:val="center"/>
              </w:trPr>
              <w:tc>
                <w:tcPr>
                  <w:tcW w:w="1093" w:type="pct"/>
                  <w:noWrap w:val="0"/>
                  <w:vAlign w:val="center"/>
                </w:tcPr>
                <w:p w14:paraId="79DF53C4">
                  <w:pPr>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r>
                    <w:rPr>
                      <w:rFonts w:hint="default"/>
                      <w:color w:val="auto"/>
                      <w:sz w:val="21"/>
                      <w:szCs w:val="21"/>
                    </w:rPr>
                    <w:t>环境影响途径及危害后果</w:t>
                  </w:r>
                </w:p>
              </w:tc>
              <w:tc>
                <w:tcPr>
                  <w:tcW w:w="3907" w:type="pct"/>
                  <w:gridSpan w:val="4"/>
                  <w:noWrap w:val="0"/>
                  <w:vAlign w:val="center"/>
                </w:tcPr>
                <w:p w14:paraId="57CAC89D">
                  <w:pPr>
                    <w:keepNext w:val="0"/>
                    <w:keepLines w:val="0"/>
                    <w:suppressLineNumbers w:val="0"/>
                    <w:spacing w:before="0" w:beforeAutospacing="0" w:after="0" w:afterAutospacing="0" w:line="240" w:lineRule="auto"/>
                    <w:ind w:left="0" w:right="0" w:firstLine="0" w:firstLineChars="0"/>
                    <w:jc w:val="left"/>
                    <w:rPr>
                      <w:rFonts w:hint="default"/>
                      <w:color w:val="auto"/>
                      <w:sz w:val="21"/>
                      <w:szCs w:val="21"/>
                    </w:rPr>
                  </w:pPr>
                  <w:r>
                    <w:rPr>
                      <w:rFonts w:hint="eastAsia" w:ascii="宋体" w:hAnsi="宋体" w:cs="宋体"/>
                      <w:color w:val="auto"/>
                      <w:sz w:val="21"/>
                      <w:szCs w:val="21"/>
                    </w:rPr>
                    <w:t>①</w:t>
                  </w:r>
                  <w:r>
                    <w:rPr>
                      <w:rFonts w:hint="eastAsia"/>
                      <w:color w:val="auto"/>
                      <w:sz w:val="21"/>
                      <w:szCs w:val="21"/>
                    </w:rPr>
                    <w:t>泄露</w:t>
                  </w:r>
                  <w:r>
                    <w:rPr>
                      <w:rFonts w:hint="default"/>
                      <w:color w:val="auto"/>
                      <w:sz w:val="21"/>
                      <w:szCs w:val="21"/>
                    </w:rPr>
                    <w:t>风险：</w:t>
                  </w:r>
                  <w:r>
                    <w:rPr>
                      <w:rFonts w:hint="eastAsia"/>
                      <w:color w:val="auto"/>
                      <w:sz w:val="21"/>
                      <w:szCs w:val="21"/>
                      <w:lang w:val="en-US" w:eastAsia="zh-CN"/>
                    </w:rPr>
                    <w:t>化学品、</w:t>
                  </w:r>
                  <w:r>
                    <w:rPr>
                      <w:rFonts w:hint="default"/>
                      <w:color w:val="auto"/>
                      <w:sz w:val="21"/>
                      <w:szCs w:val="21"/>
                    </w:rPr>
                    <w:t>危险废物贮存过程可能发生泄漏</w:t>
                  </w:r>
                  <w:r>
                    <w:rPr>
                      <w:rFonts w:hint="eastAsia"/>
                      <w:color w:val="auto"/>
                      <w:sz w:val="21"/>
                      <w:szCs w:val="21"/>
                    </w:rPr>
                    <w:t>对土壤、地下水等环境造成危害。</w:t>
                  </w:r>
                </w:p>
                <w:p w14:paraId="65AE26E5">
                  <w:pPr>
                    <w:keepNext w:val="0"/>
                    <w:keepLines w:val="0"/>
                    <w:suppressLineNumbers w:val="0"/>
                    <w:spacing w:before="0" w:beforeAutospacing="0" w:after="0" w:afterAutospacing="0" w:line="240" w:lineRule="auto"/>
                    <w:ind w:left="0" w:right="0" w:firstLine="0" w:firstLineChars="0"/>
                    <w:jc w:val="left"/>
                    <w:rPr>
                      <w:rFonts w:hint="default"/>
                      <w:color w:val="auto"/>
                      <w:sz w:val="21"/>
                      <w:szCs w:val="21"/>
                    </w:rPr>
                  </w:pPr>
                  <w:r>
                    <w:rPr>
                      <w:rFonts w:hint="eastAsia" w:ascii="宋体" w:hAnsi="宋体" w:cs="宋体"/>
                      <w:color w:val="auto"/>
                      <w:sz w:val="21"/>
                      <w:szCs w:val="21"/>
                    </w:rPr>
                    <w:t>②</w:t>
                  </w:r>
                  <w:r>
                    <w:rPr>
                      <w:rFonts w:hint="default"/>
                      <w:color w:val="auto"/>
                      <w:sz w:val="21"/>
                      <w:szCs w:val="21"/>
                    </w:rPr>
                    <w:t>火</w:t>
                  </w:r>
                  <w:r>
                    <w:rPr>
                      <w:rFonts w:hint="eastAsia"/>
                      <w:color w:val="auto"/>
                      <w:sz w:val="21"/>
                      <w:szCs w:val="21"/>
                    </w:rPr>
                    <w:t>炸事故</w:t>
                  </w:r>
                  <w:r>
                    <w:rPr>
                      <w:rFonts w:hint="default"/>
                      <w:color w:val="auto"/>
                      <w:sz w:val="21"/>
                      <w:szCs w:val="21"/>
                    </w:rPr>
                    <w:t>：电力设施老化或遇到火花引起火灾事故。</w:t>
                  </w:r>
                </w:p>
                <w:p w14:paraId="7A16396D">
                  <w:pPr>
                    <w:keepNext w:val="0"/>
                    <w:keepLines w:val="0"/>
                    <w:suppressLineNumbers w:val="0"/>
                    <w:spacing w:before="0" w:beforeAutospacing="0" w:after="0" w:afterAutospacing="0" w:line="240" w:lineRule="auto"/>
                    <w:ind w:left="0" w:right="0" w:firstLine="0" w:firstLineChars="0"/>
                    <w:jc w:val="left"/>
                    <w:rPr>
                      <w:rFonts w:hint="default"/>
                      <w:color w:val="auto"/>
                      <w:sz w:val="21"/>
                      <w:szCs w:val="21"/>
                    </w:rPr>
                  </w:pPr>
                  <w:r>
                    <w:rPr>
                      <w:rFonts w:hint="eastAsia" w:ascii="宋体" w:hAnsi="宋体" w:cs="宋体"/>
                      <w:color w:val="auto"/>
                      <w:sz w:val="21"/>
                      <w:szCs w:val="21"/>
                    </w:rPr>
                    <w:t>③</w:t>
                  </w:r>
                  <w:r>
                    <w:rPr>
                      <w:rFonts w:hint="default"/>
                      <w:color w:val="auto"/>
                      <w:sz w:val="21"/>
                      <w:szCs w:val="21"/>
                    </w:rPr>
                    <w:t>废气处理装置运行故障</w:t>
                  </w:r>
                  <w:r>
                    <w:rPr>
                      <w:rFonts w:hint="eastAsia"/>
                      <w:color w:val="auto"/>
                      <w:sz w:val="21"/>
                      <w:szCs w:val="21"/>
                    </w:rPr>
                    <w:t>，</w:t>
                  </w:r>
                  <w:r>
                    <w:rPr>
                      <w:rFonts w:hint="default"/>
                      <w:color w:val="auto"/>
                      <w:sz w:val="21"/>
                      <w:szCs w:val="21"/>
                    </w:rPr>
                    <w:t>导致废气事故排放；</w:t>
                  </w:r>
                </w:p>
              </w:tc>
            </w:tr>
            <w:tr w14:paraId="70991C76">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567" w:hRule="atLeast"/>
                <w:jc w:val="center"/>
              </w:trPr>
              <w:tc>
                <w:tcPr>
                  <w:tcW w:w="1093" w:type="pct"/>
                  <w:noWrap w:val="0"/>
                  <w:vAlign w:val="center"/>
                </w:tcPr>
                <w:p w14:paraId="376CEF53">
                  <w:pPr>
                    <w:keepNext w:val="0"/>
                    <w:keepLines w:val="0"/>
                    <w:suppressLineNumbers w:val="0"/>
                    <w:spacing w:before="0" w:beforeAutospacing="0" w:after="0" w:afterAutospacing="0" w:line="240" w:lineRule="auto"/>
                    <w:ind w:left="0" w:right="0" w:firstLine="0" w:firstLineChars="0"/>
                    <w:jc w:val="center"/>
                    <w:rPr>
                      <w:rFonts w:hint="default"/>
                      <w:color w:val="auto"/>
                      <w:sz w:val="21"/>
                      <w:szCs w:val="21"/>
                    </w:rPr>
                  </w:pPr>
                  <w:r>
                    <w:rPr>
                      <w:rFonts w:hint="default"/>
                      <w:color w:val="auto"/>
                      <w:sz w:val="21"/>
                      <w:szCs w:val="21"/>
                    </w:rPr>
                    <w:t>防范措施要求</w:t>
                  </w:r>
                </w:p>
              </w:tc>
              <w:tc>
                <w:tcPr>
                  <w:tcW w:w="3907" w:type="pct"/>
                  <w:gridSpan w:val="4"/>
                  <w:noWrap w:val="0"/>
                  <w:vAlign w:val="center"/>
                </w:tcPr>
                <w:p w14:paraId="569E13E3">
                  <w:pPr>
                    <w:keepNext w:val="0"/>
                    <w:keepLines w:val="0"/>
                    <w:suppressLineNumbers w:val="0"/>
                    <w:spacing w:before="0" w:beforeAutospacing="0" w:after="0" w:afterAutospacing="0" w:line="240" w:lineRule="auto"/>
                    <w:ind w:left="0" w:right="0" w:firstLine="0" w:firstLineChars="0"/>
                    <w:jc w:val="left"/>
                    <w:rPr>
                      <w:rFonts w:hint="default"/>
                      <w:color w:val="auto"/>
                      <w:sz w:val="21"/>
                      <w:szCs w:val="21"/>
                    </w:rPr>
                  </w:pPr>
                  <w:r>
                    <w:rPr>
                      <w:rFonts w:hint="default"/>
                      <w:color w:val="auto"/>
                      <w:sz w:val="21"/>
                      <w:szCs w:val="21"/>
                    </w:rPr>
                    <w:t>（1）原料</w:t>
                  </w:r>
                  <w:r>
                    <w:rPr>
                      <w:rFonts w:hint="eastAsia"/>
                      <w:color w:val="auto"/>
                      <w:sz w:val="21"/>
                      <w:szCs w:val="21"/>
                    </w:rPr>
                    <w:t>中的化学品</w:t>
                  </w:r>
                  <w:r>
                    <w:rPr>
                      <w:rFonts w:hint="default"/>
                      <w:color w:val="auto"/>
                      <w:sz w:val="21"/>
                      <w:szCs w:val="21"/>
                    </w:rPr>
                    <w:t>设置专门的</w:t>
                  </w:r>
                  <w:r>
                    <w:rPr>
                      <w:rFonts w:hint="eastAsia"/>
                      <w:color w:val="auto"/>
                      <w:sz w:val="21"/>
                      <w:szCs w:val="21"/>
                    </w:rPr>
                    <w:t>化学品</w:t>
                  </w:r>
                  <w:r>
                    <w:rPr>
                      <w:rFonts w:hint="default"/>
                      <w:color w:val="auto"/>
                      <w:sz w:val="21"/>
                      <w:szCs w:val="21"/>
                    </w:rPr>
                    <w:t>仓库并定期检查，危废设置专门的暂存场所，针对危废类别选用合适的包装容器，危废暂存前需检查包装容器的完整性，同时对危废暂存区域进行定期检查，以便及时发现泄漏事故并进行处理</w:t>
                  </w:r>
                  <w:r>
                    <w:rPr>
                      <w:rFonts w:hint="eastAsia"/>
                      <w:color w:val="auto"/>
                      <w:sz w:val="21"/>
                      <w:szCs w:val="21"/>
                    </w:rPr>
                    <w:t>。</w:t>
                  </w:r>
                </w:p>
                <w:p w14:paraId="76050878">
                  <w:pPr>
                    <w:keepNext w:val="0"/>
                    <w:keepLines w:val="0"/>
                    <w:suppressLineNumbers w:val="0"/>
                    <w:spacing w:before="0" w:beforeAutospacing="0" w:after="0" w:afterAutospacing="0" w:line="240" w:lineRule="auto"/>
                    <w:ind w:left="0" w:right="0" w:firstLine="0" w:firstLineChars="0"/>
                    <w:jc w:val="left"/>
                    <w:rPr>
                      <w:rFonts w:hint="default"/>
                      <w:color w:val="auto"/>
                      <w:sz w:val="21"/>
                      <w:szCs w:val="21"/>
                    </w:rPr>
                  </w:pPr>
                  <w:r>
                    <w:rPr>
                      <w:rFonts w:hint="eastAsia"/>
                      <w:color w:val="auto"/>
                      <w:sz w:val="21"/>
                      <w:szCs w:val="21"/>
                    </w:rPr>
                    <w:t>（2）</w:t>
                  </w:r>
                  <w:r>
                    <w:rPr>
                      <w:rFonts w:hint="default"/>
                      <w:color w:val="auto"/>
                      <w:sz w:val="21"/>
                      <w:szCs w:val="21"/>
                    </w:rPr>
                    <w:t>本项目相关工程防渗措施</w:t>
                  </w:r>
                  <w:r>
                    <w:rPr>
                      <w:rFonts w:hint="eastAsia"/>
                      <w:color w:val="auto"/>
                      <w:sz w:val="21"/>
                      <w:szCs w:val="21"/>
                    </w:rPr>
                    <w:t>需严格</w:t>
                  </w:r>
                  <w:r>
                    <w:rPr>
                      <w:rFonts w:hint="default"/>
                      <w:color w:val="auto"/>
                      <w:sz w:val="21"/>
                      <w:szCs w:val="21"/>
                    </w:rPr>
                    <w:t>按照设计要求进行，采取严格的</w:t>
                  </w:r>
                  <w:r>
                    <w:rPr>
                      <w:rFonts w:hint="eastAsia"/>
                      <w:color w:val="auto"/>
                      <w:sz w:val="21"/>
                      <w:szCs w:val="21"/>
                    </w:rPr>
                    <w:t>分区</w:t>
                  </w:r>
                  <w:r>
                    <w:rPr>
                      <w:rFonts w:hint="default"/>
                      <w:color w:val="auto"/>
                      <w:sz w:val="21"/>
                      <w:szCs w:val="21"/>
                    </w:rPr>
                    <w:t>防渗、防溢流等措施。</w:t>
                  </w:r>
                </w:p>
                <w:p w14:paraId="51407C1B">
                  <w:pPr>
                    <w:keepNext w:val="0"/>
                    <w:keepLines w:val="0"/>
                    <w:suppressLineNumbers w:val="0"/>
                    <w:spacing w:before="0" w:beforeAutospacing="0" w:after="0" w:afterAutospacing="0" w:line="240" w:lineRule="auto"/>
                    <w:ind w:left="0" w:right="0" w:firstLine="0" w:firstLineChars="0"/>
                    <w:jc w:val="left"/>
                    <w:rPr>
                      <w:rFonts w:hint="default"/>
                      <w:color w:val="auto"/>
                      <w:sz w:val="21"/>
                      <w:szCs w:val="21"/>
                    </w:rPr>
                  </w:pPr>
                  <w:r>
                    <w:rPr>
                      <w:rFonts w:hint="eastAsia"/>
                      <w:color w:val="auto"/>
                      <w:sz w:val="21"/>
                      <w:szCs w:val="21"/>
                    </w:rPr>
                    <w:t>（3）生产区设置布置须严格执行国家有关防火防爆的规范、规定，设备之间保证有足够的安全间距，并按要求设置消防通道。</w:t>
                  </w:r>
                </w:p>
                <w:p w14:paraId="4EB7EC72">
                  <w:pPr>
                    <w:keepNext w:val="0"/>
                    <w:keepLines w:val="0"/>
                    <w:suppressLineNumbers w:val="0"/>
                    <w:spacing w:before="0" w:beforeAutospacing="0" w:after="0" w:afterAutospacing="0" w:line="240" w:lineRule="auto"/>
                    <w:ind w:left="0" w:right="0" w:firstLine="0" w:firstLineChars="0"/>
                    <w:jc w:val="left"/>
                    <w:rPr>
                      <w:rFonts w:hint="default"/>
                      <w:color w:val="auto"/>
                      <w:sz w:val="21"/>
                      <w:szCs w:val="21"/>
                    </w:rPr>
                  </w:pPr>
                  <w:r>
                    <w:rPr>
                      <w:rFonts w:hint="eastAsia"/>
                      <w:color w:val="auto"/>
                      <w:sz w:val="21"/>
                      <w:szCs w:val="21"/>
                    </w:rPr>
                    <w:t>（4）加强职工操作技能的培训，建立和严格执行各部门的运行管理制度和操作责任制度，杜绝操作事故隐患。</w:t>
                  </w:r>
                </w:p>
                <w:p w14:paraId="26119594">
                  <w:pPr>
                    <w:keepNext w:val="0"/>
                    <w:keepLines w:val="0"/>
                    <w:suppressLineNumbers w:val="0"/>
                    <w:spacing w:before="0" w:beforeAutospacing="0" w:after="0" w:afterAutospacing="0" w:line="240" w:lineRule="auto"/>
                    <w:ind w:left="0" w:right="0" w:firstLine="0" w:firstLineChars="0"/>
                    <w:jc w:val="left"/>
                    <w:rPr>
                      <w:rFonts w:hint="default"/>
                      <w:color w:val="auto"/>
                      <w:sz w:val="21"/>
                      <w:szCs w:val="21"/>
                    </w:rPr>
                  </w:pPr>
                  <w:r>
                    <w:rPr>
                      <w:rFonts w:hint="default"/>
                      <w:color w:val="auto"/>
                      <w:sz w:val="21"/>
                      <w:szCs w:val="21"/>
                    </w:rPr>
                    <w:t>（</w:t>
                  </w:r>
                  <w:r>
                    <w:rPr>
                      <w:rFonts w:hint="eastAsia"/>
                      <w:color w:val="auto"/>
                      <w:sz w:val="21"/>
                      <w:szCs w:val="21"/>
                    </w:rPr>
                    <w:t>5</w:t>
                  </w:r>
                  <w:r>
                    <w:rPr>
                      <w:rFonts w:hint="default"/>
                      <w:color w:val="auto"/>
                      <w:sz w:val="21"/>
                      <w:szCs w:val="21"/>
                    </w:rPr>
                    <w:t>）尽量采用技术先进和安全可靠的设备</w:t>
                  </w:r>
                  <w:r>
                    <w:rPr>
                      <w:rFonts w:hint="eastAsia"/>
                      <w:color w:val="auto"/>
                      <w:sz w:val="21"/>
                      <w:szCs w:val="21"/>
                      <w:lang w:eastAsia="zh-CN"/>
                    </w:rPr>
                    <w:t>，对</w:t>
                  </w:r>
                  <w:r>
                    <w:rPr>
                      <w:rFonts w:hint="default"/>
                      <w:color w:val="auto"/>
                      <w:sz w:val="21"/>
                      <w:szCs w:val="21"/>
                    </w:rPr>
                    <w:t>生产设备、电线线路等进行日常检修和维护。</w:t>
                  </w:r>
                </w:p>
                <w:p w14:paraId="11DEE36E">
                  <w:pPr>
                    <w:keepNext w:val="0"/>
                    <w:keepLines w:val="0"/>
                    <w:suppressLineNumbers w:val="0"/>
                    <w:spacing w:before="0" w:beforeAutospacing="0" w:after="0" w:afterAutospacing="0" w:line="240" w:lineRule="auto"/>
                    <w:ind w:left="0" w:right="0" w:firstLine="0" w:firstLineChars="0"/>
                    <w:jc w:val="left"/>
                    <w:rPr>
                      <w:rFonts w:hint="default"/>
                      <w:color w:val="auto"/>
                      <w:sz w:val="21"/>
                      <w:szCs w:val="21"/>
                    </w:rPr>
                  </w:pPr>
                  <w:r>
                    <w:rPr>
                      <w:rFonts w:hint="default"/>
                      <w:color w:val="auto"/>
                      <w:sz w:val="21"/>
                      <w:szCs w:val="21"/>
                    </w:rPr>
                    <w:t>（</w:t>
                  </w:r>
                  <w:r>
                    <w:rPr>
                      <w:rFonts w:hint="eastAsia"/>
                      <w:color w:val="auto"/>
                      <w:sz w:val="21"/>
                      <w:szCs w:val="21"/>
                    </w:rPr>
                    <w:t>6</w:t>
                  </w:r>
                  <w:r>
                    <w:rPr>
                      <w:rFonts w:hint="default"/>
                      <w:color w:val="auto"/>
                      <w:sz w:val="21"/>
                      <w:szCs w:val="21"/>
                    </w:rPr>
                    <w:t>）明示各种警示标牌，加强</w:t>
                  </w:r>
                  <w:r>
                    <w:rPr>
                      <w:rFonts w:hint="eastAsia"/>
                      <w:color w:val="auto"/>
                      <w:sz w:val="21"/>
                      <w:szCs w:val="21"/>
                    </w:rPr>
                    <w:t>厂区</w:t>
                  </w:r>
                  <w:r>
                    <w:rPr>
                      <w:rFonts w:hint="default"/>
                      <w:color w:val="auto"/>
                      <w:sz w:val="21"/>
                      <w:szCs w:val="21"/>
                    </w:rPr>
                    <w:t>的内外巡视及管理，严格交接班制度。严禁烟火，切实做好防火、防爆工作配备齐全灭火器材。</w:t>
                  </w:r>
                </w:p>
              </w:tc>
            </w:tr>
            <w:tr w14:paraId="2F8DAD08">
              <w:tblPrEx>
                <w:tblBorders>
                  <w:top w:val="single" w:color="auto" w:sz="8" w:space="0"/>
                  <w:left w:val="single" w:color="auto" w:sz="8" w:space="0"/>
                  <w:bottom w:val="single" w:color="auto" w:sz="8" w:space="0"/>
                  <w:right w:val="single" w:color="auto" w:sz="8" w:space="0"/>
                  <w:insideH w:val="single" w:color="auto" w:sz="2" w:space="0"/>
                  <w:insideV w:val="single" w:color="auto" w:sz="2" w:space="0"/>
                </w:tblBorders>
                <w:tblCellMar>
                  <w:top w:w="0" w:type="dxa"/>
                  <w:left w:w="108" w:type="dxa"/>
                  <w:bottom w:w="0" w:type="dxa"/>
                  <w:right w:w="108" w:type="dxa"/>
                </w:tblCellMar>
              </w:tblPrEx>
              <w:trPr>
                <w:trHeight w:val="758" w:hRule="atLeast"/>
                <w:jc w:val="center"/>
              </w:trPr>
              <w:tc>
                <w:tcPr>
                  <w:tcW w:w="5000" w:type="pct"/>
                  <w:gridSpan w:val="5"/>
                  <w:noWrap w:val="0"/>
                  <w:vAlign w:val="center"/>
                </w:tcPr>
                <w:p w14:paraId="27653F53">
                  <w:pPr>
                    <w:pStyle w:val="112"/>
                    <w:keepNext w:val="0"/>
                    <w:keepLines w:val="0"/>
                    <w:suppressLineNumbers w:val="0"/>
                    <w:spacing w:before="0" w:beforeAutospacing="0" w:after="0" w:afterAutospacing="0"/>
                    <w:ind w:left="0" w:right="0"/>
                    <w:jc w:val="both"/>
                    <w:rPr>
                      <w:rFonts w:hint="default"/>
                      <w:color w:val="auto"/>
                    </w:rPr>
                  </w:pPr>
                  <w:r>
                    <w:rPr>
                      <w:rFonts w:hint="default"/>
                      <w:color w:val="auto"/>
                    </w:rPr>
                    <w:t>填表说明（列出项目相关信息及评价说明）：</w:t>
                  </w:r>
                </w:p>
                <w:p w14:paraId="50AFED7E">
                  <w:pPr>
                    <w:pStyle w:val="112"/>
                    <w:keepNext w:val="0"/>
                    <w:keepLines w:val="0"/>
                    <w:suppressLineNumbers w:val="0"/>
                    <w:spacing w:before="0" w:beforeAutospacing="0" w:after="0" w:afterAutospacing="0"/>
                    <w:ind w:left="0" w:right="0"/>
                    <w:jc w:val="both"/>
                    <w:rPr>
                      <w:rFonts w:hint="default"/>
                      <w:color w:val="auto"/>
                    </w:rPr>
                  </w:pPr>
                  <w:r>
                    <w:rPr>
                      <w:rFonts w:hint="default"/>
                      <w:color w:val="auto"/>
                    </w:rPr>
                    <w:t>项目环境风险潜势为</w:t>
                  </w:r>
                  <w:r>
                    <w:rPr>
                      <w:rFonts w:hint="default"/>
                      <w:color w:val="auto"/>
                    </w:rPr>
                    <w:fldChar w:fldCharType="begin"/>
                  </w:r>
                  <w:r>
                    <w:rPr>
                      <w:rFonts w:hint="default"/>
                      <w:color w:val="auto"/>
                    </w:rPr>
                    <w:instrText xml:space="preserve"> = 1 \* ROMAN \* MERGEFORMAT </w:instrText>
                  </w:r>
                  <w:r>
                    <w:rPr>
                      <w:rFonts w:hint="default"/>
                      <w:color w:val="auto"/>
                    </w:rPr>
                    <w:fldChar w:fldCharType="separate"/>
                  </w:r>
                  <w:r>
                    <w:rPr>
                      <w:rFonts w:hint="default"/>
                      <w:color w:val="auto"/>
                    </w:rPr>
                    <w:t>I</w:t>
                  </w:r>
                  <w:r>
                    <w:rPr>
                      <w:rFonts w:hint="default"/>
                      <w:color w:val="auto"/>
                    </w:rPr>
                    <w:fldChar w:fldCharType="end"/>
                  </w:r>
                  <w:r>
                    <w:rPr>
                      <w:rFonts w:hint="default"/>
                      <w:color w:val="auto"/>
                    </w:rPr>
                    <w:t>，评价等级属于简单分析，总体上环境风险较小且易于控制。在采取相应的风险防范措施和事故</w:t>
                  </w:r>
                  <w:r>
                    <w:rPr>
                      <w:rFonts w:hint="eastAsia"/>
                      <w:color w:val="auto"/>
                      <w:lang w:eastAsia="zh-CN"/>
                    </w:rPr>
                    <w:t>应急</w:t>
                  </w:r>
                  <w:r>
                    <w:rPr>
                      <w:rFonts w:hint="default"/>
                      <w:color w:val="auto"/>
                    </w:rPr>
                    <w:t>预案后，本项目对周围环境影响较小。</w:t>
                  </w:r>
                </w:p>
              </w:tc>
            </w:tr>
          </w:tbl>
          <w:p w14:paraId="605067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color w:val="auto"/>
                <w:sz w:val="24"/>
                <w:szCs w:val="24"/>
                <w:highlight w:val="none"/>
              </w:rPr>
            </w:pPr>
            <w:r>
              <w:rPr>
                <w:rFonts w:hint="eastAsia" w:ascii="Times New Roman" w:hAnsi="Times New Roman" w:eastAsia="宋体" w:cs="Times New Roman"/>
                <w:color w:val="auto"/>
                <w:sz w:val="24"/>
                <w:szCs w:val="24"/>
                <w:highlight w:val="none"/>
                <w:lang w:val="en-US" w:eastAsia="zh-CN"/>
              </w:rPr>
              <w:t>7</w:t>
            </w:r>
            <w:r>
              <w:rPr>
                <w:rFonts w:hint="default" w:ascii="Times New Roman" w:hAnsi="Times New Roman" w:eastAsia="宋体" w:cs="Times New Roman"/>
                <w:color w:val="auto"/>
                <w:sz w:val="24"/>
                <w:szCs w:val="24"/>
                <w:highlight w:val="none"/>
              </w:rPr>
              <w:t>、环境管理</w:t>
            </w:r>
          </w:p>
          <w:p w14:paraId="7A0515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建设项目环境保护管理是指工程在</w:t>
            </w:r>
            <w:r>
              <w:rPr>
                <w:rFonts w:hint="eastAsia" w:ascii="Times New Roman" w:hAnsi="Times New Roman" w:eastAsia="宋体" w:cs="Times New Roman"/>
                <w:color w:val="auto"/>
                <w:sz w:val="24"/>
                <w:szCs w:val="24"/>
                <w:highlight w:val="none"/>
                <w:lang w:eastAsia="zh-CN"/>
              </w:rPr>
              <w:t>运营</w:t>
            </w:r>
            <w:r>
              <w:rPr>
                <w:rFonts w:hint="default" w:ascii="Times New Roman" w:hAnsi="Times New Roman" w:eastAsia="宋体" w:cs="Times New Roman"/>
                <w:color w:val="auto"/>
                <w:sz w:val="24"/>
                <w:szCs w:val="24"/>
                <w:highlight w:val="none"/>
              </w:rPr>
              <w:t>期执行和遵守国家、省、市有关环境保护</w:t>
            </w:r>
            <w:r>
              <w:rPr>
                <w:rFonts w:hint="eastAsia" w:ascii="Times New Roman" w:hAnsi="Times New Roman" w:eastAsia="宋体" w:cs="Times New Roman"/>
                <w:color w:val="auto"/>
                <w:sz w:val="24"/>
                <w:szCs w:val="24"/>
                <w:highlight w:val="none"/>
                <w:lang w:eastAsia="zh-CN"/>
              </w:rPr>
              <w:t>法律法规</w:t>
            </w:r>
            <w:r>
              <w:rPr>
                <w:rFonts w:hint="default" w:ascii="Times New Roman" w:hAnsi="Times New Roman" w:eastAsia="宋体" w:cs="Times New Roman"/>
                <w:color w:val="auto"/>
                <w:sz w:val="24"/>
                <w:szCs w:val="24"/>
                <w:highlight w:val="none"/>
              </w:rPr>
              <w:t>、政策和标准，接受地方生态环境主管部门的环境监督，调整和制定环境保护规划和目标，把不利影响减到最低限度，加强项目环境管理，及时调整工程运行方式和环境保护措施，最终达到保护环境的目的，取得更好的综合环境效益。</w:t>
            </w:r>
          </w:p>
          <w:p w14:paraId="4EB516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color w:val="auto"/>
                <w:sz w:val="24"/>
                <w:szCs w:val="24"/>
                <w:highlight w:val="none"/>
              </w:rPr>
            </w:pPr>
            <w:r>
              <w:rPr>
                <w:rFonts w:hint="eastAsia" w:ascii="Times New Roman" w:eastAsia="宋体"/>
                <w:color w:val="auto"/>
                <w:sz w:val="24"/>
                <w:szCs w:val="24"/>
                <w:highlight w:val="none"/>
                <w:lang w:val="en-US" w:eastAsia="zh-CN"/>
              </w:rPr>
              <w:t>（1）</w:t>
            </w:r>
            <w:r>
              <w:rPr>
                <w:rFonts w:hint="default"/>
                <w:color w:val="auto"/>
                <w:sz w:val="24"/>
                <w:szCs w:val="24"/>
                <w:highlight w:val="none"/>
              </w:rPr>
              <w:t>环境管理机构与人员</w:t>
            </w:r>
          </w:p>
          <w:p w14:paraId="64D48F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color w:val="auto"/>
                <w:sz w:val="24"/>
                <w:szCs w:val="24"/>
                <w:highlight w:val="none"/>
              </w:rPr>
            </w:pPr>
            <w:r>
              <w:rPr>
                <w:rFonts w:hint="default"/>
                <w:color w:val="auto"/>
                <w:sz w:val="24"/>
                <w:szCs w:val="24"/>
                <w:highlight w:val="none"/>
              </w:rPr>
              <w:t>运营期环境管理</w:t>
            </w:r>
            <w:r>
              <w:rPr>
                <w:rFonts w:hint="eastAsia" w:ascii="Times New Roman" w:eastAsia="宋体"/>
                <w:color w:val="auto"/>
                <w:sz w:val="24"/>
                <w:szCs w:val="24"/>
                <w:highlight w:val="none"/>
                <w:lang w:val="en-US" w:eastAsia="zh-CN"/>
              </w:rPr>
              <w:t>主体</w:t>
            </w:r>
            <w:r>
              <w:rPr>
                <w:rFonts w:hint="default"/>
                <w:color w:val="auto"/>
                <w:sz w:val="24"/>
                <w:szCs w:val="24"/>
                <w:highlight w:val="none"/>
              </w:rPr>
              <w:t>为</w:t>
            </w:r>
            <w:r>
              <w:rPr>
                <w:rFonts w:hint="default" w:ascii="Times New Roman" w:hAnsi="Times New Roman" w:eastAsia="宋体" w:cs="Times New Roman"/>
                <w:color w:val="auto"/>
                <w:sz w:val="24"/>
                <w:highlight w:val="none"/>
                <w:lang w:val="en-US" w:eastAsia="zh-CN"/>
              </w:rPr>
              <w:t>江西红鲤鱼鞋业有限公司</w:t>
            </w:r>
            <w:r>
              <w:rPr>
                <w:rFonts w:hint="default"/>
                <w:color w:val="auto"/>
                <w:sz w:val="24"/>
                <w:szCs w:val="24"/>
                <w:highlight w:val="none"/>
              </w:rPr>
              <w:t>，负责具体的环境管理和监测，环境监测可委托有资质的监测单位进行。</w:t>
            </w:r>
          </w:p>
          <w:p w14:paraId="3FBB34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color w:val="auto"/>
                <w:sz w:val="24"/>
                <w:szCs w:val="24"/>
                <w:highlight w:val="none"/>
              </w:rPr>
            </w:pPr>
            <w:r>
              <w:rPr>
                <w:rFonts w:hint="eastAsia" w:ascii="Times New Roman" w:eastAsia="宋体"/>
                <w:color w:val="auto"/>
                <w:sz w:val="24"/>
                <w:szCs w:val="24"/>
                <w:highlight w:val="none"/>
                <w:lang w:val="en-US" w:eastAsia="zh-CN"/>
              </w:rPr>
              <w:t>（2）</w:t>
            </w:r>
            <w:r>
              <w:rPr>
                <w:rFonts w:hint="default"/>
                <w:color w:val="auto"/>
                <w:sz w:val="24"/>
                <w:szCs w:val="24"/>
                <w:highlight w:val="none"/>
              </w:rPr>
              <w:t>环境管理机构职责</w:t>
            </w:r>
          </w:p>
          <w:p w14:paraId="484FA9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color w:val="auto"/>
                <w:sz w:val="24"/>
                <w:szCs w:val="24"/>
                <w:highlight w:val="none"/>
              </w:rPr>
            </w:pPr>
            <w:r>
              <w:rPr>
                <w:rFonts w:hint="default"/>
                <w:color w:val="auto"/>
                <w:sz w:val="24"/>
                <w:szCs w:val="24"/>
                <w:highlight w:val="none"/>
              </w:rPr>
              <w:t>环境管理机构负责项目营运期的环境管理与环境监测工作，主要职责：</w:t>
            </w:r>
          </w:p>
          <w:p w14:paraId="50054D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color w:val="auto"/>
                <w:sz w:val="24"/>
                <w:szCs w:val="24"/>
                <w:highlight w:val="none"/>
              </w:rPr>
            </w:pPr>
            <w:r>
              <w:rPr>
                <w:rFonts w:hint="eastAsia" w:ascii="Times New Roman" w:eastAsia="宋体"/>
                <w:color w:val="auto"/>
                <w:sz w:val="24"/>
                <w:szCs w:val="24"/>
                <w:highlight w:val="none"/>
                <w:lang w:val="en-US" w:eastAsia="zh-CN"/>
              </w:rPr>
              <w:t>1）</w:t>
            </w:r>
            <w:r>
              <w:rPr>
                <w:rFonts w:hint="default"/>
                <w:color w:val="auto"/>
                <w:sz w:val="24"/>
                <w:szCs w:val="24"/>
                <w:highlight w:val="none"/>
              </w:rPr>
              <w:t>编制、提出该项目营运期的短期环境保护计划及长远环境保护规划。</w:t>
            </w:r>
          </w:p>
          <w:p w14:paraId="67AB8E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color w:val="auto"/>
                <w:sz w:val="24"/>
                <w:szCs w:val="24"/>
                <w:highlight w:val="none"/>
              </w:rPr>
            </w:pPr>
            <w:r>
              <w:rPr>
                <w:rFonts w:hint="eastAsia" w:ascii="Times New Roman" w:eastAsia="宋体"/>
                <w:color w:val="auto"/>
                <w:sz w:val="24"/>
                <w:szCs w:val="24"/>
                <w:highlight w:val="none"/>
                <w:lang w:val="en-US" w:eastAsia="zh-CN"/>
              </w:rPr>
              <w:t>2）</w:t>
            </w:r>
            <w:r>
              <w:rPr>
                <w:rFonts w:hint="default"/>
                <w:color w:val="auto"/>
                <w:sz w:val="24"/>
                <w:szCs w:val="24"/>
                <w:highlight w:val="none"/>
              </w:rPr>
              <w:t>贯彻落实国家和地方的环境保护</w:t>
            </w:r>
            <w:r>
              <w:rPr>
                <w:rFonts w:hint="eastAsia"/>
                <w:color w:val="auto"/>
                <w:sz w:val="24"/>
                <w:szCs w:val="24"/>
                <w:highlight w:val="none"/>
                <w:lang w:eastAsia="zh-CN"/>
              </w:rPr>
              <w:t>法律法规</w:t>
            </w:r>
            <w:r>
              <w:rPr>
                <w:rFonts w:hint="default"/>
                <w:color w:val="auto"/>
                <w:sz w:val="24"/>
                <w:szCs w:val="24"/>
                <w:highlight w:val="none"/>
              </w:rPr>
              <w:t>、政策和标准，直接接受生态环境主管部门的监督、领导，配合生态环境主管部门</w:t>
            </w:r>
            <w:r>
              <w:rPr>
                <w:rFonts w:hint="eastAsia" w:eastAsia="宋体"/>
                <w:color w:val="auto"/>
                <w:sz w:val="24"/>
                <w:szCs w:val="24"/>
                <w:highlight w:val="none"/>
                <w:lang w:eastAsia="zh-CN"/>
              </w:rPr>
              <w:t>做好</w:t>
            </w:r>
            <w:r>
              <w:rPr>
                <w:rFonts w:hint="default"/>
                <w:color w:val="auto"/>
                <w:sz w:val="24"/>
                <w:szCs w:val="24"/>
                <w:highlight w:val="none"/>
              </w:rPr>
              <w:t>环保工作。</w:t>
            </w:r>
          </w:p>
          <w:p w14:paraId="6FF50B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color w:val="auto"/>
                <w:sz w:val="24"/>
                <w:szCs w:val="24"/>
                <w:highlight w:val="none"/>
              </w:rPr>
            </w:pPr>
            <w:r>
              <w:rPr>
                <w:rFonts w:hint="eastAsia" w:ascii="Times New Roman" w:eastAsia="宋体"/>
                <w:color w:val="auto"/>
                <w:sz w:val="24"/>
                <w:szCs w:val="24"/>
                <w:highlight w:val="none"/>
                <w:lang w:val="en-US" w:eastAsia="zh-CN"/>
              </w:rPr>
              <w:t>3）</w:t>
            </w:r>
            <w:r>
              <w:rPr>
                <w:rFonts w:hint="default"/>
                <w:color w:val="auto"/>
                <w:sz w:val="24"/>
                <w:szCs w:val="24"/>
                <w:highlight w:val="none"/>
              </w:rPr>
              <w:t>领导并组织环境监测工作，制定和实施监测方案，定期向主管部门及生态环境主管部门上报。</w:t>
            </w:r>
          </w:p>
          <w:p w14:paraId="788550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color w:val="auto"/>
                <w:sz w:val="24"/>
                <w:szCs w:val="24"/>
                <w:highlight w:val="none"/>
              </w:rPr>
            </w:pPr>
            <w:r>
              <w:rPr>
                <w:rFonts w:hint="eastAsia" w:ascii="Times New Roman" w:eastAsia="宋体"/>
                <w:color w:val="auto"/>
                <w:sz w:val="24"/>
                <w:szCs w:val="24"/>
                <w:highlight w:val="none"/>
                <w:lang w:val="en-US" w:eastAsia="zh-CN"/>
              </w:rPr>
              <w:t>4）</w:t>
            </w:r>
            <w:r>
              <w:rPr>
                <w:rFonts w:hint="default"/>
                <w:color w:val="auto"/>
                <w:sz w:val="24"/>
                <w:szCs w:val="24"/>
                <w:highlight w:val="none"/>
              </w:rPr>
              <w:t>监督项目各排污口污染物排放情况，按《环境保护图形标志</w:t>
            </w:r>
            <w:r>
              <w:rPr>
                <w:rFonts w:hint="eastAsia" w:ascii="Times New Roman" w:eastAsia="宋体"/>
                <w:color w:val="auto"/>
                <w:sz w:val="24"/>
                <w:szCs w:val="24"/>
                <w:highlight w:val="none"/>
                <w:lang w:val="en-US" w:eastAsia="zh-CN"/>
              </w:rPr>
              <w:t>-</w:t>
            </w:r>
            <w:r>
              <w:rPr>
                <w:rFonts w:hint="default"/>
                <w:color w:val="auto"/>
                <w:sz w:val="24"/>
                <w:szCs w:val="24"/>
                <w:highlight w:val="none"/>
              </w:rPr>
              <w:t>排放口（源）》（GB15562.1-1995）的图形，在各气、水、声排污口（源）挂牌标识，做到各排污口（源）的环保标志明显，便于企业管理和公众监督，确保污染物达到国家排放标准。</w:t>
            </w:r>
          </w:p>
          <w:p w14:paraId="69AC6E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color w:val="auto"/>
                <w:sz w:val="24"/>
                <w:szCs w:val="24"/>
                <w:highlight w:val="none"/>
              </w:rPr>
            </w:pPr>
            <w:r>
              <w:rPr>
                <w:rFonts w:hint="eastAsia" w:ascii="Times New Roman" w:eastAsia="宋体"/>
                <w:color w:val="auto"/>
                <w:sz w:val="24"/>
                <w:szCs w:val="24"/>
                <w:highlight w:val="none"/>
                <w:lang w:val="en-US" w:eastAsia="zh-CN"/>
              </w:rPr>
              <w:t>（3）</w:t>
            </w:r>
            <w:r>
              <w:rPr>
                <w:rFonts w:hint="default"/>
                <w:color w:val="auto"/>
                <w:sz w:val="24"/>
                <w:szCs w:val="24"/>
                <w:highlight w:val="none"/>
              </w:rPr>
              <w:t>项目运营期的环境保护管理</w:t>
            </w:r>
          </w:p>
          <w:p w14:paraId="3D7F80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color w:val="auto"/>
                <w:sz w:val="24"/>
                <w:szCs w:val="24"/>
                <w:highlight w:val="none"/>
              </w:rPr>
            </w:pPr>
            <w:r>
              <w:rPr>
                <w:rFonts w:hint="eastAsia" w:ascii="Times New Roman" w:eastAsia="宋体"/>
                <w:color w:val="auto"/>
                <w:sz w:val="24"/>
                <w:szCs w:val="24"/>
                <w:highlight w:val="none"/>
                <w:lang w:val="en-US" w:eastAsia="zh-CN"/>
              </w:rPr>
              <w:t>1）</w:t>
            </w:r>
            <w:r>
              <w:rPr>
                <w:rFonts w:hint="default"/>
                <w:color w:val="auto"/>
                <w:sz w:val="24"/>
                <w:szCs w:val="24"/>
                <w:highlight w:val="none"/>
              </w:rPr>
              <w:t>根据国家环保政策、标准及环境监测要求，制定该项目营运期环保管理规章制度、各种污染物排放控制指标；</w:t>
            </w:r>
          </w:p>
          <w:p w14:paraId="562825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color w:val="auto"/>
                <w:sz w:val="24"/>
                <w:szCs w:val="24"/>
                <w:highlight w:val="none"/>
              </w:rPr>
            </w:pPr>
            <w:r>
              <w:rPr>
                <w:rFonts w:hint="eastAsia" w:ascii="Times New Roman" w:eastAsia="宋体"/>
                <w:color w:val="auto"/>
                <w:sz w:val="24"/>
                <w:szCs w:val="24"/>
                <w:highlight w:val="none"/>
                <w:lang w:val="en-US" w:eastAsia="zh-CN"/>
              </w:rPr>
              <w:t>2）</w:t>
            </w:r>
            <w:r>
              <w:rPr>
                <w:rFonts w:hint="default"/>
                <w:color w:val="auto"/>
                <w:sz w:val="24"/>
                <w:szCs w:val="24"/>
                <w:highlight w:val="none"/>
              </w:rPr>
              <w:t>负责该项目内所有环保设施的日常运行管理，保障各环保设施的正常运行，并对环保设施的改进提出积极的建议；</w:t>
            </w:r>
          </w:p>
          <w:p w14:paraId="0E35BD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color w:val="auto"/>
                <w:sz w:val="24"/>
                <w:szCs w:val="24"/>
                <w:highlight w:val="none"/>
              </w:rPr>
            </w:pPr>
            <w:r>
              <w:rPr>
                <w:rFonts w:hint="eastAsia" w:ascii="Times New Roman" w:eastAsia="宋体"/>
                <w:color w:val="auto"/>
                <w:sz w:val="24"/>
                <w:szCs w:val="24"/>
                <w:highlight w:val="none"/>
                <w:lang w:val="en-US" w:eastAsia="zh-CN"/>
              </w:rPr>
              <w:t>3）</w:t>
            </w:r>
            <w:r>
              <w:rPr>
                <w:rFonts w:hint="default"/>
                <w:color w:val="auto"/>
                <w:sz w:val="24"/>
                <w:szCs w:val="24"/>
                <w:highlight w:val="none"/>
              </w:rPr>
              <w:t>负责该项目营运期环境监测工作，及时掌握该项目污染状况，整理监测数据，建立污染源档案；</w:t>
            </w:r>
          </w:p>
          <w:p w14:paraId="67B0D1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color w:val="auto"/>
                <w:sz w:val="24"/>
                <w:szCs w:val="24"/>
                <w:highlight w:val="none"/>
              </w:rPr>
            </w:pPr>
            <w:r>
              <w:rPr>
                <w:rFonts w:hint="eastAsia" w:ascii="Times New Roman" w:eastAsia="宋体"/>
                <w:color w:val="auto"/>
                <w:sz w:val="24"/>
                <w:szCs w:val="24"/>
                <w:highlight w:val="none"/>
                <w:lang w:val="en-US" w:eastAsia="zh-CN"/>
              </w:rPr>
              <w:t>4）</w:t>
            </w:r>
            <w:r>
              <w:rPr>
                <w:rFonts w:hint="default"/>
                <w:color w:val="auto"/>
                <w:sz w:val="24"/>
                <w:szCs w:val="24"/>
                <w:highlight w:val="none"/>
              </w:rPr>
              <w:t>负责对本单位职工和周边居民进行环保宣传工作。</w:t>
            </w:r>
          </w:p>
          <w:p w14:paraId="0114BA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default"/>
                <w:b/>
                <w:bCs/>
                <w:color w:val="auto"/>
                <w:sz w:val="24"/>
                <w:szCs w:val="24"/>
                <w:highlight w:val="none"/>
                <w:lang w:val="en-US" w:eastAsia="zh-CN"/>
              </w:rPr>
            </w:pPr>
            <w:bookmarkStart w:id="23" w:name="_Toc337733282"/>
            <w:bookmarkStart w:id="24" w:name="_Toc6156"/>
            <w:bookmarkStart w:id="25" w:name="_Toc130"/>
            <w:bookmarkStart w:id="26" w:name="_Toc8444"/>
            <w:bookmarkStart w:id="27" w:name="_Toc17979"/>
            <w:bookmarkStart w:id="28" w:name="_Toc655"/>
            <w:bookmarkStart w:id="29" w:name="_Toc15128"/>
            <w:bookmarkStart w:id="30" w:name="_Toc24958"/>
            <w:bookmarkStart w:id="31" w:name="_Toc396723244"/>
            <w:bookmarkStart w:id="32" w:name="_Toc23293"/>
            <w:bookmarkStart w:id="33" w:name="_Toc320797716"/>
            <w:bookmarkStart w:id="34" w:name="_Toc22915"/>
            <w:bookmarkStart w:id="35" w:name="_Toc28728"/>
            <w:r>
              <w:rPr>
                <w:rFonts w:hint="eastAsia"/>
                <w:b/>
                <w:bCs/>
                <w:color w:val="auto"/>
                <w:sz w:val="24"/>
                <w:szCs w:val="24"/>
                <w:highlight w:val="none"/>
                <w:lang w:val="en-US" w:eastAsia="zh-CN"/>
              </w:rPr>
              <w:t>8</w:t>
            </w:r>
            <w:r>
              <w:rPr>
                <w:rFonts w:hint="eastAsia" w:ascii="Times New Roman" w:eastAsia="宋体"/>
                <w:b/>
                <w:bCs/>
                <w:color w:val="auto"/>
                <w:sz w:val="24"/>
                <w:szCs w:val="24"/>
                <w:highlight w:val="none"/>
                <w:lang w:val="en-US" w:eastAsia="zh-CN"/>
              </w:rPr>
              <w:t>、</w:t>
            </w:r>
            <w:r>
              <w:rPr>
                <w:rFonts w:hint="default"/>
                <w:b/>
                <w:bCs/>
                <w:color w:val="auto"/>
                <w:sz w:val="24"/>
                <w:szCs w:val="24"/>
                <w:highlight w:val="none"/>
                <w:lang w:val="en-US" w:eastAsia="zh-CN"/>
              </w:rPr>
              <w:t>排污口规范化要求</w:t>
            </w:r>
            <w:bookmarkEnd w:id="23"/>
            <w:bookmarkEnd w:id="24"/>
            <w:bookmarkEnd w:id="25"/>
            <w:bookmarkEnd w:id="26"/>
            <w:bookmarkEnd w:id="27"/>
            <w:bookmarkEnd w:id="28"/>
            <w:bookmarkEnd w:id="29"/>
            <w:bookmarkEnd w:id="30"/>
            <w:bookmarkEnd w:id="31"/>
            <w:bookmarkEnd w:id="32"/>
            <w:bookmarkEnd w:id="33"/>
            <w:bookmarkEnd w:id="34"/>
            <w:bookmarkEnd w:id="35"/>
          </w:p>
          <w:p w14:paraId="74AF60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color w:val="auto"/>
                <w:sz w:val="24"/>
                <w:szCs w:val="24"/>
                <w:highlight w:val="none"/>
              </w:rPr>
            </w:pPr>
            <w:r>
              <w:rPr>
                <w:rFonts w:hint="default"/>
                <w:color w:val="auto"/>
                <w:sz w:val="24"/>
                <w:szCs w:val="24"/>
                <w:highlight w:val="none"/>
              </w:rPr>
              <w:t>根据国家标准《环境保护图形标志-排放口（源）》和国家环保总局《排污口规范化整治要求（试行）》的技术要求，企业所有排放口，包括水、气、声、固体废物，必须按照</w:t>
            </w:r>
            <w:r>
              <w:rPr>
                <w:rFonts w:hint="eastAsia" w:eastAsia="宋体"/>
                <w:color w:val="auto"/>
                <w:sz w:val="24"/>
                <w:szCs w:val="24"/>
                <w:highlight w:val="none"/>
                <w:lang w:eastAsia="zh-CN"/>
              </w:rPr>
              <w:t>“</w:t>
            </w:r>
            <w:r>
              <w:rPr>
                <w:rFonts w:hint="default"/>
                <w:color w:val="auto"/>
                <w:sz w:val="24"/>
                <w:szCs w:val="24"/>
                <w:highlight w:val="none"/>
              </w:rPr>
              <w:t>便于计量监测、便于日常现场监督检查</w:t>
            </w:r>
            <w:r>
              <w:rPr>
                <w:rFonts w:hint="eastAsia" w:eastAsia="宋体"/>
                <w:color w:val="auto"/>
                <w:sz w:val="24"/>
                <w:szCs w:val="24"/>
                <w:highlight w:val="none"/>
                <w:lang w:eastAsia="zh-CN"/>
              </w:rPr>
              <w:t>”</w:t>
            </w:r>
            <w:r>
              <w:rPr>
                <w:rFonts w:hint="default"/>
                <w:color w:val="auto"/>
                <w:sz w:val="24"/>
                <w:szCs w:val="24"/>
                <w:highlight w:val="none"/>
              </w:rPr>
              <w:t>的原则和规范化要求，设置与之相适应的环境保护图形标志牌，绘制企业排污口分布图，同时对污水排放口安装流量计，对治理设施安装运行监控装置。排污口的规范化要符合</w:t>
            </w:r>
            <w:r>
              <w:rPr>
                <w:rFonts w:hint="eastAsia" w:ascii="Times New Roman" w:eastAsia="宋体"/>
                <w:color w:val="auto"/>
                <w:sz w:val="24"/>
                <w:szCs w:val="24"/>
                <w:highlight w:val="none"/>
                <w:lang w:val="en-US" w:eastAsia="zh-CN"/>
              </w:rPr>
              <w:t>生态环境</w:t>
            </w:r>
            <w:r>
              <w:rPr>
                <w:rFonts w:hint="default"/>
                <w:color w:val="auto"/>
                <w:sz w:val="24"/>
                <w:szCs w:val="24"/>
                <w:highlight w:val="none"/>
              </w:rPr>
              <w:t>部门的有关要求。</w:t>
            </w:r>
          </w:p>
          <w:p w14:paraId="0A4987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color w:val="auto"/>
                <w:sz w:val="24"/>
                <w:szCs w:val="24"/>
                <w:highlight w:val="none"/>
              </w:rPr>
            </w:pPr>
            <w:r>
              <w:rPr>
                <w:rFonts w:hint="eastAsia" w:eastAsia="宋体"/>
                <w:color w:val="auto"/>
                <w:sz w:val="24"/>
                <w:szCs w:val="24"/>
                <w:highlight w:val="none"/>
                <w:lang w:eastAsia="zh-CN"/>
              </w:rPr>
              <w:t>（</w:t>
            </w:r>
            <w:r>
              <w:rPr>
                <w:rFonts w:hint="eastAsia" w:ascii="Times New Roman" w:eastAsia="宋体"/>
                <w:color w:val="auto"/>
                <w:sz w:val="24"/>
                <w:szCs w:val="24"/>
                <w:highlight w:val="none"/>
                <w:lang w:val="en-US" w:eastAsia="zh-CN"/>
              </w:rPr>
              <w:t>1</w:t>
            </w:r>
            <w:r>
              <w:rPr>
                <w:rFonts w:hint="eastAsia" w:eastAsia="宋体"/>
                <w:color w:val="auto"/>
                <w:sz w:val="24"/>
                <w:szCs w:val="24"/>
                <w:highlight w:val="none"/>
                <w:lang w:eastAsia="zh-CN"/>
              </w:rPr>
              <w:t>）</w:t>
            </w:r>
            <w:r>
              <w:rPr>
                <w:rFonts w:hint="default"/>
                <w:color w:val="auto"/>
                <w:sz w:val="24"/>
                <w:szCs w:val="24"/>
                <w:highlight w:val="none"/>
              </w:rPr>
              <w:t>排放口整治要求</w:t>
            </w:r>
          </w:p>
          <w:p w14:paraId="72E656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color w:val="auto"/>
                <w:sz w:val="24"/>
                <w:szCs w:val="24"/>
                <w:highlight w:val="none"/>
              </w:rPr>
            </w:pPr>
            <w:r>
              <w:rPr>
                <w:rFonts w:hint="default"/>
                <w:color w:val="auto"/>
                <w:sz w:val="24"/>
                <w:szCs w:val="24"/>
                <w:highlight w:val="none"/>
              </w:rPr>
              <w:t>废水排污口、废气排气筒应设置便于采样、监测</w:t>
            </w:r>
            <w:r>
              <w:rPr>
                <w:rFonts w:hint="eastAsia" w:eastAsia="宋体"/>
                <w:color w:val="auto"/>
                <w:sz w:val="24"/>
                <w:szCs w:val="24"/>
                <w:highlight w:val="none"/>
                <w:lang w:eastAsia="zh-CN"/>
              </w:rPr>
              <w:t>，</w:t>
            </w:r>
            <w:r>
              <w:rPr>
                <w:rFonts w:hint="default"/>
                <w:color w:val="auto"/>
                <w:sz w:val="24"/>
                <w:szCs w:val="24"/>
                <w:highlight w:val="none"/>
              </w:rPr>
              <w:t>并符合《污染源监测技术规范》要求的采样口和采样平台，无法满足《规范》要求的应由环境监测部门确认采样口位置。对无组织排放的有毒有害气体，应加装引风装置，进行收集、处理，并设置采样点。固体废物贮存、堆放场整治要求。一般固体废物应设置专用贮存、堆放场地。有毒有害固体废物等废物应设置有防扬散、防流失、防渗漏等防治措施的专用堆放场所。在厂界噪声敏感处按《污染源监测技术规范》设置该噪声源的监测点。具体要求如下：</w:t>
            </w:r>
          </w:p>
          <w:p w14:paraId="3ED0B4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color w:val="auto"/>
                <w:sz w:val="24"/>
                <w:szCs w:val="24"/>
                <w:highlight w:val="none"/>
              </w:rPr>
            </w:pPr>
            <w:r>
              <w:rPr>
                <w:rFonts w:hint="eastAsia" w:ascii="Times New Roman" w:eastAsia="宋体"/>
                <w:color w:val="auto"/>
                <w:sz w:val="24"/>
                <w:szCs w:val="24"/>
                <w:highlight w:val="none"/>
                <w:lang w:val="en-US" w:eastAsia="zh-CN"/>
              </w:rPr>
              <w:t>1）</w:t>
            </w:r>
            <w:r>
              <w:rPr>
                <w:rFonts w:hint="default"/>
                <w:color w:val="auto"/>
                <w:sz w:val="24"/>
                <w:szCs w:val="24"/>
                <w:highlight w:val="none"/>
              </w:rPr>
              <w:t>废水排放口</w:t>
            </w:r>
          </w:p>
          <w:p w14:paraId="12A412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color w:val="auto"/>
                <w:sz w:val="24"/>
                <w:szCs w:val="24"/>
                <w:highlight w:val="none"/>
              </w:rPr>
            </w:pPr>
            <w:r>
              <w:rPr>
                <w:rFonts w:hint="default"/>
                <w:color w:val="auto"/>
                <w:sz w:val="24"/>
                <w:szCs w:val="24"/>
                <w:highlight w:val="none"/>
              </w:rPr>
              <w:t>项目污水管网</w:t>
            </w:r>
            <w:r>
              <w:rPr>
                <w:rFonts w:hint="eastAsia" w:ascii="Times New Roman" w:eastAsia="宋体"/>
                <w:color w:val="auto"/>
                <w:sz w:val="24"/>
                <w:szCs w:val="24"/>
                <w:highlight w:val="none"/>
                <w:lang w:val="en-US" w:eastAsia="zh-CN"/>
              </w:rPr>
              <w:t>和</w:t>
            </w:r>
            <w:r>
              <w:rPr>
                <w:rFonts w:hint="default"/>
                <w:color w:val="auto"/>
                <w:sz w:val="24"/>
                <w:szCs w:val="24"/>
                <w:highlight w:val="none"/>
              </w:rPr>
              <w:t>废水排放口必须满足相应规范要求。</w:t>
            </w:r>
          </w:p>
          <w:p w14:paraId="3054B4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color w:val="auto"/>
                <w:sz w:val="24"/>
                <w:szCs w:val="24"/>
                <w:highlight w:val="none"/>
              </w:rPr>
            </w:pPr>
            <w:r>
              <w:rPr>
                <w:rFonts w:hint="eastAsia" w:ascii="Times New Roman" w:eastAsia="宋体"/>
                <w:color w:val="auto"/>
                <w:sz w:val="24"/>
                <w:szCs w:val="24"/>
                <w:highlight w:val="none"/>
                <w:lang w:val="en-US" w:eastAsia="zh-CN"/>
              </w:rPr>
              <w:t>2）</w:t>
            </w:r>
            <w:r>
              <w:rPr>
                <w:rFonts w:hint="default"/>
                <w:color w:val="auto"/>
                <w:sz w:val="24"/>
                <w:szCs w:val="24"/>
                <w:highlight w:val="none"/>
              </w:rPr>
              <w:t>废气排放口</w:t>
            </w:r>
          </w:p>
          <w:p w14:paraId="1C4B11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color w:val="auto"/>
                <w:sz w:val="24"/>
                <w:szCs w:val="24"/>
                <w:highlight w:val="none"/>
              </w:rPr>
            </w:pPr>
            <w:r>
              <w:rPr>
                <w:rFonts w:hint="default"/>
                <w:color w:val="auto"/>
                <w:sz w:val="24"/>
                <w:szCs w:val="24"/>
                <w:highlight w:val="none"/>
              </w:rPr>
              <w:t>废气排放口必须符合规定的高度和按《污染源监测技术规范》便于采样、监测的要求，设置直径不小于75mm的采样口。如无法满足要求的，其采样口与环境监测部门共同确认。</w:t>
            </w:r>
          </w:p>
          <w:p w14:paraId="380EFA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color w:val="auto"/>
                <w:sz w:val="24"/>
                <w:szCs w:val="24"/>
                <w:highlight w:val="none"/>
              </w:rPr>
            </w:pPr>
            <w:r>
              <w:rPr>
                <w:rFonts w:hint="eastAsia" w:ascii="Times New Roman" w:eastAsia="宋体"/>
                <w:color w:val="auto"/>
                <w:sz w:val="24"/>
                <w:szCs w:val="24"/>
                <w:highlight w:val="none"/>
                <w:lang w:val="en-US" w:eastAsia="zh-CN"/>
              </w:rPr>
              <w:t>3）</w:t>
            </w:r>
            <w:r>
              <w:rPr>
                <w:rFonts w:hint="default"/>
                <w:color w:val="auto"/>
                <w:sz w:val="24"/>
                <w:szCs w:val="24"/>
                <w:highlight w:val="none"/>
              </w:rPr>
              <w:t>固定噪声源</w:t>
            </w:r>
          </w:p>
          <w:p w14:paraId="6FEFF5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color w:val="auto"/>
                <w:sz w:val="24"/>
                <w:szCs w:val="24"/>
                <w:highlight w:val="none"/>
              </w:rPr>
            </w:pPr>
            <w:r>
              <w:rPr>
                <w:rFonts w:hint="default"/>
                <w:color w:val="auto"/>
                <w:sz w:val="24"/>
                <w:szCs w:val="24"/>
                <w:highlight w:val="none"/>
              </w:rPr>
              <w:t>按规定对固定噪声源进行治理，并在边界噪声敏感点，且对外界影响最大处设置标志牌。</w:t>
            </w:r>
          </w:p>
          <w:p w14:paraId="58753B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color w:val="auto"/>
                <w:sz w:val="24"/>
                <w:szCs w:val="24"/>
                <w:highlight w:val="none"/>
              </w:rPr>
            </w:pPr>
            <w:r>
              <w:rPr>
                <w:rFonts w:hint="eastAsia" w:ascii="Times New Roman" w:eastAsia="宋体"/>
                <w:color w:val="auto"/>
                <w:sz w:val="24"/>
                <w:szCs w:val="24"/>
                <w:highlight w:val="none"/>
                <w:lang w:val="en-US" w:eastAsia="zh-CN"/>
              </w:rPr>
              <w:t>4）</w:t>
            </w:r>
            <w:r>
              <w:rPr>
                <w:rFonts w:hint="default"/>
                <w:color w:val="auto"/>
                <w:sz w:val="24"/>
                <w:szCs w:val="24"/>
                <w:highlight w:val="none"/>
              </w:rPr>
              <w:t>固体废物储存场</w:t>
            </w:r>
          </w:p>
          <w:p w14:paraId="57D49A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color w:val="auto"/>
                <w:sz w:val="24"/>
                <w:szCs w:val="24"/>
                <w:highlight w:val="none"/>
              </w:rPr>
            </w:pPr>
            <w:r>
              <w:rPr>
                <w:rFonts w:hint="default"/>
                <w:color w:val="auto"/>
                <w:sz w:val="24"/>
                <w:szCs w:val="24"/>
                <w:highlight w:val="none"/>
              </w:rPr>
              <w:t>固体废物应采取防止二次扬尘措施，废物的堆存场必须设置专用堆放场地，有防扬散、防流失、防渗漏等措施。</w:t>
            </w:r>
          </w:p>
          <w:p w14:paraId="033783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color w:val="auto"/>
                <w:sz w:val="24"/>
                <w:szCs w:val="24"/>
                <w:highlight w:val="none"/>
              </w:rPr>
            </w:pPr>
            <w:r>
              <w:rPr>
                <w:rFonts w:hint="eastAsia" w:eastAsia="宋体"/>
                <w:color w:val="auto"/>
                <w:sz w:val="24"/>
                <w:szCs w:val="24"/>
                <w:highlight w:val="none"/>
                <w:lang w:eastAsia="zh-CN"/>
              </w:rPr>
              <w:t>（</w:t>
            </w:r>
            <w:r>
              <w:rPr>
                <w:rFonts w:hint="eastAsia" w:ascii="Times New Roman" w:eastAsia="宋体"/>
                <w:color w:val="auto"/>
                <w:sz w:val="24"/>
                <w:szCs w:val="24"/>
                <w:highlight w:val="none"/>
                <w:lang w:val="en-US" w:eastAsia="zh-CN"/>
              </w:rPr>
              <w:t>2</w:t>
            </w:r>
            <w:r>
              <w:rPr>
                <w:rFonts w:hint="eastAsia" w:eastAsia="宋体"/>
                <w:color w:val="auto"/>
                <w:sz w:val="24"/>
                <w:szCs w:val="24"/>
                <w:highlight w:val="none"/>
                <w:lang w:eastAsia="zh-CN"/>
              </w:rPr>
              <w:t>）</w:t>
            </w:r>
            <w:r>
              <w:rPr>
                <w:rFonts w:hint="default"/>
                <w:color w:val="auto"/>
                <w:sz w:val="24"/>
                <w:szCs w:val="24"/>
                <w:highlight w:val="none"/>
              </w:rPr>
              <w:t>排放口立标、建档要求</w:t>
            </w:r>
          </w:p>
          <w:p w14:paraId="001B54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color w:val="auto"/>
                <w:sz w:val="24"/>
                <w:szCs w:val="24"/>
                <w:highlight w:val="none"/>
              </w:rPr>
            </w:pPr>
            <w:r>
              <w:rPr>
                <w:rFonts w:hint="default"/>
                <w:color w:val="auto"/>
                <w:sz w:val="24"/>
                <w:szCs w:val="24"/>
                <w:highlight w:val="none"/>
              </w:rPr>
              <w:t>1）排放口立标要求</w:t>
            </w:r>
          </w:p>
          <w:p w14:paraId="6957DB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color w:val="auto"/>
                <w:sz w:val="24"/>
                <w:szCs w:val="24"/>
                <w:highlight w:val="none"/>
              </w:rPr>
            </w:pPr>
            <w:r>
              <w:rPr>
                <w:rFonts w:hint="default"/>
                <w:color w:val="auto"/>
                <w:sz w:val="24"/>
                <w:szCs w:val="24"/>
                <w:highlight w:val="none"/>
              </w:rPr>
              <w:t>污染物排放口（源）及固体废物贮存、堆放场必须按照国家标准《环境保护图形标志》</w:t>
            </w:r>
            <w:r>
              <w:rPr>
                <w:rFonts w:hint="eastAsia" w:eastAsia="宋体"/>
                <w:color w:val="auto"/>
                <w:sz w:val="24"/>
                <w:szCs w:val="24"/>
                <w:highlight w:val="none"/>
                <w:lang w:eastAsia="zh-CN"/>
              </w:rPr>
              <w:t>（</w:t>
            </w:r>
            <w:r>
              <w:rPr>
                <w:rFonts w:hint="default"/>
                <w:color w:val="auto"/>
                <w:sz w:val="24"/>
                <w:szCs w:val="24"/>
                <w:highlight w:val="none"/>
              </w:rPr>
              <w:t>GB15562.1-1995</w:t>
            </w:r>
            <w:r>
              <w:rPr>
                <w:rFonts w:hint="eastAsia" w:eastAsia="宋体"/>
                <w:color w:val="auto"/>
                <w:sz w:val="24"/>
                <w:szCs w:val="24"/>
                <w:highlight w:val="none"/>
                <w:lang w:eastAsia="zh-CN"/>
              </w:rPr>
              <w:t>）</w:t>
            </w:r>
            <w:r>
              <w:rPr>
                <w:rFonts w:hint="default"/>
                <w:color w:val="auto"/>
                <w:sz w:val="24"/>
                <w:szCs w:val="24"/>
                <w:highlight w:val="none"/>
              </w:rPr>
              <w:t>的规定设置与之相适应的环境保护图形标志牌。环境保护图形标志牌设置位置应距污染物排放口（源）、固体废物贮存</w:t>
            </w:r>
            <w:r>
              <w:rPr>
                <w:rFonts w:hint="eastAsia" w:eastAsia="宋体"/>
                <w:color w:val="auto"/>
                <w:sz w:val="24"/>
                <w:szCs w:val="24"/>
                <w:highlight w:val="none"/>
                <w:lang w:eastAsia="zh-CN"/>
              </w:rPr>
              <w:t>（</w:t>
            </w:r>
            <w:r>
              <w:rPr>
                <w:rFonts w:hint="default"/>
                <w:color w:val="auto"/>
                <w:sz w:val="24"/>
                <w:szCs w:val="24"/>
                <w:highlight w:val="none"/>
              </w:rPr>
              <w:t>堆放</w:t>
            </w:r>
            <w:r>
              <w:rPr>
                <w:rFonts w:hint="eastAsia" w:eastAsia="宋体"/>
                <w:color w:val="auto"/>
                <w:sz w:val="24"/>
                <w:szCs w:val="24"/>
                <w:highlight w:val="none"/>
                <w:lang w:eastAsia="zh-CN"/>
              </w:rPr>
              <w:t>）</w:t>
            </w:r>
            <w:r>
              <w:rPr>
                <w:rFonts w:hint="default"/>
                <w:color w:val="auto"/>
                <w:sz w:val="24"/>
                <w:szCs w:val="24"/>
                <w:highlight w:val="none"/>
              </w:rPr>
              <w:t>场或采样点较近且醒目处，并能长久保留。一般污染物排放口（源）、固体废物贮存（堆放）场设置提示性环境保护图形标志牌；危险废物贮存（堆放）场应设置警告性环境保护图形标志牌。</w:t>
            </w:r>
          </w:p>
          <w:p w14:paraId="11365D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color w:val="auto"/>
                <w:sz w:val="24"/>
                <w:szCs w:val="24"/>
                <w:highlight w:val="none"/>
              </w:rPr>
            </w:pPr>
            <w:r>
              <w:rPr>
                <w:rFonts w:hint="default"/>
                <w:color w:val="auto"/>
                <w:sz w:val="24"/>
                <w:szCs w:val="24"/>
                <w:highlight w:val="none"/>
              </w:rPr>
              <w:t>2）排放口建档要求</w:t>
            </w:r>
          </w:p>
          <w:p w14:paraId="4881DA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color w:val="auto"/>
                <w:sz w:val="24"/>
                <w:szCs w:val="24"/>
                <w:highlight w:val="none"/>
              </w:rPr>
            </w:pPr>
            <w:r>
              <w:rPr>
                <w:rFonts w:hint="default"/>
                <w:color w:val="auto"/>
                <w:sz w:val="24"/>
                <w:szCs w:val="24"/>
                <w:highlight w:val="none"/>
              </w:rPr>
              <w:t>建设单位应使用环保部门</w:t>
            </w:r>
            <w:r>
              <w:rPr>
                <w:rFonts w:hint="eastAsia"/>
                <w:color w:val="auto"/>
                <w:sz w:val="24"/>
                <w:szCs w:val="24"/>
                <w:highlight w:val="none"/>
                <w:lang w:eastAsia="zh-CN"/>
              </w:rPr>
              <w:t>签发</w:t>
            </w:r>
            <w:r>
              <w:rPr>
                <w:rFonts w:hint="default"/>
                <w:color w:val="auto"/>
                <w:sz w:val="24"/>
                <w:szCs w:val="24"/>
                <w:highlight w:val="none"/>
              </w:rPr>
              <w:t>的《中华人民共和国规范化排放口登记证》并按要求认真填写。登记证与标志牌配套使用，根据登记证的内容建立排放口管理档案，包括排污单位名称、排污口性质及编号、排污口地理位置、排放主要污染物种类、数量、浓度、排污去向、立标情况、处理设施运行情况及整改意见等。</w:t>
            </w:r>
          </w:p>
          <w:p w14:paraId="71B53B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color w:val="auto"/>
                <w:sz w:val="24"/>
                <w:szCs w:val="24"/>
                <w:highlight w:val="none"/>
                <w:lang w:val="en-US" w:eastAsia="zh-CN"/>
              </w:rPr>
            </w:pPr>
            <w:r>
              <w:rPr>
                <w:rFonts w:hint="default"/>
                <w:color w:val="auto"/>
                <w:sz w:val="24"/>
                <w:szCs w:val="24"/>
                <w:highlight w:val="none"/>
                <w:lang w:val="en-US" w:eastAsia="zh-CN"/>
              </w:rPr>
              <w:t>水、气、声、固排污口（源）挂牌标识</w:t>
            </w:r>
            <w:r>
              <w:rPr>
                <w:rFonts w:hint="eastAsia" w:ascii="Times New Roman" w:eastAsia="宋体"/>
                <w:color w:val="auto"/>
                <w:sz w:val="24"/>
                <w:szCs w:val="24"/>
                <w:highlight w:val="none"/>
                <w:lang w:val="en-US" w:eastAsia="zh-CN"/>
              </w:rPr>
              <w:t>见</w:t>
            </w:r>
            <w:r>
              <w:rPr>
                <w:rFonts w:hint="default"/>
                <w:color w:val="auto"/>
                <w:sz w:val="24"/>
                <w:szCs w:val="24"/>
                <w:highlight w:val="none"/>
                <w:lang w:val="en-US" w:eastAsia="zh-CN"/>
              </w:rPr>
              <w:t>表</w:t>
            </w:r>
            <w:r>
              <w:rPr>
                <w:rFonts w:hint="eastAsia" w:ascii="Times New Roman" w:eastAsia="宋体"/>
                <w:color w:val="auto"/>
                <w:sz w:val="24"/>
                <w:szCs w:val="24"/>
                <w:highlight w:val="none"/>
                <w:lang w:val="en-US" w:eastAsia="zh-CN"/>
              </w:rPr>
              <w:t>4-</w:t>
            </w:r>
            <w:r>
              <w:rPr>
                <w:rFonts w:hint="eastAsia"/>
                <w:color w:val="auto"/>
                <w:sz w:val="24"/>
                <w:szCs w:val="24"/>
                <w:highlight w:val="none"/>
                <w:lang w:val="en-US" w:eastAsia="zh-CN"/>
              </w:rPr>
              <w:t>20</w:t>
            </w:r>
            <w:r>
              <w:rPr>
                <w:rFonts w:hint="default"/>
                <w:color w:val="auto"/>
                <w:sz w:val="24"/>
                <w:szCs w:val="24"/>
                <w:highlight w:val="none"/>
                <w:lang w:val="en-US" w:eastAsia="zh-CN"/>
              </w:rPr>
              <w:t>。</w:t>
            </w:r>
          </w:p>
          <w:p w14:paraId="39FC5006">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21"/>
                <w:szCs w:val="24"/>
                <w:highlight w:val="none"/>
                <w:lang w:val="en-US" w:eastAsia="zh-CN" w:bidi="ar-SA"/>
              </w:rPr>
            </w:pPr>
            <w:r>
              <w:rPr>
                <w:rFonts w:hint="default" w:ascii="Times New Roman" w:hAnsi="Times New Roman" w:eastAsia="宋体" w:cs="Times New Roman"/>
                <w:b/>
                <w:bCs/>
                <w:color w:val="auto"/>
                <w:kern w:val="2"/>
                <w:sz w:val="21"/>
                <w:szCs w:val="24"/>
                <w:highlight w:val="none"/>
                <w:lang w:val="en-US" w:eastAsia="zh-CN" w:bidi="ar-SA"/>
              </w:rPr>
              <w:t>表</w:t>
            </w:r>
            <w:r>
              <w:rPr>
                <w:rFonts w:hint="eastAsia" w:ascii="Times New Roman" w:hAnsi="Times New Roman" w:eastAsia="宋体" w:cs="Times New Roman"/>
                <w:b/>
                <w:bCs/>
                <w:color w:val="auto"/>
                <w:kern w:val="2"/>
                <w:sz w:val="21"/>
                <w:szCs w:val="24"/>
                <w:highlight w:val="none"/>
                <w:lang w:val="en-US" w:eastAsia="zh-CN" w:bidi="ar-SA"/>
              </w:rPr>
              <w:t>4-</w:t>
            </w:r>
            <w:r>
              <w:rPr>
                <w:rFonts w:hint="eastAsia" w:cs="Times New Roman"/>
                <w:b/>
                <w:bCs/>
                <w:color w:val="auto"/>
                <w:kern w:val="2"/>
                <w:sz w:val="21"/>
                <w:szCs w:val="24"/>
                <w:highlight w:val="none"/>
                <w:lang w:val="en-US" w:eastAsia="zh-CN" w:bidi="ar-SA"/>
              </w:rPr>
              <w:t>20</w:t>
            </w:r>
            <w:r>
              <w:rPr>
                <w:rFonts w:hint="default" w:ascii="Times New Roman" w:hAnsi="Times New Roman" w:eastAsia="宋体" w:cs="Times New Roman"/>
                <w:b/>
                <w:bCs/>
                <w:color w:val="auto"/>
                <w:kern w:val="2"/>
                <w:sz w:val="21"/>
                <w:szCs w:val="24"/>
                <w:highlight w:val="none"/>
                <w:lang w:val="en-US" w:eastAsia="zh-CN" w:bidi="ar-SA"/>
              </w:rPr>
              <w:t xml:space="preserve"> </w:t>
            </w:r>
            <w:r>
              <w:rPr>
                <w:rFonts w:hint="eastAsia" w:cs="Times New Roman"/>
                <w:b/>
                <w:bCs/>
                <w:color w:val="auto"/>
                <w:kern w:val="2"/>
                <w:sz w:val="21"/>
                <w:szCs w:val="24"/>
                <w:highlight w:val="none"/>
                <w:lang w:val="en-US" w:eastAsia="zh-CN" w:bidi="ar-SA"/>
              </w:rPr>
              <w:t xml:space="preserve"> </w:t>
            </w:r>
            <w:r>
              <w:rPr>
                <w:rFonts w:hint="default" w:ascii="Times New Roman" w:hAnsi="Times New Roman" w:eastAsia="宋体" w:cs="Times New Roman"/>
                <w:b/>
                <w:bCs/>
                <w:color w:val="auto"/>
                <w:kern w:val="2"/>
                <w:sz w:val="21"/>
                <w:szCs w:val="24"/>
                <w:highlight w:val="none"/>
                <w:lang w:val="en-US" w:eastAsia="zh-CN" w:bidi="ar-SA"/>
              </w:rPr>
              <w:t>环境保护图形符号一览表</w:t>
            </w:r>
          </w:p>
          <w:tbl>
            <w:tblPr>
              <w:tblStyle w:val="26"/>
              <w:tblW w:w="8466"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670"/>
              <w:gridCol w:w="1881"/>
              <w:gridCol w:w="1702"/>
              <w:gridCol w:w="1605"/>
              <w:gridCol w:w="2608"/>
            </w:tblGrid>
            <w:tr w14:paraId="2E804C9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670" w:type="dxa"/>
                  <w:tcBorders>
                    <w:bottom w:val="single" w:color="auto" w:sz="12" w:space="0"/>
                  </w:tcBorders>
                  <w:vAlign w:val="center"/>
                </w:tcPr>
                <w:p w14:paraId="326769E2">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21"/>
                      <w:szCs w:val="24"/>
                      <w:highlight w:val="none"/>
                      <w:lang w:val="en-US" w:eastAsia="zh-CN" w:bidi="ar-SA"/>
                    </w:rPr>
                  </w:pPr>
                  <w:r>
                    <w:rPr>
                      <w:rFonts w:hint="default" w:ascii="Times New Roman" w:hAnsi="Times New Roman" w:eastAsia="宋体" w:cs="Times New Roman"/>
                      <w:b/>
                      <w:bCs/>
                      <w:color w:val="auto"/>
                      <w:kern w:val="2"/>
                      <w:sz w:val="21"/>
                      <w:szCs w:val="24"/>
                      <w:highlight w:val="none"/>
                      <w:lang w:val="en-US" w:eastAsia="zh-CN" w:bidi="ar-SA"/>
                    </w:rPr>
                    <w:t>序号</w:t>
                  </w:r>
                </w:p>
              </w:tc>
              <w:tc>
                <w:tcPr>
                  <w:tcW w:w="1881" w:type="dxa"/>
                  <w:tcBorders>
                    <w:bottom w:val="single" w:color="auto" w:sz="12" w:space="0"/>
                  </w:tcBorders>
                  <w:vAlign w:val="center"/>
                </w:tcPr>
                <w:p w14:paraId="5844EC61">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21"/>
                      <w:szCs w:val="24"/>
                      <w:highlight w:val="none"/>
                      <w:lang w:val="en-US" w:eastAsia="zh-CN" w:bidi="ar-SA"/>
                    </w:rPr>
                  </w:pPr>
                  <w:r>
                    <w:rPr>
                      <w:rFonts w:hint="default" w:ascii="Times New Roman" w:hAnsi="Times New Roman" w:eastAsia="宋体" w:cs="Times New Roman"/>
                      <w:b/>
                      <w:bCs/>
                      <w:color w:val="auto"/>
                      <w:kern w:val="2"/>
                      <w:sz w:val="21"/>
                      <w:szCs w:val="24"/>
                      <w:highlight w:val="none"/>
                      <w:lang w:val="en-US" w:eastAsia="zh-CN" w:bidi="ar-SA"/>
                    </w:rPr>
                    <w:t>提示图形符号</w:t>
                  </w:r>
                </w:p>
              </w:tc>
              <w:tc>
                <w:tcPr>
                  <w:tcW w:w="1702" w:type="dxa"/>
                  <w:tcBorders>
                    <w:bottom w:val="single" w:color="auto" w:sz="12" w:space="0"/>
                  </w:tcBorders>
                  <w:vAlign w:val="center"/>
                </w:tcPr>
                <w:p w14:paraId="2F2D21EF">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21"/>
                      <w:szCs w:val="24"/>
                      <w:highlight w:val="none"/>
                      <w:lang w:val="en-US" w:eastAsia="zh-CN" w:bidi="ar-SA"/>
                    </w:rPr>
                  </w:pPr>
                  <w:r>
                    <w:rPr>
                      <w:rFonts w:hint="default" w:ascii="Times New Roman" w:hAnsi="Times New Roman" w:eastAsia="宋体" w:cs="Times New Roman"/>
                      <w:b/>
                      <w:bCs/>
                      <w:color w:val="auto"/>
                      <w:kern w:val="2"/>
                      <w:sz w:val="21"/>
                      <w:szCs w:val="24"/>
                      <w:highlight w:val="none"/>
                      <w:lang w:val="en-US" w:eastAsia="zh-CN" w:bidi="ar-SA"/>
                    </w:rPr>
                    <w:t>警告图形符号</w:t>
                  </w:r>
                </w:p>
              </w:tc>
              <w:tc>
                <w:tcPr>
                  <w:tcW w:w="1605" w:type="dxa"/>
                  <w:tcBorders>
                    <w:bottom w:val="single" w:color="auto" w:sz="12" w:space="0"/>
                  </w:tcBorders>
                  <w:vAlign w:val="center"/>
                </w:tcPr>
                <w:p w14:paraId="5EA94B2A">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21"/>
                      <w:szCs w:val="24"/>
                      <w:highlight w:val="none"/>
                      <w:lang w:val="en-US" w:eastAsia="zh-CN" w:bidi="ar-SA"/>
                    </w:rPr>
                  </w:pPr>
                  <w:r>
                    <w:rPr>
                      <w:rFonts w:hint="default" w:ascii="Times New Roman" w:hAnsi="Times New Roman" w:eastAsia="宋体" w:cs="Times New Roman"/>
                      <w:b/>
                      <w:bCs/>
                      <w:color w:val="auto"/>
                      <w:kern w:val="2"/>
                      <w:sz w:val="21"/>
                      <w:szCs w:val="24"/>
                      <w:highlight w:val="none"/>
                      <w:lang w:val="en-US" w:eastAsia="zh-CN" w:bidi="ar-SA"/>
                    </w:rPr>
                    <w:t>名称</w:t>
                  </w:r>
                </w:p>
              </w:tc>
              <w:tc>
                <w:tcPr>
                  <w:tcW w:w="2608" w:type="dxa"/>
                  <w:tcBorders>
                    <w:bottom w:val="single" w:color="auto" w:sz="12" w:space="0"/>
                  </w:tcBorders>
                  <w:vAlign w:val="center"/>
                </w:tcPr>
                <w:p w14:paraId="2146DF02">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21"/>
                      <w:szCs w:val="24"/>
                      <w:highlight w:val="none"/>
                      <w:lang w:val="en-US" w:eastAsia="zh-CN" w:bidi="ar-SA"/>
                    </w:rPr>
                  </w:pPr>
                  <w:r>
                    <w:rPr>
                      <w:rFonts w:hint="default" w:ascii="Times New Roman" w:hAnsi="Times New Roman" w:eastAsia="宋体" w:cs="Times New Roman"/>
                      <w:b/>
                      <w:bCs/>
                      <w:color w:val="auto"/>
                      <w:kern w:val="2"/>
                      <w:sz w:val="21"/>
                      <w:szCs w:val="24"/>
                      <w:highlight w:val="none"/>
                      <w:lang w:val="en-US" w:eastAsia="zh-CN" w:bidi="ar-SA"/>
                    </w:rPr>
                    <w:t>功能</w:t>
                  </w:r>
                </w:p>
              </w:tc>
            </w:tr>
            <w:tr w14:paraId="3949676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70" w:type="dxa"/>
                  <w:tcBorders>
                    <w:top w:val="single" w:color="auto" w:sz="12" w:space="0"/>
                    <w:tl2br w:val="nil"/>
                    <w:tr2bl w:val="nil"/>
                  </w:tcBorders>
                  <w:vAlign w:val="center"/>
                </w:tcPr>
                <w:p w14:paraId="79E7ACD7">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kern w:val="2"/>
                      <w:sz w:val="21"/>
                      <w:szCs w:val="24"/>
                      <w:highlight w:val="none"/>
                      <w:lang w:val="en-US" w:eastAsia="zh-CN" w:bidi="ar-SA"/>
                    </w:rPr>
                    <w:t>1</w:t>
                  </w:r>
                </w:p>
              </w:tc>
              <w:tc>
                <w:tcPr>
                  <w:tcW w:w="1881" w:type="dxa"/>
                  <w:tcBorders>
                    <w:top w:val="single" w:color="auto" w:sz="12" w:space="0"/>
                    <w:tl2br w:val="nil"/>
                    <w:tr2bl w:val="nil"/>
                  </w:tcBorders>
                  <w:vAlign w:val="center"/>
                </w:tcPr>
                <w:p w14:paraId="1E4FDD8B">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drawing>
                      <wp:inline distT="0" distB="0" distL="114300" distR="114300">
                        <wp:extent cx="429260" cy="472440"/>
                        <wp:effectExtent l="0" t="0" r="8890" b="3810"/>
                        <wp:docPr id="59" name="图片 37" descr="废水排放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37" descr="废水排放口"/>
                                <pic:cNvPicPr>
                                  <a:picLocks noChangeAspect="1"/>
                                </pic:cNvPicPr>
                              </pic:nvPicPr>
                              <pic:blipFill>
                                <a:blip r:embed="rId29"/>
                                <a:srcRect l="4222" t="4598" r="3296" b="27591"/>
                                <a:stretch>
                                  <a:fillRect/>
                                </a:stretch>
                              </pic:blipFill>
                              <pic:spPr>
                                <a:xfrm>
                                  <a:off x="0" y="0"/>
                                  <a:ext cx="429260" cy="472440"/>
                                </a:xfrm>
                                <a:prstGeom prst="rect">
                                  <a:avLst/>
                                </a:prstGeom>
                                <a:noFill/>
                                <a:ln>
                                  <a:noFill/>
                                </a:ln>
                              </pic:spPr>
                            </pic:pic>
                          </a:graphicData>
                        </a:graphic>
                      </wp:inline>
                    </w:drawing>
                  </w:r>
                </w:p>
              </w:tc>
              <w:tc>
                <w:tcPr>
                  <w:tcW w:w="1702" w:type="dxa"/>
                  <w:tcBorders>
                    <w:top w:val="single" w:color="auto" w:sz="12" w:space="0"/>
                    <w:tl2br w:val="nil"/>
                    <w:tr2bl w:val="nil"/>
                  </w:tcBorders>
                  <w:vAlign w:val="center"/>
                </w:tcPr>
                <w:p w14:paraId="0C21852D">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kern w:val="2"/>
                      <w:sz w:val="21"/>
                      <w:szCs w:val="24"/>
                      <w:highlight w:val="none"/>
                      <w:lang w:val="en-US" w:eastAsia="zh-CN" w:bidi="ar-SA"/>
                    </w:rPr>
                    <w:drawing>
                      <wp:inline distT="0" distB="0" distL="114300" distR="114300">
                        <wp:extent cx="509905" cy="481330"/>
                        <wp:effectExtent l="0" t="0" r="4445" b="13970"/>
                        <wp:docPr id="37" name="图片 49" descr="未标题-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49" descr="未标题-2"/>
                                <pic:cNvPicPr>
                                  <a:picLocks noChangeAspect="1"/>
                                </pic:cNvPicPr>
                              </pic:nvPicPr>
                              <pic:blipFill>
                                <a:blip r:embed="rId30"/>
                                <a:stretch>
                                  <a:fillRect/>
                                </a:stretch>
                              </pic:blipFill>
                              <pic:spPr>
                                <a:xfrm>
                                  <a:off x="0" y="0"/>
                                  <a:ext cx="509905" cy="481330"/>
                                </a:xfrm>
                                <a:prstGeom prst="rect">
                                  <a:avLst/>
                                </a:prstGeom>
                                <a:noFill/>
                                <a:ln>
                                  <a:noFill/>
                                </a:ln>
                              </pic:spPr>
                            </pic:pic>
                          </a:graphicData>
                        </a:graphic>
                      </wp:inline>
                    </w:drawing>
                  </w:r>
                </w:p>
              </w:tc>
              <w:tc>
                <w:tcPr>
                  <w:tcW w:w="1605" w:type="dxa"/>
                  <w:tcBorders>
                    <w:top w:val="single" w:color="auto" w:sz="12" w:space="0"/>
                    <w:tl2br w:val="nil"/>
                    <w:tr2bl w:val="nil"/>
                  </w:tcBorders>
                  <w:vAlign w:val="center"/>
                </w:tcPr>
                <w:p w14:paraId="1077D5CF">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kern w:val="2"/>
                      <w:sz w:val="21"/>
                      <w:szCs w:val="24"/>
                      <w:highlight w:val="none"/>
                      <w:lang w:val="en-US" w:eastAsia="zh-CN" w:bidi="ar-SA"/>
                    </w:rPr>
                    <w:t>废水排放口</w:t>
                  </w:r>
                </w:p>
              </w:tc>
              <w:tc>
                <w:tcPr>
                  <w:tcW w:w="2608" w:type="dxa"/>
                  <w:tcBorders>
                    <w:top w:val="single" w:color="auto" w:sz="12" w:space="0"/>
                    <w:tl2br w:val="nil"/>
                    <w:tr2bl w:val="nil"/>
                  </w:tcBorders>
                  <w:vAlign w:val="center"/>
                </w:tcPr>
                <w:p w14:paraId="7F950312">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kern w:val="2"/>
                      <w:sz w:val="21"/>
                      <w:szCs w:val="24"/>
                      <w:highlight w:val="none"/>
                      <w:lang w:val="en-US" w:eastAsia="zh-CN" w:bidi="ar-SA"/>
                    </w:rPr>
                    <w:t>表示废水向水体排放</w:t>
                  </w:r>
                </w:p>
              </w:tc>
            </w:tr>
            <w:tr w14:paraId="28AEF78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70" w:type="dxa"/>
                  <w:tcBorders>
                    <w:tl2br w:val="nil"/>
                    <w:tr2bl w:val="nil"/>
                  </w:tcBorders>
                  <w:vAlign w:val="center"/>
                </w:tcPr>
                <w:p w14:paraId="6E1D57AC">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kern w:val="2"/>
                      <w:sz w:val="21"/>
                      <w:szCs w:val="24"/>
                      <w:highlight w:val="none"/>
                      <w:lang w:val="en-US" w:eastAsia="zh-CN" w:bidi="ar-SA"/>
                    </w:rPr>
                    <w:t>2</w:t>
                  </w:r>
                </w:p>
              </w:tc>
              <w:tc>
                <w:tcPr>
                  <w:tcW w:w="1881" w:type="dxa"/>
                  <w:tcBorders>
                    <w:tl2br w:val="nil"/>
                    <w:tr2bl w:val="nil"/>
                  </w:tcBorders>
                  <w:vAlign w:val="center"/>
                </w:tcPr>
                <w:p w14:paraId="7DAB5AE1">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drawing>
                      <wp:inline distT="0" distB="0" distL="114300" distR="114300">
                        <wp:extent cx="421640" cy="429260"/>
                        <wp:effectExtent l="0" t="0" r="16510" b="8890"/>
                        <wp:docPr id="64" name="图片 33" descr="13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33" descr="13003"/>
                                <pic:cNvPicPr>
                                  <a:picLocks noChangeAspect="1"/>
                                </pic:cNvPicPr>
                              </pic:nvPicPr>
                              <pic:blipFill>
                                <a:blip r:embed="rId31"/>
                                <a:stretch>
                                  <a:fillRect/>
                                </a:stretch>
                              </pic:blipFill>
                              <pic:spPr>
                                <a:xfrm>
                                  <a:off x="0" y="0"/>
                                  <a:ext cx="421640" cy="429260"/>
                                </a:xfrm>
                                <a:prstGeom prst="rect">
                                  <a:avLst/>
                                </a:prstGeom>
                                <a:noFill/>
                                <a:ln>
                                  <a:noFill/>
                                </a:ln>
                              </pic:spPr>
                            </pic:pic>
                          </a:graphicData>
                        </a:graphic>
                      </wp:inline>
                    </w:drawing>
                  </w:r>
                </w:p>
              </w:tc>
              <w:tc>
                <w:tcPr>
                  <w:tcW w:w="1702" w:type="dxa"/>
                  <w:tcBorders>
                    <w:tl2br w:val="nil"/>
                    <w:tr2bl w:val="nil"/>
                  </w:tcBorders>
                  <w:vAlign w:val="center"/>
                </w:tcPr>
                <w:p w14:paraId="6E220826">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drawing>
                      <wp:inline distT="0" distB="0" distL="114300" distR="114300">
                        <wp:extent cx="488315" cy="488315"/>
                        <wp:effectExtent l="0" t="0" r="6985" b="6985"/>
                        <wp:docPr id="55" name="图片 3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34" descr="4"/>
                                <pic:cNvPicPr>
                                  <a:picLocks noChangeAspect="1"/>
                                </pic:cNvPicPr>
                              </pic:nvPicPr>
                              <pic:blipFill>
                                <a:blip r:embed="rId32"/>
                                <a:stretch>
                                  <a:fillRect/>
                                </a:stretch>
                              </pic:blipFill>
                              <pic:spPr>
                                <a:xfrm>
                                  <a:off x="0" y="0"/>
                                  <a:ext cx="488315" cy="488315"/>
                                </a:xfrm>
                                <a:prstGeom prst="rect">
                                  <a:avLst/>
                                </a:prstGeom>
                                <a:noFill/>
                                <a:ln>
                                  <a:noFill/>
                                </a:ln>
                              </pic:spPr>
                            </pic:pic>
                          </a:graphicData>
                        </a:graphic>
                      </wp:inline>
                    </w:drawing>
                  </w:r>
                </w:p>
              </w:tc>
              <w:tc>
                <w:tcPr>
                  <w:tcW w:w="1605" w:type="dxa"/>
                  <w:tcBorders>
                    <w:tl2br w:val="nil"/>
                    <w:tr2bl w:val="nil"/>
                  </w:tcBorders>
                  <w:vAlign w:val="center"/>
                </w:tcPr>
                <w:p w14:paraId="1B9AF319">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kern w:val="2"/>
                      <w:sz w:val="21"/>
                      <w:szCs w:val="24"/>
                      <w:highlight w:val="none"/>
                      <w:lang w:val="en-US" w:eastAsia="zh-CN" w:bidi="ar-SA"/>
                    </w:rPr>
                    <w:t>废气排放口</w:t>
                  </w:r>
                </w:p>
              </w:tc>
              <w:tc>
                <w:tcPr>
                  <w:tcW w:w="2608" w:type="dxa"/>
                  <w:tcBorders>
                    <w:tl2br w:val="nil"/>
                    <w:tr2bl w:val="nil"/>
                  </w:tcBorders>
                  <w:vAlign w:val="center"/>
                </w:tcPr>
                <w:p w14:paraId="2F8E9818">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kern w:val="2"/>
                      <w:sz w:val="21"/>
                      <w:szCs w:val="24"/>
                      <w:highlight w:val="none"/>
                      <w:lang w:val="en-US" w:eastAsia="zh-CN" w:bidi="ar-SA"/>
                    </w:rPr>
                    <w:t>表示废气向大气环境排放</w:t>
                  </w:r>
                </w:p>
              </w:tc>
            </w:tr>
            <w:tr w14:paraId="4B9D98E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70" w:type="dxa"/>
                  <w:tcBorders>
                    <w:tl2br w:val="nil"/>
                    <w:tr2bl w:val="nil"/>
                  </w:tcBorders>
                  <w:vAlign w:val="center"/>
                </w:tcPr>
                <w:p w14:paraId="388C010C">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kern w:val="2"/>
                      <w:sz w:val="21"/>
                      <w:szCs w:val="24"/>
                      <w:highlight w:val="none"/>
                      <w:lang w:val="en-US" w:eastAsia="zh-CN" w:bidi="ar-SA"/>
                    </w:rPr>
                    <w:t>3</w:t>
                  </w:r>
                </w:p>
              </w:tc>
              <w:tc>
                <w:tcPr>
                  <w:tcW w:w="1881" w:type="dxa"/>
                  <w:tcBorders>
                    <w:tl2br w:val="nil"/>
                    <w:tr2bl w:val="nil"/>
                  </w:tcBorders>
                  <w:vAlign w:val="center"/>
                </w:tcPr>
                <w:p w14:paraId="1A96980C">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drawing>
                      <wp:inline distT="0" distB="0" distL="114300" distR="114300">
                        <wp:extent cx="457200" cy="464820"/>
                        <wp:effectExtent l="0" t="0" r="0" b="11430"/>
                        <wp:docPr id="62" name="图片 35" descr="1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35" descr="14001"/>
                                <pic:cNvPicPr>
                                  <a:picLocks noChangeAspect="1"/>
                                </pic:cNvPicPr>
                              </pic:nvPicPr>
                              <pic:blipFill>
                                <a:blip r:embed="rId33"/>
                                <a:stretch>
                                  <a:fillRect/>
                                </a:stretch>
                              </pic:blipFill>
                              <pic:spPr>
                                <a:xfrm>
                                  <a:off x="0" y="0"/>
                                  <a:ext cx="457200" cy="464820"/>
                                </a:xfrm>
                                <a:prstGeom prst="rect">
                                  <a:avLst/>
                                </a:prstGeom>
                                <a:noFill/>
                                <a:ln>
                                  <a:noFill/>
                                </a:ln>
                              </pic:spPr>
                            </pic:pic>
                          </a:graphicData>
                        </a:graphic>
                      </wp:inline>
                    </w:drawing>
                  </w:r>
                </w:p>
              </w:tc>
              <w:tc>
                <w:tcPr>
                  <w:tcW w:w="1702" w:type="dxa"/>
                  <w:tcBorders>
                    <w:tl2br w:val="nil"/>
                    <w:tr2bl w:val="nil"/>
                  </w:tcBorders>
                  <w:vAlign w:val="center"/>
                </w:tcPr>
                <w:p w14:paraId="7FD540AE">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drawing>
                      <wp:inline distT="0" distB="0" distL="114300" distR="114300">
                        <wp:extent cx="516255" cy="488315"/>
                        <wp:effectExtent l="0" t="0" r="17145" b="6985"/>
                        <wp:docPr id="57" name="图片 36" descr="14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36" descr="14002"/>
                                <pic:cNvPicPr>
                                  <a:picLocks noChangeAspect="1"/>
                                </pic:cNvPicPr>
                              </pic:nvPicPr>
                              <pic:blipFill>
                                <a:blip r:embed="rId34"/>
                                <a:stretch>
                                  <a:fillRect/>
                                </a:stretch>
                              </pic:blipFill>
                              <pic:spPr>
                                <a:xfrm>
                                  <a:off x="0" y="0"/>
                                  <a:ext cx="516255" cy="488315"/>
                                </a:xfrm>
                                <a:prstGeom prst="rect">
                                  <a:avLst/>
                                </a:prstGeom>
                                <a:noFill/>
                                <a:ln>
                                  <a:noFill/>
                                </a:ln>
                              </pic:spPr>
                            </pic:pic>
                          </a:graphicData>
                        </a:graphic>
                      </wp:inline>
                    </w:drawing>
                  </w:r>
                </w:p>
              </w:tc>
              <w:tc>
                <w:tcPr>
                  <w:tcW w:w="1605" w:type="dxa"/>
                  <w:tcBorders>
                    <w:tl2br w:val="nil"/>
                    <w:tr2bl w:val="nil"/>
                  </w:tcBorders>
                  <w:vAlign w:val="center"/>
                </w:tcPr>
                <w:p w14:paraId="56430F13">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kern w:val="2"/>
                      <w:sz w:val="21"/>
                      <w:szCs w:val="24"/>
                      <w:highlight w:val="none"/>
                      <w:lang w:val="en-US" w:eastAsia="zh-CN" w:bidi="ar-SA"/>
                    </w:rPr>
                    <w:t>一般固体废物</w:t>
                  </w:r>
                </w:p>
              </w:tc>
              <w:tc>
                <w:tcPr>
                  <w:tcW w:w="2608" w:type="dxa"/>
                  <w:tcBorders>
                    <w:tl2br w:val="nil"/>
                    <w:tr2bl w:val="nil"/>
                  </w:tcBorders>
                  <w:vAlign w:val="center"/>
                </w:tcPr>
                <w:p w14:paraId="5E4708A5">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kern w:val="2"/>
                      <w:sz w:val="21"/>
                      <w:szCs w:val="24"/>
                      <w:highlight w:val="none"/>
                      <w:lang w:val="en-US" w:eastAsia="zh-CN" w:bidi="ar-SA"/>
                    </w:rPr>
                    <w:t>表示一般固体废物贮存、处置场</w:t>
                  </w:r>
                </w:p>
              </w:tc>
            </w:tr>
            <w:tr w14:paraId="538CBAF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70" w:type="dxa"/>
                  <w:tcBorders>
                    <w:tl2br w:val="nil"/>
                    <w:tr2bl w:val="nil"/>
                  </w:tcBorders>
                  <w:vAlign w:val="center"/>
                </w:tcPr>
                <w:p w14:paraId="5A41171E">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4</w:t>
                  </w:r>
                </w:p>
              </w:tc>
              <w:tc>
                <w:tcPr>
                  <w:tcW w:w="1881" w:type="dxa"/>
                  <w:tcBorders>
                    <w:tl2br w:val="nil"/>
                    <w:tr2bl w:val="nil"/>
                  </w:tcBorders>
                  <w:vAlign w:val="center"/>
                </w:tcPr>
                <w:p w14:paraId="7D3BE734">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drawing>
                      <wp:inline distT="0" distB="0" distL="114300" distR="114300">
                        <wp:extent cx="498475" cy="506095"/>
                        <wp:effectExtent l="0" t="0" r="15875" b="8255"/>
                        <wp:docPr id="63" name="图片 35" descr="1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35" descr="14001"/>
                                <pic:cNvPicPr>
                                  <a:picLocks noChangeAspect="1"/>
                                </pic:cNvPicPr>
                              </pic:nvPicPr>
                              <pic:blipFill>
                                <a:blip r:embed="rId33"/>
                                <a:stretch>
                                  <a:fillRect/>
                                </a:stretch>
                              </pic:blipFill>
                              <pic:spPr>
                                <a:xfrm>
                                  <a:off x="0" y="0"/>
                                  <a:ext cx="498475" cy="506095"/>
                                </a:xfrm>
                                <a:prstGeom prst="rect">
                                  <a:avLst/>
                                </a:prstGeom>
                                <a:noFill/>
                                <a:ln>
                                  <a:noFill/>
                                </a:ln>
                              </pic:spPr>
                            </pic:pic>
                          </a:graphicData>
                        </a:graphic>
                      </wp:inline>
                    </w:drawing>
                  </w:r>
                </w:p>
              </w:tc>
              <w:tc>
                <w:tcPr>
                  <w:tcW w:w="1702" w:type="dxa"/>
                  <w:tcBorders>
                    <w:tl2br w:val="nil"/>
                    <w:tr2bl w:val="nil"/>
                  </w:tcBorders>
                  <w:vAlign w:val="center"/>
                </w:tcPr>
                <w:p w14:paraId="76289C64">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drawing>
                      <wp:inline distT="0" distB="0" distL="114300" distR="114300">
                        <wp:extent cx="513715" cy="464820"/>
                        <wp:effectExtent l="0" t="0" r="635" b="11430"/>
                        <wp:docPr id="1" name="图片 1" descr="0d89d1e1607fb44b6b589d290f9b9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0d89d1e1607fb44b6b589d290f9b9c3"/>
                                <pic:cNvPicPr>
                                  <a:picLocks noChangeAspect="1"/>
                                </pic:cNvPicPr>
                              </pic:nvPicPr>
                              <pic:blipFill>
                                <a:blip r:embed="rId35"/>
                                <a:srcRect l="53518" b="20764"/>
                                <a:stretch>
                                  <a:fillRect/>
                                </a:stretch>
                              </pic:blipFill>
                              <pic:spPr>
                                <a:xfrm>
                                  <a:off x="0" y="0"/>
                                  <a:ext cx="513715" cy="464820"/>
                                </a:xfrm>
                                <a:prstGeom prst="rect">
                                  <a:avLst/>
                                </a:prstGeom>
                              </pic:spPr>
                            </pic:pic>
                          </a:graphicData>
                        </a:graphic>
                      </wp:inline>
                    </w:drawing>
                  </w:r>
                </w:p>
              </w:tc>
              <w:tc>
                <w:tcPr>
                  <w:tcW w:w="1605" w:type="dxa"/>
                  <w:tcBorders>
                    <w:tl2br w:val="nil"/>
                    <w:tr2bl w:val="nil"/>
                  </w:tcBorders>
                  <w:vAlign w:val="center"/>
                </w:tcPr>
                <w:p w14:paraId="372EFE1A">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危险废物</w:t>
                  </w:r>
                </w:p>
              </w:tc>
              <w:tc>
                <w:tcPr>
                  <w:tcW w:w="2608" w:type="dxa"/>
                  <w:tcBorders>
                    <w:tl2br w:val="nil"/>
                    <w:tr2bl w:val="nil"/>
                  </w:tcBorders>
                  <w:vAlign w:val="center"/>
                </w:tcPr>
                <w:p w14:paraId="14910B1C">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kern w:val="2"/>
                      <w:sz w:val="21"/>
                      <w:szCs w:val="24"/>
                      <w:highlight w:val="none"/>
                      <w:lang w:val="en-US" w:eastAsia="zh-CN" w:bidi="ar-SA"/>
                    </w:rPr>
                    <w:t>表示</w:t>
                  </w:r>
                  <w:r>
                    <w:rPr>
                      <w:rFonts w:hint="eastAsia" w:ascii="Times New Roman" w:hAnsi="Times New Roman" w:eastAsia="宋体" w:cs="Times New Roman"/>
                      <w:color w:val="auto"/>
                      <w:kern w:val="2"/>
                      <w:sz w:val="21"/>
                      <w:szCs w:val="24"/>
                      <w:highlight w:val="none"/>
                      <w:lang w:val="en-US" w:eastAsia="zh-CN" w:bidi="ar-SA"/>
                    </w:rPr>
                    <w:t>危险废物</w:t>
                  </w:r>
                  <w:r>
                    <w:rPr>
                      <w:rFonts w:hint="default" w:ascii="Times New Roman" w:hAnsi="Times New Roman" w:eastAsia="宋体" w:cs="Times New Roman"/>
                      <w:color w:val="auto"/>
                      <w:kern w:val="2"/>
                      <w:sz w:val="21"/>
                      <w:szCs w:val="24"/>
                      <w:highlight w:val="none"/>
                      <w:lang w:val="en-US" w:eastAsia="zh-CN" w:bidi="ar-SA"/>
                    </w:rPr>
                    <w:t>贮存、处置场</w:t>
                  </w:r>
                </w:p>
              </w:tc>
            </w:tr>
            <w:tr w14:paraId="74A87AB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70" w:type="dxa"/>
                  <w:tcBorders>
                    <w:tl2br w:val="nil"/>
                    <w:tr2bl w:val="nil"/>
                  </w:tcBorders>
                  <w:vAlign w:val="center"/>
                </w:tcPr>
                <w:p w14:paraId="75047CDA">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5</w:t>
                  </w:r>
                </w:p>
              </w:tc>
              <w:tc>
                <w:tcPr>
                  <w:tcW w:w="1881" w:type="dxa"/>
                  <w:tcBorders>
                    <w:tl2br w:val="nil"/>
                    <w:tr2bl w:val="nil"/>
                  </w:tcBorders>
                  <w:vAlign w:val="center"/>
                </w:tcPr>
                <w:p w14:paraId="1DB365C2">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kern w:val="2"/>
                      <w:sz w:val="21"/>
                      <w:szCs w:val="24"/>
                      <w:highlight w:val="none"/>
                      <w:lang w:val="en-US" w:eastAsia="zh-CN" w:bidi="ar-SA"/>
                    </w:rPr>
                    <w:drawing>
                      <wp:inline distT="0" distB="0" distL="114300" distR="114300">
                        <wp:extent cx="478155" cy="508635"/>
                        <wp:effectExtent l="0" t="0" r="17145" b="5715"/>
                        <wp:docPr id="56" name="图片 54" descr="未标题-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4" descr="未标题-7"/>
                                <pic:cNvPicPr>
                                  <a:picLocks noChangeAspect="1"/>
                                </pic:cNvPicPr>
                              </pic:nvPicPr>
                              <pic:blipFill>
                                <a:blip r:embed="rId36"/>
                                <a:stretch>
                                  <a:fillRect/>
                                </a:stretch>
                              </pic:blipFill>
                              <pic:spPr>
                                <a:xfrm>
                                  <a:off x="0" y="0"/>
                                  <a:ext cx="478155" cy="508635"/>
                                </a:xfrm>
                                <a:prstGeom prst="rect">
                                  <a:avLst/>
                                </a:prstGeom>
                                <a:noFill/>
                                <a:ln>
                                  <a:noFill/>
                                </a:ln>
                              </pic:spPr>
                            </pic:pic>
                          </a:graphicData>
                        </a:graphic>
                      </wp:inline>
                    </w:drawing>
                  </w:r>
                </w:p>
              </w:tc>
              <w:tc>
                <w:tcPr>
                  <w:tcW w:w="1702" w:type="dxa"/>
                  <w:tcBorders>
                    <w:tl2br w:val="nil"/>
                    <w:tr2bl w:val="nil"/>
                  </w:tcBorders>
                  <w:vAlign w:val="center"/>
                </w:tcPr>
                <w:p w14:paraId="1DDA8331">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kern w:val="2"/>
                      <w:sz w:val="21"/>
                      <w:szCs w:val="24"/>
                      <w:highlight w:val="none"/>
                      <w:lang w:val="en-US" w:eastAsia="zh-CN" w:bidi="ar-SA"/>
                    </w:rPr>
                    <w:drawing>
                      <wp:inline distT="0" distB="0" distL="114300" distR="114300">
                        <wp:extent cx="531495" cy="480695"/>
                        <wp:effectExtent l="0" t="0" r="1905" b="14605"/>
                        <wp:docPr id="58" name="图片 55" descr="未标题-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5" descr="未标题-8"/>
                                <pic:cNvPicPr>
                                  <a:picLocks noChangeAspect="1"/>
                                </pic:cNvPicPr>
                              </pic:nvPicPr>
                              <pic:blipFill>
                                <a:blip r:embed="rId37"/>
                                <a:stretch>
                                  <a:fillRect/>
                                </a:stretch>
                              </pic:blipFill>
                              <pic:spPr>
                                <a:xfrm>
                                  <a:off x="0" y="0"/>
                                  <a:ext cx="531495" cy="480695"/>
                                </a:xfrm>
                                <a:prstGeom prst="rect">
                                  <a:avLst/>
                                </a:prstGeom>
                                <a:noFill/>
                                <a:ln>
                                  <a:noFill/>
                                </a:ln>
                              </pic:spPr>
                            </pic:pic>
                          </a:graphicData>
                        </a:graphic>
                      </wp:inline>
                    </w:drawing>
                  </w:r>
                </w:p>
              </w:tc>
              <w:tc>
                <w:tcPr>
                  <w:tcW w:w="1605" w:type="dxa"/>
                  <w:tcBorders>
                    <w:tl2br w:val="nil"/>
                    <w:tr2bl w:val="nil"/>
                  </w:tcBorders>
                  <w:vAlign w:val="center"/>
                </w:tcPr>
                <w:p w14:paraId="39C0D469">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kern w:val="2"/>
                      <w:sz w:val="21"/>
                      <w:szCs w:val="24"/>
                      <w:highlight w:val="none"/>
                      <w:lang w:val="en-US" w:eastAsia="zh-CN" w:bidi="ar-SA"/>
                    </w:rPr>
                    <w:t>噪声排放源</w:t>
                  </w:r>
                </w:p>
              </w:tc>
              <w:tc>
                <w:tcPr>
                  <w:tcW w:w="2608" w:type="dxa"/>
                  <w:tcBorders>
                    <w:tl2br w:val="nil"/>
                    <w:tr2bl w:val="nil"/>
                  </w:tcBorders>
                  <w:vAlign w:val="center"/>
                </w:tcPr>
                <w:p w14:paraId="5193BB4A">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kern w:val="2"/>
                      <w:sz w:val="21"/>
                      <w:szCs w:val="24"/>
                      <w:highlight w:val="none"/>
                      <w:lang w:val="en-US" w:eastAsia="zh-CN" w:bidi="ar-SA"/>
                    </w:rPr>
                    <w:t>表示噪声向外环境排放</w:t>
                  </w:r>
                </w:p>
              </w:tc>
            </w:tr>
          </w:tbl>
          <w:p w14:paraId="0012D0F1">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21"/>
                <w:szCs w:val="24"/>
                <w:highlight w:val="none"/>
                <w:lang w:val="en-US" w:eastAsia="zh-CN" w:bidi="ar-SA"/>
              </w:rPr>
            </w:pPr>
            <w:bookmarkStart w:id="36" w:name="_Ref515821956"/>
            <w:r>
              <w:rPr>
                <w:rFonts w:hint="default" w:ascii="Times New Roman" w:hAnsi="Times New Roman" w:eastAsia="宋体" w:cs="Times New Roman"/>
                <w:b/>
                <w:bCs/>
                <w:color w:val="auto"/>
                <w:kern w:val="2"/>
                <w:sz w:val="21"/>
                <w:szCs w:val="24"/>
                <w:highlight w:val="none"/>
                <w:lang w:val="en-US" w:eastAsia="zh-CN" w:bidi="ar-SA"/>
              </w:rPr>
              <w:t>表</w:t>
            </w:r>
            <w:bookmarkEnd w:id="36"/>
            <w:r>
              <w:rPr>
                <w:rFonts w:hint="eastAsia" w:ascii="Times New Roman" w:hAnsi="Times New Roman" w:eastAsia="宋体" w:cs="Times New Roman"/>
                <w:b/>
                <w:bCs/>
                <w:color w:val="auto"/>
                <w:kern w:val="2"/>
                <w:sz w:val="21"/>
                <w:szCs w:val="24"/>
                <w:highlight w:val="none"/>
                <w:lang w:val="en-US" w:eastAsia="zh-CN" w:bidi="ar-SA"/>
              </w:rPr>
              <w:t>4-</w:t>
            </w:r>
            <w:r>
              <w:rPr>
                <w:rFonts w:hint="eastAsia" w:cs="Times New Roman"/>
                <w:b/>
                <w:bCs/>
                <w:color w:val="auto"/>
                <w:kern w:val="2"/>
                <w:sz w:val="21"/>
                <w:szCs w:val="24"/>
                <w:highlight w:val="none"/>
                <w:lang w:val="en-US" w:eastAsia="zh-CN" w:bidi="ar-SA"/>
              </w:rPr>
              <w:t>17</w:t>
            </w:r>
            <w:r>
              <w:rPr>
                <w:rFonts w:hint="eastAsia" w:ascii="Times New Roman" w:hAnsi="Times New Roman" w:eastAsia="宋体" w:cs="Times New Roman"/>
                <w:b/>
                <w:bCs/>
                <w:color w:val="auto"/>
                <w:kern w:val="2"/>
                <w:sz w:val="21"/>
                <w:szCs w:val="24"/>
                <w:highlight w:val="none"/>
                <w:lang w:val="en-US" w:eastAsia="zh-CN" w:bidi="ar-SA"/>
              </w:rPr>
              <w:t xml:space="preserve"> </w:t>
            </w:r>
            <w:r>
              <w:rPr>
                <w:rFonts w:hint="eastAsia" w:cs="Times New Roman"/>
                <w:b/>
                <w:bCs/>
                <w:color w:val="auto"/>
                <w:kern w:val="2"/>
                <w:sz w:val="21"/>
                <w:szCs w:val="24"/>
                <w:highlight w:val="none"/>
                <w:lang w:val="en-US" w:eastAsia="zh-CN" w:bidi="ar-SA"/>
              </w:rPr>
              <w:t xml:space="preserve"> </w:t>
            </w:r>
            <w:r>
              <w:rPr>
                <w:rFonts w:hint="default" w:ascii="Times New Roman" w:hAnsi="Times New Roman" w:eastAsia="宋体" w:cs="Times New Roman"/>
                <w:b/>
                <w:bCs/>
                <w:color w:val="auto"/>
                <w:kern w:val="2"/>
                <w:sz w:val="21"/>
                <w:szCs w:val="24"/>
                <w:highlight w:val="none"/>
                <w:lang w:val="en-US" w:eastAsia="zh-CN" w:bidi="ar-SA"/>
              </w:rPr>
              <w:t>环境保护图形标志的形状及颜色表</w:t>
            </w:r>
          </w:p>
          <w:tbl>
            <w:tblPr>
              <w:tblStyle w:val="26"/>
              <w:tblW w:w="8466" w:type="dxa"/>
              <w:tblInd w:w="0" w:type="dxa"/>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162"/>
              <w:gridCol w:w="2162"/>
              <w:gridCol w:w="2163"/>
              <w:gridCol w:w="1979"/>
            </w:tblGrid>
            <w:tr w14:paraId="752629F2">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2162" w:type="dxa"/>
                  <w:tcBorders>
                    <w:bottom w:val="single" w:color="auto" w:sz="12" w:space="0"/>
                  </w:tcBorders>
                  <w:vAlign w:val="center"/>
                </w:tcPr>
                <w:p w14:paraId="3C63209F">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21"/>
                      <w:szCs w:val="24"/>
                      <w:highlight w:val="none"/>
                      <w:lang w:val="en-US" w:eastAsia="zh-CN" w:bidi="ar-SA"/>
                    </w:rPr>
                  </w:pPr>
                  <w:r>
                    <w:rPr>
                      <w:rFonts w:hint="default" w:ascii="Times New Roman" w:hAnsi="Times New Roman" w:eastAsia="宋体" w:cs="Times New Roman"/>
                      <w:b/>
                      <w:bCs/>
                      <w:color w:val="auto"/>
                      <w:kern w:val="2"/>
                      <w:sz w:val="21"/>
                      <w:szCs w:val="24"/>
                      <w:highlight w:val="none"/>
                      <w:lang w:val="en-US" w:eastAsia="zh-CN" w:bidi="ar-SA"/>
                    </w:rPr>
                    <w:t>标志名称</w:t>
                  </w:r>
                </w:p>
              </w:tc>
              <w:tc>
                <w:tcPr>
                  <w:tcW w:w="2162" w:type="dxa"/>
                  <w:tcBorders>
                    <w:bottom w:val="single" w:color="auto" w:sz="12" w:space="0"/>
                  </w:tcBorders>
                  <w:vAlign w:val="center"/>
                </w:tcPr>
                <w:p w14:paraId="55D153B4">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21"/>
                      <w:szCs w:val="24"/>
                      <w:highlight w:val="none"/>
                      <w:lang w:val="en-US" w:eastAsia="zh-CN" w:bidi="ar-SA"/>
                    </w:rPr>
                  </w:pPr>
                  <w:r>
                    <w:rPr>
                      <w:rFonts w:hint="default" w:ascii="Times New Roman" w:hAnsi="Times New Roman" w:eastAsia="宋体" w:cs="Times New Roman"/>
                      <w:b/>
                      <w:bCs/>
                      <w:color w:val="auto"/>
                      <w:kern w:val="2"/>
                      <w:sz w:val="21"/>
                      <w:szCs w:val="24"/>
                      <w:highlight w:val="none"/>
                      <w:lang w:val="en-US" w:eastAsia="zh-CN" w:bidi="ar-SA"/>
                    </w:rPr>
                    <w:t>形状</w:t>
                  </w:r>
                </w:p>
              </w:tc>
              <w:tc>
                <w:tcPr>
                  <w:tcW w:w="2163" w:type="dxa"/>
                  <w:tcBorders>
                    <w:bottom w:val="single" w:color="auto" w:sz="12" w:space="0"/>
                  </w:tcBorders>
                  <w:vAlign w:val="center"/>
                </w:tcPr>
                <w:p w14:paraId="4BCA6665">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21"/>
                      <w:szCs w:val="24"/>
                      <w:highlight w:val="none"/>
                      <w:lang w:val="en-US" w:eastAsia="zh-CN" w:bidi="ar-SA"/>
                    </w:rPr>
                  </w:pPr>
                  <w:r>
                    <w:rPr>
                      <w:rFonts w:hint="default" w:ascii="Times New Roman" w:hAnsi="Times New Roman" w:eastAsia="宋体" w:cs="Times New Roman"/>
                      <w:b/>
                      <w:bCs/>
                      <w:color w:val="auto"/>
                      <w:kern w:val="2"/>
                      <w:sz w:val="21"/>
                      <w:szCs w:val="24"/>
                      <w:highlight w:val="none"/>
                      <w:lang w:val="en-US" w:eastAsia="zh-CN" w:bidi="ar-SA"/>
                    </w:rPr>
                    <w:t>背景颜色</w:t>
                  </w:r>
                </w:p>
              </w:tc>
              <w:tc>
                <w:tcPr>
                  <w:tcW w:w="1979" w:type="dxa"/>
                  <w:tcBorders>
                    <w:bottom w:val="single" w:color="auto" w:sz="12" w:space="0"/>
                  </w:tcBorders>
                  <w:vAlign w:val="center"/>
                </w:tcPr>
                <w:p w14:paraId="541DB411">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kern w:val="2"/>
                      <w:sz w:val="21"/>
                      <w:szCs w:val="24"/>
                      <w:highlight w:val="none"/>
                      <w:lang w:val="en-US" w:eastAsia="zh-CN" w:bidi="ar-SA"/>
                    </w:rPr>
                  </w:pPr>
                  <w:r>
                    <w:rPr>
                      <w:rFonts w:hint="default" w:ascii="Times New Roman" w:hAnsi="Times New Roman" w:eastAsia="宋体" w:cs="Times New Roman"/>
                      <w:b/>
                      <w:bCs/>
                      <w:color w:val="auto"/>
                      <w:kern w:val="2"/>
                      <w:sz w:val="21"/>
                      <w:szCs w:val="24"/>
                      <w:highlight w:val="none"/>
                      <w:lang w:val="en-US" w:eastAsia="zh-CN" w:bidi="ar-SA"/>
                    </w:rPr>
                    <w:t>图形颜色</w:t>
                  </w:r>
                </w:p>
              </w:tc>
            </w:tr>
            <w:tr w14:paraId="772554E4">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2162" w:type="dxa"/>
                  <w:tcBorders>
                    <w:top w:val="single" w:color="auto" w:sz="12" w:space="0"/>
                  </w:tcBorders>
                  <w:vAlign w:val="center"/>
                </w:tcPr>
                <w:p w14:paraId="5790D32C">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kern w:val="2"/>
                      <w:sz w:val="21"/>
                      <w:szCs w:val="24"/>
                      <w:highlight w:val="none"/>
                      <w:lang w:val="en-US" w:eastAsia="zh-CN" w:bidi="ar-SA"/>
                    </w:rPr>
                    <w:t>警告标志</w:t>
                  </w:r>
                </w:p>
              </w:tc>
              <w:tc>
                <w:tcPr>
                  <w:tcW w:w="2162" w:type="dxa"/>
                  <w:tcBorders>
                    <w:top w:val="single" w:color="auto" w:sz="12" w:space="0"/>
                  </w:tcBorders>
                  <w:vAlign w:val="center"/>
                </w:tcPr>
                <w:p w14:paraId="1DAD6881">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kern w:val="2"/>
                      <w:sz w:val="21"/>
                      <w:szCs w:val="24"/>
                      <w:highlight w:val="none"/>
                      <w:lang w:val="en-US" w:eastAsia="zh-CN" w:bidi="ar-SA"/>
                    </w:rPr>
                    <w:t>三角形边框</w:t>
                  </w:r>
                </w:p>
              </w:tc>
              <w:tc>
                <w:tcPr>
                  <w:tcW w:w="2163" w:type="dxa"/>
                  <w:tcBorders>
                    <w:top w:val="single" w:color="auto" w:sz="12" w:space="0"/>
                  </w:tcBorders>
                  <w:vAlign w:val="center"/>
                </w:tcPr>
                <w:p w14:paraId="69DC9C02">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kern w:val="2"/>
                      <w:sz w:val="21"/>
                      <w:szCs w:val="24"/>
                      <w:highlight w:val="none"/>
                      <w:lang w:val="en-US" w:eastAsia="zh-CN" w:bidi="ar-SA"/>
                    </w:rPr>
                    <w:t>黄色</w:t>
                  </w:r>
                </w:p>
              </w:tc>
              <w:tc>
                <w:tcPr>
                  <w:tcW w:w="1979" w:type="dxa"/>
                  <w:tcBorders>
                    <w:top w:val="single" w:color="auto" w:sz="12" w:space="0"/>
                  </w:tcBorders>
                  <w:vAlign w:val="center"/>
                </w:tcPr>
                <w:p w14:paraId="174BFA4E">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kern w:val="2"/>
                      <w:sz w:val="21"/>
                      <w:szCs w:val="24"/>
                      <w:highlight w:val="none"/>
                      <w:lang w:val="en-US" w:eastAsia="zh-CN" w:bidi="ar-SA"/>
                    </w:rPr>
                    <w:t>黑色</w:t>
                  </w:r>
                </w:p>
              </w:tc>
            </w:tr>
            <w:tr w14:paraId="55ADFD97">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2162" w:type="dxa"/>
                  <w:tcBorders>
                    <w:bottom w:val="single" w:color="auto" w:sz="12" w:space="0"/>
                  </w:tcBorders>
                  <w:vAlign w:val="center"/>
                </w:tcPr>
                <w:p w14:paraId="64CC6902">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kern w:val="2"/>
                      <w:sz w:val="21"/>
                      <w:szCs w:val="24"/>
                      <w:highlight w:val="none"/>
                      <w:lang w:val="en-US" w:eastAsia="zh-CN" w:bidi="ar-SA"/>
                    </w:rPr>
                    <w:t>提示标志</w:t>
                  </w:r>
                </w:p>
              </w:tc>
              <w:tc>
                <w:tcPr>
                  <w:tcW w:w="2162" w:type="dxa"/>
                  <w:tcBorders>
                    <w:bottom w:val="single" w:color="auto" w:sz="12" w:space="0"/>
                  </w:tcBorders>
                  <w:vAlign w:val="center"/>
                </w:tcPr>
                <w:p w14:paraId="0817D854">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kern w:val="2"/>
                      <w:sz w:val="21"/>
                      <w:szCs w:val="24"/>
                      <w:highlight w:val="none"/>
                      <w:lang w:val="en-US" w:eastAsia="zh-CN" w:bidi="ar-SA"/>
                    </w:rPr>
                    <w:t>正方形边框</w:t>
                  </w:r>
                </w:p>
              </w:tc>
              <w:tc>
                <w:tcPr>
                  <w:tcW w:w="2163" w:type="dxa"/>
                  <w:tcBorders>
                    <w:bottom w:val="single" w:color="auto" w:sz="12" w:space="0"/>
                  </w:tcBorders>
                  <w:vAlign w:val="center"/>
                </w:tcPr>
                <w:p w14:paraId="3D6591CD">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kern w:val="2"/>
                      <w:sz w:val="21"/>
                      <w:szCs w:val="24"/>
                      <w:highlight w:val="none"/>
                      <w:lang w:val="en-US" w:eastAsia="zh-CN" w:bidi="ar-SA"/>
                    </w:rPr>
                    <w:t>绿色</w:t>
                  </w:r>
                </w:p>
              </w:tc>
              <w:tc>
                <w:tcPr>
                  <w:tcW w:w="1979" w:type="dxa"/>
                  <w:tcBorders>
                    <w:bottom w:val="single" w:color="auto" w:sz="12" w:space="0"/>
                  </w:tcBorders>
                  <w:vAlign w:val="center"/>
                </w:tcPr>
                <w:p w14:paraId="2763B32C">
                  <w:pPr>
                    <w:keepNext w:val="0"/>
                    <w:keepLines w:val="0"/>
                    <w:widowControl w:val="0"/>
                    <w:suppressLineNumbers w:val="0"/>
                    <w:bidi w:val="0"/>
                    <w:adjustRightIn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kern w:val="2"/>
                      <w:sz w:val="21"/>
                      <w:szCs w:val="24"/>
                      <w:highlight w:val="none"/>
                      <w:lang w:val="en-US" w:eastAsia="zh-CN" w:bidi="ar-SA"/>
                    </w:rPr>
                    <w:t>白色</w:t>
                  </w:r>
                </w:p>
              </w:tc>
            </w:tr>
          </w:tbl>
          <w:p w14:paraId="0ED6BF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eastAsia" w:ascii="Times New Roman" w:hAnsi="Times New Roman" w:eastAsia="宋体" w:cs="Times New Roman"/>
                <w:b/>
                <w:color w:val="auto"/>
                <w:sz w:val="24"/>
                <w:highlight w:val="none"/>
                <w:lang w:val="en-US" w:eastAsia="zh-CN"/>
              </w:rPr>
            </w:pPr>
            <w:r>
              <w:rPr>
                <w:rFonts w:hint="eastAsia" w:ascii="Times New Roman" w:hAnsi="Times New Roman" w:eastAsia="宋体" w:cs="Times New Roman"/>
                <w:b/>
                <w:color w:val="auto"/>
                <w:sz w:val="24"/>
                <w:highlight w:val="none"/>
                <w:lang w:val="en-US" w:eastAsia="zh-CN"/>
              </w:rPr>
              <w:t>9、环评与排污许可制度衔接相关工作</w:t>
            </w:r>
          </w:p>
          <w:p w14:paraId="1D11D7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b/>
                <w:color w:val="auto"/>
                <w:sz w:val="24"/>
                <w:highlight w:val="none"/>
                <w:lang w:val="en-US" w:eastAsia="zh-CN"/>
              </w:rPr>
            </w:pPr>
            <w:r>
              <w:rPr>
                <w:rFonts w:hint="eastAsia" w:ascii="Times New Roman" w:hAnsi="Times New Roman" w:eastAsia="宋体" w:cs="Times New Roman"/>
                <w:color w:val="auto"/>
                <w:sz w:val="24"/>
                <w:lang w:val="en-US" w:eastAsia="zh-CN"/>
              </w:rPr>
              <w:t>环评与排污许可制度衔接相关工作的通知，本项目在执行环境影响评价中的相关要求的同时，应按照生态环境部办公厅于2017年11月15日发布的《关于做好环境影响评价制度与排污许可制度衔接相关工作的通知》（环办环评</w:t>
            </w:r>
            <w:r>
              <w:rPr>
                <w:rFonts w:hint="default"/>
                <w:color w:val="auto"/>
                <w:kern w:val="0"/>
                <w:sz w:val="24"/>
                <w:szCs w:val="32"/>
              </w:rPr>
              <w:t>〔</w:t>
            </w:r>
            <w:r>
              <w:rPr>
                <w:rFonts w:hint="eastAsia"/>
                <w:color w:val="auto"/>
                <w:sz w:val="24"/>
                <w:szCs w:val="32"/>
              </w:rPr>
              <w:t>20</w:t>
            </w:r>
            <w:r>
              <w:rPr>
                <w:rFonts w:hint="eastAsia"/>
                <w:color w:val="auto"/>
                <w:sz w:val="24"/>
                <w:szCs w:val="32"/>
                <w:lang w:val="en-US" w:eastAsia="zh-CN"/>
              </w:rPr>
              <w:t>17</w:t>
            </w:r>
            <w:r>
              <w:rPr>
                <w:rFonts w:hint="default"/>
                <w:color w:val="auto"/>
                <w:kern w:val="0"/>
                <w:sz w:val="24"/>
                <w:szCs w:val="32"/>
              </w:rPr>
              <w:t>〕</w:t>
            </w:r>
            <w:r>
              <w:rPr>
                <w:rFonts w:hint="eastAsia" w:ascii="Times New Roman" w:hAnsi="Times New Roman" w:eastAsia="宋体" w:cs="Times New Roman"/>
                <w:color w:val="auto"/>
                <w:sz w:val="24"/>
                <w:lang w:val="en-US" w:eastAsia="zh-CN"/>
              </w:rPr>
              <w:t>84号）、《排污许可管理办法》（2024年7月1日起施行）、《固定污染源排污许可分类管理名录（2019年版）》以及《排污许可管理条例》（2021年3月1日实施）要求做好排污许可制度的衔接工作。本项目主要从事C1952皮鞋制造、C1953塑料鞋制造、C1959其他鞋制造，对照《固定污染源排污许可分类管理名录（2019版）》，属于“十四、皮革、毛皮、羽毛及其制品和制鞋业 19”—“32 制鞋业195 除重点管理以外的年使用10吨及以上溶剂型胶粘剂或者3吨及以上溶剂型处理剂的”，由</w:t>
            </w:r>
            <w:r>
              <w:rPr>
                <w:rFonts w:hint="default" w:ascii="Times New Roman" w:hAnsi="Times New Roman" w:eastAsia="宋体" w:cs="Times New Roman"/>
                <w:color w:val="auto"/>
                <w:sz w:val="24"/>
                <w:highlight w:val="none"/>
                <w:lang w:val="en-US" w:eastAsia="zh-CN"/>
              </w:rPr>
              <w:t>江西红鲤鱼鞋业有限公司</w:t>
            </w:r>
            <w:r>
              <w:rPr>
                <w:rFonts w:hint="eastAsia" w:ascii="Times New Roman" w:hAnsi="Times New Roman" w:eastAsia="宋体" w:cs="Times New Roman"/>
                <w:color w:val="auto"/>
                <w:sz w:val="24"/>
                <w:lang w:val="en-US" w:eastAsia="zh-CN"/>
              </w:rPr>
              <w:t>按排污许可简化管理进行申报。</w:t>
            </w:r>
          </w:p>
          <w:p w14:paraId="63F6496A">
            <w:pPr>
              <w:keepNext w:val="0"/>
              <w:keepLines w:val="0"/>
              <w:suppressLineNumbers w:val="0"/>
              <w:spacing w:before="0" w:beforeAutospacing="0" w:after="0" w:afterAutospacing="0" w:line="360" w:lineRule="auto"/>
              <w:ind w:left="0" w:right="0" w:firstLine="482" w:firstLineChars="200"/>
              <w:rPr>
                <w:rFonts w:hint="default"/>
                <w:b/>
                <w:color w:val="auto"/>
                <w:sz w:val="24"/>
                <w:highlight w:val="none"/>
                <w:lang w:val="en-GB"/>
              </w:rPr>
            </w:pPr>
            <w:r>
              <w:rPr>
                <w:rFonts w:hint="eastAsia"/>
                <w:b/>
                <w:color w:val="auto"/>
                <w:sz w:val="24"/>
                <w:highlight w:val="none"/>
                <w:lang w:val="en-US" w:eastAsia="zh-CN"/>
              </w:rPr>
              <w:t>10</w:t>
            </w:r>
            <w:r>
              <w:rPr>
                <w:rFonts w:hint="eastAsia"/>
                <w:b/>
                <w:color w:val="auto"/>
                <w:sz w:val="24"/>
                <w:highlight w:val="none"/>
              </w:rPr>
              <w:t>、</w:t>
            </w:r>
            <w:r>
              <w:rPr>
                <w:rFonts w:hint="default"/>
                <w:b/>
                <w:color w:val="auto"/>
                <w:sz w:val="24"/>
                <w:highlight w:val="none"/>
                <w:lang w:val="en-GB"/>
              </w:rPr>
              <w:t>环保设备和投资估算</w:t>
            </w:r>
          </w:p>
          <w:p w14:paraId="19C29F39">
            <w:pPr>
              <w:pStyle w:val="57"/>
              <w:keepNext w:val="0"/>
              <w:keepLines w:val="0"/>
              <w:suppressLineNumbers w:val="0"/>
              <w:spacing w:before="0" w:beforeAutospacing="0" w:after="0" w:afterAutospacing="0"/>
              <w:ind w:left="0" w:right="0" w:firstLine="480"/>
              <w:rPr>
                <w:rFonts w:hint="default"/>
                <w:color w:val="auto"/>
                <w:highlight w:val="none"/>
                <w:lang w:val="en-GB"/>
              </w:rPr>
            </w:pPr>
            <w:r>
              <w:rPr>
                <w:rFonts w:hint="eastAsia"/>
                <w:color w:val="auto"/>
                <w:highlight w:val="none"/>
              </w:rPr>
              <w:t>项目环保投资主要用于废气、废水、固体废物及噪声治理。本项目总投资额</w:t>
            </w:r>
            <w:r>
              <w:rPr>
                <w:rFonts w:hint="eastAsia"/>
                <w:color w:val="auto"/>
                <w:highlight w:val="none"/>
                <w:lang w:val="en-US" w:eastAsia="zh-CN"/>
              </w:rPr>
              <w:t>2</w:t>
            </w:r>
            <w:r>
              <w:rPr>
                <w:rFonts w:hint="eastAsia" w:cs="Times New Roman"/>
                <w:color w:val="auto"/>
                <w:sz w:val="24"/>
                <w:szCs w:val="24"/>
                <w:highlight w:val="none"/>
                <w:lang w:val="en-US" w:eastAsia="zh-CN"/>
              </w:rPr>
              <w:t>000</w:t>
            </w:r>
            <w:r>
              <w:rPr>
                <w:rFonts w:hint="eastAsia"/>
                <w:color w:val="auto"/>
                <w:highlight w:val="none"/>
              </w:rPr>
              <w:t>万元，其中环保投资</w:t>
            </w:r>
            <w:r>
              <w:rPr>
                <w:rFonts w:hint="eastAsia"/>
                <w:color w:val="auto"/>
                <w:highlight w:val="none"/>
                <w:lang w:val="en-US" w:eastAsia="zh-CN"/>
              </w:rPr>
              <w:t>103.2</w:t>
            </w:r>
            <w:r>
              <w:rPr>
                <w:rFonts w:hint="eastAsia"/>
                <w:color w:val="auto"/>
                <w:highlight w:val="none"/>
              </w:rPr>
              <w:t>万元，环保投资率</w:t>
            </w:r>
            <w:r>
              <w:rPr>
                <w:rFonts w:hint="eastAsia"/>
                <w:color w:val="auto"/>
                <w:highlight w:val="none"/>
                <w:lang w:val="en-US" w:eastAsia="zh-CN"/>
              </w:rPr>
              <w:t>5.16%</w:t>
            </w:r>
            <w:r>
              <w:rPr>
                <w:rFonts w:hint="eastAsia"/>
                <w:color w:val="auto"/>
                <w:highlight w:val="none"/>
              </w:rPr>
              <w:t>，投资估算见表4-</w:t>
            </w:r>
            <w:r>
              <w:rPr>
                <w:rFonts w:hint="eastAsia"/>
                <w:color w:val="auto"/>
                <w:highlight w:val="none"/>
                <w:lang w:val="en-US" w:eastAsia="zh-CN"/>
              </w:rPr>
              <w:t>21</w:t>
            </w:r>
            <w:r>
              <w:rPr>
                <w:rFonts w:hint="default"/>
                <w:color w:val="auto"/>
                <w:highlight w:val="none"/>
              </w:rPr>
              <w:t>。</w:t>
            </w:r>
          </w:p>
          <w:p w14:paraId="787D7103">
            <w:pPr>
              <w:keepNext w:val="0"/>
              <w:keepLines w:val="0"/>
              <w:suppressLineNumbers w:val="0"/>
              <w:tabs>
                <w:tab w:val="left" w:pos="0"/>
              </w:tabs>
              <w:spacing w:before="0" w:beforeAutospacing="0" w:after="0" w:afterAutospacing="0"/>
              <w:ind w:left="0" w:right="0"/>
              <w:jc w:val="center"/>
              <w:rPr>
                <w:rFonts w:hint="default" w:ascii="Times New Roman" w:hAnsi="Times New Roman" w:eastAsia="宋体" w:cs="Times New Roman"/>
                <w:b/>
                <w:color w:val="auto"/>
                <w:kern w:val="21"/>
                <w:szCs w:val="21"/>
                <w:highlight w:val="none"/>
                <w:lang w:val="en-GB" w:eastAsia="zh-CN"/>
              </w:rPr>
            </w:pPr>
            <w:r>
              <w:rPr>
                <w:rFonts w:hint="default" w:ascii="Times New Roman" w:hAnsi="Times New Roman" w:eastAsia="宋体" w:cs="Times New Roman"/>
                <w:b/>
                <w:color w:val="auto"/>
                <w:kern w:val="21"/>
                <w:szCs w:val="21"/>
                <w:highlight w:val="none"/>
                <w:lang w:val="en-GB" w:eastAsia="zh-CN"/>
              </w:rPr>
              <w:t>表</w:t>
            </w:r>
            <w:r>
              <w:rPr>
                <w:rFonts w:hint="eastAsia" w:ascii="Times New Roman" w:hAnsi="Times New Roman" w:eastAsia="宋体" w:cs="Times New Roman"/>
                <w:b/>
                <w:color w:val="auto"/>
                <w:kern w:val="21"/>
                <w:szCs w:val="21"/>
                <w:highlight w:val="none"/>
                <w:lang w:val="en-GB" w:eastAsia="zh-CN"/>
              </w:rPr>
              <w:t>4</w:t>
            </w:r>
            <w:r>
              <w:rPr>
                <w:rFonts w:hint="eastAsia" w:cs="Times New Roman"/>
                <w:b/>
                <w:color w:val="auto"/>
                <w:kern w:val="21"/>
                <w:szCs w:val="21"/>
                <w:highlight w:val="none"/>
                <w:lang w:val="en-US" w:eastAsia="zh-CN"/>
              </w:rPr>
              <w:t>-21</w:t>
            </w:r>
            <w:r>
              <w:rPr>
                <w:rFonts w:hint="eastAsia" w:ascii="Times New Roman" w:hAnsi="Times New Roman" w:eastAsia="宋体" w:cs="Times New Roman"/>
                <w:b/>
                <w:color w:val="auto"/>
                <w:kern w:val="21"/>
                <w:szCs w:val="21"/>
                <w:highlight w:val="none"/>
                <w:lang w:val="en-GB" w:eastAsia="zh-CN"/>
              </w:rPr>
              <w:t xml:space="preserve"> </w:t>
            </w:r>
            <w:r>
              <w:rPr>
                <w:rFonts w:hint="eastAsia" w:cs="Times New Roman"/>
                <w:b/>
                <w:color w:val="auto"/>
                <w:kern w:val="21"/>
                <w:szCs w:val="21"/>
                <w:highlight w:val="none"/>
                <w:lang w:val="en-US" w:eastAsia="zh-CN"/>
              </w:rPr>
              <w:t xml:space="preserve"> </w:t>
            </w:r>
            <w:r>
              <w:rPr>
                <w:rFonts w:hint="default" w:ascii="Times New Roman" w:hAnsi="Times New Roman" w:eastAsia="宋体" w:cs="Times New Roman"/>
                <w:b/>
                <w:color w:val="auto"/>
                <w:kern w:val="21"/>
                <w:szCs w:val="21"/>
                <w:highlight w:val="none"/>
                <w:lang w:val="en-GB" w:eastAsia="zh-CN"/>
              </w:rPr>
              <w:t>项目污染治理投资估算表</w:t>
            </w:r>
          </w:p>
          <w:tbl>
            <w:tblPr>
              <w:tblStyle w:val="26"/>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670"/>
              <w:gridCol w:w="1353"/>
              <w:gridCol w:w="3026"/>
              <w:gridCol w:w="1636"/>
              <w:gridCol w:w="1780"/>
            </w:tblGrid>
            <w:tr w14:paraId="4ED6742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cantSplit/>
                <w:trHeight w:val="340" w:hRule="atLeast"/>
                <w:jc w:val="center"/>
              </w:trPr>
              <w:tc>
                <w:tcPr>
                  <w:tcW w:w="396" w:type="pct"/>
                  <w:tcBorders>
                    <w:bottom w:val="single" w:color="auto" w:sz="12" w:space="0"/>
                  </w:tcBorders>
                  <w:vAlign w:val="center"/>
                </w:tcPr>
                <w:p w14:paraId="172CC1AE">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val="0"/>
                      <w:color w:val="auto"/>
                      <w:sz w:val="21"/>
                      <w:szCs w:val="21"/>
                      <w:highlight w:val="none"/>
                    </w:rPr>
                  </w:pPr>
                  <w:r>
                    <w:rPr>
                      <w:rFonts w:hint="default" w:ascii="Times New Roman" w:hAnsi="Times New Roman" w:eastAsia="宋体" w:cs="Times New Roman"/>
                      <w:b/>
                      <w:bCs w:val="0"/>
                      <w:color w:val="auto"/>
                      <w:sz w:val="21"/>
                      <w:szCs w:val="21"/>
                      <w:highlight w:val="none"/>
                    </w:rPr>
                    <w:t>项目</w:t>
                  </w:r>
                </w:p>
              </w:tc>
              <w:tc>
                <w:tcPr>
                  <w:tcW w:w="799" w:type="pct"/>
                  <w:tcBorders>
                    <w:bottom w:val="single" w:color="auto" w:sz="12" w:space="0"/>
                  </w:tcBorders>
                  <w:vAlign w:val="center"/>
                </w:tcPr>
                <w:p w14:paraId="1FE210E5">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val="0"/>
                      <w:color w:val="auto"/>
                      <w:sz w:val="21"/>
                      <w:szCs w:val="21"/>
                      <w:highlight w:val="none"/>
                    </w:rPr>
                  </w:pPr>
                  <w:r>
                    <w:rPr>
                      <w:rFonts w:hint="default" w:ascii="Times New Roman" w:hAnsi="Times New Roman" w:eastAsia="宋体" w:cs="Times New Roman"/>
                      <w:b/>
                      <w:bCs w:val="0"/>
                      <w:color w:val="auto"/>
                      <w:sz w:val="21"/>
                      <w:szCs w:val="21"/>
                      <w:highlight w:val="none"/>
                    </w:rPr>
                    <w:t>污染源</w:t>
                  </w:r>
                </w:p>
              </w:tc>
              <w:tc>
                <w:tcPr>
                  <w:tcW w:w="1786" w:type="pct"/>
                  <w:tcBorders>
                    <w:bottom w:val="single" w:color="auto" w:sz="12" w:space="0"/>
                  </w:tcBorders>
                  <w:vAlign w:val="center"/>
                </w:tcPr>
                <w:p w14:paraId="52B92AD3">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val="0"/>
                      <w:color w:val="auto"/>
                      <w:sz w:val="21"/>
                      <w:szCs w:val="21"/>
                      <w:highlight w:val="none"/>
                    </w:rPr>
                  </w:pPr>
                  <w:r>
                    <w:rPr>
                      <w:rFonts w:hint="default" w:ascii="Times New Roman" w:hAnsi="Times New Roman" w:eastAsia="宋体" w:cs="Times New Roman"/>
                      <w:b/>
                      <w:bCs w:val="0"/>
                      <w:color w:val="auto"/>
                      <w:sz w:val="21"/>
                      <w:szCs w:val="21"/>
                      <w:highlight w:val="none"/>
                    </w:rPr>
                    <w:t>内容</w:t>
                  </w:r>
                </w:p>
              </w:tc>
              <w:tc>
                <w:tcPr>
                  <w:tcW w:w="966" w:type="pct"/>
                  <w:tcBorders>
                    <w:bottom w:val="single" w:color="auto" w:sz="12" w:space="0"/>
                  </w:tcBorders>
                  <w:vAlign w:val="center"/>
                </w:tcPr>
                <w:p w14:paraId="289C6BE0">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val="0"/>
                      <w:color w:val="auto"/>
                      <w:sz w:val="21"/>
                      <w:szCs w:val="21"/>
                      <w:highlight w:val="none"/>
                    </w:rPr>
                  </w:pPr>
                  <w:r>
                    <w:rPr>
                      <w:rFonts w:hint="default" w:ascii="Times New Roman" w:hAnsi="Times New Roman" w:eastAsia="宋体" w:cs="Times New Roman"/>
                      <w:b/>
                      <w:bCs w:val="0"/>
                      <w:color w:val="auto"/>
                      <w:sz w:val="21"/>
                      <w:szCs w:val="21"/>
                      <w:highlight w:val="none"/>
                    </w:rPr>
                    <w:t>经费(万元)</w:t>
                  </w:r>
                </w:p>
              </w:tc>
              <w:tc>
                <w:tcPr>
                  <w:tcW w:w="1051" w:type="pct"/>
                  <w:tcBorders>
                    <w:bottom w:val="single" w:color="auto" w:sz="12" w:space="0"/>
                  </w:tcBorders>
                  <w:vAlign w:val="center"/>
                </w:tcPr>
                <w:p w14:paraId="32B81D6A">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bCs w:val="0"/>
                      <w:color w:val="auto"/>
                      <w:sz w:val="21"/>
                      <w:szCs w:val="21"/>
                      <w:highlight w:val="none"/>
                      <w:lang w:val="en-US" w:eastAsia="zh-CN"/>
                    </w:rPr>
                  </w:pPr>
                  <w:r>
                    <w:rPr>
                      <w:rFonts w:hint="eastAsia" w:ascii="Times New Roman" w:cs="Times New Roman"/>
                      <w:b/>
                      <w:bCs w:val="0"/>
                      <w:color w:val="auto"/>
                      <w:sz w:val="21"/>
                      <w:szCs w:val="21"/>
                      <w:highlight w:val="none"/>
                      <w:lang w:val="en-US" w:eastAsia="zh-CN"/>
                    </w:rPr>
                    <w:t>备注</w:t>
                  </w:r>
                </w:p>
              </w:tc>
            </w:tr>
            <w:tr w14:paraId="025B0D1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90" w:hRule="atLeast"/>
                <w:jc w:val="center"/>
              </w:trPr>
              <w:tc>
                <w:tcPr>
                  <w:tcW w:w="396" w:type="pct"/>
                  <w:vMerge w:val="restart"/>
                  <w:tcBorders>
                    <w:top w:val="single" w:color="auto" w:sz="12" w:space="0"/>
                    <w:tl2br w:val="nil"/>
                    <w:tr2bl w:val="nil"/>
                  </w:tcBorders>
                  <w:vAlign w:val="center"/>
                </w:tcPr>
                <w:p w14:paraId="3F80A33A">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sz w:val="21"/>
                      <w:szCs w:val="21"/>
                      <w:highlight w:val="none"/>
                    </w:rPr>
                  </w:pPr>
                  <w:r>
                    <w:rPr>
                      <w:rFonts w:hint="default" w:ascii="Times New Roman" w:hAnsi="Times New Roman" w:eastAsia="宋体" w:cs="Times New Roman"/>
                      <w:b w:val="0"/>
                      <w:bCs/>
                      <w:color w:val="auto"/>
                      <w:sz w:val="21"/>
                      <w:szCs w:val="21"/>
                      <w:highlight w:val="none"/>
                    </w:rPr>
                    <w:t>废水</w:t>
                  </w:r>
                </w:p>
              </w:tc>
              <w:tc>
                <w:tcPr>
                  <w:tcW w:w="799" w:type="pct"/>
                  <w:tcBorders>
                    <w:top w:val="single" w:color="auto" w:sz="12" w:space="0"/>
                    <w:tl2br w:val="nil"/>
                    <w:tr2bl w:val="nil"/>
                  </w:tcBorders>
                  <w:vAlign w:val="center"/>
                </w:tcPr>
                <w:p w14:paraId="44938E1A">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sz w:val="21"/>
                      <w:szCs w:val="21"/>
                      <w:highlight w:val="none"/>
                      <w:lang w:val="en-US" w:eastAsia="zh-CN"/>
                    </w:rPr>
                  </w:pPr>
                  <w:r>
                    <w:rPr>
                      <w:rFonts w:hint="eastAsia" w:ascii="Times New Roman" w:cs="Times New Roman"/>
                      <w:b w:val="0"/>
                      <w:bCs/>
                      <w:color w:val="auto"/>
                      <w:sz w:val="21"/>
                      <w:szCs w:val="21"/>
                      <w:highlight w:val="none"/>
                      <w:lang w:val="en-US" w:eastAsia="zh-CN"/>
                    </w:rPr>
                    <w:t>生活污水</w:t>
                  </w:r>
                </w:p>
              </w:tc>
              <w:tc>
                <w:tcPr>
                  <w:tcW w:w="1786" w:type="pct"/>
                  <w:tcBorders>
                    <w:top w:val="single" w:color="auto" w:sz="12" w:space="0"/>
                    <w:tl2br w:val="nil"/>
                    <w:tr2bl w:val="nil"/>
                  </w:tcBorders>
                  <w:vAlign w:val="center"/>
                </w:tcPr>
                <w:p w14:paraId="5395E75D">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sz w:val="21"/>
                      <w:szCs w:val="21"/>
                      <w:highlight w:val="none"/>
                      <w:lang w:val="en-US" w:eastAsia="zh-CN"/>
                    </w:rPr>
                  </w:pPr>
                  <w:r>
                    <w:rPr>
                      <w:rFonts w:hint="eastAsia" w:ascii="Times New Roman" w:cs="Times New Roman"/>
                      <w:b w:val="0"/>
                      <w:bCs/>
                      <w:color w:val="auto"/>
                      <w:sz w:val="21"/>
                      <w:szCs w:val="21"/>
                      <w:highlight w:val="none"/>
                      <w:lang w:val="en-US" w:eastAsia="zh-CN"/>
                    </w:rPr>
                    <w:t>隔油池+化粪池及管道</w:t>
                  </w:r>
                </w:p>
              </w:tc>
              <w:tc>
                <w:tcPr>
                  <w:tcW w:w="966" w:type="pct"/>
                  <w:tcBorders>
                    <w:top w:val="single" w:color="auto" w:sz="12" w:space="0"/>
                    <w:tl2br w:val="nil"/>
                    <w:tr2bl w:val="nil"/>
                  </w:tcBorders>
                  <w:vAlign w:val="center"/>
                </w:tcPr>
                <w:p w14:paraId="6BA8CAC0">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sz w:val="21"/>
                      <w:szCs w:val="21"/>
                      <w:highlight w:val="none"/>
                      <w:lang w:val="en-US" w:eastAsia="zh-CN"/>
                    </w:rPr>
                  </w:pPr>
                  <w:r>
                    <w:rPr>
                      <w:rFonts w:hint="eastAsia" w:ascii="Times New Roman" w:cs="Times New Roman"/>
                      <w:b w:val="0"/>
                      <w:bCs/>
                      <w:color w:val="auto"/>
                      <w:sz w:val="21"/>
                      <w:szCs w:val="21"/>
                      <w:highlight w:val="none"/>
                      <w:lang w:val="en-US" w:eastAsia="zh-CN"/>
                    </w:rPr>
                    <w:t>/</w:t>
                  </w:r>
                </w:p>
              </w:tc>
              <w:tc>
                <w:tcPr>
                  <w:tcW w:w="1051" w:type="pct"/>
                  <w:tcBorders>
                    <w:top w:val="single" w:color="auto" w:sz="12" w:space="0"/>
                    <w:tl2br w:val="nil"/>
                    <w:tr2bl w:val="nil"/>
                  </w:tcBorders>
                  <w:vAlign w:val="center"/>
                </w:tcPr>
                <w:p w14:paraId="6EA2E241">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cs="Times New Roman"/>
                      <w:b w:val="0"/>
                      <w:bCs/>
                      <w:color w:val="auto"/>
                      <w:sz w:val="21"/>
                      <w:szCs w:val="21"/>
                      <w:highlight w:val="none"/>
                      <w:lang w:val="en-US" w:eastAsia="zh-CN"/>
                    </w:rPr>
                  </w:pPr>
                  <w:r>
                    <w:rPr>
                      <w:rFonts w:hint="eastAsia" w:ascii="Times New Roman" w:cs="Times New Roman"/>
                      <w:b w:val="0"/>
                      <w:bCs/>
                      <w:color w:val="auto"/>
                      <w:sz w:val="21"/>
                      <w:szCs w:val="21"/>
                      <w:highlight w:val="none"/>
                      <w:lang w:val="en-US" w:eastAsia="zh-CN"/>
                    </w:rPr>
                    <w:t>依托现有</w:t>
                  </w:r>
                </w:p>
              </w:tc>
            </w:tr>
            <w:tr w14:paraId="2FE962D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438" w:hRule="atLeast"/>
                <w:jc w:val="center"/>
              </w:trPr>
              <w:tc>
                <w:tcPr>
                  <w:tcW w:w="396" w:type="pct"/>
                  <w:vMerge w:val="continue"/>
                  <w:tcBorders>
                    <w:tl2br w:val="nil"/>
                    <w:tr2bl w:val="nil"/>
                  </w:tcBorders>
                  <w:vAlign w:val="center"/>
                </w:tcPr>
                <w:p w14:paraId="64416BDC">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sz w:val="21"/>
                      <w:szCs w:val="21"/>
                      <w:highlight w:val="none"/>
                    </w:rPr>
                  </w:pPr>
                </w:p>
              </w:tc>
              <w:tc>
                <w:tcPr>
                  <w:tcW w:w="799" w:type="pct"/>
                  <w:tcBorders>
                    <w:tl2br w:val="nil"/>
                    <w:tr2bl w:val="nil"/>
                  </w:tcBorders>
                  <w:vAlign w:val="center"/>
                </w:tcPr>
                <w:p w14:paraId="64BC8A53">
                  <w:pPr>
                    <w:keepNext w:val="0"/>
                    <w:keepLines w:val="0"/>
                    <w:suppressLineNumbers w:val="0"/>
                    <w:snapToGrid w:val="0"/>
                    <w:spacing w:before="0" w:beforeAutospacing="0" w:after="0" w:afterAutospacing="0" w:line="240" w:lineRule="atLeast"/>
                    <w:ind w:left="0" w:right="0"/>
                    <w:jc w:val="center"/>
                    <w:rPr>
                      <w:rFonts w:hint="default" w:cs="Times New Roman"/>
                      <w:bCs/>
                      <w:color w:val="auto"/>
                      <w:kern w:val="2"/>
                      <w:sz w:val="21"/>
                      <w:szCs w:val="21"/>
                      <w:highlight w:val="none"/>
                      <w:lang w:val="en-US" w:eastAsia="zh-CN" w:bidi="ar-SA"/>
                    </w:rPr>
                  </w:pPr>
                  <w:r>
                    <w:rPr>
                      <w:rFonts w:hint="eastAsia" w:cs="Times New Roman"/>
                      <w:bCs/>
                      <w:color w:val="auto"/>
                      <w:kern w:val="2"/>
                      <w:sz w:val="21"/>
                      <w:szCs w:val="21"/>
                      <w:highlight w:val="none"/>
                      <w:lang w:val="en-US" w:eastAsia="zh-CN" w:bidi="ar-SA"/>
                    </w:rPr>
                    <w:t>生产废水</w:t>
                  </w:r>
                </w:p>
              </w:tc>
              <w:tc>
                <w:tcPr>
                  <w:tcW w:w="1786" w:type="pct"/>
                  <w:tcBorders>
                    <w:tl2br w:val="nil"/>
                    <w:tr2bl w:val="nil"/>
                  </w:tcBorders>
                  <w:vAlign w:val="center"/>
                </w:tcPr>
                <w:p w14:paraId="0066D4DF">
                  <w:pPr>
                    <w:keepNext w:val="0"/>
                    <w:keepLines w:val="0"/>
                    <w:pageBreakBefore w:val="0"/>
                    <w:suppressLineNumbers w:val="0"/>
                    <w:kinsoku/>
                    <w:wordWrap/>
                    <w:overflowPunct/>
                    <w:topLinePunct w:val="0"/>
                    <w:bidi w:val="0"/>
                    <w:adjustRightInd w:val="0"/>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sz w:val="21"/>
                      <w:szCs w:val="21"/>
                      <w:highlight w:val="none"/>
                      <w:lang w:val="en-US" w:eastAsia="zh-CN"/>
                    </w:rPr>
                  </w:pPr>
                  <w:r>
                    <w:rPr>
                      <w:rFonts w:hint="eastAsia" w:eastAsia="宋体" w:cs="Times New Roman"/>
                      <w:color w:val="auto"/>
                      <w:kern w:val="2"/>
                      <w:sz w:val="21"/>
                      <w:szCs w:val="21"/>
                      <w:highlight w:val="none"/>
                      <w:lang w:val="en-US" w:eastAsia="zh-CN" w:bidi="ar-SA"/>
                    </w:rPr>
                    <w:t>网版清洗废水</w:t>
                  </w:r>
                  <w:r>
                    <w:rPr>
                      <w:rFonts w:hint="eastAsia" w:cs="Times New Roman"/>
                      <w:color w:val="auto"/>
                      <w:kern w:val="2"/>
                      <w:sz w:val="21"/>
                      <w:szCs w:val="24"/>
                      <w:highlight w:val="none"/>
                      <w:lang w:val="en-US" w:eastAsia="zh-CN" w:bidi="ar-SA"/>
                    </w:rPr>
                    <w:t>委托有资质单位处理</w:t>
                  </w:r>
                </w:p>
              </w:tc>
              <w:tc>
                <w:tcPr>
                  <w:tcW w:w="966" w:type="pct"/>
                  <w:tcBorders>
                    <w:tl2br w:val="nil"/>
                    <w:tr2bl w:val="nil"/>
                  </w:tcBorders>
                  <w:vAlign w:val="center"/>
                </w:tcPr>
                <w:p w14:paraId="65CC2F71">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cs="Times New Roman"/>
                      <w:b w:val="0"/>
                      <w:bCs/>
                      <w:color w:val="auto"/>
                      <w:sz w:val="21"/>
                      <w:szCs w:val="21"/>
                      <w:highlight w:val="none"/>
                      <w:lang w:val="en-US" w:eastAsia="zh-CN"/>
                    </w:rPr>
                  </w:pPr>
                  <w:r>
                    <w:rPr>
                      <w:rFonts w:hint="eastAsia" w:ascii="Times New Roman" w:cs="Times New Roman"/>
                      <w:b w:val="0"/>
                      <w:bCs/>
                      <w:color w:val="auto"/>
                      <w:sz w:val="21"/>
                      <w:szCs w:val="21"/>
                      <w:highlight w:val="none"/>
                      <w:lang w:val="en-US" w:eastAsia="zh-CN"/>
                    </w:rPr>
                    <w:t>5</w:t>
                  </w:r>
                </w:p>
              </w:tc>
              <w:tc>
                <w:tcPr>
                  <w:tcW w:w="1051" w:type="pct"/>
                  <w:tcBorders>
                    <w:tl2br w:val="nil"/>
                    <w:tr2bl w:val="nil"/>
                  </w:tcBorders>
                  <w:vAlign w:val="center"/>
                </w:tcPr>
                <w:p w14:paraId="4677BB0C">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eastAsia" w:ascii="Times New Roman" w:cs="Times New Roman"/>
                      <w:b w:val="0"/>
                      <w:bCs/>
                      <w:color w:val="auto"/>
                      <w:sz w:val="21"/>
                      <w:szCs w:val="21"/>
                      <w:highlight w:val="none"/>
                      <w:lang w:val="en-US" w:eastAsia="zh-CN"/>
                    </w:rPr>
                  </w:pPr>
                  <w:r>
                    <w:rPr>
                      <w:rFonts w:hint="eastAsia" w:ascii="Times New Roman" w:cs="Times New Roman"/>
                      <w:b w:val="0"/>
                      <w:bCs/>
                      <w:color w:val="auto"/>
                      <w:sz w:val="21"/>
                      <w:szCs w:val="21"/>
                      <w:highlight w:val="none"/>
                      <w:lang w:val="en-US" w:eastAsia="zh-CN"/>
                    </w:rPr>
                    <w:t>新建</w:t>
                  </w:r>
                </w:p>
              </w:tc>
            </w:tr>
            <w:tr w14:paraId="5768663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438" w:hRule="atLeast"/>
                <w:jc w:val="center"/>
              </w:trPr>
              <w:tc>
                <w:tcPr>
                  <w:tcW w:w="396" w:type="pct"/>
                  <w:vMerge w:val="restart"/>
                  <w:tcBorders>
                    <w:tl2br w:val="nil"/>
                    <w:tr2bl w:val="nil"/>
                  </w:tcBorders>
                  <w:vAlign w:val="center"/>
                </w:tcPr>
                <w:p w14:paraId="2F50B999">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sz w:val="21"/>
                      <w:szCs w:val="21"/>
                      <w:highlight w:val="none"/>
                    </w:rPr>
                  </w:pPr>
                  <w:r>
                    <w:rPr>
                      <w:rFonts w:hint="default" w:ascii="Times New Roman" w:hAnsi="Times New Roman" w:eastAsia="宋体" w:cs="Times New Roman"/>
                      <w:b w:val="0"/>
                      <w:bCs/>
                      <w:color w:val="auto"/>
                      <w:sz w:val="21"/>
                      <w:szCs w:val="21"/>
                      <w:highlight w:val="none"/>
                    </w:rPr>
                    <w:t>废气</w:t>
                  </w:r>
                </w:p>
              </w:tc>
              <w:tc>
                <w:tcPr>
                  <w:tcW w:w="799" w:type="pct"/>
                  <w:tcBorders>
                    <w:tl2br w:val="nil"/>
                    <w:tr2bl w:val="nil"/>
                  </w:tcBorders>
                  <w:vAlign w:val="center"/>
                </w:tcPr>
                <w:p w14:paraId="2E5E61E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r>
                    <w:rPr>
                      <w:rFonts w:hint="eastAsia" w:cs="Times New Roman"/>
                      <w:color w:val="auto"/>
                      <w:sz w:val="21"/>
                      <w:szCs w:val="21"/>
                      <w:lang w:val="en-US" w:eastAsia="zh-CN"/>
                    </w:rPr>
                    <w:t>注塑</w:t>
                  </w:r>
                  <w:r>
                    <w:rPr>
                      <w:rFonts w:hint="eastAsia" w:ascii="Times New Roman" w:hAnsi="Times New Roman" w:eastAsia="宋体" w:cs="Times New Roman"/>
                      <w:color w:val="auto"/>
                      <w:sz w:val="21"/>
                      <w:szCs w:val="21"/>
                      <w:lang w:val="en-US" w:eastAsia="zh-CN"/>
                    </w:rPr>
                    <w:t>投料粉尘</w:t>
                  </w:r>
                </w:p>
              </w:tc>
              <w:tc>
                <w:tcPr>
                  <w:tcW w:w="1786" w:type="pct"/>
                  <w:vMerge w:val="restart"/>
                  <w:tcBorders>
                    <w:tl2br w:val="nil"/>
                    <w:tr2bl w:val="nil"/>
                  </w:tcBorders>
                  <w:vAlign w:val="center"/>
                </w:tcPr>
                <w:p w14:paraId="5E21A066">
                  <w:pPr>
                    <w:keepNext w:val="0"/>
                    <w:keepLines w:val="0"/>
                    <w:pageBreakBefore w:val="0"/>
                    <w:suppressLineNumbers w:val="0"/>
                    <w:kinsoku/>
                    <w:wordWrap/>
                    <w:overflowPunct/>
                    <w:topLinePunct w:val="0"/>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val="0"/>
                      <w:bCs/>
                      <w:color w:val="auto"/>
                      <w:sz w:val="21"/>
                      <w:szCs w:val="21"/>
                      <w:highlight w:val="none"/>
                      <w:lang w:val="en-US" w:eastAsia="zh-CN"/>
                    </w:rPr>
                  </w:pPr>
                  <w:r>
                    <w:rPr>
                      <w:rFonts w:hint="eastAsia" w:cs="Times New Roman"/>
                      <w:color w:val="auto"/>
                      <w:sz w:val="21"/>
                      <w:szCs w:val="21"/>
                      <w:highlight w:val="none"/>
                      <w:lang w:val="en-US" w:eastAsia="zh-CN"/>
                    </w:rPr>
                    <w:t>半密闭集气罩负压收集</w:t>
                  </w:r>
                  <w:r>
                    <w:rPr>
                      <w:rFonts w:hint="eastAsia" w:ascii="Times New Roman" w:hAnsi="Times New Roman" w:eastAsia="宋体" w:cs="Times New Roman"/>
                      <w:color w:val="auto"/>
                      <w:sz w:val="21"/>
                      <w:szCs w:val="21"/>
                      <w:lang w:val="en-US" w:eastAsia="zh-CN"/>
                    </w:rPr>
                    <w:t>+布袋除尘器+15m高排气筒（DA001）</w:t>
                  </w:r>
                </w:p>
              </w:tc>
              <w:tc>
                <w:tcPr>
                  <w:tcW w:w="966" w:type="pct"/>
                  <w:vMerge w:val="restart"/>
                  <w:tcBorders>
                    <w:tl2br w:val="nil"/>
                    <w:tr2bl w:val="nil"/>
                  </w:tcBorders>
                  <w:vAlign w:val="center"/>
                </w:tcPr>
                <w:p w14:paraId="0B7342EC">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sz w:val="21"/>
                      <w:szCs w:val="21"/>
                      <w:highlight w:val="none"/>
                      <w:lang w:val="en-US" w:eastAsia="zh-CN"/>
                    </w:rPr>
                  </w:pPr>
                  <w:r>
                    <w:rPr>
                      <w:rFonts w:hint="eastAsia" w:ascii="Times New Roman" w:cs="Times New Roman"/>
                      <w:b w:val="0"/>
                      <w:bCs/>
                      <w:color w:val="auto"/>
                      <w:sz w:val="21"/>
                      <w:szCs w:val="21"/>
                      <w:highlight w:val="none"/>
                      <w:lang w:val="en-US" w:eastAsia="zh-CN"/>
                    </w:rPr>
                    <w:t>8</w:t>
                  </w:r>
                </w:p>
              </w:tc>
              <w:tc>
                <w:tcPr>
                  <w:tcW w:w="1051" w:type="pct"/>
                  <w:vMerge w:val="restart"/>
                  <w:tcBorders>
                    <w:tl2br w:val="nil"/>
                    <w:tr2bl w:val="nil"/>
                  </w:tcBorders>
                  <w:vAlign w:val="center"/>
                </w:tcPr>
                <w:p w14:paraId="0F8E58E4">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cs="Times New Roman"/>
                      <w:b w:val="0"/>
                      <w:bCs/>
                      <w:color w:val="auto"/>
                      <w:sz w:val="21"/>
                      <w:szCs w:val="21"/>
                      <w:highlight w:val="none"/>
                      <w:lang w:val="en-US" w:eastAsia="zh-CN"/>
                    </w:rPr>
                  </w:pPr>
                  <w:r>
                    <w:rPr>
                      <w:rFonts w:hint="eastAsia" w:ascii="Times New Roman" w:cs="Times New Roman"/>
                      <w:b w:val="0"/>
                      <w:bCs/>
                      <w:color w:val="auto"/>
                      <w:sz w:val="21"/>
                      <w:szCs w:val="21"/>
                      <w:highlight w:val="none"/>
                      <w:lang w:val="en-US" w:eastAsia="zh-CN"/>
                    </w:rPr>
                    <w:t>新建</w:t>
                  </w:r>
                </w:p>
              </w:tc>
            </w:tr>
            <w:tr w14:paraId="5C184F9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438" w:hRule="atLeast"/>
                <w:jc w:val="center"/>
              </w:trPr>
              <w:tc>
                <w:tcPr>
                  <w:tcW w:w="396" w:type="pct"/>
                  <w:vMerge w:val="continue"/>
                  <w:tcBorders>
                    <w:tl2br w:val="nil"/>
                    <w:tr2bl w:val="nil"/>
                  </w:tcBorders>
                  <w:vAlign w:val="center"/>
                </w:tcPr>
                <w:p w14:paraId="57DFBAA9">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sz w:val="21"/>
                      <w:szCs w:val="21"/>
                      <w:highlight w:val="none"/>
                    </w:rPr>
                  </w:pPr>
                </w:p>
              </w:tc>
              <w:tc>
                <w:tcPr>
                  <w:tcW w:w="799" w:type="pct"/>
                  <w:tcBorders>
                    <w:tl2br w:val="nil"/>
                    <w:tr2bl w:val="nil"/>
                  </w:tcBorders>
                  <w:vAlign w:val="center"/>
                </w:tcPr>
                <w:p w14:paraId="412BEA3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rPr>
                      <w:rFonts w:hint="eastAsia" w:cs="Times New Roman"/>
                      <w:bCs/>
                      <w:color w:val="auto"/>
                      <w:kern w:val="2"/>
                      <w:sz w:val="21"/>
                      <w:szCs w:val="21"/>
                      <w:highlight w:val="none"/>
                      <w:lang w:val="en-US" w:eastAsia="zh-CN" w:bidi="ar-SA"/>
                    </w:rPr>
                  </w:pPr>
                  <w:r>
                    <w:rPr>
                      <w:rFonts w:hint="eastAsia" w:cs="宋体"/>
                      <w:color w:val="auto"/>
                      <w:sz w:val="21"/>
                      <w:szCs w:val="21"/>
                      <w:highlight w:val="none"/>
                      <w:lang w:val="en-US" w:eastAsia="zh-CN"/>
                    </w:rPr>
                    <w:t>鞋头打磨粉尘</w:t>
                  </w:r>
                </w:p>
              </w:tc>
              <w:tc>
                <w:tcPr>
                  <w:tcW w:w="1786" w:type="pct"/>
                  <w:vMerge w:val="continue"/>
                  <w:tcBorders>
                    <w:tl2br w:val="nil"/>
                    <w:tr2bl w:val="nil"/>
                  </w:tcBorders>
                  <w:vAlign w:val="center"/>
                </w:tcPr>
                <w:p w14:paraId="10B6433A">
                  <w:pPr>
                    <w:keepNext w:val="0"/>
                    <w:keepLines w:val="0"/>
                    <w:pageBreakBefore w:val="0"/>
                    <w:suppressLineNumbers w:val="0"/>
                    <w:kinsoku/>
                    <w:wordWrap/>
                    <w:overflowPunct/>
                    <w:topLinePunct w:val="0"/>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val="0"/>
                      <w:bCs/>
                      <w:color w:val="auto"/>
                      <w:sz w:val="21"/>
                      <w:szCs w:val="21"/>
                      <w:highlight w:val="none"/>
                      <w:lang w:val="en-US" w:eastAsia="zh-CN"/>
                    </w:rPr>
                  </w:pPr>
                </w:p>
              </w:tc>
              <w:tc>
                <w:tcPr>
                  <w:tcW w:w="966" w:type="pct"/>
                  <w:vMerge w:val="continue"/>
                  <w:tcBorders>
                    <w:tl2br w:val="nil"/>
                    <w:tr2bl w:val="nil"/>
                  </w:tcBorders>
                  <w:vAlign w:val="center"/>
                </w:tcPr>
                <w:p w14:paraId="5E6AB967">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eastAsia" w:ascii="Times New Roman" w:cs="Times New Roman"/>
                      <w:b w:val="0"/>
                      <w:bCs/>
                      <w:color w:val="auto"/>
                      <w:sz w:val="21"/>
                      <w:szCs w:val="21"/>
                      <w:highlight w:val="none"/>
                      <w:lang w:val="en-US" w:eastAsia="zh-CN"/>
                    </w:rPr>
                  </w:pPr>
                </w:p>
              </w:tc>
              <w:tc>
                <w:tcPr>
                  <w:tcW w:w="1051" w:type="pct"/>
                  <w:vMerge w:val="continue"/>
                  <w:tcBorders>
                    <w:tl2br w:val="nil"/>
                    <w:tr2bl w:val="nil"/>
                  </w:tcBorders>
                  <w:vAlign w:val="center"/>
                </w:tcPr>
                <w:p w14:paraId="175EBECD">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eastAsia" w:ascii="Times New Roman" w:cs="Times New Roman"/>
                      <w:b w:val="0"/>
                      <w:bCs/>
                      <w:color w:val="auto"/>
                      <w:sz w:val="21"/>
                      <w:szCs w:val="21"/>
                      <w:highlight w:val="none"/>
                      <w:lang w:val="en-US" w:eastAsia="zh-CN"/>
                    </w:rPr>
                  </w:pPr>
                </w:p>
              </w:tc>
            </w:tr>
            <w:tr w14:paraId="1E996D8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438" w:hRule="atLeast"/>
                <w:jc w:val="center"/>
              </w:trPr>
              <w:tc>
                <w:tcPr>
                  <w:tcW w:w="396" w:type="pct"/>
                  <w:vMerge w:val="continue"/>
                  <w:tcBorders>
                    <w:tl2br w:val="nil"/>
                    <w:tr2bl w:val="nil"/>
                  </w:tcBorders>
                  <w:vAlign w:val="center"/>
                </w:tcPr>
                <w:p w14:paraId="3C0648FB">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sz w:val="21"/>
                      <w:szCs w:val="21"/>
                      <w:highlight w:val="none"/>
                    </w:rPr>
                  </w:pPr>
                </w:p>
              </w:tc>
              <w:tc>
                <w:tcPr>
                  <w:tcW w:w="799" w:type="pct"/>
                  <w:tcBorders>
                    <w:tl2br w:val="nil"/>
                    <w:tr2bl w:val="nil"/>
                  </w:tcBorders>
                  <w:vAlign w:val="center"/>
                </w:tcPr>
                <w:p w14:paraId="43D0C89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rPr>
                      <w:rFonts w:hint="eastAsia" w:cs="Times New Roman"/>
                      <w:bCs/>
                      <w:color w:val="auto"/>
                      <w:kern w:val="2"/>
                      <w:sz w:val="21"/>
                      <w:szCs w:val="21"/>
                      <w:highlight w:val="none"/>
                      <w:lang w:val="en-US" w:eastAsia="zh-CN" w:bidi="ar-SA"/>
                    </w:rPr>
                  </w:pPr>
                  <w:r>
                    <w:rPr>
                      <w:rFonts w:hint="eastAsia" w:cs="宋体"/>
                      <w:color w:val="auto"/>
                      <w:sz w:val="21"/>
                      <w:szCs w:val="21"/>
                      <w:highlight w:val="none"/>
                      <w:lang w:val="en-US" w:eastAsia="zh-CN"/>
                    </w:rPr>
                    <w:t>发泡及脱模有机废气</w:t>
                  </w:r>
                </w:p>
              </w:tc>
              <w:tc>
                <w:tcPr>
                  <w:tcW w:w="1786" w:type="pct"/>
                  <w:tcBorders>
                    <w:tl2br w:val="nil"/>
                    <w:tr2bl w:val="nil"/>
                  </w:tcBorders>
                  <w:vAlign w:val="center"/>
                </w:tcPr>
                <w:p w14:paraId="6A9947EB">
                  <w:pPr>
                    <w:keepNext w:val="0"/>
                    <w:keepLines w:val="0"/>
                    <w:pageBreakBefore w:val="0"/>
                    <w:suppressLineNumbers w:val="0"/>
                    <w:kinsoku/>
                    <w:wordWrap/>
                    <w:overflowPunct/>
                    <w:topLinePunct w:val="0"/>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val="0"/>
                      <w:bCs/>
                      <w:color w:val="auto"/>
                      <w:sz w:val="21"/>
                      <w:szCs w:val="21"/>
                      <w:highlight w:val="none"/>
                      <w:lang w:val="en-US" w:eastAsia="zh-CN"/>
                    </w:rPr>
                  </w:pPr>
                  <w:r>
                    <w:rPr>
                      <w:rFonts w:hint="eastAsia" w:cs="Times New Roman"/>
                      <w:color w:val="auto"/>
                      <w:sz w:val="21"/>
                      <w:szCs w:val="21"/>
                      <w:highlight w:val="none"/>
                      <w:lang w:val="en-US" w:eastAsia="zh-CN"/>
                    </w:rPr>
                    <w:t>半密闭集气罩负压收集</w:t>
                  </w:r>
                  <w:r>
                    <w:rPr>
                      <w:rFonts w:hint="eastAsia" w:ascii="Times New Roman" w:hAnsi="Times New Roman" w:eastAsia="宋体" w:cs="Times New Roman"/>
                      <w:color w:val="auto"/>
                      <w:sz w:val="21"/>
                      <w:szCs w:val="21"/>
                      <w:lang w:val="en-US" w:eastAsia="zh-CN"/>
                    </w:rPr>
                    <w:t>+</w:t>
                  </w:r>
                  <w:r>
                    <w:rPr>
                      <w:rFonts w:hint="eastAsia" w:cs="Times New Roman"/>
                      <w:color w:val="auto"/>
                      <w:sz w:val="21"/>
                      <w:szCs w:val="21"/>
                      <w:lang w:val="en-US" w:eastAsia="zh-CN"/>
                    </w:rPr>
                    <w:t>五级活性炭</w:t>
                  </w:r>
                  <w:r>
                    <w:rPr>
                      <w:rFonts w:hint="eastAsia" w:ascii="Times New Roman" w:hAnsi="Times New Roman" w:eastAsia="宋体" w:cs="Times New Roman"/>
                      <w:color w:val="auto"/>
                      <w:sz w:val="21"/>
                      <w:szCs w:val="21"/>
                      <w:lang w:val="en-US" w:eastAsia="zh-CN"/>
                    </w:rPr>
                    <w:t>吸附+15m高排气筒（DA002）</w:t>
                  </w:r>
                </w:p>
              </w:tc>
              <w:tc>
                <w:tcPr>
                  <w:tcW w:w="966" w:type="pct"/>
                  <w:tcBorders>
                    <w:tl2br w:val="nil"/>
                    <w:tr2bl w:val="nil"/>
                  </w:tcBorders>
                  <w:vAlign w:val="center"/>
                </w:tcPr>
                <w:p w14:paraId="55F4BE3E">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cs="Times New Roman"/>
                      <w:b w:val="0"/>
                      <w:bCs/>
                      <w:color w:val="auto"/>
                      <w:sz w:val="21"/>
                      <w:szCs w:val="21"/>
                      <w:highlight w:val="none"/>
                      <w:lang w:val="en-US" w:eastAsia="zh-CN"/>
                    </w:rPr>
                  </w:pPr>
                  <w:r>
                    <w:rPr>
                      <w:rFonts w:hint="eastAsia" w:ascii="Times New Roman" w:cs="Times New Roman"/>
                      <w:b w:val="0"/>
                      <w:bCs/>
                      <w:color w:val="auto"/>
                      <w:sz w:val="21"/>
                      <w:szCs w:val="21"/>
                      <w:highlight w:val="none"/>
                      <w:lang w:val="en-US" w:eastAsia="zh-CN"/>
                    </w:rPr>
                    <w:t>15</w:t>
                  </w:r>
                </w:p>
              </w:tc>
              <w:tc>
                <w:tcPr>
                  <w:tcW w:w="1051" w:type="pct"/>
                  <w:tcBorders>
                    <w:tl2br w:val="nil"/>
                    <w:tr2bl w:val="nil"/>
                  </w:tcBorders>
                  <w:vAlign w:val="center"/>
                </w:tcPr>
                <w:p w14:paraId="02F731E5">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eastAsia" w:ascii="Times New Roman" w:cs="Times New Roman"/>
                      <w:b w:val="0"/>
                      <w:bCs/>
                      <w:color w:val="auto"/>
                      <w:sz w:val="21"/>
                      <w:szCs w:val="21"/>
                      <w:highlight w:val="none"/>
                      <w:lang w:val="en-US" w:eastAsia="zh-CN"/>
                    </w:rPr>
                  </w:pPr>
                  <w:r>
                    <w:rPr>
                      <w:rFonts w:hint="eastAsia" w:ascii="Times New Roman" w:cs="Times New Roman"/>
                      <w:b w:val="0"/>
                      <w:bCs/>
                      <w:color w:val="auto"/>
                      <w:sz w:val="21"/>
                      <w:szCs w:val="21"/>
                      <w:highlight w:val="none"/>
                      <w:lang w:val="en-US" w:eastAsia="zh-CN"/>
                    </w:rPr>
                    <w:t>新建</w:t>
                  </w:r>
                </w:p>
              </w:tc>
            </w:tr>
            <w:tr w14:paraId="748D390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438" w:hRule="atLeast"/>
                <w:jc w:val="center"/>
              </w:trPr>
              <w:tc>
                <w:tcPr>
                  <w:tcW w:w="396" w:type="pct"/>
                  <w:vMerge w:val="continue"/>
                  <w:tcBorders>
                    <w:tl2br w:val="nil"/>
                    <w:tr2bl w:val="nil"/>
                  </w:tcBorders>
                  <w:vAlign w:val="center"/>
                </w:tcPr>
                <w:p w14:paraId="3C180D97">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sz w:val="21"/>
                      <w:szCs w:val="21"/>
                      <w:highlight w:val="none"/>
                    </w:rPr>
                  </w:pPr>
                </w:p>
              </w:tc>
              <w:tc>
                <w:tcPr>
                  <w:tcW w:w="799" w:type="pct"/>
                  <w:tcBorders>
                    <w:tl2br w:val="nil"/>
                    <w:tr2bl w:val="nil"/>
                  </w:tcBorders>
                  <w:vAlign w:val="center"/>
                </w:tcPr>
                <w:p w14:paraId="1A80021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rPr>
                      <w:rFonts w:hint="eastAsia" w:cs="Times New Roman"/>
                      <w:bCs/>
                      <w:color w:val="auto"/>
                      <w:kern w:val="2"/>
                      <w:sz w:val="21"/>
                      <w:szCs w:val="21"/>
                      <w:highlight w:val="none"/>
                      <w:lang w:val="en-US" w:eastAsia="zh-CN" w:bidi="ar-SA"/>
                    </w:rPr>
                  </w:pPr>
                  <w:r>
                    <w:rPr>
                      <w:rFonts w:hint="eastAsia" w:cs="宋体"/>
                      <w:color w:val="auto"/>
                      <w:sz w:val="21"/>
                      <w:szCs w:val="21"/>
                      <w:highlight w:val="none"/>
                      <w:lang w:val="en-US" w:eastAsia="zh-CN"/>
                    </w:rPr>
                    <w:t>注塑有机废气</w:t>
                  </w:r>
                </w:p>
              </w:tc>
              <w:tc>
                <w:tcPr>
                  <w:tcW w:w="1786" w:type="pct"/>
                  <w:tcBorders>
                    <w:tl2br w:val="nil"/>
                    <w:tr2bl w:val="nil"/>
                  </w:tcBorders>
                  <w:vAlign w:val="center"/>
                </w:tcPr>
                <w:p w14:paraId="199D3803">
                  <w:pPr>
                    <w:keepNext w:val="0"/>
                    <w:keepLines w:val="0"/>
                    <w:pageBreakBefore w:val="0"/>
                    <w:suppressLineNumbers w:val="0"/>
                    <w:kinsoku/>
                    <w:wordWrap/>
                    <w:overflowPunct/>
                    <w:topLinePunct w:val="0"/>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val="0"/>
                      <w:bCs/>
                      <w:color w:val="auto"/>
                      <w:sz w:val="21"/>
                      <w:szCs w:val="21"/>
                      <w:highlight w:val="none"/>
                      <w:lang w:val="en-US" w:eastAsia="zh-CN"/>
                    </w:rPr>
                  </w:pPr>
                  <w:r>
                    <w:rPr>
                      <w:rFonts w:hint="eastAsia" w:cs="Times New Roman"/>
                      <w:color w:val="auto"/>
                      <w:sz w:val="21"/>
                      <w:szCs w:val="21"/>
                      <w:highlight w:val="none"/>
                      <w:lang w:val="en-US" w:eastAsia="zh-CN"/>
                    </w:rPr>
                    <w:t>半密闭集气罩负压收集</w:t>
                  </w:r>
                  <w:r>
                    <w:rPr>
                      <w:rFonts w:hint="eastAsia" w:ascii="Times New Roman" w:hAnsi="Times New Roman" w:eastAsia="宋体" w:cs="Times New Roman"/>
                      <w:color w:val="auto"/>
                      <w:sz w:val="21"/>
                      <w:szCs w:val="21"/>
                      <w:lang w:val="en-US" w:eastAsia="zh-CN"/>
                    </w:rPr>
                    <w:t>+</w:t>
                  </w:r>
                  <w:r>
                    <w:rPr>
                      <w:rFonts w:hint="eastAsia" w:cs="Times New Roman"/>
                      <w:color w:val="auto"/>
                      <w:sz w:val="21"/>
                      <w:szCs w:val="21"/>
                      <w:lang w:val="en-US" w:eastAsia="zh-CN"/>
                    </w:rPr>
                    <w:t>五级活性炭</w:t>
                  </w:r>
                  <w:r>
                    <w:rPr>
                      <w:rFonts w:hint="eastAsia" w:ascii="Times New Roman" w:hAnsi="Times New Roman" w:eastAsia="宋体" w:cs="Times New Roman"/>
                      <w:color w:val="auto"/>
                      <w:sz w:val="21"/>
                      <w:szCs w:val="21"/>
                      <w:lang w:val="en-US" w:eastAsia="zh-CN"/>
                    </w:rPr>
                    <w:t>吸附+15m高排气筒（DA00</w:t>
                  </w:r>
                  <w:r>
                    <w:rPr>
                      <w:rFonts w:hint="eastAsia" w:cs="Times New Roman"/>
                      <w:color w:val="auto"/>
                      <w:sz w:val="21"/>
                      <w:szCs w:val="21"/>
                      <w:lang w:val="en-US" w:eastAsia="zh-CN"/>
                    </w:rPr>
                    <w:t>3</w:t>
                  </w:r>
                  <w:r>
                    <w:rPr>
                      <w:rFonts w:hint="eastAsia" w:ascii="Times New Roman" w:hAnsi="Times New Roman" w:eastAsia="宋体" w:cs="Times New Roman"/>
                      <w:color w:val="auto"/>
                      <w:sz w:val="21"/>
                      <w:szCs w:val="21"/>
                      <w:lang w:val="en-US" w:eastAsia="zh-CN"/>
                    </w:rPr>
                    <w:t>）</w:t>
                  </w:r>
                </w:p>
              </w:tc>
              <w:tc>
                <w:tcPr>
                  <w:tcW w:w="966" w:type="pct"/>
                  <w:tcBorders>
                    <w:tl2br w:val="nil"/>
                    <w:tr2bl w:val="nil"/>
                  </w:tcBorders>
                  <w:vAlign w:val="center"/>
                </w:tcPr>
                <w:p w14:paraId="53D8C2CC">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cs="Times New Roman"/>
                      <w:b w:val="0"/>
                      <w:bCs/>
                      <w:color w:val="auto"/>
                      <w:sz w:val="21"/>
                      <w:szCs w:val="21"/>
                      <w:highlight w:val="none"/>
                      <w:lang w:val="en-US" w:eastAsia="zh-CN"/>
                    </w:rPr>
                  </w:pPr>
                  <w:r>
                    <w:rPr>
                      <w:rFonts w:hint="eastAsia" w:ascii="Times New Roman" w:cs="Times New Roman"/>
                      <w:b w:val="0"/>
                      <w:bCs/>
                      <w:color w:val="auto"/>
                      <w:sz w:val="21"/>
                      <w:szCs w:val="21"/>
                      <w:highlight w:val="none"/>
                      <w:lang w:val="en-US" w:eastAsia="zh-CN"/>
                    </w:rPr>
                    <w:t>15</w:t>
                  </w:r>
                </w:p>
              </w:tc>
              <w:tc>
                <w:tcPr>
                  <w:tcW w:w="1051" w:type="pct"/>
                  <w:tcBorders>
                    <w:tl2br w:val="nil"/>
                    <w:tr2bl w:val="nil"/>
                  </w:tcBorders>
                  <w:vAlign w:val="center"/>
                </w:tcPr>
                <w:p w14:paraId="738E7176">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eastAsia" w:ascii="Times New Roman" w:cs="Times New Roman"/>
                      <w:b w:val="0"/>
                      <w:bCs/>
                      <w:color w:val="auto"/>
                      <w:sz w:val="21"/>
                      <w:szCs w:val="21"/>
                      <w:highlight w:val="none"/>
                      <w:lang w:val="en-US" w:eastAsia="zh-CN"/>
                    </w:rPr>
                  </w:pPr>
                  <w:r>
                    <w:rPr>
                      <w:rFonts w:hint="eastAsia" w:ascii="Times New Roman" w:cs="Times New Roman"/>
                      <w:b w:val="0"/>
                      <w:bCs/>
                      <w:color w:val="auto"/>
                      <w:sz w:val="21"/>
                      <w:szCs w:val="21"/>
                      <w:highlight w:val="none"/>
                      <w:lang w:val="en-US" w:eastAsia="zh-CN"/>
                    </w:rPr>
                    <w:t>新建</w:t>
                  </w:r>
                </w:p>
              </w:tc>
            </w:tr>
            <w:tr w14:paraId="566582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438" w:hRule="atLeast"/>
                <w:jc w:val="center"/>
              </w:trPr>
              <w:tc>
                <w:tcPr>
                  <w:tcW w:w="396" w:type="pct"/>
                  <w:vMerge w:val="continue"/>
                  <w:tcBorders>
                    <w:tl2br w:val="nil"/>
                    <w:tr2bl w:val="nil"/>
                  </w:tcBorders>
                  <w:vAlign w:val="center"/>
                </w:tcPr>
                <w:p w14:paraId="34B88F09">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sz w:val="21"/>
                      <w:szCs w:val="21"/>
                      <w:highlight w:val="none"/>
                    </w:rPr>
                  </w:pPr>
                </w:p>
              </w:tc>
              <w:tc>
                <w:tcPr>
                  <w:tcW w:w="799" w:type="pct"/>
                  <w:tcBorders>
                    <w:tl2br w:val="nil"/>
                    <w:tr2bl w:val="nil"/>
                  </w:tcBorders>
                  <w:vAlign w:val="center"/>
                </w:tcPr>
                <w:p w14:paraId="0E1FD96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rPr>
                      <w:rFonts w:hint="eastAsia" w:cs="Times New Roman"/>
                      <w:bCs/>
                      <w:color w:val="auto"/>
                      <w:kern w:val="2"/>
                      <w:sz w:val="21"/>
                      <w:szCs w:val="21"/>
                      <w:highlight w:val="none"/>
                      <w:lang w:val="en-US" w:eastAsia="zh-CN" w:bidi="ar-SA"/>
                    </w:rPr>
                  </w:pPr>
                  <w:r>
                    <w:rPr>
                      <w:rFonts w:hint="eastAsia" w:cs="宋体"/>
                      <w:color w:val="auto"/>
                      <w:sz w:val="21"/>
                      <w:szCs w:val="21"/>
                      <w:highlight w:val="none"/>
                      <w:lang w:val="en-US" w:eastAsia="zh-CN"/>
                    </w:rPr>
                    <w:t>表面处理、刷胶及烘干有机废气</w:t>
                  </w:r>
                </w:p>
              </w:tc>
              <w:tc>
                <w:tcPr>
                  <w:tcW w:w="1786" w:type="pct"/>
                  <w:tcBorders>
                    <w:tl2br w:val="nil"/>
                    <w:tr2bl w:val="nil"/>
                  </w:tcBorders>
                  <w:vAlign w:val="center"/>
                </w:tcPr>
                <w:p w14:paraId="499634E3">
                  <w:pPr>
                    <w:keepNext w:val="0"/>
                    <w:keepLines w:val="0"/>
                    <w:pageBreakBefore w:val="0"/>
                    <w:suppressLineNumbers w:val="0"/>
                    <w:kinsoku/>
                    <w:wordWrap/>
                    <w:overflowPunct/>
                    <w:topLinePunct w:val="0"/>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val="0"/>
                      <w:bCs/>
                      <w:color w:val="auto"/>
                      <w:sz w:val="21"/>
                      <w:szCs w:val="21"/>
                      <w:highlight w:val="none"/>
                      <w:lang w:val="en-US" w:eastAsia="zh-CN"/>
                    </w:rPr>
                  </w:pPr>
                  <w:r>
                    <w:rPr>
                      <w:rFonts w:hint="eastAsia" w:cs="Times New Roman"/>
                      <w:color w:val="auto"/>
                      <w:sz w:val="21"/>
                      <w:szCs w:val="21"/>
                      <w:highlight w:val="none"/>
                      <w:lang w:val="en-US" w:eastAsia="zh-CN"/>
                    </w:rPr>
                    <w:t>半密闭集气罩负压收集</w:t>
                  </w:r>
                  <w:r>
                    <w:rPr>
                      <w:rFonts w:hint="eastAsia" w:ascii="Times New Roman" w:hAnsi="Times New Roman" w:eastAsia="宋体" w:cs="Times New Roman"/>
                      <w:color w:val="auto"/>
                      <w:sz w:val="21"/>
                      <w:szCs w:val="21"/>
                      <w:lang w:val="en-US" w:eastAsia="zh-CN"/>
                    </w:rPr>
                    <w:t>+</w:t>
                  </w:r>
                  <w:r>
                    <w:rPr>
                      <w:rFonts w:hint="eastAsia" w:cs="Times New Roman"/>
                      <w:color w:val="auto"/>
                      <w:sz w:val="21"/>
                      <w:szCs w:val="21"/>
                      <w:lang w:val="en-US" w:eastAsia="zh-CN"/>
                    </w:rPr>
                    <w:t>五级活性炭</w:t>
                  </w:r>
                  <w:r>
                    <w:rPr>
                      <w:rFonts w:hint="eastAsia" w:ascii="Times New Roman" w:hAnsi="Times New Roman" w:eastAsia="宋体" w:cs="Times New Roman"/>
                      <w:color w:val="auto"/>
                      <w:sz w:val="21"/>
                      <w:szCs w:val="21"/>
                      <w:lang w:val="en-US" w:eastAsia="zh-CN"/>
                    </w:rPr>
                    <w:t>吸附+15m高排气筒（DA00</w:t>
                  </w:r>
                  <w:r>
                    <w:rPr>
                      <w:rFonts w:hint="eastAsia" w:cs="Times New Roman"/>
                      <w:color w:val="auto"/>
                      <w:sz w:val="21"/>
                      <w:szCs w:val="21"/>
                      <w:lang w:val="en-US" w:eastAsia="zh-CN"/>
                    </w:rPr>
                    <w:t>4</w:t>
                  </w:r>
                  <w:r>
                    <w:rPr>
                      <w:rFonts w:hint="eastAsia" w:ascii="Times New Roman" w:hAnsi="Times New Roman" w:eastAsia="宋体" w:cs="Times New Roman"/>
                      <w:color w:val="auto"/>
                      <w:sz w:val="21"/>
                      <w:szCs w:val="21"/>
                      <w:lang w:val="en-US" w:eastAsia="zh-CN"/>
                    </w:rPr>
                    <w:t>）</w:t>
                  </w:r>
                </w:p>
              </w:tc>
              <w:tc>
                <w:tcPr>
                  <w:tcW w:w="966" w:type="pct"/>
                  <w:tcBorders>
                    <w:tl2br w:val="nil"/>
                    <w:tr2bl w:val="nil"/>
                  </w:tcBorders>
                  <w:vAlign w:val="center"/>
                </w:tcPr>
                <w:p w14:paraId="022EE7BD">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cs="Times New Roman"/>
                      <w:b w:val="0"/>
                      <w:bCs/>
                      <w:color w:val="auto"/>
                      <w:sz w:val="21"/>
                      <w:szCs w:val="21"/>
                      <w:highlight w:val="none"/>
                      <w:lang w:val="en-US" w:eastAsia="zh-CN"/>
                    </w:rPr>
                  </w:pPr>
                  <w:r>
                    <w:rPr>
                      <w:rFonts w:hint="eastAsia" w:ascii="Times New Roman" w:cs="Times New Roman"/>
                      <w:b w:val="0"/>
                      <w:bCs/>
                      <w:color w:val="auto"/>
                      <w:sz w:val="21"/>
                      <w:szCs w:val="21"/>
                      <w:highlight w:val="none"/>
                      <w:lang w:val="en-US" w:eastAsia="zh-CN"/>
                    </w:rPr>
                    <w:t>15</w:t>
                  </w:r>
                </w:p>
              </w:tc>
              <w:tc>
                <w:tcPr>
                  <w:tcW w:w="1051" w:type="pct"/>
                  <w:tcBorders>
                    <w:tl2br w:val="nil"/>
                    <w:tr2bl w:val="nil"/>
                  </w:tcBorders>
                  <w:vAlign w:val="center"/>
                </w:tcPr>
                <w:p w14:paraId="4EAC6F78">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eastAsia" w:ascii="Times New Roman" w:cs="Times New Roman"/>
                      <w:b w:val="0"/>
                      <w:bCs/>
                      <w:color w:val="auto"/>
                      <w:sz w:val="21"/>
                      <w:szCs w:val="21"/>
                      <w:highlight w:val="none"/>
                      <w:lang w:val="en-US" w:eastAsia="zh-CN"/>
                    </w:rPr>
                  </w:pPr>
                  <w:r>
                    <w:rPr>
                      <w:rFonts w:hint="eastAsia" w:ascii="Times New Roman" w:cs="Times New Roman"/>
                      <w:b w:val="0"/>
                      <w:bCs/>
                      <w:color w:val="auto"/>
                      <w:sz w:val="21"/>
                      <w:szCs w:val="21"/>
                      <w:highlight w:val="none"/>
                      <w:lang w:val="en-US" w:eastAsia="zh-CN"/>
                    </w:rPr>
                    <w:t>新建</w:t>
                  </w:r>
                </w:p>
              </w:tc>
            </w:tr>
            <w:tr w14:paraId="327BE4D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438" w:hRule="atLeast"/>
                <w:jc w:val="center"/>
              </w:trPr>
              <w:tc>
                <w:tcPr>
                  <w:tcW w:w="396" w:type="pct"/>
                  <w:vMerge w:val="continue"/>
                  <w:tcBorders>
                    <w:tl2br w:val="nil"/>
                    <w:tr2bl w:val="nil"/>
                  </w:tcBorders>
                  <w:vAlign w:val="center"/>
                </w:tcPr>
                <w:p w14:paraId="5F9F3383">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sz w:val="21"/>
                      <w:szCs w:val="21"/>
                      <w:highlight w:val="none"/>
                    </w:rPr>
                  </w:pPr>
                </w:p>
              </w:tc>
              <w:tc>
                <w:tcPr>
                  <w:tcW w:w="799" w:type="pct"/>
                  <w:tcBorders>
                    <w:tl2br w:val="nil"/>
                    <w:tr2bl w:val="nil"/>
                  </w:tcBorders>
                  <w:vAlign w:val="center"/>
                </w:tcPr>
                <w:p w14:paraId="6291322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firstLine="0" w:firstLineChars="0"/>
                    <w:jc w:val="center"/>
                    <w:textAlignment w:val="auto"/>
                    <w:rPr>
                      <w:rFonts w:hint="eastAsia" w:cs="Times New Roman"/>
                      <w:bCs/>
                      <w:color w:val="auto"/>
                      <w:kern w:val="2"/>
                      <w:sz w:val="21"/>
                      <w:szCs w:val="21"/>
                      <w:highlight w:val="none"/>
                      <w:lang w:val="en-US" w:eastAsia="zh-CN" w:bidi="ar-SA"/>
                    </w:rPr>
                  </w:pPr>
                  <w:r>
                    <w:rPr>
                      <w:rFonts w:hint="eastAsia" w:cs="宋体"/>
                      <w:color w:val="auto"/>
                      <w:sz w:val="21"/>
                      <w:szCs w:val="21"/>
                      <w:highlight w:val="none"/>
                      <w:lang w:val="en-US" w:eastAsia="zh-CN"/>
                    </w:rPr>
                    <w:t>丝网印花、台面胶及晾干有机废气</w:t>
                  </w:r>
                </w:p>
              </w:tc>
              <w:tc>
                <w:tcPr>
                  <w:tcW w:w="1786" w:type="pct"/>
                  <w:tcBorders>
                    <w:tl2br w:val="nil"/>
                    <w:tr2bl w:val="nil"/>
                  </w:tcBorders>
                  <w:vAlign w:val="center"/>
                </w:tcPr>
                <w:p w14:paraId="7AFEDEED">
                  <w:pPr>
                    <w:keepNext w:val="0"/>
                    <w:keepLines w:val="0"/>
                    <w:pageBreakBefore w:val="0"/>
                    <w:suppressLineNumbers w:val="0"/>
                    <w:kinsoku/>
                    <w:wordWrap/>
                    <w:overflowPunct/>
                    <w:topLinePunct w:val="0"/>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val="0"/>
                      <w:bCs/>
                      <w:color w:val="auto"/>
                      <w:sz w:val="21"/>
                      <w:szCs w:val="21"/>
                      <w:highlight w:val="none"/>
                      <w:lang w:val="en-US" w:eastAsia="zh-CN"/>
                    </w:rPr>
                  </w:pPr>
                  <w:r>
                    <w:rPr>
                      <w:rFonts w:hint="eastAsia" w:cs="Times New Roman"/>
                      <w:color w:val="auto"/>
                      <w:sz w:val="21"/>
                      <w:szCs w:val="21"/>
                      <w:lang w:val="en-US" w:eastAsia="zh-CN"/>
                    </w:rPr>
                    <w:t>加强车间通风，无组织排放</w:t>
                  </w:r>
                </w:p>
              </w:tc>
              <w:tc>
                <w:tcPr>
                  <w:tcW w:w="966" w:type="pct"/>
                  <w:tcBorders>
                    <w:tl2br w:val="nil"/>
                    <w:tr2bl w:val="nil"/>
                  </w:tcBorders>
                  <w:vAlign w:val="center"/>
                </w:tcPr>
                <w:p w14:paraId="5D15690E">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cs="Times New Roman"/>
                      <w:b w:val="0"/>
                      <w:bCs/>
                      <w:color w:val="auto"/>
                      <w:sz w:val="21"/>
                      <w:szCs w:val="21"/>
                      <w:highlight w:val="none"/>
                      <w:lang w:val="en-US" w:eastAsia="zh-CN"/>
                    </w:rPr>
                  </w:pPr>
                  <w:r>
                    <w:rPr>
                      <w:rFonts w:hint="eastAsia" w:ascii="Times New Roman" w:cs="Times New Roman"/>
                      <w:b w:val="0"/>
                      <w:bCs/>
                      <w:color w:val="auto"/>
                      <w:sz w:val="21"/>
                      <w:szCs w:val="21"/>
                      <w:highlight w:val="none"/>
                      <w:lang w:val="en-US" w:eastAsia="zh-CN"/>
                    </w:rPr>
                    <w:t>2</w:t>
                  </w:r>
                </w:p>
              </w:tc>
              <w:tc>
                <w:tcPr>
                  <w:tcW w:w="1051" w:type="pct"/>
                  <w:tcBorders>
                    <w:tl2br w:val="nil"/>
                    <w:tr2bl w:val="nil"/>
                  </w:tcBorders>
                  <w:vAlign w:val="center"/>
                </w:tcPr>
                <w:p w14:paraId="29BE0B7B">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eastAsia" w:ascii="Times New Roman" w:cs="Times New Roman"/>
                      <w:b w:val="0"/>
                      <w:bCs/>
                      <w:color w:val="auto"/>
                      <w:sz w:val="21"/>
                      <w:szCs w:val="21"/>
                      <w:highlight w:val="none"/>
                      <w:lang w:val="en-US" w:eastAsia="zh-CN"/>
                    </w:rPr>
                  </w:pPr>
                  <w:r>
                    <w:rPr>
                      <w:rFonts w:hint="eastAsia" w:ascii="Times New Roman" w:cs="Times New Roman"/>
                      <w:b w:val="0"/>
                      <w:bCs/>
                      <w:color w:val="auto"/>
                      <w:sz w:val="21"/>
                      <w:szCs w:val="21"/>
                      <w:highlight w:val="none"/>
                      <w:lang w:val="en-US" w:eastAsia="zh-CN"/>
                    </w:rPr>
                    <w:t>新建</w:t>
                  </w:r>
                </w:p>
              </w:tc>
            </w:tr>
            <w:tr w14:paraId="0228B45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396" w:type="pct"/>
                  <w:tcBorders>
                    <w:tl2br w:val="nil"/>
                    <w:tr2bl w:val="nil"/>
                  </w:tcBorders>
                  <w:vAlign w:val="center"/>
                </w:tcPr>
                <w:p w14:paraId="5E76C005">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kern w:val="0"/>
                      <w:sz w:val="21"/>
                      <w:szCs w:val="21"/>
                      <w:highlight w:val="none"/>
                      <w:lang w:val="en-US" w:eastAsia="zh-CN" w:bidi="ar-SA"/>
                    </w:rPr>
                  </w:pPr>
                  <w:r>
                    <w:rPr>
                      <w:rFonts w:hint="default" w:ascii="Times New Roman" w:hAnsi="Times New Roman" w:eastAsia="宋体" w:cs="Times New Roman"/>
                      <w:b w:val="0"/>
                      <w:bCs/>
                      <w:color w:val="auto"/>
                      <w:sz w:val="21"/>
                      <w:szCs w:val="21"/>
                      <w:highlight w:val="none"/>
                    </w:rPr>
                    <w:t>噪声</w:t>
                  </w:r>
                </w:p>
              </w:tc>
              <w:tc>
                <w:tcPr>
                  <w:tcW w:w="799" w:type="pct"/>
                  <w:tcBorders>
                    <w:tl2br w:val="nil"/>
                    <w:tr2bl w:val="nil"/>
                  </w:tcBorders>
                  <w:vAlign w:val="center"/>
                </w:tcPr>
                <w:p w14:paraId="026DD436">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kern w:val="0"/>
                      <w:sz w:val="21"/>
                      <w:szCs w:val="21"/>
                      <w:highlight w:val="none"/>
                      <w:lang w:val="en-US" w:eastAsia="zh-CN" w:bidi="ar-SA"/>
                    </w:rPr>
                  </w:pPr>
                  <w:r>
                    <w:rPr>
                      <w:rFonts w:hint="default" w:ascii="Times New Roman" w:hAnsi="Times New Roman" w:eastAsia="宋体" w:cs="Times New Roman"/>
                      <w:b w:val="0"/>
                      <w:bCs/>
                      <w:color w:val="auto"/>
                      <w:sz w:val="21"/>
                      <w:szCs w:val="21"/>
                      <w:highlight w:val="none"/>
                    </w:rPr>
                    <w:t>机械噪声</w:t>
                  </w:r>
                </w:p>
              </w:tc>
              <w:tc>
                <w:tcPr>
                  <w:tcW w:w="1786" w:type="pct"/>
                  <w:tcBorders>
                    <w:tl2br w:val="nil"/>
                    <w:tr2bl w:val="nil"/>
                  </w:tcBorders>
                  <w:vAlign w:val="center"/>
                </w:tcPr>
                <w:p w14:paraId="000F8EB5">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sz w:val="21"/>
                      <w:szCs w:val="21"/>
                      <w:highlight w:val="none"/>
                      <w:lang w:val="en-US" w:eastAsia="zh-CN"/>
                    </w:rPr>
                  </w:pPr>
                  <w:r>
                    <w:rPr>
                      <w:rFonts w:hint="default" w:ascii="Times New Roman" w:hAnsi="Times New Roman" w:eastAsia="宋体" w:cs="Times New Roman"/>
                      <w:b w:val="0"/>
                      <w:bCs/>
                      <w:color w:val="auto"/>
                      <w:sz w:val="21"/>
                      <w:szCs w:val="21"/>
                      <w:highlight w:val="none"/>
                    </w:rPr>
                    <w:t>减振垫、隔音材料等</w:t>
                  </w:r>
                </w:p>
              </w:tc>
              <w:tc>
                <w:tcPr>
                  <w:tcW w:w="966" w:type="pct"/>
                  <w:tcBorders>
                    <w:tl2br w:val="nil"/>
                    <w:tr2bl w:val="nil"/>
                  </w:tcBorders>
                  <w:vAlign w:val="center"/>
                </w:tcPr>
                <w:p w14:paraId="1C414EFD">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val="0"/>
                      <w:bCs/>
                      <w:color w:val="auto"/>
                      <w:sz w:val="21"/>
                      <w:szCs w:val="21"/>
                      <w:highlight w:val="none"/>
                      <w:lang w:val="en-US" w:eastAsia="zh-CN"/>
                    </w:rPr>
                  </w:pPr>
                  <w:r>
                    <w:rPr>
                      <w:rFonts w:hint="eastAsia" w:ascii="Times New Roman" w:cs="Times New Roman"/>
                      <w:b w:val="0"/>
                      <w:bCs/>
                      <w:color w:val="auto"/>
                      <w:sz w:val="21"/>
                      <w:szCs w:val="21"/>
                      <w:highlight w:val="none"/>
                      <w:lang w:val="en-US" w:eastAsia="zh-CN"/>
                    </w:rPr>
                    <w:t>4</w:t>
                  </w:r>
                </w:p>
              </w:tc>
              <w:tc>
                <w:tcPr>
                  <w:tcW w:w="1051" w:type="pct"/>
                  <w:tcBorders>
                    <w:tl2br w:val="nil"/>
                    <w:tr2bl w:val="nil"/>
                  </w:tcBorders>
                  <w:vAlign w:val="center"/>
                </w:tcPr>
                <w:p w14:paraId="34C500ED">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val="0"/>
                      <w:bCs/>
                      <w:color w:val="auto"/>
                      <w:sz w:val="21"/>
                      <w:szCs w:val="21"/>
                      <w:highlight w:val="none"/>
                      <w:lang w:val="en-US" w:eastAsia="zh-CN"/>
                    </w:rPr>
                  </w:pPr>
                  <w:r>
                    <w:rPr>
                      <w:rFonts w:hint="eastAsia" w:ascii="Times New Roman" w:cs="Times New Roman"/>
                      <w:b w:val="0"/>
                      <w:bCs/>
                      <w:color w:val="auto"/>
                      <w:sz w:val="21"/>
                      <w:szCs w:val="21"/>
                      <w:highlight w:val="none"/>
                      <w:lang w:val="en-US" w:eastAsia="zh-CN"/>
                    </w:rPr>
                    <w:t>新建</w:t>
                  </w:r>
                </w:p>
              </w:tc>
            </w:tr>
            <w:tr w14:paraId="50DAAC2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16" w:hRule="atLeast"/>
                <w:jc w:val="center"/>
              </w:trPr>
              <w:tc>
                <w:tcPr>
                  <w:tcW w:w="396" w:type="pct"/>
                  <w:vMerge w:val="restart"/>
                  <w:tcBorders>
                    <w:tl2br w:val="nil"/>
                    <w:tr2bl w:val="nil"/>
                  </w:tcBorders>
                  <w:vAlign w:val="center"/>
                </w:tcPr>
                <w:p w14:paraId="75605B4D">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sz w:val="21"/>
                      <w:szCs w:val="21"/>
                      <w:highlight w:val="none"/>
                    </w:rPr>
                  </w:pPr>
                  <w:r>
                    <w:rPr>
                      <w:rFonts w:hint="default" w:ascii="Times New Roman" w:hAnsi="Times New Roman" w:eastAsia="宋体" w:cs="Times New Roman"/>
                      <w:b w:val="0"/>
                      <w:bCs/>
                      <w:color w:val="auto"/>
                      <w:sz w:val="21"/>
                      <w:szCs w:val="21"/>
                      <w:highlight w:val="none"/>
                    </w:rPr>
                    <w:t>固体废物</w:t>
                  </w:r>
                </w:p>
              </w:tc>
              <w:tc>
                <w:tcPr>
                  <w:tcW w:w="799" w:type="pct"/>
                  <w:tcBorders>
                    <w:tl2br w:val="nil"/>
                    <w:tr2bl w:val="nil"/>
                  </w:tcBorders>
                  <w:vAlign w:val="center"/>
                </w:tcPr>
                <w:p w14:paraId="6571F43B">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sz w:val="21"/>
                      <w:szCs w:val="21"/>
                      <w:highlight w:val="none"/>
                    </w:rPr>
                  </w:pPr>
                  <w:r>
                    <w:rPr>
                      <w:rFonts w:hint="eastAsia" w:ascii="Times New Roman" w:cs="Times New Roman"/>
                      <w:b w:val="0"/>
                      <w:bCs/>
                      <w:color w:val="auto"/>
                      <w:sz w:val="21"/>
                      <w:szCs w:val="21"/>
                      <w:highlight w:val="none"/>
                      <w:lang w:val="en-US" w:eastAsia="zh-CN"/>
                    </w:rPr>
                    <w:t>一般</w:t>
                  </w:r>
                  <w:r>
                    <w:rPr>
                      <w:rFonts w:hint="default" w:ascii="Times New Roman" w:hAnsi="Times New Roman" w:eastAsia="宋体" w:cs="Times New Roman"/>
                      <w:b w:val="0"/>
                      <w:bCs/>
                      <w:color w:val="auto"/>
                      <w:sz w:val="21"/>
                      <w:szCs w:val="21"/>
                      <w:highlight w:val="none"/>
                    </w:rPr>
                    <w:t>工业固废</w:t>
                  </w:r>
                </w:p>
              </w:tc>
              <w:tc>
                <w:tcPr>
                  <w:tcW w:w="1786" w:type="pct"/>
                  <w:tcBorders>
                    <w:tl2br w:val="nil"/>
                    <w:tr2bl w:val="nil"/>
                  </w:tcBorders>
                  <w:vAlign w:val="center"/>
                </w:tcPr>
                <w:p w14:paraId="5AE5DAEF">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sz w:val="21"/>
                      <w:szCs w:val="21"/>
                      <w:highlight w:val="none"/>
                    </w:rPr>
                  </w:pPr>
                  <w:r>
                    <w:rPr>
                      <w:rFonts w:hint="default" w:ascii="Times New Roman" w:hAnsi="Times New Roman" w:eastAsia="宋体" w:cs="Times New Roman"/>
                      <w:b w:val="0"/>
                      <w:bCs/>
                      <w:color w:val="auto"/>
                      <w:sz w:val="21"/>
                      <w:szCs w:val="21"/>
                      <w:highlight w:val="none"/>
                    </w:rPr>
                    <w:t>一般固废暂存区，占地</w:t>
                  </w:r>
                  <w:r>
                    <w:rPr>
                      <w:rFonts w:hint="eastAsia" w:ascii="Times New Roman" w:cs="Times New Roman"/>
                      <w:b w:val="0"/>
                      <w:bCs/>
                      <w:color w:val="auto"/>
                      <w:sz w:val="21"/>
                      <w:szCs w:val="21"/>
                      <w:highlight w:val="none"/>
                      <w:lang w:val="en-US" w:eastAsia="zh-CN"/>
                    </w:rPr>
                    <w:t>50</w:t>
                  </w:r>
                  <w:r>
                    <w:rPr>
                      <w:rFonts w:hint="default" w:ascii="Times New Roman" w:hAnsi="Times New Roman" w:eastAsia="宋体" w:cs="Times New Roman"/>
                      <w:b w:val="0"/>
                      <w:bCs/>
                      <w:color w:val="auto"/>
                      <w:sz w:val="21"/>
                      <w:szCs w:val="21"/>
                      <w:highlight w:val="none"/>
                    </w:rPr>
                    <w:t>m</w:t>
                  </w:r>
                  <w:r>
                    <w:rPr>
                      <w:rFonts w:hint="default" w:ascii="Times New Roman" w:hAnsi="Times New Roman" w:eastAsia="宋体" w:cs="Times New Roman"/>
                      <w:b w:val="0"/>
                      <w:bCs/>
                      <w:color w:val="auto"/>
                      <w:sz w:val="21"/>
                      <w:szCs w:val="21"/>
                      <w:highlight w:val="none"/>
                      <w:vertAlign w:val="superscript"/>
                    </w:rPr>
                    <w:t>2</w:t>
                  </w:r>
                </w:p>
              </w:tc>
              <w:tc>
                <w:tcPr>
                  <w:tcW w:w="966" w:type="pct"/>
                  <w:tcBorders>
                    <w:tl2br w:val="nil"/>
                    <w:tr2bl w:val="nil"/>
                  </w:tcBorders>
                  <w:vAlign w:val="center"/>
                </w:tcPr>
                <w:p w14:paraId="12FCCCE6">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sz w:val="21"/>
                      <w:szCs w:val="21"/>
                      <w:highlight w:val="none"/>
                      <w:lang w:val="en-US" w:eastAsia="zh-CN"/>
                    </w:rPr>
                  </w:pPr>
                  <w:r>
                    <w:rPr>
                      <w:rFonts w:hint="eastAsia" w:ascii="Times New Roman" w:cs="Times New Roman"/>
                      <w:b w:val="0"/>
                      <w:bCs/>
                      <w:color w:val="auto"/>
                      <w:sz w:val="21"/>
                      <w:szCs w:val="21"/>
                      <w:highlight w:val="none"/>
                      <w:lang w:val="en-US" w:eastAsia="zh-CN"/>
                    </w:rPr>
                    <w:t>5</w:t>
                  </w:r>
                </w:p>
              </w:tc>
              <w:tc>
                <w:tcPr>
                  <w:tcW w:w="1051" w:type="pct"/>
                  <w:tcBorders>
                    <w:tl2br w:val="nil"/>
                    <w:tr2bl w:val="nil"/>
                  </w:tcBorders>
                  <w:vAlign w:val="center"/>
                </w:tcPr>
                <w:p w14:paraId="26F4684B">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ascii="Times New Roman" w:cs="Times New Roman"/>
                      <w:b w:val="0"/>
                      <w:bCs/>
                      <w:color w:val="auto"/>
                      <w:sz w:val="21"/>
                      <w:szCs w:val="21"/>
                      <w:highlight w:val="none"/>
                      <w:lang w:val="en-US" w:eastAsia="zh-CN"/>
                    </w:rPr>
                  </w:pPr>
                  <w:r>
                    <w:rPr>
                      <w:rFonts w:hint="eastAsia" w:ascii="Times New Roman" w:cs="Times New Roman"/>
                      <w:b w:val="0"/>
                      <w:bCs/>
                      <w:color w:val="auto"/>
                      <w:sz w:val="21"/>
                      <w:szCs w:val="21"/>
                      <w:highlight w:val="none"/>
                      <w:lang w:val="en-US" w:eastAsia="zh-CN"/>
                    </w:rPr>
                    <w:t>新建</w:t>
                  </w:r>
                </w:p>
              </w:tc>
            </w:tr>
            <w:tr w14:paraId="4D72D59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cantSplit/>
                <w:trHeight w:val="340" w:hRule="atLeast"/>
                <w:jc w:val="center"/>
              </w:trPr>
              <w:tc>
                <w:tcPr>
                  <w:tcW w:w="396" w:type="pct"/>
                  <w:vMerge w:val="continue"/>
                  <w:tcBorders>
                    <w:tl2br w:val="nil"/>
                    <w:tr2bl w:val="nil"/>
                  </w:tcBorders>
                  <w:vAlign w:val="center"/>
                </w:tcPr>
                <w:p w14:paraId="5557656A">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sz w:val="21"/>
                      <w:szCs w:val="21"/>
                      <w:highlight w:val="none"/>
                    </w:rPr>
                  </w:pPr>
                </w:p>
              </w:tc>
              <w:tc>
                <w:tcPr>
                  <w:tcW w:w="799" w:type="pct"/>
                  <w:tcBorders>
                    <w:tl2br w:val="nil"/>
                    <w:tr2bl w:val="nil"/>
                  </w:tcBorders>
                  <w:vAlign w:val="center"/>
                </w:tcPr>
                <w:p w14:paraId="070A4884">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cs="Times New Roman"/>
                      <w:b w:val="0"/>
                      <w:bCs/>
                      <w:color w:val="auto"/>
                      <w:sz w:val="21"/>
                      <w:szCs w:val="21"/>
                      <w:highlight w:val="none"/>
                      <w:lang w:val="en-US" w:eastAsia="zh-CN"/>
                    </w:rPr>
                  </w:pPr>
                  <w:r>
                    <w:rPr>
                      <w:rFonts w:hint="eastAsia" w:ascii="Times New Roman" w:cs="Times New Roman"/>
                      <w:b w:val="0"/>
                      <w:bCs/>
                      <w:color w:val="auto"/>
                      <w:sz w:val="21"/>
                      <w:szCs w:val="21"/>
                      <w:highlight w:val="none"/>
                      <w:lang w:val="en-US" w:eastAsia="zh-CN"/>
                    </w:rPr>
                    <w:t>危险废物</w:t>
                  </w:r>
                </w:p>
              </w:tc>
              <w:tc>
                <w:tcPr>
                  <w:tcW w:w="1786" w:type="pct"/>
                  <w:tcBorders>
                    <w:tl2br w:val="nil"/>
                    <w:tr2bl w:val="nil"/>
                  </w:tcBorders>
                  <w:vAlign w:val="center"/>
                </w:tcPr>
                <w:p w14:paraId="25A048CD">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sz w:val="21"/>
                      <w:szCs w:val="21"/>
                      <w:highlight w:val="none"/>
                      <w:lang w:val="en-US" w:eastAsia="zh-CN"/>
                    </w:rPr>
                  </w:pPr>
                  <w:r>
                    <w:rPr>
                      <w:rFonts w:hint="eastAsia" w:ascii="Times New Roman" w:hAnsi="Times New Roman" w:eastAsia="宋体" w:cs="Times New Roman"/>
                      <w:b w:val="0"/>
                      <w:bCs/>
                      <w:color w:val="auto"/>
                      <w:sz w:val="21"/>
                      <w:szCs w:val="21"/>
                      <w:highlight w:val="none"/>
                      <w:lang w:val="en-US" w:eastAsia="zh-CN"/>
                    </w:rPr>
                    <w:t>危废暂存间，占地</w:t>
                  </w:r>
                  <w:r>
                    <w:rPr>
                      <w:rFonts w:hint="eastAsia" w:ascii="Times New Roman" w:cs="Times New Roman"/>
                      <w:b w:val="0"/>
                      <w:bCs/>
                      <w:color w:val="auto"/>
                      <w:sz w:val="21"/>
                      <w:szCs w:val="21"/>
                      <w:highlight w:val="none"/>
                      <w:lang w:val="en-US" w:eastAsia="zh-CN"/>
                    </w:rPr>
                    <w:t>20</w:t>
                  </w:r>
                  <w:r>
                    <w:rPr>
                      <w:rFonts w:hint="eastAsia" w:ascii="Times New Roman" w:hAnsi="Times New Roman" w:eastAsia="宋体" w:cs="Times New Roman"/>
                      <w:b w:val="0"/>
                      <w:bCs/>
                      <w:color w:val="auto"/>
                      <w:sz w:val="21"/>
                      <w:szCs w:val="21"/>
                      <w:highlight w:val="none"/>
                      <w:lang w:val="en-US" w:eastAsia="zh-CN"/>
                    </w:rPr>
                    <w:t>m</w:t>
                  </w:r>
                  <w:r>
                    <w:rPr>
                      <w:rFonts w:hint="eastAsia" w:ascii="Times New Roman" w:hAnsi="Times New Roman" w:eastAsia="宋体" w:cs="Times New Roman"/>
                      <w:b w:val="0"/>
                      <w:bCs/>
                      <w:color w:val="auto"/>
                      <w:sz w:val="21"/>
                      <w:szCs w:val="21"/>
                      <w:highlight w:val="none"/>
                      <w:vertAlign w:val="superscript"/>
                      <w:lang w:val="en-US" w:eastAsia="zh-CN"/>
                    </w:rPr>
                    <w:t>2</w:t>
                  </w:r>
                </w:p>
              </w:tc>
              <w:tc>
                <w:tcPr>
                  <w:tcW w:w="966" w:type="pct"/>
                  <w:tcBorders>
                    <w:tl2br w:val="nil"/>
                    <w:tr2bl w:val="nil"/>
                  </w:tcBorders>
                  <w:vAlign w:val="center"/>
                </w:tcPr>
                <w:p w14:paraId="52E64E63">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sz w:val="21"/>
                      <w:szCs w:val="21"/>
                      <w:highlight w:val="none"/>
                      <w:lang w:val="en-US" w:eastAsia="zh-CN"/>
                    </w:rPr>
                  </w:pPr>
                  <w:r>
                    <w:rPr>
                      <w:rFonts w:hint="eastAsia" w:ascii="Times New Roman" w:cs="Times New Roman"/>
                      <w:b w:val="0"/>
                      <w:bCs/>
                      <w:color w:val="auto"/>
                      <w:sz w:val="21"/>
                      <w:szCs w:val="21"/>
                      <w:highlight w:val="none"/>
                      <w:lang w:val="en-US" w:eastAsia="zh-CN"/>
                    </w:rPr>
                    <w:t>2</w:t>
                  </w:r>
                </w:p>
              </w:tc>
              <w:tc>
                <w:tcPr>
                  <w:tcW w:w="1051" w:type="pct"/>
                  <w:tcBorders>
                    <w:tl2br w:val="nil"/>
                    <w:tr2bl w:val="nil"/>
                  </w:tcBorders>
                  <w:vAlign w:val="center"/>
                </w:tcPr>
                <w:p w14:paraId="6758605C">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ascii="Times New Roman" w:cs="Times New Roman"/>
                      <w:b w:val="0"/>
                      <w:bCs/>
                      <w:color w:val="auto"/>
                      <w:sz w:val="21"/>
                      <w:szCs w:val="21"/>
                      <w:highlight w:val="none"/>
                      <w:lang w:val="en-US" w:eastAsia="zh-CN"/>
                    </w:rPr>
                  </w:pPr>
                  <w:r>
                    <w:rPr>
                      <w:rFonts w:hint="eastAsia" w:ascii="Times New Roman" w:cs="Times New Roman"/>
                      <w:b w:val="0"/>
                      <w:bCs/>
                      <w:color w:val="auto"/>
                      <w:sz w:val="21"/>
                      <w:szCs w:val="21"/>
                      <w:highlight w:val="none"/>
                      <w:lang w:val="en-US" w:eastAsia="zh-CN"/>
                    </w:rPr>
                    <w:t>新建</w:t>
                  </w:r>
                </w:p>
              </w:tc>
            </w:tr>
            <w:tr w14:paraId="219CAE2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396" w:type="pct"/>
                  <w:vMerge w:val="continue"/>
                  <w:tcBorders>
                    <w:tl2br w:val="nil"/>
                    <w:tr2bl w:val="nil"/>
                  </w:tcBorders>
                  <w:vAlign w:val="center"/>
                </w:tcPr>
                <w:p w14:paraId="45C737B3">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sz w:val="21"/>
                      <w:szCs w:val="21"/>
                      <w:highlight w:val="none"/>
                    </w:rPr>
                  </w:pPr>
                </w:p>
              </w:tc>
              <w:tc>
                <w:tcPr>
                  <w:tcW w:w="799" w:type="pct"/>
                  <w:tcBorders>
                    <w:tl2br w:val="nil"/>
                    <w:tr2bl w:val="nil"/>
                  </w:tcBorders>
                  <w:vAlign w:val="center"/>
                </w:tcPr>
                <w:p w14:paraId="5EB06701">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sz w:val="21"/>
                      <w:szCs w:val="21"/>
                      <w:highlight w:val="none"/>
                    </w:rPr>
                  </w:pPr>
                  <w:r>
                    <w:rPr>
                      <w:rFonts w:hint="default" w:ascii="Times New Roman" w:hAnsi="Times New Roman" w:eastAsia="宋体" w:cs="Times New Roman"/>
                      <w:b w:val="0"/>
                      <w:bCs/>
                      <w:color w:val="auto"/>
                      <w:sz w:val="21"/>
                      <w:szCs w:val="21"/>
                      <w:highlight w:val="none"/>
                    </w:rPr>
                    <w:t>生活垃圾</w:t>
                  </w:r>
                </w:p>
              </w:tc>
              <w:tc>
                <w:tcPr>
                  <w:tcW w:w="1786" w:type="pct"/>
                  <w:tcBorders>
                    <w:tl2br w:val="nil"/>
                    <w:tr2bl w:val="nil"/>
                  </w:tcBorders>
                  <w:vAlign w:val="center"/>
                </w:tcPr>
                <w:p w14:paraId="56747276">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sz w:val="21"/>
                      <w:szCs w:val="21"/>
                      <w:highlight w:val="none"/>
                    </w:rPr>
                  </w:pPr>
                  <w:r>
                    <w:rPr>
                      <w:rFonts w:hint="default" w:ascii="Times New Roman" w:hAnsi="Times New Roman" w:eastAsia="宋体" w:cs="Times New Roman"/>
                      <w:b w:val="0"/>
                      <w:bCs/>
                      <w:color w:val="auto"/>
                      <w:sz w:val="21"/>
                      <w:szCs w:val="21"/>
                      <w:highlight w:val="none"/>
                    </w:rPr>
                    <w:t>垃圾桶</w:t>
                  </w:r>
                </w:p>
              </w:tc>
              <w:tc>
                <w:tcPr>
                  <w:tcW w:w="966" w:type="pct"/>
                  <w:tcBorders>
                    <w:tl2br w:val="nil"/>
                    <w:tr2bl w:val="nil"/>
                  </w:tcBorders>
                  <w:vAlign w:val="center"/>
                </w:tcPr>
                <w:p w14:paraId="3DD89AF7">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sz w:val="21"/>
                      <w:szCs w:val="21"/>
                      <w:highlight w:val="none"/>
                      <w:lang w:val="en-US" w:eastAsia="zh-CN"/>
                    </w:rPr>
                  </w:pPr>
                  <w:r>
                    <w:rPr>
                      <w:rFonts w:hint="eastAsia" w:ascii="Times New Roman" w:hAnsi="Times New Roman" w:eastAsia="宋体" w:cs="Times New Roman"/>
                      <w:b w:val="0"/>
                      <w:bCs/>
                      <w:color w:val="auto"/>
                      <w:sz w:val="21"/>
                      <w:szCs w:val="21"/>
                      <w:highlight w:val="none"/>
                      <w:lang w:val="en-US" w:eastAsia="zh-CN"/>
                    </w:rPr>
                    <w:t>0.2</w:t>
                  </w:r>
                </w:p>
              </w:tc>
              <w:tc>
                <w:tcPr>
                  <w:tcW w:w="1051" w:type="pct"/>
                  <w:tcBorders>
                    <w:tl2br w:val="nil"/>
                    <w:tr2bl w:val="nil"/>
                  </w:tcBorders>
                  <w:vAlign w:val="center"/>
                </w:tcPr>
                <w:p w14:paraId="7D17E3C5">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val="0"/>
                      <w:bCs/>
                      <w:color w:val="auto"/>
                      <w:sz w:val="21"/>
                      <w:szCs w:val="21"/>
                      <w:highlight w:val="none"/>
                      <w:lang w:val="en-US" w:eastAsia="zh-CN"/>
                    </w:rPr>
                  </w:pPr>
                  <w:r>
                    <w:rPr>
                      <w:rFonts w:hint="eastAsia" w:ascii="Times New Roman" w:cs="Times New Roman"/>
                      <w:b w:val="0"/>
                      <w:bCs/>
                      <w:color w:val="auto"/>
                      <w:sz w:val="21"/>
                      <w:szCs w:val="21"/>
                      <w:highlight w:val="none"/>
                      <w:lang w:val="en-US" w:eastAsia="zh-CN"/>
                    </w:rPr>
                    <w:t>新建</w:t>
                  </w:r>
                </w:p>
              </w:tc>
            </w:tr>
            <w:tr w14:paraId="691D49B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396" w:type="pct"/>
                  <w:tcBorders>
                    <w:tl2br w:val="nil"/>
                    <w:tr2bl w:val="nil"/>
                  </w:tcBorders>
                  <w:vAlign w:val="center"/>
                </w:tcPr>
                <w:p w14:paraId="52159014">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sz w:val="21"/>
                      <w:szCs w:val="21"/>
                      <w:highlight w:val="none"/>
                    </w:rPr>
                  </w:pPr>
                  <w:r>
                    <w:rPr>
                      <w:rFonts w:hint="eastAsia" w:ascii="Times New Roman" w:hAnsi="Times New Roman" w:eastAsia="宋体" w:cs="Times New Roman"/>
                      <w:b w:val="0"/>
                      <w:bCs/>
                      <w:color w:val="auto"/>
                      <w:sz w:val="21"/>
                      <w:szCs w:val="21"/>
                      <w:highlight w:val="none"/>
                      <w:lang w:eastAsia="zh-CN"/>
                    </w:rPr>
                    <w:t>土壤、地下水</w:t>
                  </w:r>
                </w:p>
              </w:tc>
              <w:tc>
                <w:tcPr>
                  <w:tcW w:w="799" w:type="pct"/>
                  <w:tcBorders>
                    <w:tl2br w:val="nil"/>
                    <w:tr2bl w:val="nil"/>
                  </w:tcBorders>
                  <w:vAlign w:val="center"/>
                </w:tcPr>
                <w:p w14:paraId="21BD72FD">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sz w:val="21"/>
                      <w:szCs w:val="21"/>
                      <w:highlight w:val="none"/>
                      <w:lang w:val="en-US"/>
                    </w:rPr>
                  </w:pPr>
                  <w:r>
                    <w:rPr>
                      <w:rFonts w:hint="eastAsia" w:ascii="Times New Roman" w:hAnsi="Times New Roman" w:eastAsia="宋体" w:cs="Times New Roman"/>
                      <w:b w:val="0"/>
                      <w:bCs/>
                      <w:color w:val="auto"/>
                      <w:sz w:val="21"/>
                      <w:szCs w:val="21"/>
                      <w:highlight w:val="none"/>
                      <w:lang w:eastAsia="zh-CN"/>
                    </w:rPr>
                    <w:t>废水、废气</w:t>
                  </w:r>
                  <w:r>
                    <w:rPr>
                      <w:rFonts w:hint="eastAsia" w:ascii="Times New Roman" w:cs="Times New Roman"/>
                      <w:b w:val="0"/>
                      <w:bCs/>
                      <w:color w:val="auto"/>
                      <w:sz w:val="21"/>
                      <w:szCs w:val="21"/>
                      <w:highlight w:val="none"/>
                      <w:lang w:eastAsia="zh-CN"/>
                    </w:rPr>
                    <w:t>、</w:t>
                  </w:r>
                  <w:r>
                    <w:rPr>
                      <w:rFonts w:hint="eastAsia" w:ascii="Times New Roman" w:cs="Times New Roman"/>
                      <w:b w:val="0"/>
                      <w:bCs/>
                      <w:color w:val="auto"/>
                      <w:sz w:val="21"/>
                      <w:szCs w:val="21"/>
                      <w:highlight w:val="none"/>
                      <w:lang w:val="en-US" w:eastAsia="zh-CN"/>
                    </w:rPr>
                    <w:t>原辅料</w:t>
                  </w:r>
                </w:p>
              </w:tc>
              <w:tc>
                <w:tcPr>
                  <w:tcW w:w="1786" w:type="pct"/>
                  <w:tcBorders>
                    <w:tl2br w:val="nil"/>
                    <w:tr2bl w:val="nil"/>
                  </w:tcBorders>
                  <w:vAlign w:val="center"/>
                </w:tcPr>
                <w:p w14:paraId="33193B3D">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sz w:val="21"/>
                      <w:szCs w:val="21"/>
                      <w:highlight w:val="none"/>
                    </w:rPr>
                  </w:pPr>
                  <w:r>
                    <w:rPr>
                      <w:rFonts w:hint="eastAsia" w:ascii="Times New Roman" w:hAnsi="Times New Roman" w:eastAsia="宋体" w:cs="Times New Roman"/>
                      <w:b w:val="0"/>
                      <w:bCs/>
                      <w:color w:val="auto"/>
                      <w:sz w:val="21"/>
                      <w:szCs w:val="21"/>
                      <w:highlight w:val="none"/>
                      <w:lang w:eastAsia="zh-CN"/>
                    </w:rPr>
                    <w:t>分区防渗措施、</w:t>
                  </w:r>
                  <w:r>
                    <w:rPr>
                      <w:rFonts w:hint="eastAsia" w:ascii="Times New Roman" w:hAnsi="Times New Roman" w:eastAsia="宋体" w:cs="Times New Roman"/>
                      <w:b w:val="0"/>
                      <w:bCs/>
                      <w:color w:val="auto"/>
                      <w:sz w:val="21"/>
                      <w:szCs w:val="21"/>
                      <w:highlight w:val="none"/>
                    </w:rPr>
                    <w:t>危险废物转运</w:t>
                  </w:r>
                </w:p>
              </w:tc>
              <w:tc>
                <w:tcPr>
                  <w:tcW w:w="966" w:type="pct"/>
                  <w:tcBorders>
                    <w:tl2br w:val="nil"/>
                    <w:tr2bl w:val="nil"/>
                  </w:tcBorders>
                  <w:vAlign w:val="center"/>
                </w:tcPr>
                <w:p w14:paraId="5328E525">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sz w:val="21"/>
                      <w:szCs w:val="21"/>
                      <w:highlight w:val="none"/>
                      <w:lang w:val="en-US" w:eastAsia="zh-CN"/>
                    </w:rPr>
                  </w:pPr>
                  <w:r>
                    <w:rPr>
                      <w:rFonts w:hint="eastAsia" w:ascii="Times New Roman" w:hAnsi="Times New Roman" w:eastAsia="宋体" w:cs="Times New Roman"/>
                      <w:b w:val="0"/>
                      <w:bCs/>
                      <w:color w:val="auto"/>
                      <w:sz w:val="21"/>
                      <w:szCs w:val="21"/>
                      <w:highlight w:val="none"/>
                      <w:lang w:val="en-US" w:eastAsia="zh-CN"/>
                    </w:rPr>
                    <w:t>30</w:t>
                  </w:r>
                </w:p>
              </w:tc>
              <w:tc>
                <w:tcPr>
                  <w:tcW w:w="1051" w:type="pct"/>
                  <w:tcBorders>
                    <w:tl2br w:val="nil"/>
                    <w:tr2bl w:val="nil"/>
                  </w:tcBorders>
                  <w:vAlign w:val="center"/>
                </w:tcPr>
                <w:p w14:paraId="4E44F0EE">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val="0"/>
                      <w:bCs/>
                      <w:color w:val="auto"/>
                      <w:sz w:val="21"/>
                      <w:szCs w:val="21"/>
                      <w:highlight w:val="none"/>
                      <w:lang w:val="en-US" w:eastAsia="zh-CN"/>
                    </w:rPr>
                  </w:pPr>
                  <w:r>
                    <w:rPr>
                      <w:rFonts w:hint="eastAsia" w:ascii="Times New Roman" w:cs="Times New Roman"/>
                      <w:b w:val="0"/>
                      <w:bCs/>
                      <w:color w:val="auto"/>
                      <w:sz w:val="21"/>
                      <w:szCs w:val="21"/>
                      <w:highlight w:val="none"/>
                      <w:lang w:val="en-US" w:eastAsia="zh-CN"/>
                    </w:rPr>
                    <w:t>新建</w:t>
                  </w:r>
                </w:p>
              </w:tc>
            </w:tr>
            <w:tr w14:paraId="6DD9E28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396" w:type="pct"/>
                  <w:tcBorders>
                    <w:tl2br w:val="nil"/>
                    <w:tr2bl w:val="nil"/>
                  </w:tcBorders>
                  <w:shd w:val="clear" w:color="auto" w:fill="auto"/>
                  <w:vAlign w:val="center"/>
                </w:tcPr>
                <w:p w14:paraId="5FCF7A12">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val="0"/>
                      <w:bCs/>
                      <w:color w:val="auto"/>
                      <w:sz w:val="21"/>
                      <w:szCs w:val="21"/>
                      <w:highlight w:val="none"/>
                      <w:lang w:val="en-US" w:eastAsia="zh-CN"/>
                    </w:rPr>
                  </w:pPr>
                  <w:r>
                    <w:rPr>
                      <w:rFonts w:hint="eastAsia" w:ascii="Times New Roman" w:hAnsi="Times New Roman" w:eastAsia="宋体" w:cs="Times New Roman"/>
                      <w:b w:val="0"/>
                      <w:bCs/>
                      <w:color w:val="auto"/>
                      <w:sz w:val="21"/>
                      <w:szCs w:val="21"/>
                      <w:highlight w:val="none"/>
                      <w:lang w:val="en-US" w:eastAsia="zh-CN"/>
                    </w:rPr>
                    <w:t>环境风险</w:t>
                  </w:r>
                </w:p>
              </w:tc>
              <w:tc>
                <w:tcPr>
                  <w:tcW w:w="799" w:type="pct"/>
                  <w:tcBorders>
                    <w:tl2br w:val="nil"/>
                    <w:tr2bl w:val="nil"/>
                  </w:tcBorders>
                  <w:shd w:val="clear" w:color="auto" w:fill="auto"/>
                  <w:vAlign w:val="center"/>
                </w:tcPr>
                <w:p w14:paraId="075BFFB7">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val="0"/>
                      <w:bCs/>
                      <w:color w:val="auto"/>
                      <w:sz w:val="21"/>
                      <w:szCs w:val="21"/>
                      <w:highlight w:val="none"/>
                      <w:lang w:val="en-US" w:eastAsia="zh-CN"/>
                    </w:rPr>
                  </w:pPr>
                  <w:r>
                    <w:rPr>
                      <w:rFonts w:hint="eastAsia" w:ascii="Times New Roman" w:hAnsi="Times New Roman" w:eastAsia="宋体" w:cs="Times New Roman"/>
                      <w:b w:val="0"/>
                      <w:bCs/>
                      <w:color w:val="auto"/>
                      <w:sz w:val="21"/>
                      <w:szCs w:val="21"/>
                      <w:highlight w:val="none"/>
                      <w:lang w:val="en-US" w:eastAsia="zh-CN"/>
                    </w:rPr>
                    <w:t>/</w:t>
                  </w:r>
                </w:p>
              </w:tc>
              <w:tc>
                <w:tcPr>
                  <w:tcW w:w="1786" w:type="pct"/>
                  <w:tcBorders>
                    <w:tl2br w:val="nil"/>
                    <w:tr2bl w:val="nil"/>
                  </w:tcBorders>
                  <w:shd w:val="clear" w:color="auto" w:fill="auto"/>
                  <w:vAlign w:val="center"/>
                </w:tcPr>
                <w:p w14:paraId="1E6ACC23">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val="0"/>
                      <w:bCs/>
                      <w:color w:val="auto"/>
                      <w:sz w:val="21"/>
                      <w:szCs w:val="21"/>
                      <w:highlight w:val="none"/>
                      <w:lang w:val="en-US" w:eastAsia="zh-CN"/>
                    </w:rPr>
                  </w:pPr>
                  <w:r>
                    <w:rPr>
                      <w:rFonts w:hint="eastAsia" w:ascii="Times New Roman" w:hAnsi="Times New Roman" w:eastAsia="宋体" w:cs="Times New Roman"/>
                      <w:b w:val="0"/>
                      <w:bCs/>
                      <w:color w:val="auto"/>
                      <w:sz w:val="21"/>
                      <w:szCs w:val="21"/>
                      <w:highlight w:val="none"/>
                      <w:lang w:val="en-US" w:eastAsia="zh-CN"/>
                    </w:rPr>
                    <w:t>配置消防沙、收集桶、防护服、防护手套、防护面罩、应急照明、急救药品、灭火器等应急物资</w:t>
                  </w:r>
                </w:p>
              </w:tc>
              <w:tc>
                <w:tcPr>
                  <w:tcW w:w="966" w:type="pct"/>
                  <w:tcBorders>
                    <w:tl2br w:val="nil"/>
                    <w:tr2bl w:val="nil"/>
                  </w:tcBorders>
                  <w:shd w:val="clear" w:color="auto" w:fill="auto"/>
                  <w:vAlign w:val="center"/>
                </w:tcPr>
                <w:p w14:paraId="220C5B57">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val="0"/>
                      <w:bCs/>
                      <w:color w:val="auto"/>
                      <w:sz w:val="21"/>
                      <w:szCs w:val="21"/>
                      <w:highlight w:val="none"/>
                      <w:lang w:val="en-US" w:eastAsia="zh-CN"/>
                    </w:rPr>
                  </w:pPr>
                  <w:r>
                    <w:rPr>
                      <w:rFonts w:hint="eastAsia" w:ascii="Times New Roman" w:hAnsi="Times New Roman" w:eastAsia="宋体" w:cs="Times New Roman"/>
                      <w:b w:val="0"/>
                      <w:bCs/>
                      <w:color w:val="auto"/>
                      <w:sz w:val="21"/>
                      <w:szCs w:val="21"/>
                      <w:highlight w:val="none"/>
                      <w:lang w:val="en-US" w:eastAsia="zh-CN"/>
                    </w:rPr>
                    <w:t>2</w:t>
                  </w:r>
                </w:p>
              </w:tc>
              <w:tc>
                <w:tcPr>
                  <w:tcW w:w="1051" w:type="pct"/>
                  <w:tcBorders>
                    <w:tl2br w:val="nil"/>
                    <w:tr2bl w:val="nil"/>
                  </w:tcBorders>
                  <w:vAlign w:val="center"/>
                </w:tcPr>
                <w:p w14:paraId="6D00580E">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eastAsia" w:ascii="Times New Roman" w:cs="Times New Roman"/>
                      <w:b w:val="0"/>
                      <w:bCs/>
                      <w:color w:val="auto"/>
                      <w:sz w:val="21"/>
                      <w:szCs w:val="21"/>
                      <w:highlight w:val="none"/>
                      <w:lang w:val="en-US" w:eastAsia="zh-CN"/>
                    </w:rPr>
                  </w:pPr>
                  <w:r>
                    <w:rPr>
                      <w:rFonts w:hint="eastAsia" w:ascii="Times New Roman" w:cs="Times New Roman"/>
                      <w:b w:val="0"/>
                      <w:bCs/>
                      <w:color w:val="auto"/>
                      <w:sz w:val="21"/>
                      <w:szCs w:val="21"/>
                      <w:highlight w:val="none"/>
                      <w:lang w:val="en-US" w:eastAsia="zh-CN"/>
                    </w:rPr>
                    <w:t>新建</w:t>
                  </w:r>
                </w:p>
              </w:tc>
            </w:tr>
            <w:tr w14:paraId="78E9387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2982" w:type="pct"/>
                  <w:gridSpan w:val="3"/>
                  <w:tcBorders>
                    <w:tl2br w:val="nil"/>
                    <w:tr2bl w:val="nil"/>
                  </w:tcBorders>
                  <w:vAlign w:val="center"/>
                </w:tcPr>
                <w:p w14:paraId="0F87A6B1">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sz w:val="21"/>
                      <w:szCs w:val="21"/>
                      <w:highlight w:val="none"/>
                    </w:rPr>
                  </w:pPr>
                  <w:r>
                    <w:rPr>
                      <w:rFonts w:hint="default" w:ascii="Times New Roman" w:hAnsi="Times New Roman" w:eastAsia="宋体" w:cs="Times New Roman"/>
                      <w:b w:val="0"/>
                      <w:bCs/>
                      <w:color w:val="auto"/>
                      <w:sz w:val="21"/>
                      <w:szCs w:val="21"/>
                      <w:highlight w:val="none"/>
                    </w:rPr>
                    <w:t>合计</w:t>
                  </w:r>
                </w:p>
              </w:tc>
              <w:tc>
                <w:tcPr>
                  <w:tcW w:w="966" w:type="pct"/>
                  <w:tcBorders>
                    <w:tl2br w:val="nil"/>
                    <w:tr2bl w:val="nil"/>
                  </w:tcBorders>
                  <w:vAlign w:val="center"/>
                </w:tcPr>
                <w:p w14:paraId="173E3B37">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sz w:val="21"/>
                      <w:szCs w:val="21"/>
                      <w:highlight w:val="none"/>
                      <w:lang w:val="en-US" w:eastAsia="zh-CN"/>
                    </w:rPr>
                  </w:pPr>
                  <w:r>
                    <w:rPr>
                      <w:rFonts w:hint="eastAsia" w:ascii="Times New Roman" w:cs="Times New Roman"/>
                      <w:b w:val="0"/>
                      <w:bCs/>
                      <w:color w:val="auto"/>
                      <w:sz w:val="21"/>
                      <w:szCs w:val="21"/>
                      <w:highlight w:val="none"/>
                      <w:lang w:val="en-US" w:eastAsia="zh-CN"/>
                    </w:rPr>
                    <w:t>103.2</w:t>
                  </w:r>
                </w:p>
              </w:tc>
              <w:tc>
                <w:tcPr>
                  <w:tcW w:w="1051" w:type="pct"/>
                  <w:tcBorders>
                    <w:tl2br w:val="nil"/>
                    <w:tr2bl w:val="nil"/>
                  </w:tcBorders>
                  <w:vAlign w:val="center"/>
                </w:tcPr>
                <w:p w14:paraId="26A59639">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cs="Times New Roman"/>
                      <w:b w:val="0"/>
                      <w:bCs/>
                      <w:color w:val="auto"/>
                      <w:sz w:val="21"/>
                      <w:szCs w:val="21"/>
                      <w:highlight w:val="none"/>
                      <w:lang w:val="en-US" w:eastAsia="zh-CN"/>
                    </w:rPr>
                  </w:pPr>
                  <w:r>
                    <w:rPr>
                      <w:rFonts w:hint="eastAsia" w:ascii="Times New Roman" w:cs="Times New Roman"/>
                      <w:b w:val="0"/>
                      <w:bCs/>
                      <w:color w:val="auto"/>
                      <w:sz w:val="21"/>
                      <w:szCs w:val="21"/>
                      <w:highlight w:val="none"/>
                      <w:lang w:val="en-US" w:eastAsia="zh-CN"/>
                    </w:rPr>
                    <w:t>/</w:t>
                  </w:r>
                </w:p>
              </w:tc>
            </w:tr>
          </w:tbl>
          <w:p w14:paraId="293A6657">
            <w:pPr>
              <w:keepNext w:val="0"/>
              <w:keepLines w:val="0"/>
              <w:suppressLineNumbers w:val="0"/>
              <w:bidi w:val="0"/>
              <w:spacing w:before="0" w:beforeAutospacing="0" w:after="0" w:afterAutospacing="0" w:line="360" w:lineRule="auto"/>
              <w:ind w:left="0" w:leftChars="0" w:right="0" w:firstLine="0" w:firstLineChars="0"/>
              <w:rPr>
                <w:rFonts w:hint="eastAsia"/>
                <w:color w:val="auto"/>
                <w:sz w:val="24"/>
                <w:highlight w:val="none"/>
                <w:lang w:eastAsia="zh-CN"/>
              </w:rPr>
            </w:pPr>
          </w:p>
        </w:tc>
      </w:tr>
    </w:tbl>
    <w:p w14:paraId="3F750238">
      <w:pPr>
        <w:rPr>
          <w:rFonts w:hint="default"/>
          <w:color w:val="auto"/>
          <w:highlight w:val="none"/>
        </w:rPr>
        <w:sectPr>
          <w:pgSz w:w="11907" w:h="16840"/>
          <w:pgMar w:top="1701" w:right="1531" w:bottom="2127" w:left="1531" w:header="851" w:footer="851" w:gutter="0"/>
          <w:pgBorders>
            <w:top w:val="none" w:sz="0" w:space="0"/>
            <w:left w:val="none" w:sz="0" w:space="0"/>
            <w:bottom w:val="none" w:sz="0" w:space="0"/>
            <w:right w:val="none" w:sz="0" w:space="0"/>
          </w:pgBorders>
          <w:pgNumType w:fmt="decimal"/>
          <w:cols w:space="720" w:num="1"/>
          <w:docGrid w:linePitch="312" w:charSpace="0"/>
        </w:sectPr>
      </w:pPr>
    </w:p>
    <w:p w14:paraId="65AC210E">
      <w:pPr>
        <w:pStyle w:val="18"/>
        <w:jc w:val="center"/>
        <w:outlineLvl w:val="0"/>
        <w:rPr>
          <w:rFonts w:cs="宋体"/>
          <w:b/>
          <w:bCs/>
          <w:snapToGrid w:val="0"/>
          <w:color w:val="auto"/>
          <w:sz w:val="30"/>
          <w:szCs w:val="30"/>
          <w:highlight w:val="none"/>
        </w:rPr>
      </w:pPr>
      <w:bookmarkStart w:id="37" w:name="_Toc9025"/>
      <w:r>
        <w:rPr>
          <w:rFonts w:hint="eastAsia" w:cs="宋体"/>
          <w:b/>
          <w:bCs/>
          <w:snapToGrid w:val="0"/>
          <w:color w:val="auto"/>
          <w:sz w:val="30"/>
          <w:szCs w:val="30"/>
          <w:highlight w:val="none"/>
        </w:rPr>
        <w:t>五、</w:t>
      </w:r>
      <w:bookmarkStart w:id="38" w:name="_Hlk54167917"/>
      <w:r>
        <w:rPr>
          <w:rFonts w:hint="eastAsia" w:cs="宋体"/>
          <w:b/>
          <w:bCs/>
          <w:snapToGrid w:val="0"/>
          <w:color w:val="auto"/>
          <w:sz w:val="30"/>
          <w:szCs w:val="30"/>
          <w:highlight w:val="none"/>
        </w:rPr>
        <w:t>环境保护措施监督检查清单</w:t>
      </w:r>
      <w:bookmarkEnd w:id="37"/>
      <w:bookmarkEnd w:id="38"/>
    </w:p>
    <w:tbl>
      <w:tblPr>
        <w:tblStyle w:val="26"/>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550"/>
        <w:gridCol w:w="589"/>
        <w:gridCol w:w="1030"/>
        <w:gridCol w:w="1508"/>
        <w:gridCol w:w="1962"/>
        <w:gridCol w:w="2161"/>
      </w:tblGrid>
      <w:tr w14:paraId="3021290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550" w:type="dxa"/>
            <w:tcBorders>
              <w:tl2br w:val="single" w:color="auto" w:sz="4" w:space="0"/>
            </w:tcBorders>
          </w:tcPr>
          <w:p w14:paraId="6E0F1F4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right"/>
              <w:textAlignment w:val="auto"/>
              <w:rPr>
                <w:rFonts w:hint="default" w:ascii="宋体" w:hAnsi="宋体" w:cs="宋体"/>
                <w:b/>
                <w:bCs/>
                <w:color w:val="auto"/>
                <w:szCs w:val="21"/>
                <w:highlight w:val="none"/>
              </w:rPr>
            </w:pPr>
            <w:r>
              <w:rPr>
                <w:rFonts w:hint="eastAsia" w:ascii="宋体" w:hAnsi="宋体" w:cs="宋体"/>
                <w:b/>
                <w:bCs/>
                <w:color w:val="auto"/>
                <w:szCs w:val="21"/>
                <w:highlight w:val="none"/>
              </w:rPr>
              <w:t>内容</w:t>
            </w:r>
          </w:p>
          <w:p w14:paraId="4F8DB14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default" w:ascii="宋体" w:hAnsi="宋体" w:cs="宋体"/>
                <w:b/>
                <w:bCs/>
                <w:color w:val="auto"/>
                <w:szCs w:val="21"/>
                <w:highlight w:val="none"/>
              </w:rPr>
            </w:pPr>
            <w:r>
              <w:rPr>
                <w:rFonts w:hint="eastAsia" w:ascii="宋体" w:hAnsi="宋体" w:cs="宋体"/>
                <w:b/>
                <w:bCs/>
                <w:color w:val="auto"/>
                <w:szCs w:val="21"/>
                <w:highlight w:val="none"/>
              </w:rPr>
              <w:t>要素</w:t>
            </w:r>
          </w:p>
        </w:tc>
        <w:tc>
          <w:tcPr>
            <w:tcW w:w="1619" w:type="dxa"/>
            <w:gridSpan w:val="2"/>
            <w:vAlign w:val="center"/>
          </w:tcPr>
          <w:p w14:paraId="581A8AB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宋体" w:hAnsi="宋体" w:cs="宋体"/>
                <w:b/>
                <w:bCs/>
                <w:color w:val="auto"/>
                <w:szCs w:val="21"/>
                <w:highlight w:val="none"/>
              </w:rPr>
            </w:pPr>
            <w:r>
              <w:rPr>
                <w:rFonts w:hint="eastAsia" w:ascii="宋体" w:hAnsi="宋体" w:cs="宋体"/>
                <w:b/>
                <w:bCs/>
                <w:color w:val="auto"/>
                <w:szCs w:val="21"/>
                <w:highlight w:val="none"/>
              </w:rPr>
              <w:t>排放口(编号、名称)/污染源</w:t>
            </w:r>
          </w:p>
        </w:tc>
        <w:tc>
          <w:tcPr>
            <w:tcW w:w="1508" w:type="dxa"/>
            <w:vAlign w:val="center"/>
          </w:tcPr>
          <w:p w14:paraId="1FDE68C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宋体" w:hAnsi="宋体" w:cs="宋体"/>
                <w:b/>
                <w:bCs/>
                <w:color w:val="auto"/>
                <w:szCs w:val="21"/>
                <w:highlight w:val="none"/>
              </w:rPr>
            </w:pPr>
            <w:r>
              <w:rPr>
                <w:rFonts w:hint="eastAsia" w:ascii="宋体" w:hAnsi="宋体" w:cs="宋体"/>
                <w:b/>
                <w:bCs/>
                <w:color w:val="auto"/>
                <w:szCs w:val="21"/>
                <w:highlight w:val="none"/>
              </w:rPr>
              <w:t>污染物项目</w:t>
            </w:r>
          </w:p>
        </w:tc>
        <w:tc>
          <w:tcPr>
            <w:tcW w:w="1962" w:type="dxa"/>
            <w:vAlign w:val="center"/>
          </w:tcPr>
          <w:p w14:paraId="4EA493C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宋体" w:hAnsi="宋体" w:cs="宋体"/>
                <w:b/>
                <w:bCs/>
                <w:color w:val="auto"/>
                <w:szCs w:val="21"/>
                <w:highlight w:val="none"/>
              </w:rPr>
            </w:pPr>
            <w:r>
              <w:rPr>
                <w:rFonts w:hint="eastAsia" w:ascii="宋体" w:hAnsi="宋体" w:cs="宋体"/>
                <w:b/>
                <w:bCs/>
                <w:color w:val="auto"/>
                <w:szCs w:val="21"/>
                <w:highlight w:val="none"/>
              </w:rPr>
              <w:t>环境保护措施</w:t>
            </w:r>
          </w:p>
        </w:tc>
        <w:tc>
          <w:tcPr>
            <w:tcW w:w="2161" w:type="dxa"/>
            <w:vAlign w:val="center"/>
          </w:tcPr>
          <w:p w14:paraId="336D59B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宋体" w:hAnsi="宋体" w:cs="宋体"/>
                <w:b/>
                <w:bCs/>
                <w:color w:val="auto"/>
                <w:szCs w:val="21"/>
                <w:highlight w:val="none"/>
              </w:rPr>
            </w:pPr>
            <w:r>
              <w:rPr>
                <w:rFonts w:hint="eastAsia" w:ascii="宋体" w:hAnsi="宋体" w:cs="宋体"/>
                <w:b/>
                <w:bCs/>
                <w:color w:val="auto"/>
                <w:szCs w:val="21"/>
                <w:highlight w:val="none"/>
              </w:rPr>
              <w:t>执行标准</w:t>
            </w:r>
          </w:p>
        </w:tc>
      </w:tr>
      <w:tr w14:paraId="41DB31B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1550" w:type="dxa"/>
            <w:vMerge w:val="restart"/>
            <w:vAlign w:val="center"/>
          </w:tcPr>
          <w:p w14:paraId="7ED0D6C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宋体" w:hAnsi="宋体" w:cs="宋体"/>
                <w:b/>
                <w:bCs/>
                <w:color w:val="auto"/>
                <w:szCs w:val="21"/>
                <w:highlight w:val="none"/>
              </w:rPr>
            </w:pPr>
            <w:r>
              <w:rPr>
                <w:rFonts w:hint="eastAsia" w:ascii="宋体" w:hAnsi="宋体" w:cs="宋体"/>
                <w:b/>
                <w:bCs/>
                <w:color w:val="auto"/>
                <w:szCs w:val="21"/>
                <w:highlight w:val="none"/>
              </w:rPr>
              <w:t>大气环境</w:t>
            </w:r>
          </w:p>
        </w:tc>
        <w:tc>
          <w:tcPr>
            <w:tcW w:w="589" w:type="dxa"/>
            <w:vMerge w:val="restart"/>
            <w:vAlign w:val="center"/>
          </w:tcPr>
          <w:p w14:paraId="3E4707DD">
            <w:pPr>
              <w:pStyle w:val="100"/>
              <w:keepNext w:val="0"/>
              <w:keepLines w:val="0"/>
              <w:pageBreakBefore w:val="0"/>
              <w:widowControl w:val="0"/>
              <w:numPr>
                <w:ilvl w:val="0"/>
                <w:numId w:val="0"/>
              </w:numPr>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snapToGrid w:val="0"/>
                <w:color w:val="auto"/>
                <w:spacing w:val="0"/>
                <w:kern w:val="2"/>
                <w:sz w:val="21"/>
                <w:szCs w:val="24"/>
                <w:highlight w:val="none"/>
                <w:lang w:val="en-US" w:eastAsia="zh-CN" w:bidi="ar-SA"/>
              </w:rPr>
            </w:pPr>
            <w:r>
              <w:rPr>
                <w:rFonts w:hint="default" w:ascii="Times New Roman" w:hAnsi="Times New Roman" w:eastAsia="宋体" w:cs="Times New Roman"/>
                <w:snapToGrid w:val="0"/>
                <w:color w:val="auto"/>
                <w:spacing w:val="0"/>
                <w:kern w:val="2"/>
                <w:sz w:val="21"/>
                <w:szCs w:val="24"/>
                <w:highlight w:val="none"/>
                <w:lang w:val="en-US" w:eastAsia="zh-CN" w:bidi="ar-SA"/>
              </w:rPr>
              <w:t>有组织</w:t>
            </w:r>
          </w:p>
        </w:tc>
        <w:tc>
          <w:tcPr>
            <w:tcW w:w="1030" w:type="dxa"/>
            <w:vAlign w:val="center"/>
          </w:tcPr>
          <w:p w14:paraId="3D44556D">
            <w:pPr>
              <w:pStyle w:val="100"/>
              <w:keepNext w:val="0"/>
              <w:keepLines w:val="0"/>
              <w:pageBreakBefore w:val="0"/>
              <w:widowControl w:val="0"/>
              <w:numPr>
                <w:ilvl w:val="0"/>
                <w:numId w:val="0"/>
              </w:numPr>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snapToGrid w:val="0"/>
                <w:color w:val="auto"/>
                <w:spacing w:val="0"/>
                <w:kern w:val="2"/>
                <w:sz w:val="21"/>
                <w:szCs w:val="24"/>
                <w:highlight w:val="none"/>
                <w:lang w:val="en-US" w:eastAsia="zh-CN" w:bidi="ar-SA"/>
              </w:rPr>
            </w:pPr>
            <w:r>
              <w:rPr>
                <w:rFonts w:hint="eastAsia" w:cs="宋体"/>
                <w:color w:val="auto"/>
                <w:sz w:val="21"/>
                <w:szCs w:val="21"/>
                <w:highlight w:val="none"/>
                <w:lang w:val="en-US" w:eastAsia="zh-CN"/>
              </w:rPr>
              <w:t>鞋头打磨粉尘、PVC注塑投料粉尘</w:t>
            </w:r>
          </w:p>
        </w:tc>
        <w:tc>
          <w:tcPr>
            <w:tcW w:w="1508" w:type="dxa"/>
            <w:vAlign w:val="center"/>
          </w:tcPr>
          <w:p w14:paraId="698EF1A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cs="Times New Roman"/>
                <w:color w:val="auto"/>
                <w:spacing w:val="0"/>
                <w:szCs w:val="21"/>
                <w:highlight w:val="none"/>
                <w:lang w:val="en-US" w:eastAsia="zh-CN"/>
              </w:rPr>
            </w:pPr>
            <w:r>
              <w:rPr>
                <w:rFonts w:hint="eastAsia" w:eastAsia="宋体" w:cs="Times New Roman"/>
                <w:color w:val="auto"/>
                <w:highlight w:val="none"/>
                <w:lang w:val="en-US" w:eastAsia="zh-CN"/>
              </w:rPr>
              <w:t>颗粒物</w:t>
            </w:r>
          </w:p>
        </w:tc>
        <w:tc>
          <w:tcPr>
            <w:tcW w:w="1962" w:type="dxa"/>
            <w:vAlign w:val="center"/>
          </w:tcPr>
          <w:p w14:paraId="6D62540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半密闭集气罩负压收集+五级活性炭吸附+15m高排气筒（DA001）</w:t>
            </w:r>
          </w:p>
        </w:tc>
        <w:tc>
          <w:tcPr>
            <w:tcW w:w="2161" w:type="dxa"/>
            <w:vAlign w:val="center"/>
          </w:tcPr>
          <w:p w14:paraId="7576A94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《大气污染物综合排放标准》（GB16297-1996）中表2的二级标准及无组织排放浓度限值要求</w:t>
            </w:r>
          </w:p>
        </w:tc>
      </w:tr>
      <w:tr w14:paraId="7F0BF5E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1550" w:type="dxa"/>
            <w:vMerge w:val="continue"/>
            <w:vAlign w:val="center"/>
          </w:tcPr>
          <w:p w14:paraId="776BE47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宋体" w:hAnsi="宋体" w:cs="宋体"/>
                <w:b/>
                <w:bCs/>
                <w:color w:val="auto"/>
                <w:szCs w:val="21"/>
                <w:highlight w:val="none"/>
              </w:rPr>
            </w:pPr>
          </w:p>
        </w:tc>
        <w:tc>
          <w:tcPr>
            <w:tcW w:w="589" w:type="dxa"/>
            <w:vMerge w:val="continue"/>
            <w:vAlign w:val="center"/>
          </w:tcPr>
          <w:p w14:paraId="1E0433CA">
            <w:pPr>
              <w:pStyle w:val="100"/>
              <w:keepNext w:val="0"/>
              <w:keepLines w:val="0"/>
              <w:pageBreakBefore w:val="0"/>
              <w:widowControl w:val="0"/>
              <w:numPr>
                <w:ilvl w:val="0"/>
                <w:numId w:val="0"/>
              </w:numPr>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snapToGrid w:val="0"/>
                <w:color w:val="auto"/>
                <w:spacing w:val="0"/>
                <w:kern w:val="2"/>
                <w:sz w:val="21"/>
                <w:szCs w:val="24"/>
                <w:highlight w:val="none"/>
                <w:lang w:val="en-US" w:eastAsia="zh-CN" w:bidi="ar-SA"/>
              </w:rPr>
            </w:pPr>
          </w:p>
        </w:tc>
        <w:tc>
          <w:tcPr>
            <w:tcW w:w="1030" w:type="dxa"/>
            <w:vAlign w:val="center"/>
          </w:tcPr>
          <w:p w14:paraId="1855FBF4">
            <w:pPr>
              <w:pStyle w:val="100"/>
              <w:keepNext w:val="0"/>
              <w:keepLines w:val="0"/>
              <w:pageBreakBefore w:val="0"/>
              <w:widowControl w:val="0"/>
              <w:numPr>
                <w:ilvl w:val="0"/>
                <w:numId w:val="0"/>
              </w:numPr>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eastAsia" w:cs="Times New Roman"/>
                <w:snapToGrid w:val="0"/>
                <w:color w:val="auto"/>
                <w:spacing w:val="0"/>
                <w:kern w:val="2"/>
                <w:sz w:val="21"/>
                <w:szCs w:val="24"/>
                <w:highlight w:val="none"/>
                <w:lang w:val="en-US" w:eastAsia="zh-CN" w:bidi="ar-SA"/>
              </w:rPr>
            </w:pPr>
            <w:r>
              <w:rPr>
                <w:rFonts w:hint="eastAsia" w:ascii="Times New Roman" w:hAnsi="Times New Roman" w:eastAsia="宋体" w:cs="宋体"/>
                <w:color w:val="auto"/>
                <w:sz w:val="21"/>
                <w:szCs w:val="21"/>
                <w:highlight w:val="none"/>
                <w:lang w:val="en-US" w:eastAsia="zh-CN"/>
              </w:rPr>
              <w:t>发泡及脱模有机废气</w:t>
            </w:r>
          </w:p>
        </w:tc>
        <w:tc>
          <w:tcPr>
            <w:tcW w:w="1508" w:type="dxa"/>
            <w:vAlign w:val="center"/>
          </w:tcPr>
          <w:p w14:paraId="2ECB08D1">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eastAsia" w:cs="Times New Roman"/>
                <w:color w:val="auto"/>
                <w:spacing w:val="0"/>
                <w:szCs w:val="21"/>
                <w:highlight w:val="none"/>
                <w:lang w:val="en-US" w:eastAsia="zh-CN"/>
              </w:rPr>
            </w:pPr>
            <w:r>
              <w:rPr>
                <w:rFonts w:hint="default" w:ascii="Times New Roman" w:hAnsi="Times New Roman" w:eastAsia="宋体" w:cs="Times New Roman"/>
                <w:color w:val="auto"/>
                <w:highlight w:val="none"/>
                <w:lang w:val="en-US" w:eastAsia="zh-CN"/>
              </w:rPr>
              <w:t>挥发性有机物（以非甲烷总烃为表征）</w:t>
            </w:r>
          </w:p>
        </w:tc>
        <w:tc>
          <w:tcPr>
            <w:tcW w:w="1962" w:type="dxa"/>
            <w:vAlign w:val="center"/>
          </w:tcPr>
          <w:p w14:paraId="0A3F127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半密闭集气罩负压收集+五级活性炭吸附+15m高排气筒（DA002）</w:t>
            </w:r>
          </w:p>
        </w:tc>
        <w:tc>
          <w:tcPr>
            <w:tcW w:w="2161" w:type="dxa"/>
            <w:vAlign w:val="center"/>
          </w:tcPr>
          <w:p w14:paraId="00282DC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default" w:cs="Times New Roman"/>
                <w:color w:val="auto"/>
                <w:sz w:val="21"/>
                <w:szCs w:val="21"/>
                <w:highlight w:val="none"/>
                <w:lang w:val="en-US" w:eastAsia="zh-CN"/>
              </w:rPr>
            </w:pPr>
            <w:r>
              <w:rPr>
                <w:rFonts w:hint="default" w:cs="Times New Roman"/>
                <w:color w:val="auto"/>
                <w:sz w:val="21"/>
                <w:szCs w:val="21"/>
                <w:highlight w:val="none"/>
                <w:lang w:val="en-US" w:eastAsia="zh-CN"/>
              </w:rPr>
              <w:t>《合成树脂工业污染物排放标准》（GB31572-2015，含2024年修改单）中表4大气污染物排放限值</w:t>
            </w:r>
          </w:p>
        </w:tc>
      </w:tr>
      <w:tr w14:paraId="0ED5C66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1550" w:type="dxa"/>
            <w:vMerge w:val="continue"/>
            <w:vAlign w:val="center"/>
          </w:tcPr>
          <w:p w14:paraId="06AC09C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宋体" w:hAnsi="宋体" w:cs="宋体"/>
                <w:b/>
                <w:bCs/>
                <w:color w:val="auto"/>
                <w:szCs w:val="21"/>
                <w:highlight w:val="none"/>
              </w:rPr>
            </w:pPr>
          </w:p>
        </w:tc>
        <w:tc>
          <w:tcPr>
            <w:tcW w:w="589" w:type="dxa"/>
            <w:vMerge w:val="continue"/>
            <w:vAlign w:val="center"/>
          </w:tcPr>
          <w:p w14:paraId="582CFBB2">
            <w:pPr>
              <w:pStyle w:val="100"/>
              <w:keepNext w:val="0"/>
              <w:keepLines w:val="0"/>
              <w:pageBreakBefore w:val="0"/>
              <w:widowControl w:val="0"/>
              <w:numPr>
                <w:ilvl w:val="0"/>
                <w:numId w:val="0"/>
              </w:numPr>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snapToGrid w:val="0"/>
                <w:color w:val="auto"/>
                <w:spacing w:val="0"/>
                <w:kern w:val="2"/>
                <w:sz w:val="21"/>
                <w:szCs w:val="24"/>
                <w:highlight w:val="none"/>
                <w:lang w:val="en-US" w:eastAsia="zh-CN" w:bidi="ar-SA"/>
              </w:rPr>
            </w:pPr>
          </w:p>
        </w:tc>
        <w:tc>
          <w:tcPr>
            <w:tcW w:w="1030" w:type="dxa"/>
            <w:vAlign w:val="center"/>
          </w:tcPr>
          <w:p w14:paraId="2442248F">
            <w:pPr>
              <w:pStyle w:val="100"/>
              <w:keepNext w:val="0"/>
              <w:keepLines w:val="0"/>
              <w:pageBreakBefore w:val="0"/>
              <w:widowControl w:val="0"/>
              <w:numPr>
                <w:ilvl w:val="0"/>
                <w:numId w:val="0"/>
              </w:numPr>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eastAsia" w:cs="Times New Roman"/>
                <w:snapToGrid w:val="0"/>
                <w:color w:val="auto"/>
                <w:spacing w:val="0"/>
                <w:kern w:val="2"/>
                <w:sz w:val="21"/>
                <w:szCs w:val="24"/>
                <w:highlight w:val="none"/>
                <w:lang w:val="en-US" w:eastAsia="zh-CN" w:bidi="ar-SA"/>
              </w:rPr>
            </w:pPr>
            <w:r>
              <w:rPr>
                <w:rFonts w:hint="eastAsia" w:cs="宋体"/>
                <w:color w:val="auto"/>
                <w:sz w:val="21"/>
                <w:szCs w:val="21"/>
                <w:highlight w:val="none"/>
                <w:lang w:val="en-US" w:eastAsia="zh-CN"/>
              </w:rPr>
              <w:t>PVC注塑有机废气</w:t>
            </w:r>
          </w:p>
        </w:tc>
        <w:tc>
          <w:tcPr>
            <w:tcW w:w="1508" w:type="dxa"/>
            <w:vAlign w:val="center"/>
          </w:tcPr>
          <w:p w14:paraId="3CC5C61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cs="Times New Roman"/>
                <w:color w:val="auto"/>
                <w:spacing w:val="0"/>
                <w:szCs w:val="21"/>
                <w:highlight w:val="none"/>
                <w:lang w:val="en-US" w:eastAsia="zh-CN"/>
              </w:rPr>
            </w:pPr>
            <w:r>
              <w:rPr>
                <w:rFonts w:hint="default" w:ascii="Times New Roman" w:hAnsi="Times New Roman" w:eastAsia="宋体" w:cs="Times New Roman"/>
                <w:color w:val="auto"/>
                <w:highlight w:val="none"/>
                <w:lang w:val="en-US" w:eastAsia="zh-CN"/>
              </w:rPr>
              <w:t>挥发性有机物（以非甲烷总烃为表征）</w:t>
            </w:r>
            <w:r>
              <w:rPr>
                <w:rFonts w:hint="eastAsia" w:eastAsia="宋体" w:cs="Times New Roman"/>
                <w:color w:val="auto"/>
                <w:sz w:val="21"/>
                <w:szCs w:val="21"/>
                <w:highlight w:val="none"/>
                <w:lang w:val="en-US" w:eastAsia="zh-CN"/>
              </w:rPr>
              <w:t>、</w:t>
            </w:r>
            <w:r>
              <w:rPr>
                <w:rFonts w:hint="eastAsia" w:ascii="Times New Roman" w:hAnsi="Times New Roman" w:eastAsia="宋体" w:cs="Times New Roman"/>
                <w:color w:val="auto"/>
                <w:sz w:val="21"/>
                <w:szCs w:val="21"/>
                <w:highlight w:val="none"/>
                <w:lang w:val="en-US" w:eastAsia="zh-CN"/>
              </w:rPr>
              <w:t>HCl、</w:t>
            </w:r>
            <w:r>
              <w:rPr>
                <w:rFonts w:hint="eastAsia" w:ascii="宋体" w:hAnsi="宋体" w:eastAsia="宋体" w:cs="宋体"/>
                <w:color w:val="auto"/>
                <w:kern w:val="0"/>
                <w:sz w:val="21"/>
                <w:szCs w:val="21"/>
                <w:lang w:val="en-US" w:eastAsia="zh-CN" w:bidi="ar"/>
              </w:rPr>
              <w:t>臭气浓度</w:t>
            </w:r>
          </w:p>
        </w:tc>
        <w:tc>
          <w:tcPr>
            <w:tcW w:w="1962" w:type="dxa"/>
            <w:vAlign w:val="center"/>
          </w:tcPr>
          <w:p w14:paraId="77B0FB6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半密闭集气罩负压收集+五级活性炭吸附+15m高排气筒（DA003）</w:t>
            </w:r>
          </w:p>
        </w:tc>
        <w:tc>
          <w:tcPr>
            <w:tcW w:w="2161" w:type="dxa"/>
            <w:vAlign w:val="center"/>
          </w:tcPr>
          <w:p w14:paraId="0B3C90D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default" w:cs="Times New Roman"/>
                <w:color w:val="auto"/>
                <w:sz w:val="21"/>
                <w:szCs w:val="21"/>
                <w:highlight w:val="none"/>
                <w:lang w:val="en-US" w:eastAsia="zh-CN"/>
              </w:rPr>
            </w:pPr>
            <w:r>
              <w:rPr>
                <w:rFonts w:hint="eastAsia" w:cs="Times New Roman"/>
                <w:color w:val="auto"/>
                <w:highlight w:val="none"/>
                <w:lang w:val="en-US" w:eastAsia="zh-CN"/>
              </w:rPr>
              <w:t>挥发性有机物（以非甲烷总烃为表征）和氯化氢执行《大气污染物综合排放标准》（GB16297-1996）表2中的新污染源大气污染物排放限值，臭气浓度</w:t>
            </w:r>
            <w:r>
              <w:rPr>
                <w:rFonts w:hint="eastAsia" w:cs="Times New Roman"/>
                <w:color w:val="auto"/>
                <w:kern w:val="2"/>
                <w:sz w:val="21"/>
                <w:szCs w:val="24"/>
                <w:highlight w:val="none"/>
                <w:lang w:val="en-US" w:eastAsia="zh-CN" w:bidi="ar-SA"/>
              </w:rPr>
              <w:t>《恶臭污染物排放标准》（GB14554-93）表2限值要求；2026年7月1日起</w:t>
            </w:r>
            <w:r>
              <w:rPr>
                <w:rFonts w:hint="eastAsia" w:cs="Times New Roman"/>
                <w:color w:val="auto"/>
                <w:highlight w:val="none"/>
                <w:lang w:val="en-US" w:eastAsia="zh-CN"/>
              </w:rPr>
              <w:t>挥发性有机物（以非甲烷总烃为表征）执行《挥发性有机物综合排放控制标准（试行）》（DB36/2186—2025）表1挥发性有机物有组织排放限值</w:t>
            </w:r>
          </w:p>
        </w:tc>
      </w:tr>
      <w:tr w14:paraId="6FAF5B7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1550" w:type="dxa"/>
            <w:vMerge w:val="continue"/>
            <w:vAlign w:val="center"/>
          </w:tcPr>
          <w:p w14:paraId="5606E6B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宋体" w:hAnsi="宋体" w:cs="宋体"/>
                <w:b/>
                <w:bCs/>
                <w:color w:val="auto"/>
                <w:szCs w:val="21"/>
                <w:highlight w:val="none"/>
              </w:rPr>
            </w:pPr>
          </w:p>
        </w:tc>
        <w:tc>
          <w:tcPr>
            <w:tcW w:w="589" w:type="dxa"/>
            <w:vMerge w:val="continue"/>
            <w:vAlign w:val="center"/>
          </w:tcPr>
          <w:p w14:paraId="63E6682A">
            <w:pPr>
              <w:pStyle w:val="100"/>
              <w:keepNext w:val="0"/>
              <w:keepLines w:val="0"/>
              <w:pageBreakBefore w:val="0"/>
              <w:widowControl w:val="0"/>
              <w:numPr>
                <w:ilvl w:val="0"/>
                <w:numId w:val="0"/>
              </w:numPr>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snapToGrid w:val="0"/>
                <w:color w:val="auto"/>
                <w:spacing w:val="0"/>
                <w:kern w:val="2"/>
                <w:sz w:val="21"/>
                <w:szCs w:val="24"/>
                <w:highlight w:val="none"/>
                <w:lang w:val="en-US" w:eastAsia="zh-CN" w:bidi="ar-SA"/>
              </w:rPr>
            </w:pPr>
          </w:p>
        </w:tc>
        <w:tc>
          <w:tcPr>
            <w:tcW w:w="1030" w:type="dxa"/>
            <w:vAlign w:val="center"/>
          </w:tcPr>
          <w:p w14:paraId="25939EF1">
            <w:pPr>
              <w:pStyle w:val="100"/>
              <w:keepNext w:val="0"/>
              <w:keepLines w:val="0"/>
              <w:pageBreakBefore w:val="0"/>
              <w:widowControl w:val="0"/>
              <w:numPr>
                <w:ilvl w:val="0"/>
                <w:numId w:val="0"/>
              </w:numPr>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eastAsia" w:cs="Times New Roman"/>
                <w:snapToGrid w:val="0"/>
                <w:color w:val="auto"/>
                <w:spacing w:val="0"/>
                <w:kern w:val="2"/>
                <w:sz w:val="21"/>
                <w:szCs w:val="24"/>
                <w:highlight w:val="none"/>
                <w:lang w:val="en-US" w:eastAsia="zh-CN" w:bidi="ar-SA"/>
              </w:rPr>
            </w:pPr>
            <w:r>
              <w:rPr>
                <w:rFonts w:hint="eastAsia" w:cs="宋体"/>
                <w:color w:val="auto"/>
                <w:sz w:val="21"/>
                <w:szCs w:val="21"/>
                <w:highlight w:val="none"/>
                <w:lang w:val="en-US" w:eastAsia="zh-CN"/>
              </w:rPr>
              <w:t>表面处理、刷胶及烘干有机废气</w:t>
            </w:r>
          </w:p>
        </w:tc>
        <w:tc>
          <w:tcPr>
            <w:tcW w:w="1508" w:type="dxa"/>
            <w:vAlign w:val="center"/>
          </w:tcPr>
          <w:p w14:paraId="49B2693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cs="Times New Roman"/>
                <w:color w:val="auto"/>
                <w:spacing w:val="0"/>
                <w:szCs w:val="21"/>
                <w:highlight w:val="none"/>
                <w:lang w:val="en-US" w:eastAsia="zh-CN"/>
              </w:rPr>
            </w:pPr>
            <w:r>
              <w:rPr>
                <w:rFonts w:hint="default" w:ascii="Times New Roman" w:hAnsi="Times New Roman" w:eastAsia="宋体" w:cs="Times New Roman"/>
                <w:color w:val="auto"/>
                <w:highlight w:val="none"/>
                <w:lang w:val="en-US" w:eastAsia="zh-CN"/>
              </w:rPr>
              <w:t>挥发性有机物（以非甲烷总烃为表征）</w:t>
            </w:r>
          </w:p>
        </w:tc>
        <w:tc>
          <w:tcPr>
            <w:tcW w:w="1962" w:type="dxa"/>
            <w:vAlign w:val="center"/>
          </w:tcPr>
          <w:p w14:paraId="7367F72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半密闭集气罩负压收集+五级活性炭吸附+15m高排气筒（DA004）</w:t>
            </w:r>
          </w:p>
        </w:tc>
        <w:tc>
          <w:tcPr>
            <w:tcW w:w="2161" w:type="dxa"/>
            <w:vAlign w:val="center"/>
          </w:tcPr>
          <w:p w14:paraId="261C80E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default" w:cs="Times New Roman"/>
                <w:color w:val="auto"/>
                <w:sz w:val="21"/>
                <w:szCs w:val="21"/>
                <w:highlight w:val="none"/>
                <w:lang w:val="en-US" w:eastAsia="zh-CN"/>
              </w:rPr>
            </w:pPr>
            <w:r>
              <w:rPr>
                <w:rFonts w:hint="default" w:ascii="Times New Roman" w:hAnsi="Times New Roman" w:eastAsia="宋体" w:cs="Times New Roman"/>
                <w:color w:val="auto"/>
                <w:highlight w:val="none"/>
                <w:lang w:val="en-US" w:eastAsia="zh-CN"/>
              </w:rPr>
              <w:t>《大气污染物综合排放标准》（GB16297-1996）表2中非甲烷总烃排放限值要求</w:t>
            </w:r>
            <w:r>
              <w:rPr>
                <w:rFonts w:hint="eastAsia" w:cs="Times New Roman"/>
                <w:color w:val="auto"/>
                <w:highlight w:val="none"/>
                <w:lang w:val="en-US" w:eastAsia="zh-CN"/>
              </w:rPr>
              <w:t>，</w:t>
            </w:r>
            <w:r>
              <w:rPr>
                <w:rFonts w:hint="eastAsia" w:cs="Times New Roman"/>
                <w:color w:val="auto"/>
                <w:kern w:val="2"/>
                <w:sz w:val="21"/>
                <w:szCs w:val="24"/>
                <w:highlight w:val="none"/>
                <w:lang w:val="en-US" w:eastAsia="zh-CN" w:bidi="ar-SA"/>
              </w:rPr>
              <w:t>2026年7月1日起</w:t>
            </w:r>
            <w:r>
              <w:rPr>
                <w:rFonts w:hint="eastAsia" w:cs="Times New Roman"/>
                <w:color w:val="auto"/>
                <w:highlight w:val="none"/>
                <w:lang w:val="en-US" w:eastAsia="zh-CN"/>
              </w:rPr>
              <w:t>挥发性有机物（以非甲烷总烃为表征）执行《挥发性有机物综合排放控制标准（试行）》（DB36/2186—2025）表1挥发性有机物有组织排放限值</w:t>
            </w:r>
          </w:p>
        </w:tc>
      </w:tr>
      <w:tr w14:paraId="5012D39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38" w:hRule="atLeast"/>
          <w:jc w:val="center"/>
        </w:trPr>
        <w:tc>
          <w:tcPr>
            <w:tcW w:w="1550" w:type="dxa"/>
            <w:vMerge w:val="continue"/>
            <w:vAlign w:val="center"/>
          </w:tcPr>
          <w:p w14:paraId="7506436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宋体" w:hAnsi="宋体" w:cs="宋体"/>
                <w:b/>
                <w:bCs/>
                <w:color w:val="auto"/>
                <w:szCs w:val="21"/>
                <w:highlight w:val="none"/>
              </w:rPr>
            </w:pPr>
          </w:p>
        </w:tc>
        <w:tc>
          <w:tcPr>
            <w:tcW w:w="589" w:type="dxa"/>
            <w:vMerge w:val="restart"/>
            <w:vAlign w:val="center"/>
          </w:tcPr>
          <w:p w14:paraId="71D642E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无组织</w:t>
            </w:r>
          </w:p>
        </w:tc>
        <w:tc>
          <w:tcPr>
            <w:tcW w:w="1030" w:type="dxa"/>
            <w:vAlign w:val="center"/>
          </w:tcPr>
          <w:p w14:paraId="457F3910">
            <w:pPr>
              <w:pStyle w:val="6"/>
              <w:keepNext w:val="0"/>
              <w:keepLines w:val="0"/>
              <w:suppressLineNumbers w:val="0"/>
              <w:bidi w:val="0"/>
              <w:spacing w:before="0" w:beforeAutospacing="0" w:after="0" w:afterAutospacing="0"/>
              <w:ind w:left="0" w:leftChars="0" w:right="0" w:rightChars="0" w:firstLine="0" w:firstLineChars="0"/>
              <w:jc w:val="center"/>
              <w:rPr>
                <w:rFonts w:hint="eastAsia" w:ascii="Times New Roman" w:hAnsi="Times New Roman" w:eastAsia="宋体" w:cs="Times New Roman"/>
                <w:color w:val="auto"/>
                <w:spacing w:val="0"/>
                <w:kern w:val="2"/>
                <w:sz w:val="21"/>
                <w:szCs w:val="24"/>
                <w:highlight w:val="none"/>
                <w:lang w:val="en-US" w:eastAsia="zh-CN" w:bidi="ar-SA"/>
              </w:rPr>
            </w:pPr>
            <w:r>
              <w:rPr>
                <w:rFonts w:hint="eastAsia" w:ascii="Times New Roman" w:hAnsi="Times New Roman" w:eastAsia="宋体" w:cs="Times New Roman"/>
                <w:color w:val="auto"/>
                <w:sz w:val="21"/>
                <w:szCs w:val="21"/>
                <w:highlight w:val="none"/>
                <w:lang w:val="en-US" w:eastAsia="zh-CN"/>
              </w:rPr>
              <w:t>厂房外</w:t>
            </w:r>
          </w:p>
        </w:tc>
        <w:tc>
          <w:tcPr>
            <w:tcW w:w="1508" w:type="dxa"/>
            <w:vAlign w:val="center"/>
          </w:tcPr>
          <w:p w14:paraId="6CAE5933">
            <w:pPr>
              <w:keepNext w:val="0"/>
              <w:keepLines w:val="0"/>
              <w:suppressLineNumbers w:val="0"/>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color w:val="auto"/>
                <w:spacing w:val="0"/>
                <w:kern w:val="2"/>
                <w:sz w:val="21"/>
                <w:szCs w:val="21"/>
                <w:highlight w:val="none"/>
                <w:lang w:val="en-US" w:eastAsia="zh-CN" w:bidi="ar-SA"/>
              </w:rPr>
            </w:pPr>
            <w:r>
              <w:rPr>
                <w:rFonts w:hint="eastAsia" w:ascii="Times New Roman" w:hAnsi="Times New Roman" w:eastAsia="宋体" w:cs="Times New Roman"/>
                <w:b w:val="0"/>
                <w:bCs w:val="0"/>
                <w:snapToGrid w:val="0"/>
                <w:color w:val="auto"/>
                <w:sz w:val="21"/>
                <w:szCs w:val="21"/>
                <w:lang w:val="en-US" w:eastAsia="zh-CN"/>
              </w:rPr>
              <w:t>非甲烷总烃</w:t>
            </w:r>
          </w:p>
        </w:tc>
        <w:tc>
          <w:tcPr>
            <w:tcW w:w="1962" w:type="dxa"/>
            <w:vMerge w:val="restart"/>
            <w:vAlign w:val="center"/>
          </w:tcPr>
          <w:p w14:paraId="60AF05E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宋体" w:cs="Times New Roman"/>
                <w:color w:val="auto"/>
                <w:spacing w:val="0"/>
                <w:kern w:val="2"/>
                <w:sz w:val="21"/>
                <w:szCs w:val="21"/>
                <w:highlight w:val="none"/>
                <w:lang w:val="en-US" w:eastAsia="zh-CN" w:bidi="ar-SA"/>
              </w:rPr>
            </w:pPr>
            <w:r>
              <w:rPr>
                <w:rFonts w:hint="eastAsia" w:ascii="Times New Roman" w:hAnsi="Times New Roman" w:eastAsia="宋体" w:cs="Times New Roman"/>
                <w:b w:val="0"/>
                <w:bCs w:val="0"/>
                <w:color w:val="auto"/>
                <w:sz w:val="21"/>
                <w:szCs w:val="21"/>
                <w:lang w:val="en-US" w:eastAsia="zh-CN"/>
              </w:rPr>
              <w:t>产气区域密闭，加强废气收集效率等</w:t>
            </w:r>
          </w:p>
        </w:tc>
        <w:tc>
          <w:tcPr>
            <w:tcW w:w="2161" w:type="dxa"/>
            <w:vAlign w:val="center"/>
          </w:tcPr>
          <w:p w14:paraId="0BCC077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0"/>
                <w:kern w:val="2"/>
                <w:sz w:val="21"/>
                <w:szCs w:val="21"/>
                <w:highlight w:val="none"/>
                <w:lang w:val="en-US" w:eastAsia="zh-CN" w:bidi="ar-SA"/>
              </w:rPr>
            </w:pPr>
            <w:r>
              <w:rPr>
                <w:rFonts w:hint="eastAsia" w:ascii="Times New Roman" w:hAnsi="Times New Roman" w:eastAsia="宋体" w:cs="Times New Roman"/>
                <w:color w:val="auto"/>
                <w:sz w:val="21"/>
                <w:szCs w:val="21"/>
                <w:lang w:val="en-US" w:eastAsia="zh-CN"/>
              </w:rPr>
              <w:t>厂房外挥发性有机物浓度执行《挥发性有机物无组织排放控制标准》（GB37822-2019）中表A.1中</w:t>
            </w:r>
          </w:p>
        </w:tc>
      </w:tr>
      <w:tr w14:paraId="604004A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38" w:hRule="atLeast"/>
          <w:jc w:val="center"/>
        </w:trPr>
        <w:tc>
          <w:tcPr>
            <w:tcW w:w="1550" w:type="dxa"/>
            <w:vMerge w:val="continue"/>
            <w:vAlign w:val="center"/>
          </w:tcPr>
          <w:p w14:paraId="600323D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宋体" w:hAnsi="宋体" w:cs="宋体"/>
                <w:b/>
                <w:bCs/>
                <w:color w:val="auto"/>
                <w:szCs w:val="21"/>
                <w:highlight w:val="none"/>
              </w:rPr>
            </w:pPr>
          </w:p>
        </w:tc>
        <w:tc>
          <w:tcPr>
            <w:tcW w:w="589" w:type="dxa"/>
            <w:vMerge w:val="continue"/>
            <w:vAlign w:val="center"/>
          </w:tcPr>
          <w:p w14:paraId="34F12F9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eastAsia" w:cs="Times New Roman"/>
                <w:color w:val="auto"/>
                <w:kern w:val="2"/>
                <w:sz w:val="21"/>
                <w:szCs w:val="21"/>
                <w:highlight w:val="none"/>
                <w:lang w:val="en-US" w:eastAsia="zh-CN" w:bidi="ar-SA"/>
              </w:rPr>
            </w:pPr>
          </w:p>
        </w:tc>
        <w:tc>
          <w:tcPr>
            <w:tcW w:w="1030" w:type="dxa"/>
            <w:vAlign w:val="center"/>
          </w:tcPr>
          <w:p w14:paraId="2CC92219">
            <w:pPr>
              <w:pStyle w:val="6"/>
              <w:keepNext w:val="0"/>
              <w:keepLines w:val="0"/>
              <w:suppressLineNumbers w:val="0"/>
              <w:bidi w:val="0"/>
              <w:spacing w:before="0" w:beforeAutospacing="0" w:after="0" w:afterAutospacing="0"/>
              <w:ind w:left="0" w:leftChars="0" w:right="0" w:rightChars="0" w:firstLine="0" w:firstLineChars="0"/>
              <w:jc w:val="center"/>
              <w:rPr>
                <w:rFonts w:hint="eastAsia"/>
                <w:color w:val="auto"/>
                <w:spacing w:val="0"/>
                <w:highlight w:val="none"/>
                <w:lang w:val="en-US" w:eastAsia="zh-CN"/>
              </w:rPr>
            </w:pPr>
            <w:r>
              <w:rPr>
                <w:rFonts w:hint="eastAsia" w:ascii="Times New Roman" w:hAnsi="Times New Roman" w:eastAsia="宋体" w:cs="Times New Roman"/>
                <w:color w:val="auto"/>
                <w:sz w:val="21"/>
                <w:szCs w:val="21"/>
                <w:highlight w:val="none"/>
                <w:lang w:val="en-US" w:eastAsia="zh-CN"/>
              </w:rPr>
              <w:t>厂界</w:t>
            </w:r>
          </w:p>
        </w:tc>
        <w:tc>
          <w:tcPr>
            <w:tcW w:w="1508" w:type="dxa"/>
            <w:vAlign w:val="center"/>
          </w:tcPr>
          <w:p w14:paraId="4F0E0060">
            <w:pPr>
              <w:keepNext w:val="0"/>
              <w:keepLines w:val="0"/>
              <w:suppressLineNumbers w:val="0"/>
              <w:spacing w:before="0" w:beforeAutospacing="0" w:after="0" w:afterAutospacing="0" w:line="240" w:lineRule="auto"/>
              <w:ind w:left="0" w:right="0" w:firstLine="0" w:firstLineChars="0"/>
              <w:jc w:val="center"/>
              <w:textAlignment w:val="center"/>
              <w:rPr>
                <w:rFonts w:hint="default" w:ascii="Times New Roman" w:hAnsi="Times New Roman" w:cs="Times New Roman"/>
                <w:color w:val="auto"/>
                <w:spacing w:val="0"/>
                <w:szCs w:val="21"/>
                <w:highlight w:val="none"/>
                <w:lang w:val="en-US" w:eastAsia="zh-CN"/>
              </w:rPr>
            </w:pPr>
            <w:r>
              <w:rPr>
                <w:rFonts w:hint="eastAsia" w:ascii="Times New Roman" w:hAnsi="Times New Roman" w:eastAsia="宋体" w:cs="Times New Roman"/>
                <w:b w:val="0"/>
                <w:bCs w:val="0"/>
                <w:snapToGrid w:val="0"/>
                <w:color w:val="auto"/>
                <w:sz w:val="21"/>
                <w:szCs w:val="21"/>
                <w:lang w:val="en-US" w:eastAsia="zh-CN"/>
              </w:rPr>
              <w:t>挥发性有机物（以非甲烷总烃为表征）</w:t>
            </w:r>
            <w:r>
              <w:rPr>
                <w:rFonts w:hint="eastAsia" w:eastAsia="宋体" w:cs="Times New Roman"/>
                <w:color w:val="auto"/>
                <w:highlight w:val="none"/>
                <w:lang w:val="en-US" w:eastAsia="zh-CN"/>
              </w:rPr>
              <w:t>、臭气浓度、颗粒物、HCl</w:t>
            </w:r>
          </w:p>
        </w:tc>
        <w:tc>
          <w:tcPr>
            <w:tcW w:w="1962" w:type="dxa"/>
            <w:vMerge w:val="continue"/>
            <w:vAlign w:val="center"/>
          </w:tcPr>
          <w:p w14:paraId="57A253F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cs="Times New Roman"/>
                <w:color w:val="auto"/>
                <w:spacing w:val="0"/>
                <w:szCs w:val="21"/>
                <w:highlight w:val="none"/>
                <w:lang w:val="en-US" w:eastAsia="zh-CN"/>
              </w:rPr>
            </w:pPr>
          </w:p>
        </w:tc>
        <w:tc>
          <w:tcPr>
            <w:tcW w:w="2161" w:type="dxa"/>
            <w:vAlign w:val="center"/>
          </w:tcPr>
          <w:p w14:paraId="2265BC8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cs="Times New Roman"/>
                <w:color w:val="auto"/>
                <w:spacing w:val="0"/>
                <w:szCs w:val="21"/>
                <w:highlight w:val="none"/>
                <w:lang w:val="en-US" w:eastAsia="zh-CN"/>
              </w:rPr>
            </w:pPr>
            <w:r>
              <w:rPr>
                <w:rFonts w:hint="eastAsia" w:eastAsia="宋体" w:cs="Times New Roman"/>
                <w:color w:val="auto"/>
                <w:highlight w:val="none"/>
                <w:lang w:val="en-US" w:eastAsia="zh-CN"/>
              </w:rPr>
              <w:t>挥发性有机物（以非甲烷总烃为表征）、氯化氢、颗粒物执行《大气污染物综合排放标准》（GB16297-1996）表2中的新污染源大气污染物排放限值</w:t>
            </w:r>
            <w:r>
              <w:rPr>
                <w:rFonts w:hint="eastAsia" w:cs="Times New Roman"/>
                <w:color w:val="auto"/>
                <w:highlight w:val="none"/>
                <w:lang w:val="en-US" w:eastAsia="zh-CN"/>
              </w:rPr>
              <w:t>，</w:t>
            </w:r>
            <w:r>
              <w:rPr>
                <w:rFonts w:hint="eastAsia" w:eastAsia="宋体" w:cs="Times New Roman"/>
                <w:color w:val="auto"/>
                <w:highlight w:val="none"/>
                <w:lang w:val="en-US" w:eastAsia="zh-CN"/>
              </w:rPr>
              <w:t>臭气浓度</w:t>
            </w:r>
            <w:r>
              <w:rPr>
                <w:rFonts w:hint="eastAsia" w:cs="Times New Roman"/>
                <w:color w:val="auto"/>
                <w:highlight w:val="none"/>
                <w:lang w:val="en-US" w:eastAsia="zh-CN"/>
              </w:rPr>
              <w:t>执行</w:t>
            </w:r>
            <w:r>
              <w:rPr>
                <w:rFonts w:hint="eastAsia" w:eastAsia="宋体" w:cs="Times New Roman"/>
                <w:color w:val="auto"/>
                <w:highlight w:val="none"/>
                <w:lang w:val="en-US" w:eastAsia="zh-CN"/>
              </w:rPr>
              <w:t>《恶臭污染物排放标准》（GB14554-93）表1恶臭污染物厂界标准值中二级新改扩建标准</w:t>
            </w:r>
            <w:r>
              <w:rPr>
                <w:rFonts w:hint="eastAsia" w:cs="Times New Roman"/>
                <w:color w:val="auto"/>
                <w:highlight w:val="none"/>
                <w:lang w:val="en-US" w:eastAsia="zh-CN"/>
              </w:rPr>
              <w:t>，</w:t>
            </w:r>
            <w:r>
              <w:rPr>
                <w:rFonts w:hint="eastAsia" w:cs="Times New Roman"/>
                <w:color w:val="auto"/>
                <w:kern w:val="2"/>
                <w:sz w:val="21"/>
                <w:szCs w:val="24"/>
                <w:highlight w:val="none"/>
                <w:lang w:val="en-US" w:eastAsia="zh-CN" w:bidi="ar-SA"/>
              </w:rPr>
              <w:t>2026年7月1日起</w:t>
            </w:r>
            <w:r>
              <w:rPr>
                <w:rFonts w:hint="eastAsia" w:cs="Times New Roman"/>
                <w:color w:val="auto"/>
                <w:highlight w:val="none"/>
                <w:lang w:val="en-US" w:eastAsia="zh-CN"/>
              </w:rPr>
              <w:t>挥发性有机物（以非甲烷总烃为表征）执行《挥发性有机物综合排放控制标准（试行）》（DB36/2186—2025）表3企业边界挥发性有机物无组织排放限值</w:t>
            </w:r>
          </w:p>
        </w:tc>
      </w:tr>
      <w:tr w14:paraId="611D8FC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550" w:type="dxa"/>
            <w:vAlign w:val="center"/>
          </w:tcPr>
          <w:p w14:paraId="66AE1A6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宋体" w:hAnsi="宋体" w:cs="宋体"/>
                <w:b/>
                <w:bCs/>
                <w:color w:val="auto"/>
                <w:szCs w:val="21"/>
                <w:highlight w:val="none"/>
              </w:rPr>
            </w:pPr>
            <w:r>
              <w:rPr>
                <w:rFonts w:hint="eastAsia" w:ascii="宋体" w:hAnsi="宋体" w:cs="宋体"/>
                <w:b/>
                <w:bCs/>
                <w:color w:val="auto"/>
                <w:szCs w:val="21"/>
                <w:highlight w:val="none"/>
              </w:rPr>
              <w:t>地表水环境</w:t>
            </w:r>
          </w:p>
        </w:tc>
        <w:tc>
          <w:tcPr>
            <w:tcW w:w="1619" w:type="dxa"/>
            <w:gridSpan w:val="2"/>
            <w:vAlign w:val="center"/>
          </w:tcPr>
          <w:p w14:paraId="41F83A7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生活污水</w:t>
            </w:r>
          </w:p>
        </w:tc>
        <w:tc>
          <w:tcPr>
            <w:tcW w:w="1508" w:type="dxa"/>
            <w:vAlign w:val="center"/>
          </w:tcPr>
          <w:p w14:paraId="4DED805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rPr>
              <w:t>pH</w:t>
            </w:r>
            <w:r>
              <w:rPr>
                <w:rFonts w:hint="eastAsia" w:ascii="Times New Roman" w:hAnsi="Times New Roman" w:eastAsia="宋体"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rPr>
              <w:t>COD</w:t>
            </w:r>
            <w:r>
              <w:rPr>
                <w:rFonts w:hint="eastAsia" w:cs="Times New Roman"/>
                <w:color w:val="auto"/>
                <w:sz w:val="21"/>
                <w:szCs w:val="21"/>
                <w:highlight w:val="none"/>
                <w:vertAlign w:val="subscript"/>
                <w:lang w:val="en-US" w:eastAsia="zh-CN"/>
              </w:rPr>
              <w:t>C</w:t>
            </w:r>
            <w:r>
              <w:rPr>
                <w:rFonts w:hint="default" w:ascii="Times New Roman" w:hAnsi="Times New Roman" w:eastAsia="宋体" w:cs="Times New Roman"/>
                <w:color w:val="auto"/>
                <w:sz w:val="21"/>
                <w:szCs w:val="21"/>
                <w:highlight w:val="none"/>
                <w:vertAlign w:val="subscript"/>
                <w:lang w:val="en-US"/>
              </w:rPr>
              <w:t>r</w:t>
            </w:r>
            <w:r>
              <w:rPr>
                <w:rFonts w:hint="default" w:ascii="Times New Roman" w:hAnsi="Times New Roman" w:eastAsia="宋体" w:cs="Times New Roman"/>
                <w:color w:val="auto"/>
                <w:sz w:val="21"/>
                <w:szCs w:val="21"/>
                <w:highlight w:val="none"/>
              </w:rPr>
              <w:t>、BOD</w:t>
            </w:r>
            <w:r>
              <w:rPr>
                <w:rFonts w:hint="default" w:ascii="Times New Roman" w:hAnsi="Times New Roman" w:eastAsia="宋体" w:cs="Times New Roman"/>
                <w:color w:val="auto"/>
                <w:sz w:val="21"/>
                <w:szCs w:val="21"/>
                <w:highlight w:val="none"/>
                <w:vertAlign w:val="subscript"/>
              </w:rPr>
              <w:t>5</w:t>
            </w:r>
            <w:r>
              <w:rPr>
                <w:rFonts w:hint="default" w:ascii="Times New Roman" w:hAnsi="Times New Roman" w:eastAsia="宋体" w:cs="Times New Roman"/>
                <w:color w:val="auto"/>
                <w:sz w:val="21"/>
                <w:szCs w:val="21"/>
                <w:highlight w:val="none"/>
              </w:rPr>
              <w:t>、SS、NH</w:t>
            </w:r>
            <w:r>
              <w:rPr>
                <w:rFonts w:hint="default" w:ascii="Times New Roman" w:hAnsi="Times New Roman" w:eastAsia="宋体" w:cs="Times New Roman"/>
                <w:color w:val="auto"/>
                <w:sz w:val="21"/>
                <w:szCs w:val="21"/>
                <w:highlight w:val="none"/>
                <w:vertAlign w:val="subscript"/>
              </w:rPr>
              <w:t>3</w:t>
            </w:r>
            <w:r>
              <w:rPr>
                <w:rFonts w:hint="default" w:ascii="Times New Roman" w:hAnsi="Times New Roman" w:eastAsia="宋体" w:cs="Times New Roman"/>
                <w:color w:val="auto"/>
                <w:sz w:val="21"/>
                <w:szCs w:val="21"/>
                <w:highlight w:val="none"/>
              </w:rPr>
              <w:t>-N</w:t>
            </w:r>
            <w:r>
              <w:rPr>
                <w:rFonts w:hint="eastAsia" w:ascii="Times New Roman" w:hAnsi="Times New Roman" w:eastAsia="宋体" w:cs="Times New Roman"/>
                <w:color w:val="auto"/>
                <w:sz w:val="21"/>
                <w:szCs w:val="21"/>
                <w:highlight w:val="none"/>
                <w:lang w:eastAsia="zh-CN"/>
              </w:rPr>
              <w:t>、动植物油</w:t>
            </w:r>
          </w:p>
        </w:tc>
        <w:tc>
          <w:tcPr>
            <w:tcW w:w="1962" w:type="dxa"/>
            <w:vAlign w:val="center"/>
          </w:tcPr>
          <w:p w14:paraId="4E98D03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隔油池+化粪池</w:t>
            </w:r>
          </w:p>
        </w:tc>
        <w:tc>
          <w:tcPr>
            <w:tcW w:w="2161" w:type="dxa"/>
            <w:vAlign w:val="center"/>
          </w:tcPr>
          <w:p w14:paraId="59910BE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乐平市金山工业区一期污水站接管标准</w:t>
            </w:r>
          </w:p>
        </w:tc>
      </w:tr>
      <w:tr w14:paraId="0D37FE8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550" w:type="dxa"/>
            <w:vAlign w:val="center"/>
          </w:tcPr>
          <w:p w14:paraId="2F2F2DA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宋体" w:hAnsi="宋体" w:cs="宋体"/>
                <w:b/>
                <w:bCs/>
                <w:color w:val="auto"/>
                <w:szCs w:val="21"/>
                <w:highlight w:val="none"/>
              </w:rPr>
            </w:pPr>
            <w:r>
              <w:rPr>
                <w:rFonts w:hint="eastAsia" w:ascii="宋体" w:hAnsi="宋体" w:cs="宋体"/>
                <w:b/>
                <w:bCs/>
                <w:color w:val="auto"/>
                <w:szCs w:val="21"/>
                <w:highlight w:val="none"/>
              </w:rPr>
              <w:t>声环境</w:t>
            </w:r>
          </w:p>
        </w:tc>
        <w:tc>
          <w:tcPr>
            <w:tcW w:w="1619" w:type="dxa"/>
            <w:gridSpan w:val="2"/>
            <w:vAlign w:val="center"/>
          </w:tcPr>
          <w:p w14:paraId="16175A6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生产设备</w:t>
            </w:r>
          </w:p>
        </w:tc>
        <w:tc>
          <w:tcPr>
            <w:tcW w:w="1508" w:type="dxa"/>
            <w:vAlign w:val="center"/>
          </w:tcPr>
          <w:p w14:paraId="48D91D2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生产设备噪声</w:t>
            </w:r>
          </w:p>
        </w:tc>
        <w:tc>
          <w:tcPr>
            <w:tcW w:w="1962" w:type="dxa"/>
            <w:vAlign w:val="center"/>
          </w:tcPr>
          <w:p w14:paraId="289567D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用减振、隔声消音和距离衰减等处理。</w:t>
            </w:r>
          </w:p>
        </w:tc>
        <w:tc>
          <w:tcPr>
            <w:tcW w:w="2161" w:type="dxa"/>
            <w:vAlign w:val="center"/>
          </w:tcPr>
          <w:p w14:paraId="48A549D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《工业企业厂界环境噪声排放标准》（GB12348-2008）</w:t>
            </w:r>
            <w:r>
              <w:rPr>
                <w:rFonts w:hint="eastAsia" w:cs="Times New Roman"/>
                <w:color w:val="auto"/>
                <w:sz w:val="21"/>
                <w:szCs w:val="21"/>
                <w:highlight w:val="none"/>
                <w:lang w:val="en-US" w:eastAsia="zh-CN"/>
              </w:rPr>
              <w:t>3</w:t>
            </w:r>
            <w:r>
              <w:rPr>
                <w:rFonts w:hint="default" w:ascii="Times New Roman" w:hAnsi="Times New Roman" w:eastAsia="宋体" w:cs="Times New Roman"/>
                <w:color w:val="auto"/>
                <w:sz w:val="21"/>
                <w:szCs w:val="21"/>
                <w:highlight w:val="none"/>
              </w:rPr>
              <w:t>类标准</w:t>
            </w:r>
          </w:p>
        </w:tc>
      </w:tr>
      <w:tr w14:paraId="4B9895C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550" w:type="dxa"/>
            <w:vMerge w:val="restart"/>
            <w:vAlign w:val="center"/>
          </w:tcPr>
          <w:p w14:paraId="204563C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宋体" w:hAnsi="宋体" w:cs="宋体"/>
                <w:b/>
                <w:bCs/>
                <w:color w:val="auto"/>
                <w:szCs w:val="21"/>
                <w:highlight w:val="none"/>
              </w:rPr>
            </w:pPr>
            <w:r>
              <w:rPr>
                <w:rFonts w:hint="eastAsia" w:ascii="宋体" w:hAnsi="宋体" w:cs="宋体"/>
                <w:b/>
                <w:bCs/>
                <w:color w:val="auto"/>
                <w:szCs w:val="21"/>
                <w:highlight w:val="none"/>
              </w:rPr>
              <w:t>固体废物</w:t>
            </w:r>
          </w:p>
        </w:tc>
        <w:tc>
          <w:tcPr>
            <w:tcW w:w="1619" w:type="dxa"/>
            <w:gridSpan w:val="2"/>
            <w:vMerge w:val="restart"/>
            <w:vAlign w:val="center"/>
          </w:tcPr>
          <w:p w14:paraId="65B44BE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一般</w:t>
            </w:r>
            <w:r>
              <w:rPr>
                <w:rFonts w:hint="eastAsia" w:ascii="Times New Roman" w:hAnsi="Times New Roman" w:eastAsia="宋体" w:cs="Times New Roman"/>
                <w:color w:val="auto"/>
                <w:sz w:val="21"/>
                <w:szCs w:val="21"/>
                <w:highlight w:val="none"/>
                <w:lang w:val="en-US" w:eastAsia="zh-CN"/>
              </w:rPr>
              <w:t>工业</w:t>
            </w:r>
            <w:r>
              <w:rPr>
                <w:rFonts w:hint="default" w:ascii="Times New Roman" w:hAnsi="Times New Roman" w:eastAsia="宋体" w:cs="Times New Roman"/>
                <w:color w:val="auto"/>
                <w:sz w:val="21"/>
                <w:szCs w:val="21"/>
                <w:highlight w:val="none"/>
              </w:rPr>
              <w:t>固废</w:t>
            </w:r>
          </w:p>
        </w:tc>
        <w:tc>
          <w:tcPr>
            <w:tcW w:w="1508" w:type="dxa"/>
            <w:vAlign w:val="center"/>
          </w:tcPr>
          <w:p w14:paraId="08A4B4B9">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废包装袋</w:t>
            </w:r>
          </w:p>
        </w:tc>
        <w:tc>
          <w:tcPr>
            <w:tcW w:w="1962" w:type="dxa"/>
            <w:vMerge w:val="restart"/>
            <w:vAlign w:val="center"/>
          </w:tcPr>
          <w:p w14:paraId="6B79451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default" w:ascii="Times New Roman" w:hAnsi="Times New Roman" w:eastAsia="宋体" w:cs="Times New Roman"/>
                <w:color w:val="auto"/>
                <w:kern w:val="2"/>
                <w:sz w:val="21"/>
                <w:szCs w:val="24"/>
                <w:highlight w:val="none"/>
                <w:lang w:val="en-US" w:eastAsia="zh-CN" w:bidi="ar-SA"/>
              </w:rPr>
              <w:t>外售综合利用</w:t>
            </w:r>
          </w:p>
        </w:tc>
        <w:tc>
          <w:tcPr>
            <w:tcW w:w="2161" w:type="dxa"/>
            <w:vMerge w:val="restart"/>
            <w:vAlign w:val="center"/>
          </w:tcPr>
          <w:p w14:paraId="0DAD674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防渗漏、防雨淋、防扬尘</w:t>
            </w:r>
          </w:p>
        </w:tc>
      </w:tr>
      <w:tr w14:paraId="341D3BF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45" w:hRule="atLeast"/>
          <w:jc w:val="center"/>
        </w:trPr>
        <w:tc>
          <w:tcPr>
            <w:tcW w:w="1550" w:type="dxa"/>
            <w:vMerge w:val="continue"/>
            <w:vAlign w:val="center"/>
          </w:tcPr>
          <w:p w14:paraId="195FBEF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宋体" w:hAnsi="宋体" w:cs="宋体"/>
                <w:b/>
                <w:bCs/>
                <w:color w:val="auto"/>
                <w:szCs w:val="21"/>
                <w:highlight w:val="none"/>
              </w:rPr>
            </w:pPr>
          </w:p>
        </w:tc>
        <w:tc>
          <w:tcPr>
            <w:tcW w:w="1619" w:type="dxa"/>
            <w:gridSpan w:val="2"/>
            <w:vMerge w:val="continue"/>
            <w:vAlign w:val="center"/>
          </w:tcPr>
          <w:p w14:paraId="2BCCC36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highlight w:val="none"/>
              </w:rPr>
            </w:pPr>
          </w:p>
        </w:tc>
        <w:tc>
          <w:tcPr>
            <w:tcW w:w="1508" w:type="dxa"/>
            <w:vAlign w:val="center"/>
          </w:tcPr>
          <w:p w14:paraId="2A77EF2B">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废边角料</w:t>
            </w:r>
          </w:p>
        </w:tc>
        <w:tc>
          <w:tcPr>
            <w:tcW w:w="1962" w:type="dxa"/>
            <w:vMerge w:val="continue"/>
            <w:vAlign w:val="center"/>
          </w:tcPr>
          <w:p w14:paraId="71E4B32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p>
        </w:tc>
        <w:tc>
          <w:tcPr>
            <w:tcW w:w="2161" w:type="dxa"/>
            <w:vMerge w:val="continue"/>
            <w:vAlign w:val="center"/>
          </w:tcPr>
          <w:p w14:paraId="390E5FA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sz w:val="21"/>
                <w:szCs w:val="21"/>
                <w:highlight w:val="none"/>
                <w:lang w:val="en-US" w:eastAsia="zh-CN"/>
              </w:rPr>
            </w:pPr>
          </w:p>
        </w:tc>
      </w:tr>
      <w:tr w14:paraId="49C5E0C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550" w:type="dxa"/>
            <w:vMerge w:val="continue"/>
            <w:vAlign w:val="center"/>
          </w:tcPr>
          <w:p w14:paraId="0BA0AA8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宋体" w:hAnsi="宋体" w:cs="宋体"/>
                <w:b/>
                <w:bCs/>
                <w:color w:val="auto"/>
                <w:szCs w:val="21"/>
                <w:highlight w:val="none"/>
              </w:rPr>
            </w:pPr>
          </w:p>
        </w:tc>
        <w:tc>
          <w:tcPr>
            <w:tcW w:w="1619" w:type="dxa"/>
            <w:gridSpan w:val="2"/>
            <w:vMerge w:val="continue"/>
            <w:vAlign w:val="center"/>
          </w:tcPr>
          <w:p w14:paraId="21E060F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highlight w:val="none"/>
              </w:rPr>
            </w:pPr>
          </w:p>
        </w:tc>
        <w:tc>
          <w:tcPr>
            <w:tcW w:w="1508" w:type="dxa"/>
            <w:vAlign w:val="center"/>
          </w:tcPr>
          <w:p w14:paraId="31D4A3B6">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注塑废边角料</w:t>
            </w:r>
          </w:p>
        </w:tc>
        <w:tc>
          <w:tcPr>
            <w:tcW w:w="1962" w:type="dxa"/>
            <w:vMerge w:val="continue"/>
            <w:vAlign w:val="center"/>
          </w:tcPr>
          <w:p w14:paraId="1968114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jc w:val="center"/>
              <w:textAlignment w:val="auto"/>
              <w:rPr>
                <w:rFonts w:hint="default" w:ascii="Times New Roman" w:hAnsi="Times New Roman" w:eastAsia="宋体" w:cs="Times New Roman"/>
                <w:color w:val="auto"/>
                <w:kern w:val="2"/>
                <w:sz w:val="21"/>
                <w:szCs w:val="24"/>
                <w:highlight w:val="none"/>
                <w:lang w:val="en-US" w:eastAsia="zh-CN" w:bidi="ar-SA"/>
              </w:rPr>
            </w:pPr>
          </w:p>
        </w:tc>
        <w:tc>
          <w:tcPr>
            <w:tcW w:w="2161" w:type="dxa"/>
            <w:vMerge w:val="continue"/>
            <w:vAlign w:val="center"/>
          </w:tcPr>
          <w:p w14:paraId="04251CD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sz w:val="21"/>
                <w:szCs w:val="21"/>
                <w:highlight w:val="none"/>
                <w:lang w:val="en-US" w:eastAsia="zh-CN"/>
              </w:rPr>
            </w:pPr>
          </w:p>
        </w:tc>
      </w:tr>
      <w:tr w14:paraId="4FA6175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550" w:type="dxa"/>
            <w:vMerge w:val="continue"/>
            <w:vAlign w:val="center"/>
          </w:tcPr>
          <w:p w14:paraId="1F10E10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宋体" w:hAnsi="宋体" w:cs="宋体"/>
                <w:b/>
                <w:bCs/>
                <w:color w:val="auto"/>
                <w:szCs w:val="21"/>
                <w:highlight w:val="none"/>
              </w:rPr>
            </w:pPr>
          </w:p>
        </w:tc>
        <w:tc>
          <w:tcPr>
            <w:tcW w:w="1619" w:type="dxa"/>
            <w:gridSpan w:val="2"/>
            <w:vMerge w:val="continue"/>
            <w:vAlign w:val="center"/>
          </w:tcPr>
          <w:p w14:paraId="6CCEF71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highlight w:val="none"/>
              </w:rPr>
            </w:pPr>
          </w:p>
        </w:tc>
        <w:tc>
          <w:tcPr>
            <w:tcW w:w="1508" w:type="dxa"/>
            <w:vAlign w:val="center"/>
          </w:tcPr>
          <w:p w14:paraId="54D7929A">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废布袋</w:t>
            </w:r>
          </w:p>
        </w:tc>
        <w:tc>
          <w:tcPr>
            <w:tcW w:w="1962" w:type="dxa"/>
            <w:vMerge w:val="continue"/>
            <w:vAlign w:val="center"/>
          </w:tcPr>
          <w:p w14:paraId="2C66FC9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jc w:val="center"/>
              <w:textAlignment w:val="auto"/>
              <w:rPr>
                <w:rFonts w:hint="default" w:ascii="Times New Roman" w:hAnsi="Times New Roman" w:eastAsia="宋体" w:cs="Times New Roman"/>
                <w:color w:val="auto"/>
                <w:kern w:val="2"/>
                <w:sz w:val="21"/>
                <w:szCs w:val="24"/>
                <w:highlight w:val="none"/>
                <w:lang w:val="en-US" w:eastAsia="zh-CN" w:bidi="ar-SA"/>
              </w:rPr>
            </w:pPr>
          </w:p>
        </w:tc>
        <w:tc>
          <w:tcPr>
            <w:tcW w:w="2161" w:type="dxa"/>
            <w:vMerge w:val="continue"/>
            <w:vAlign w:val="center"/>
          </w:tcPr>
          <w:p w14:paraId="1F969F3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sz w:val="21"/>
                <w:szCs w:val="21"/>
                <w:highlight w:val="none"/>
                <w:lang w:val="en-US" w:eastAsia="zh-CN"/>
              </w:rPr>
            </w:pPr>
          </w:p>
        </w:tc>
      </w:tr>
      <w:tr w14:paraId="5DB7D05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550" w:type="dxa"/>
            <w:vMerge w:val="continue"/>
            <w:vAlign w:val="center"/>
          </w:tcPr>
          <w:p w14:paraId="34E31CE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宋体" w:hAnsi="宋体" w:cs="宋体"/>
                <w:b/>
                <w:bCs/>
                <w:color w:val="auto"/>
                <w:szCs w:val="21"/>
                <w:highlight w:val="none"/>
              </w:rPr>
            </w:pPr>
          </w:p>
        </w:tc>
        <w:tc>
          <w:tcPr>
            <w:tcW w:w="1619" w:type="dxa"/>
            <w:gridSpan w:val="2"/>
            <w:vMerge w:val="continue"/>
            <w:vAlign w:val="center"/>
          </w:tcPr>
          <w:p w14:paraId="41C27C5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highlight w:val="none"/>
              </w:rPr>
            </w:pPr>
          </w:p>
        </w:tc>
        <w:tc>
          <w:tcPr>
            <w:tcW w:w="1508" w:type="dxa"/>
            <w:vAlign w:val="center"/>
          </w:tcPr>
          <w:p w14:paraId="6023FF6A">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不合格品</w:t>
            </w:r>
          </w:p>
        </w:tc>
        <w:tc>
          <w:tcPr>
            <w:tcW w:w="1962" w:type="dxa"/>
            <w:vMerge w:val="continue"/>
            <w:vAlign w:val="center"/>
          </w:tcPr>
          <w:p w14:paraId="027D528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jc w:val="center"/>
              <w:textAlignment w:val="auto"/>
              <w:rPr>
                <w:rFonts w:hint="default" w:ascii="Times New Roman" w:hAnsi="Times New Roman" w:eastAsia="宋体" w:cs="Times New Roman"/>
                <w:color w:val="auto"/>
                <w:kern w:val="2"/>
                <w:sz w:val="21"/>
                <w:szCs w:val="24"/>
                <w:highlight w:val="none"/>
                <w:lang w:val="en-US" w:eastAsia="zh-CN" w:bidi="ar-SA"/>
              </w:rPr>
            </w:pPr>
          </w:p>
        </w:tc>
        <w:tc>
          <w:tcPr>
            <w:tcW w:w="2161" w:type="dxa"/>
            <w:vMerge w:val="continue"/>
            <w:vAlign w:val="center"/>
          </w:tcPr>
          <w:p w14:paraId="049FAF5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sz w:val="21"/>
                <w:szCs w:val="21"/>
                <w:highlight w:val="none"/>
                <w:lang w:val="en-US" w:eastAsia="zh-CN"/>
              </w:rPr>
            </w:pPr>
          </w:p>
        </w:tc>
      </w:tr>
      <w:tr w14:paraId="46D1D6E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550" w:type="dxa"/>
            <w:vMerge w:val="continue"/>
            <w:vAlign w:val="center"/>
          </w:tcPr>
          <w:p w14:paraId="1DE0EFB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宋体" w:hAnsi="宋体" w:cs="宋体"/>
                <w:b/>
                <w:bCs/>
                <w:color w:val="auto"/>
                <w:szCs w:val="21"/>
                <w:highlight w:val="none"/>
              </w:rPr>
            </w:pPr>
          </w:p>
        </w:tc>
        <w:tc>
          <w:tcPr>
            <w:tcW w:w="1619" w:type="dxa"/>
            <w:gridSpan w:val="2"/>
            <w:vMerge w:val="continue"/>
            <w:vAlign w:val="center"/>
          </w:tcPr>
          <w:p w14:paraId="1E52B1B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highlight w:val="none"/>
              </w:rPr>
            </w:pPr>
          </w:p>
        </w:tc>
        <w:tc>
          <w:tcPr>
            <w:tcW w:w="1508" w:type="dxa"/>
            <w:vAlign w:val="center"/>
          </w:tcPr>
          <w:p w14:paraId="4D12851A">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除尘灰</w:t>
            </w:r>
          </w:p>
        </w:tc>
        <w:tc>
          <w:tcPr>
            <w:tcW w:w="1962" w:type="dxa"/>
            <w:vMerge w:val="restart"/>
            <w:vAlign w:val="center"/>
          </w:tcPr>
          <w:p w14:paraId="7262F9C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eastAsia" w:ascii="Times New Roman" w:hAnsi="Times New Roman" w:cs="Times New Roman"/>
                <w:snapToGrid/>
                <w:color w:val="auto"/>
                <w:kern w:val="2"/>
                <w:sz w:val="21"/>
                <w:szCs w:val="21"/>
                <w:lang w:eastAsia="zh-CN"/>
              </w:rPr>
              <w:t>交由环卫部门处置</w:t>
            </w:r>
          </w:p>
        </w:tc>
        <w:tc>
          <w:tcPr>
            <w:tcW w:w="2161" w:type="dxa"/>
            <w:vMerge w:val="continue"/>
            <w:vAlign w:val="center"/>
          </w:tcPr>
          <w:p w14:paraId="0D8F016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sz w:val="21"/>
                <w:szCs w:val="21"/>
                <w:highlight w:val="none"/>
                <w:lang w:val="en-US" w:eastAsia="zh-CN"/>
              </w:rPr>
            </w:pPr>
          </w:p>
        </w:tc>
      </w:tr>
      <w:tr w14:paraId="48C21D4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550" w:type="dxa"/>
            <w:vMerge w:val="continue"/>
            <w:vAlign w:val="center"/>
          </w:tcPr>
          <w:p w14:paraId="66AB282E">
            <w:pPr>
              <w:pStyle w:val="47"/>
              <w:keepNext w:val="0"/>
              <w:keepLines w:val="0"/>
              <w:pageBreakBefore w:val="0"/>
              <w:suppressLineNumbers w:val="0"/>
              <w:tabs>
                <w:tab w:val="right" w:pos="0"/>
              </w:tabs>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sz w:val="21"/>
                <w:szCs w:val="21"/>
                <w:highlight w:val="none"/>
              </w:rPr>
            </w:pPr>
          </w:p>
        </w:tc>
        <w:tc>
          <w:tcPr>
            <w:tcW w:w="1619" w:type="dxa"/>
            <w:gridSpan w:val="2"/>
            <w:vMerge w:val="restart"/>
            <w:vAlign w:val="center"/>
          </w:tcPr>
          <w:p w14:paraId="671C8A31">
            <w:pPr>
              <w:pStyle w:val="47"/>
              <w:keepNext w:val="0"/>
              <w:keepLines w:val="0"/>
              <w:pageBreakBefore w:val="0"/>
              <w:suppressLineNumbers w:val="0"/>
              <w:tabs>
                <w:tab w:val="right" w:pos="0"/>
              </w:tabs>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eastAsia" w:ascii="Times New Roman" w:hAnsi="Times New Roman" w:eastAsia="宋体" w:cs="Times New Roman"/>
                <w:b w:val="0"/>
                <w:bCs/>
                <w:color w:val="auto"/>
                <w:sz w:val="21"/>
                <w:szCs w:val="21"/>
                <w:highlight w:val="none"/>
                <w:lang w:val="en-US" w:eastAsia="zh-CN"/>
              </w:rPr>
            </w:pPr>
            <w:r>
              <w:rPr>
                <w:rFonts w:hint="eastAsia" w:ascii="Times New Roman" w:cs="Times New Roman"/>
                <w:b w:val="0"/>
                <w:bCs/>
                <w:color w:val="auto"/>
                <w:sz w:val="21"/>
                <w:szCs w:val="21"/>
                <w:highlight w:val="none"/>
                <w:lang w:val="en-US" w:eastAsia="zh-CN"/>
              </w:rPr>
              <w:t>危险废物</w:t>
            </w:r>
          </w:p>
        </w:tc>
        <w:tc>
          <w:tcPr>
            <w:tcW w:w="1508" w:type="dxa"/>
            <w:vAlign w:val="center"/>
          </w:tcPr>
          <w:p w14:paraId="1F080716">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废网版</w:t>
            </w:r>
          </w:p>
        </w:tc>
        <w:tc>
          <w:tcPr>
            <w:tcW w:w="1962" w:type="dxa"/>
            <w:vMerge w:val="restart"/>
            <w:vAlign w:val="center"/>
          </w:tcPr>
          <w:p w14:paraId="69AF1BB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eastAsia" w:cs="Times New Roman"/>
                <w:color w:val="auto"/>
                <w:kern w:val="2"/>
                <w:sz w:val="21"/>
                <w:szCs w:val="24"/>
                <w:highlight w:val="none"/>
                <w:lang w:val="en-US" w:eastAsia="zh-CN" w:bidi="ar-SA"/>
              </w:rPr>
              <w:t>委托有资质单位处理</w:t>
            </w:r>
          </w:p>
        </w:tc>
        <w:tc>
          <w:tcPr>
            <w:tcW w:w="2161" w:type="dxa"/>
            <w:vMerge w:val="restart"/>
            <w:vAlign w:val="center"/>
          </w:tcPr>
          <w:p w14:paraId="608F1719">
            <w:pPr>
              <w:pStyle w:val="47"/>
              <w:keepNext w:val="0"/>
              <w:keepLines w:val="0"/>
              <w:pageBreakBefore w:val="0"/>
              <w:suppressLineNumbers w:val="0"/>
              <w:tabs>
                <w:tab w:val="right" w:pos="0"/>
              </w:tabs>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sz w:val="21"/>
                <w:szCs w:val="21"/>
                <w:highlight w:val="none"/>
              </w:rPr>
            </w:pPr>
            <w:r>
              <w:rPr>
                <w:rFonts w:hint="default" w:ascii="Times New Roman" w:hAnsi="Times New Roman" w:eastAsia="宋体" w:cs="Times New Roman"/>
                <w:b w:val="0"/>
                <w:bCs/>
                <w:color w:val="auto"/>
                <w:sz w:val="21"/>
                <w:szCs w:val="21"/>
                <w:highlight w:val="none"/>
              </w:rPr>
              <w:t>《危险废物贮存污染控制标准》</w:t>
            </w:r>
            <w:r>
              <w:rPr>
                <w:rFonts w:hint="default" w:ascii="Times New Roman" w:hAnsi="Times New Roman" w:eastAsia="宋体" w:cs="Times New Roman"/>
                <w:b w:val="0"/>
                <w:bCs/>
                <w:color w:val="auto"/>
                <w:sz w:val="21"/>
                <w:szCs w:val="21"/>
                <w:highlight w:val="none"/>
                <w:lang w:eastAsia="zh-CN"/>
              </w:rPr>
              <w:t>（GB18597-2023）</w:t>
            </w:r>
          </w:p>
        </w:tc>
      </w:tr>
      <w:tr w14:paraId="0F0AD3D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550" w:type="dxa"/>
            <w:vMerge w:val="continue"/>
            <w:vAlign w:val="center"/>
          </w:tcPr>
          <w:p w14:paraId="73AE2385">
            <w:pPr>
              <w:pStyle w:val="47"/>
              <w:keepNext w:val="0"/>
              <w:keepLines w:val="0"/>
              <w:pageBreakBefore w:val="0"/>
              <w:suppressLineNumbers w:val="0"/>
              <w:tabs>
                <w:tab w:val="right" w:pos="0"/>
              </w:tabs>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sz w:val="21"/>
                <w:szCs w:val="21"/>
                <w:highlight w:val="none"/>
              </w:rPr>
            </w:pPr>
          </w:p>
        </w:tc>
        <w:tc>
          <w:tcPr>
            <w:tcW w:w="1619" w:type="dxa"/>
            <w:gridSpan w:val="2"/>
            <w:vMerge w:val="continue"/>
            <w:vAlign w:val="center"/>
          </w:tcPr>
          <w:p w14:paraId="771712B1">
            <w:pPr>
              <w:pStyle w:val="47"/>
              <w:keepNext w:val="0"/>
              <w:keepLines w:val="0"/>
              <w:pageBreakBefore w:val="0"/>
              <w:suppressLineNumbers w:val="0"/>
              <w:tabs>
                <w:tab w:val="right" w:pos="0"/>
              </w:tabs>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eastAsia" w:ascii="Times New Roman" w:cs="Times New Roman"/>
                <w:b w:val="0"/>
                <w:bCs/>
                <w:color w:val="auto"/>
                <w:sz w:val="21"/>
                <w:szCs w:val="21"/>
                <w:highlight w:val="none"/>
                <w:lang w:val="en-US" w:eastAsia="zh-CN"/>
              </w:rPr>
            </w:pPr>
          </w:p>
        </w:tc>
        <w:tc>
          <w:tcPr>
            <w:tcW w:w="1508" w:type="dxa"/>
            <w:vAlign w:val="center"/>
          </w:tcPr>
          <w:p w14:paraId="6F7C3703">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网版清洗水</w:t>
            </w:r>
          </w:p>
        </w:tc>
        <w:tc>
          <w:tcPr>
            <w:tcW w:w="1962" w:type="dxa"/>
            <w:vMerge w:val="continue"/>
            <w:vAlign w:val="center"/>
          </w:tcPr>
          <w:p w14:paraId="58B1F49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21"/>
                <w:szCs w:val="24"/>
                <w:highlight w:val="none"/>
                <w:lang w:val="en-US" w:eastAsia="zh-CN" w:bidi="ar-SA"/>
              </w:rPr>
            </w:pPr>
          </w:p>
        </w:tc>
        <w:tc>
          <w:tcPr>
            <w:tcW w:w="2161" w:type="dxa"/>
            <w:vMerge w:val="continue"/>
            <w:vAlign w:val="center"/>
          </w:tcPr>
          <w:p w14:paraId="02C61147">
            <w:pPr>
              <w:pStyle w:val="47"/>
              <w:keepNext w:val="0"/>
              <w:keepLines w:val="0"/>
              <w:pageBreakBefore w:val="0"/>
              <w:suppressLineNumbers w:val="0"/>
              <w:tabs>
                <w:tab w:val="right" w:pos="0"/>
              </w:tabs>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sz w:val="21"/>
                <w:szCs w:val="21"/>
                <w:highlight w:val="none"/>
              </w:rPr>
            </w:pPr>
          </w:p>
        </w:tc>
      </w:tr>
      <w:tr w14:paraId="47130AA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550" w:type="dxa"/>
            <w:vMerge w:val="continue"/>
            <w:vAlign w:val="center"/>
          </w:tcPr>
          <w:p w14:paraId="7EC26AC4">
            <w:pPr>
              <w:pStyle w:val="47"/>
              <w:keepNext w:val="0"/>
              <w:keepLines w:val="0"/>
              <w:pageBreakBefore w:val="0"/>
              <w:suppressLineNumbers w:val="0"/>
              <w:tabs>
                <w:tab w:val="right" w:pos="0"/>
              </w:tabs>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sz w:val="21"/>
                <w:szCs w:val="21"/>
                <w:highlight w:val="none"/>
              </w:rPr>
            </w:pPr>
          </w:p>
        </w:tc>
        <w:tc>
          <w:tcPr>
            <w:tcW w:w="1619" w:type="dxa"/>
            <w:gridSpan w:val="2"/>
            <w:vMerge w:val="continue"/>
            <w:vAlign w:val="center"/>
          </w:tcPr>
          <w:p w14:paraId="0C650CE5">
            <w:pPr>
              <w:pStyle w:val="47"/>
              <w:keepNext w:val="0"/>
              <w:keepLines w:val="0"/>
              <w:pageBreakBefore w:val="0"/>
              <w:suppressLineNumbers w:val="0"/>
              <w:tabs>
                <w:tab w:val="right" w:pos="0"/>
              </w:tabs>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eastAsia" w:ascii="Times New Roman" w:cs="Times New Roman"/>
                <w:b w:val="0"/>
                <w:bCs/>
                <w:color w:val="auto"/>
                <w:sz w:val="21"/>
                <w:szCs w:val="21"/>
                <w:highlight w:val="none"/>
                <w:lang w:val="en-US" w:eastAsia="zh-CN"/>
              </w:rPr>
            </w:pPr>
          </w:p>
        </w:tc>
        <w:tc>
          <w:tcPr>
            <w:tcW w:w="1508" w:type="dxa"/>
            <w:vAlign w:val="center"/>
          </w:tcPr>
          <w:p w14:paraId="6818E175">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废包装桶</w:t>
            </w:r>
          </w:p>
        </w:tc>
        <w:tc>
          <w:tcPr>
            <w:tcW w:w="1962" w:type="dxa"/>
            <w:vMerge w:val="continue"/>
            <w:vAlign w:val="center"/>
          </w:tcPr>
          <w:p w14:paraId="79FDF19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cs="Times New Roman"/>
                <w:color w:val="auto"/>
                <w:kern w:val="2"/>
                <w:sz w:val="21"/>
                <w:szCs w:val="24"/>
                <w:highlight w:val="none"/>
                <w:lang w:val="en-US" w:eastAsia="zh-CN" w:bidi="ar-SA"/>
              </w:rPr>
            </w:pPr>
          </w:p>
        </w:tc>
        <w:tc>
          <w:tcPr>
            <w:tcW w:w="2161" w:type="dxa"/>
            <w:vMerge w:val="continue"/>
            <w:vAlign w:val="center"/>
          </w:tcPr>
          <w:p w14:paraId="12A9EF47">
            <w:pPr>
              <w:pStyle w:val="47"/>
              <w:keepNext w:val="0"/>
              <w:keepLines w:val="0"/>
              <w:pageBreakBefore w:val="0"/>
              <w:suppressLineNumbers w:val="0"/>
              <w:tabs>
                <w:tab w:val="right" w:pos="0"/>
              </w:tabs>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sz w:val="21"/>
                <w:szCs w:val="21"/>
                <w:highlight w:val="none"/>
              </w:rPr>
            </w:pPr>
          </w:p>
        </w:tc>
      </w:tr>
      <w:tr w14:paraId="179A568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550" w:type="dxa"/>
            <w:vMerge w:val="continue"/>
            <w:vAlign w:val="center"/>
          </w:tcPr>
          <w:p w14:paraId="73B84D59">
            <w:pPr>
              <w:pStyle w:val="47"/>
              <w:keepNext w:val="0"/>
              <w:keepLines w:val="0"/>
              <w:pageBreakBefore w:val="0"/>
              <w:suppressLineNumbers w:val="0"/>
              <w:tabs>
                <w:tab w:val="right" w:pos="0"/>
              </w:tabs>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sz w:val="21"/>
                <w:szCs w:val="21"/>
                <w:highlight w:val="none"/>
              </w:rPr>
            </w:pPr>
          </w:p>
        </w:tc>
        <w:tc>
          <w:tcPr>
            <w:tcW w:w="1619" w:type="dxa"/>
            <w:gridSpan w:val="2"/>
            <w:vMerge w:val="continue"/>
            <w:vAlign w:val="center"/>
          </w:tcPr>
          <w:p w14:paraId="051608BA">
            <w:pPr>
              <w:pStyle w:val="47"/>
              <w:keepNext w:val="0"/>
              <w:keepLines w:val="0"/>
              <w:pageBreakBefore w:val="0"/>
              <w:suppressLineNumbers w:val="0"/>
              <w:tabs>
                <w:tab w:val="right" w:pos="0"/>
              </w:tabs>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eastAsia" w:ascii="Times New Roman" w:cs="Times New Roman"/>
                <w:b w:val="0"/>
                <w:bCs/>
                <w:color w:val="auto"/>
                <w:sz w:val="21"/>
                <w:szCs w:val="21"/>
                <w:highlight w:val="none"/>
                <w:lang w:val="en-US" w:eastAsia="zh-CN"/>
              </w:rPr>
            </w:pPr>
          </w:p>
        </w:tc>
        <w:tc>
          <w:tcPr>
            <w:tcW w:w="1508" w:type="dxa"/>
            <w:vAlign w:val="center"/>
          </w:tcPr>
          <w:p w14:paraId="6AF02F4A">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eastAsia="宋体" w:cs="Times New Roman"/>
                <w:color w:val="auto"/>
                <w:kern w:val="2"/>
                <w:sz w:val="21"/>
                <w:szCs w:val="21"/>
                <w:highlight w:val="none"/>
                <w:lang w:val="en-US" w:eastAsia="zh-CN" w:bidi="ar-SA"/>
              </w:rPr>
              <w:t>废油墨桶</w:t>
            </w:r>
          </w:p>
        </w:tc>
        <w:tc>
          <w:tcPr>
            <w:tcW w:w="1962" w:type="dxa"/>
            <w:vAlign w:val="center"/>
          </w:tcPr>
          <w:p w14:paraId="721B7005">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eastAsia" w:cs="Times New Roman"/>
                <w:color w:val="auto"/>
                <w:kern w:val="2"/>
                <w:sz w:val="21"/>
                <w:szCs w:val="24"/>
                <w:highlight w:val="none"/>
                <w:lang w:val="en-US" w:eastAsia="zh-CN" w:bidi="ar-SA"/>
              </w:rPr>
              <w:t>厂家回收</w:t>
            </w:r>
          </w:p>
        </w:tc>
        <w:tc>
          <w:tcPr>
            <w:tcW w:w="2161" w:type="dxa"/>
            <w:vMerge w:val="continue"/>
            <w:vAlign w:val="center"/>
          </w:tcPr>
          <w:p w14:paraId="506CB7F2">
            <w:pPr>
              <w:pStyle w:val="47"/>
              <w:keepNext w:val="0"/>
              <w:keepLines w:val="0"/>
              <w:pageBreakBefore w:val="0"/>
              <w:suppressLineNumbers w:val="0"/>
              <w:tabs>
                <w:tab w:val="right" w:pos="0"/>
              </w:tabs>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sz w:val="21"/>
                <w:szCs w:val="21"/>
                <w:highlight w:val="none"/>
              </w:rPr>
            </w:pPr>
          </w:p>
        </w:tc>
      </w:tr>
      <w:tr w14:paraId="663D066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550" w:type="dxa"/>
            <w:vMerge w:val="continue"/>
            <w:vAlign w:val="center"/>
          </w:tcPr>
          <w:p w14:paraId="28F905C4">
            <w:pPr>
              <w:pStyle w:val="47"/>
              <w:keepNext w:val="0"/>
              <w:keepLines w:val="0"/>
              <w:pageBreakBefore w:val="0"/>
              <w:suppressLineNumbers w:val="0"/>
              <w:tabs>
                <w:tab w:val="right" w:pos="0"/>
              </w:tabs>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sz w:val="21"/>
                <w:szCs w:val="21"/>
                <w:highlight w:val="none"/>
              </w:rPr>
            </w:pPr>
          </w:p>
        </w:tc>
        <w:tc>
          <w:tcPr>
            <w:tcW w:w="1619" w:type="dxa"/>
            <w:gridSpan w:val="2"/>
            <w:vMerge w:val="continue"/>
            <w:vAlign w:val="center"/>
          </w:tcPr>
          <w:p w14:paraId="25ABDF23">
            <w:pPr>
              <w:pStyle w:val="47"/>
              <w:keepNext w:val="0"/>
              <w:keepLines w:val="0"/>
              <w:pageBreakBefore w:val="0"/>
              <w:suppressLineNumbers w:val="0"/>
              <w:tabs>
                <w:tab w:val="right" w:pos="0"/>
              </w:tabs>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eastAsia" w:ascii="Times New Roman" w:cs="Times New Roman"/>
                <w:b w:val="0"/>
                <w:bCs/>
                <w:color w:val="auto"/>
                <w:sz w:val="21"/>
                <w:szCs w:val="21"/>
                <w:highlight w:val="none"/>
                <w:lang w:val="en-US" w:eastAsia="zh-CN"/>
              </w:rPr>
            </w:pPr>
          </w:p>
        </w:tc>
        <w:tc>
          <w:tcPr>
            <w:tcW w:w="1508" w:type="dxa"/>
            <w:vAlign w:val="center"/>
          </w:tcPr>
          <w:p w14:paraId="77E5646D">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废活性炭</w:t>
            </w:r>
          </w:p>
        </w:tc>
        <w:tc>
          <w:tcPr>
            <w:tcW w:w="1962" w:type="dxa"/>
            <w:vMerge w:val="restart"/>
            <w:vAlign w:val="center"/>
          </w:tcPr>
          <w:p w14:paraId="19A07F2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委托有资质单位处理</w:t>
            </w:r>
          </w:p>
        </w:tc>
        <w:tc>
          <w:tcPr>
            <w:tcW w:w="2161" w:type="dxa"/>
            <w:vMerge w:val="continue"/>
            <w:vAlign w:val="center"/>
          </w:tcPr>
          <w:p w14:paraId="165A968E">
            <w:pPr>
              <w:pStyle w:val="47"/>
              <w:keepNext w:val="0"/>
              <w:keepLines w:val="0"/>
              <w:pageBreakBefore w:val="0"/>
              <w:suppressLineNumbers w:val="0"/>
              <w:tabs>
                <w:tab w:val="right" w:pos="0"/>
              </w:tabs>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sz w:val="21"/>
                <w:szCs w:val="21"/>
                <w:highlight w:val="none"/>
              </w:rPr>
            </w:pPr>
          </w:p>
        </w:tc>
      </w:tr>
      <w:tr w14:paraId="34E294B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550" w:type="dxa"/>
            <w:vMerge w:val="continue"/>
            <w:vAlign w:val="center"/>
          </w:tcPr>
          <w:p w14:paraId="1CF77A48">
            <w:pPr>
              <w:pStyle w:val="47"/>
              <w:keepNext w:val="0"/>
              <w:keepLines w:val="0"/>
              <w:pageBreakBefore w:val="0"/>
              <w:suppressLineNumbers w:val="0"/>
              <w:tabs>
                <w:tab w:val="right" w:pos="0"/>
              </w:tabs>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sz w:val="21"/>
                <w:szCs w:val="21"/>
                <w:highlight w:val="none"/>
              </w:rPr>
            </w:pPr>
          </w:p>
        </w:tc>
        <w:tc>
          <w:tcPr>
            <w:tcW w:w="1619" w:type="dxa"/>
            <w:gridSpan w:val="2"/>
            <w:vMerge w:val="continue"/>
            <w:vAlign w:val="center"/>
          </w:tcPr>
          <w:p w14:paraId="2E79B051">
            <w:pPr>
              <w:pStyle w:val="47"/>
              <w:keepNext w:val="0"/>
              <w:keepLines w:val="0"/>
              <w:pageBreakBefore w:val="0"/>
              <w:suppressLineNumbers w:val="0"/>
              <w:tabs>
                <w:tab w:val="right" w:pos="0"/>
              </w:tabs>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eastAsia" w:ascii="Times New Roman" w:cs="Times New Roman"/>
                <w:b w:val="0"/>
                <w:bCs/>
                <w:color w:val="auto"/>
                <w:sz w:val="21"/>
                <w:szCs w:val="21"/>
                <w:highlight w:val="none"/>
                <w:lang w:val="en-US" w:eastAsia="zh-CN"/>
              </w:rPr>
            </w:pPr>
          </w:p>
        </w:tc>
        <w:tc>
          <w:tcPr>
            <w:tcW w:w="1508" w:type="dxa"/>
            <w:vAlign w:val="center"/>
          </w:tcPr>
          <w:p w14:paraId="2FA9EEF6">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废润滑油</w:t>
            </w:r>
          </w:p>
        </w:tc>
        <w:tc>
          <w:tcPr>
            <w:tcW w:w="1962" w:type="dxa"/>
            <w:vMerge w:val="continue"/>
            <w:vAlign w:val="center"/>
          </w:tcPr>
          <w:p w14:paraId="35D20A6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p>
        </w:tc>
        <w:tc>
          <w:tcPr>
            <w:tcW w:w="2161" w:type="dxa"/>
            <w:vMerge w:val="continue"/>
            <w:vAlign w:val="center"/>
          </w:tcPr>
          <w:p w14:paraId="149E2538">
            <w:pPr>
              <w:pStyle w:val="47"/>
              <w:keepNext w:val="0"/>
              <w:keepLines w:val="0"/>
              <w:pageBreakBefore w:val="0"/>
              <w:suppressLineNumbers w:val="0"/>
              <w:tabs>
                <w:tab w:val="right" w:pos="0"/>
              </w:tabs>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sz w:val="21"/>
                <w:szCs w:val="21"/>
                <w:highlight w:val="none"/>
              </w:rPr>
            </w:pPr>
          </w:p>
        </w:tc>
      </w:tr>
      <w:tr w14:paraId="48306AC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550" w:type="dxa"/>
            <w:vMerge w:val="continue"/>
            <w:vAlign w:val="center"/>
          </w:tcPr>
          <w:p w14:paraId="24143C14">
            <w:pPr>
              <w:pStyle w:val="47"/>
              <w:keepNext w:val="0"/>
              <w:keepLines w:val="0"/>
              <w:pageBreakBefore w:val="0"/>
              <w:suppressLineNumbers w:val="0"/>
              <w:tabs>
                <w:tab w:val="right" w:pos="0"/>
              </w:tabs>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sz w:val="21"/>
                <w:szCs w:val="21"/>
                <w:highlight w:val="none"/>
              </w:rPr>
            </w:pPr>
          </w:p>
        </w:tc>
        <w:tc>
          <w:tcPr>
            <w:tcW w:w="1619" w:type="dxa"/>
            <w:gridSpan w:val="2"/>
            <w:vMerge w:val="continue"/>
            <w:vAlign w:val="center"/>
          </w:tcPr>
          <w:p w14:paraId="0E1032EE">
            <w:pPr>
              <w:pStyle w:val="47"/>
              <w:keepNext w:val="0"/>
              <w:keepLines w:val="0"/>
              <w:pageBreakBefore w:val="0"/>
              <w:suppressLineNumbers w:val="0"/>
              <w:tabs>
                <w:tab w:val="right" w:pos="0"/>
              </w:tabs>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eastAsia" w:ascii="Times New Roman" w:cs="Times New Roman"/>
                <w:b w:val="0"/>
                <w:bCs/>
                <w:color w:val="auto"/>
                <w:sz w:val="21"/>
                <w:szCs w:val="21"/>
                <w:highlight w:val="none"/>
                <w:lang w:val="en-US" w:eastAsia="zh-CN"/>
              </w:rPr>
            </w:pPr>
          </w:p>
        </w:tc>
        <w:tc>
          <w:tcPr>
            <w:tcW w:w="1508" w:type="dxa"/>
            <w:vAlign w:val="center"/>
          </w:tcPr>
          <w:p w14:paraId="3AEB0D41">
            <w:pPr>
              <w:keepNext w:val="0"/>
              <w:keepLines w:val="0"/>
              <w:widowControl/>
              <w:suppressLineNumbers w:val="0"/>
              <w:autoSpaceDE w:val="0"/>
              <w:autoSpaceDN w:val="0"/>
              <w:adjustRightInd w:val="0"/>
              <w:spacing w:before="0" w:beforeAutospacing="0" w:after="0" w:afterAutospacing="0" w:line="240" w:lineRule="exact"/>
              <w:ind w:left="0" w:right="0"/>
              <w:jc w:val="center"/>
              <w:rPr>
                <w:rFonts w:hint="eastAsia" w:eastAsia="宋体" w:cs="Times New Roman"/>
                <w:color w:val="auto"/>
                <w:kern w:val="2"/>
                <w:sz w:val="21"/>
                <w:szCs w:val="21"/>
                <w:highlight w:val="none"/>
                <w:lang w:val="en-US" w:eastAsia="zh-CN" w:bidi="ar-SA"/>
              </w:rPr>
            </w:pPr>
            <w:r>
              <w:rPr>
                <w:rFonts w:hint="eastAsia" w:ascii="Times New Roman" w:hAnsi="Times New Roman" w:eastAsia="宋体" w:cs="Times New Roman"/>
                <w:bCs/>
                <w:color w:val="auto"/>
                <w:sz w:val="21"/>
                <w:szCs w:val="21"/>
                <w:lang w:val="en-US" w:eastAsia="zh-CN"/>
              </w:rPr>
              <w:t>废机油</w:t>
            </w:r>
          </w:p>
        </w:tc>
        <w:tc>
          <w:tcPr>
            <w:tcW w:w="1962" w:type="dxa"/>
            <w:vMerge w:val="continue"/>
            <w:vAlign w:val="center"/>
          </w:tcPr>
          <w:p w14:paraId="007EF05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p>
        </w:tc>
        <w:tc>
          <w:tcPr>
            <w:tcW w:w="2161" w:type="dxa"/>
            <w:vMerge w:val="continue"/>
            <w:vAlign w:val="center"/>
          </w:tcPr>
          <w:p w14:paraId="56F13052">
            <w:pPr>
              <w:pStyle w:val="47"/>
              <w:keepNext w:val="0"/>
              <w:keepLines w:val="0"/>
              <w:pageBreakBefore w:val="0"/>
              <w:suppressLineNumbers w:val="0"/>
              <w:tabs>
                <w:tab w:val="right" w:pos="0"/>
              </w:tabs>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sz w:val="21"/>
                <w:szCs w:val="21"/>
                <w:highlight w:val="none"/>
              </w:rPr>
            </w:pPr>
          </w:p>
        </w:tc>
      </w:tr>
      <w:tr w14:paraId="311516C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550" w:type="dxa"/>
            <w:vMerge w:val="continue"/>
            <w:vAlign w:val="center"/>
          </w:tcPr>
          <w:p w14:paraId="66C323FB">
            <w:pPr>
              <w:pStyle w:val="47"/>
              <w:keepNext w:val="0"/>
              <w:keepLines w:val="0"/>
              <w:pageBreakBefore w:val="0"/>
              <w:suppressLineNumbers w:val="0"/>
              <w:tabs>
                <w:tab w:val="right" w:pos="0"/>
              </w:tabs>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sz w:val="21"/>
                <w:szCs w:val="21"/>
                <w:highlight w:val="none"/>
              </w:rPr>
            </w:pPr>
          </w:p>
        </w:tc>
        <w:tc>
          <w:tcPr>
            <w:tcW w:w="1619" w:type="dxa"/>
            <w:gridSpan w:val="2"/>
            <w:vMerge w:val="continue"/>
            <w:vAlign w:val="center"/>
          </w:tcPr>
          <w:p w14:paraId="063E260A">
            <w:pPr>
              <w:pStyle w:val="47"/>
              <w:keepNext w:val="0"/>
              <w:keepLines w:val="0"/>
              <w:pageBreakBefore w:val="0"/>
              <w:suppressLineNumbers w:val="0"/>
              <w:tabs>
                <w:tab w:val="right" w:pos="0"/>
              </w:tabs>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eastAsia" w:ascii="Times New Roman" w:cs="Times New Roman"/>
                <w:b w:val="0"/>
                <w:bCs/>
                <w:color w:val="auto"/>
                <w:sz w:val="21"/>
                <w:szCs w:val="21"/>
                <w:highlight w:val="none"/>
                <w:lang w:val="en-US" w:eastAsia="zh-CN"/>
              </w:rPr>
            </w:pPr>
          </w:p>
        </w:tc>
        <w:tc>
          <w:tcPr>
            <w:tcW w:w="1508" w:type="dxa"/>
            <w:vAlign w:val="center"/>
          </w:tcPr>
          <w:p w14:paraId="31BD94DD">
            <w:pPr>
              <w:keepNext w:val="0"/>
              <w:keepLines w:val="0"/>
              <w:widowControl/>
              <w:suppressLineNumbers w:val="0"/>
              <w:autoSpaceDE w:val="0"/>
              <w:autoSpaceDN w:val="0"/>
              <w:adjustRightInd w:val="0"/>
              <w:spacing w:before="0" w:beforeAutospacing="0" w:after="0" w:afterAutospacing="0" w:line="240" w:lineRule="exact"/>
              <w:ind w:left="0" w:right="0"/>
              <w:jc w:val="center"/>
              <w:rPr>
                <w:rFonts w:hint="eastAsia" w:eastAsia="宋体" w:cs="Times New Roman"/>
                <w:color w:val="auto"/>
                <w:kern w:val="2"/>
                <w:sz w:val="21"/>
                <w:szCs w:val="21"/>
                <w:highlight w:val="none"/>
                <w:lang w:val="en-US" w:eastAsia="zh-CN" w:bidi="ar-SA"/>
              </w:rPr>
            </w:pPr>
            <w:r>
              <w:rPr>
                <w:rFonts w:hint="eastAsia" w:ascii="Times New Roman" w:hAnsi="Times New Roman" w:eastAsia="宋体" w:cs="Times New Roman"/>
                <w:bCs/>
                <w:color w:val="auto"/>
                <w:sz w:val="21"/>
                <w:szCs w:val="21"/>
                <w:lang w:val="en-US" w:eastAsia="zh-CN"/>
              </w:rPr>
              <w:t>废机油</w:t>
            </w:r>
            <w:r>
              <w:rPr>
                <w:rFonts w:hint="eastAsia" w:ascii="Times New Roman" w:hAnsi="Times New Roman" w:eastAsia="宋体" w:cs="宋体"/>
                <w:color w:val="auto"/>
                <w:kern w:val="0"/>
                <w:sz w:val="21"/>
                <w:szCs w:val="21"/>
                <w:lang w:val="en-US" w:eastAsia="zh-CN" w:bidi="ar"/>
              </w:rPr>
              <w:t>桶</w:t>
            </w:r>
          </w:p>
        </w:tc>
        <w:tc>
          <w:tcPr>
            <w:tcW w:w="1962" w:type="dxa"/>
            <w:vMerge w:val="continue"/>
            <w:vAlign w:val="center"/>
          </w:tcPr>
          <w:p w14:paraId="1E63B250">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p>
        </w:tc>
        <w:tc>
          <w:tcPr>
            <w:tcW w:w="2161" w:type="dxa"/>
            <w:vMerge w:val="continue"/>
            <w:vAlign w:val="center"/>
          </w:tcPr>
          <w:p w14:paraId="27F52C0A">
            <w:pPr>
              <w:pStyle w:val="47"/>
              <w:keepNext w:val="0"/>
              <w:keepLines w:val="0"/>
              <w:pageBreakBefore w:val="0"/>
              <w:suppressLineNumbers w:val="0"/>
              <w:tabs>
                <w:tab w:val="right" w:pos="0"/>
              </w:tabs>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sz w:val="21"/>
                <w:szCs w:val="21"/>
                <w:highlight w:val="none"/>
              </w:rPr>
            </w:pPr>
          </w:p>
        </w:tc>
      </w:tr>
      <w:tr w14:paraId="15974E2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550" w:type="dxa"/>
            <w:vMerge w:val="continue"/>
            <w:vAlign w:val="center"/>
          </w:tcPr>
          <w:p w14:paraId="16CF1688">
            <w:pPr>
              <w:pStyle w:val="47"/>
              <w:keepNext w:val="0"/>
              <w:keepLines w:val="0"/>
              <w:pageBreakBefore w:val="0"/>
              <w:suppressLineNumbers w:val="0"/>
              <w:tabs>
                <w:tab w:val="right" w:pos="0"/>
              </w:tabs>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sz w:val="21"/>
                <w:szCs w:val="21"/>
                <w:highlight w:val="none"/>
              </w:rPr>
            </w:pPr>
          </w:p>
        </w:tc>
        <w:tc>
          <w:tcPr>
            <w:tcW w:w="1619" w:type="dxa"/>
            <w:gridSpan w:val="2"/>
            <w:vMerge w:val="continue"/>
            <w:vAlign w:val="center"/>
          </w:tcPr>
          <w:p w14:paraId="2A1078F8">
            <w:pPr>
              <w:pStyle w:val="47"/>
              <w:keepNext w:val="0"/>
              <w:keepLines w:val="0"/>
              <w:pageBreakBefore w:val="0"/>
              <w:suppressLineNumbers w:val="0"/>
              <w:tabs>
                <w:tab w:val="right" w:pos="0"/>
              </w:tabs>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eastAsia" w:ascii="Times New Roman" w:cs="Times New Roman"/>
                <w:b w:val="0"/>
                <w:bCs/>
                <w:color w:val="auto"/>
                <w:sz w:val="21"/>
                <w:szCs w:val="21"/>
                <w:highlight w:val="none"/>
                <w:lang w:val="en-US" w:eastAsia="zh-CN"/>
              </w:rPr>
            </w:pPr>
          </w:p>
        </w:tc>
        <w:tc>
          <w:tcPr>
            <w:tcW w:w="1508" w:type="dxa"/>
            <w:vAlign w:val="center"/>
          </w:tcPr>
          <w:p w14:paraId="02B2823E">
            <w:pPr>
              <w:keepNext w:val="0"/>
              <w:keepLines w:val="0"/>
              <w:widowControl/>
              <w:suppressLineNumbers w:val="0"/>
              <w:autoSpaceDE w:val="0"/>
              <w:autoSpaceDN w:val="0"/>
              <w:adjustRightInd w:val="0"/>
              <w:spacing w:before="0" w:beforeAutospacing="0" w:after="0" w:afterAutospacing="0" w:line="240" w:lineRule="exact"/>
              <w:ind w:left="0" w:right="0"/>
              <w:jc w:val="center"/>
              <w:rPr>
                <w:rFonts w:hint="eastAsia" w:ascii="Times New Roman" w:hAnsi="Times New Roman" w:eastAsia="宋体" w:cs="Times New Roman"/>
                <w:bCs/>
                <w:color w:val="auto"/>
                <w:sz w:val="21"/>
                <w:szCs w:val="21"/>
                <w:lang w:val="en-US" w:eastAsia="zh-CN"/>
              </w:rPr>
            </w:pPr>
            <w:r>
              <w:rPr>
                <w:rFonts w:hint="eastAsia" w:ascii="Times New Roman" w:hAnsi="Times New Roman" w:eastAsia="宋体" w:cs="Times New Roman"/>
                <w:color w:val="auto"/>
                <w:sz w:val="21"/>
                <w:szCs w:val="21"/>
                <w:lang w:val="en-US" w:eastAsia="zh-CN"/>
              </w:rPr>
              <w:t>废含油手套及抹布</w:t>
            </w:r>
          </w:p>
        </w:tc>
        <w:tc>
          <w:tcPr>
            <w:tcW w:w="1962" w:type="dxa"/>
            <w:vMerge w:val="continue"/>
            <w:vAlign w:val="center"/>
          </w:tcPr>
          <w:p w14:paraId="2544067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p>
        </w:tc>
        <w:tc>
          <w:tcPr>
            <w:tcW w:w="2161" w:type="dxa"/>
            <w:vMerge w:val="continue"/>
            <w:vAlign w:val="center"/>
          </w:tcPr>
          <w:p w14:paraId="0570F1B3">
            <w:pPr>
              <w:pStyle w:val="47"/>
              <w:keepNext w:val="0"/>
              <w:keepLines w:val="0"/>
              <w:pageBreakBefore w:val="0"/>
              <w:suppressLineNumbers w:val="0"/>
              <w:tabs>
                <w:tab w:val="right" w:pos="0"/>
              </w:tabs>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sz w:val="21"/>
                <w:szCs w:val="21"/>
                <w:highlight w:val="none"/>
              </w:rPr>
            </w:pPr>
          </w:p>
        </w:tc>
      </w:tr>
      <w:tr w14:paraId="263D4EE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550" w:type="dxa"/>
            <w:vMerge w:val="continue"/>
            <w:vAlign w:val="center"/>
          </w:tcPr>
          <w:p w14:paraId="1B8E4B38">
            <w:pPr>
              <w:pStyle w:val="47"/>
              <w:keepNext w:val="0"/>
              <w:keepLines w:val="0"/>
              <w:pageBreakBefore w:val="0"/>
              <w:suppressLineNumbers w:val="0"/>
              <w:tabs>
                <w:tab w:val="right" w:pos="0"/>
              </w:tabs>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sz w:val="21"/>
                <w:szCs w:val="21"/>
                <w:highlight w:val="none"/>
              </w:rPr>
            </w:pPr>
          </w:p>
        </w:tc>
        <w:tc>
          <w:tcPr>
            <w:tcW w:w="1619" w:type="dxa"/>
            <w:gridSpan w:val="2"/>
            <w:vAlign w:val="center"/>
          </w:tcPr>
          <w:p w14:paraId="14B35BC5">
            <w:pPr>
              <w:pStyle w:val="11"/>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员工生活</w:t>
            </w:r>
          </w:p>
        </w:tc>
        <w:tc>
          <w:tcPr>
            <w:tcW w:w="1508" w:type="dxa"/>
            <w:vAlign w:val="center"/>
          </w:tcPr>
          <w:p w14:paraId="3F15C7E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生活垃圾</w:t>
            </w:r>
          </w:p>
        </w:tc>
        <w:tc>
          <w:tcPr>
            <w:tcW w:w="1962" w:type="dxa"/>
            <w:vAlign w:val="center"/>
          </w:tcPr>
          <w:p w14:paraId="48DC3E3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环卫部门统一处理</w:t>
            </w:r>
          </w:p>
        </w:tc>
        <w:tc>
          <w:tcPr>
            <w:tcW w:w="2161" w:type="dxa"/>
            <w:vAlign w:val="center"/>
          </w:tcPr>
          <w:p w14:paraId="025FFC0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无害化、资源化</w:t>
            </w:r>
          </w:p>
        </w:tc>
      </w:tr>
      <w:tr w14:paraId="17715C9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550" w:type="dxa"/>
            <w:vAlign w:val="center"/>
          </w:tcPr>
          <w:p w14:paraId="4706480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宋体" w:hAnsi="宋体" w:cs="宋体"/>
                <w:b/>
                <w:bCs/>
                <w:color w:val="auto"/>
                <w:szCs w:val="21"/>
                <w:highlight w:val="none"/>
              </w:rPr>
            </w:pPr>
            <w:r>
              <w:rPr>
                <w:rFonts w:hint="eastAsia" w:ascii="宋体" w:hAnsi="宋体" w:cs="宋体"/>
                <w:b/>
                <w:bCs/>
                <w:color w:val="auto"/>
                <w:szCs w:val="21"/>
                <w:highlight w:val="none"/>
              </w:rPr>
              <w:t>电磁辐射</w:t>
            </w:r>
          </w:p>
        </w:tc>
        <w:tc>
          <w:tcPr>
            <w:tcW w:w="1619" w:type="dxa"/>
            <w:gridSpan w:val="2"/>
            <w:vAlign w:val="center"/>
          </w:tcPr>
          <w:p w14:paraId="510E53D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w:t>
            </w:r>
          </w:p>
        </w:tc>
        <w:tc>
          <w:tcPr>
            <w:tcW w:w="1508" w:type="dxa"/>
            <w:vAlign w:val="center"/>
          </w:tcPr>
          <w:p w14:paraId="37FE14C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w:t>
            </w:r>
          </w:p>
        </w:tc>
        <w:tc>
          <w:tcPr>
            <w:tcW w:w="1962" w:type="dxa"/>
            <w:vAlign w:val="center"/>
          </w:tcPr>
          <w:p w14:paraId="2FB62D1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w:t>
            </w:r>
          </w:p>
        </w:tc>
        <w:tc>
          <w:tcPr>
            <w:tcW w:w="2161" w:type="dxa"/>
            <w:vAlign w:val="center"/>
          </w:tcPr>
          <w:p w14:paraId="033E97D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w:t>
            </w:r>
          </w:p>
        </w:tc>
      </w:tr>
      <w:tr w14:paraId="1E42B3A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550" w:type="dxa"/>
            <w:vAlign w:val="center"/>
          </w:tcPr>
          <w:p w14:paraId="477C613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宋体" w:hAnsi="宋体" w:cs="宋体"/>
                <w:b/>
                <w:bCs/>
                <w:color w:val="auto"/>
                <w:szCs w:val="21"/>
                <w:highlight w:val="none"/>
              </w:rPr>
            </w:pPr>
            <w:r>
              <w:rPr>
                <w:rFonts w:hint="eastAsia" w:ascii="宋体" w:hAnsi="宋体" w:cs="宋体"/>
                <w:b/>
                <w:bCs/>
                <w:color w:val="auto"/>
                <w:szCs w:val="21"/>
                <w:highlight w:val="none"/>
              </w:rPr>
              <w:t>土壤及地下水污染防治措施</w:t>
            </w:r>
          </w:p>
        </w:tc>
        <w:tc>
          <w:tcPr>
            <w:tcW w:w="7250" w:type="dxa"/>
            <w:gridSpan w:val="5"/>
            <w:vAlign w:val="center"/>
          </w:tcPr>
          <w:p w14:paraId="4104DA72">
            <w:pPr>
              <w:pStyle w:val="6"/>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both"/>
              <w:textAlignment w:val="auto"/>
              <w:rPr>
                <w:rFonts w:hint="eastAsia" w:ascii="Times New Roman" w:hAnsi="Times New Roman" w:eastAsia="宋体" w:cs="Times New Roman"/>
                <w:color w:val="auto"/>
                <w:sz w:val="21"/>
                <w:szCs w:val="21"/>
                <w:highlight w:val="none"/>
                <w:lang w:val="en-US" w:eastAsia="zh-CN"/>
              </w:rPr>
            </w:pPr>
            <w:r>
              <w:rPr>
                <w:rFonts w:hint="default" w:eastAsia="宋体"/>
                <w:color w:val="auto"/>
                <w:sz w:val="21"/>
                <w:szCs w:val="21"/>
              </w:rPr>
              <w:t>项目原</w:t>
            </w:r>
            <w:r>
              <w:rPr>
                <w:rFonts w:hint="eastAsia" w:eastAsia="宋体"/>
                <w:color w:val="auto"/>
                <w:sz w:val="21"/>
                <w:szCs w:val="21"/>
                <w:lang w:val="en-US" w:eastAsia="zh-CN"/>
              </w:rPr>
              <w:t>辅料</w:t>
            </w:r>
            <w:r>
              <w:rPr>
                <w:rFonts w:hint="default" w:eastAsia="宋体"/>
                <w:color w:val="auto"/>
                <w:sz w:val="21"/>
                <w:szCs w:val="21"/>
              </w:rPr>
              <w:t>、一般固废和危险废物分类存放于相应的暂存</w:t>
            </w:r>
            <w:r>
              <w:rPr>
                <w:rFonts w:hint="eastAsia" w:eastAsia="宋体"/>
                <w:color w:val="auto"/>
                <w:sz w:val="21"/>
                <w:szCs w:val="21"/>
                <w:lang w:val="en-US" w:eastAsia="zh-CN"/>
              </w:rPr>
              <w:t>间</w:t>
            </w:r>
            <w:r>
              <w:rPr>
                <w:rFonts w:hint="default" w:eastAsia="宋体"/>
                <w:color w:val="auto"/>
                <w:sz w:val="21"/>
                <w:szCs w:val="21"/>
              </w:rPr>
              <w:t>内，不设置露天堆场。根据本项目厂区可能泄漏至地面区域污染物的性质和生产单元的构筑方式，将厂区划分为</w:t>
            </w:r>
            <w:r>
              <w:rPr>
                <w:rFonts w:hint="default" w:eastAsia="宋体"/>
                <w:color w:val="auto"/>
                <w:sz w:val="21"/>
                <w:szCs w:val="21"/>
                <w:lang w:val="en-US" w:eastAsia="zh-CN"/>
              </w:rPr>
              <w:t>重点防治区（危废暂存间</w:t>
            </w:r>
            <w:r>
              <w:rPr>
                <w:rFonts w:hint="eastAsia" w:eastAsia="宋体"/>
                <w:color w:val="auto"/>
                <w:sz w:val="21"/>
                <w:szCs w:val="21"/>
                <w:lang w:val="en-US" w:eastAsia="zh-CN"/>
              </w:rPr>
              <w:t>、化学品仓库</w:t>
            </w:r>
            <w:r>
              <w:rPr>
                <w:rFonts w:hint="default" w:eastAsia="宋体"/>
                <w:color w:val="auto"/>
                <w:sz w:val="21"/>
                <w:szCs w:val="21"/>
                <w:lang w:val="en-US" w:eastAsia="zh-CN"/>
              </w:rPr>
              <w:t>）、简单防渗区（</w:t>
            </w:r>
            <w:r>
              <w:rPr>
                <w:rFonts w:hint="eastAsia" w:eastAsia="宋体"/>
                <w:color w:val="auto"/>
                <w:sz w:val="21"/>
                <w:lang w:val="en-US" w:eastAsia="zh-CN"/>
              </w:rPr>
              <w:t>皮鞋、高跟鞋、PVC注塑鞋生产线、</w:t>
            </w:r>
            <w:r>
              <w:rPr>
                <w:rFonts w:hint="default" w:eastAsia="宋体"/>
                <w:color w:val="auto"/>
                <w:sz w:val="21"/>
                <w:szCs w:val="21"/>
                <w:lang w:val="en-US" w:eastAsia="zh-CN"/>
              </w:rPr>
              <w:t>裁断区、注塑鞋底制造线、鞋垫制造线、丝网印花区、原材料堆放区、半成品暂存区、成品堆放区、一般固废暂存间、化粪池及隔油池）、一般防渗区（</w:t>
            </w:r>
            <w:r>
              <w:rPr>
                <w:rFonts w:hint="eastAsia" w:eastAsia="宋体"/>
                <w:color w:val="auto"/>
                <w:sz w:val="21"/>
                <w:lang w:val="en-US" w:eastAsia="zh-CN"/>
              </w:rPr>
              <w:t>办公区、食堂</w:t>
            </w:r>
            <w:r>
              <w:rPr>
                <w:rFonts w:hint="default" w:eastAsia="宋体"/>
                <w:color w:val="auto"/>
                <w:sz w:val="21"/>
                <w:szCs w:val="21"/>
                <w:lang w:val="en-US" w:eastAsia="zh-CN"/>
              </w:rPr>
              <w:t>）</w:t>
            </w:r>
            <w:r>
              <w:rPr>
                <w:rFonts w:hint="eastAsia" w:eastAsia="宋体"/>
                <w:color w:val="auto"/>
                <w:sz w:val="21"/>
                <w:szCs w:val="21"/>
                <w:lang w:val="en-US" w:eastAsia="zh-CN"/>
              </w:rPr>
              <w:t>，</w:t>
            </w:r>
            <w:r>
              <w:rPr>
                <w:rFonts w:hint="default" w:eastAsia="宋体"/>
                <w:color w:val="auto"/>
                <w:sz w:val="21"/>
                <w:szCs w:val="21"/>
              </w:rPr>
              <w:t>针对不同的区域提出相应的防渗措施</w:t>
            </w:r>
            <w:r>
              <w:rPr>
                <w:rFonts w:hint="eastAsia" w:eastAsia="宋体"/>
                <w:color w:val="auto"/>
                <w:sz w:val="21"/>
                <w:szCs w:val="21"/>
                <w:lang w:eastAsia="zh-CN"/>
              </w:rPr>
              <w:t>。</w:t>
            </w:r>
          </w:p>
        </w:tc>
      </w:tr>
      <w:tr w14:paraId="0C7E0A7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77" w:hRule="atLeast"/>
          <w:jc w:val="center"/>
        </w:trPr>
        <w:tc>
          <w:tcPr>
            <w:tcW w:w="1550" w:type="dxa"/>
            <w:vAlign w:val="center"/>
          </w:tcPr>
          <w:p w14:paraId="5D3449D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宋体" w:hAnsi="宋体" w:cs="宋体"/>
                <w:b/>
                <w:bCs/>
                <w:color w:val="auto"/>
                <w:szCs w:val="21"/>
                <w:highlight w:val="none"/>
              </w:rPr>
            </w:pPr>
            <w:r>
              <w:rPr>
                <w:rFonts w:hint="eastAsia" w:ascii="宋体" w:hAnsi="宋体" w:cs="宋体"/>
                <w:b/>
                <w:bCs/>
                <w:color w:val="auto"/>
                <w:szCs w:val="21"/>
                <w:highlight w:val="none"/>
              </w:rPr>
              <w:t>生态保护措施</w:t>
            </w:r>
          </w:p>
        </w:tc>
        <w:tc>
          <w:tcPr>
            <w:tcW w:w="7250" w:type="dxa"/>
            <w:gridSpan w:val="5"/>
            <w:vAlign w:val="center"/>
          </w:tcPr>
          <w:p w14:paraId="068D64F4">
            <w:pPr>
              <w:pStyle w:val="6"/>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both"/>
              <w:textAlignment w:val="auto"/>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rPr>
              <w:t>严格做好营运期污染防治工作，确保营运期废气和噪声达标排放，固废做好资源化、无害化处理，这样可使本项目对区域生态环境的影响降到最小。</w:t>
            </w:r>
          </w:p>
        </w:tc>
      </w:tr>
      <w:tr w14:paraId="4002C70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550" w:type="dxa"/>
            <w:vAlign w:val="center"/>
          </w:tcPr>
          <w:p w14:paraId="433E9EA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环境风险</w:t>
            </w:r>
          </w:p>
          <w:p w14:paraId="2618B0A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防范措施</w:t>
            </w:r>
          </w:p>
        </w:tc>
        <w:tc>
          <w:tcPr>
            <w:tcW w:w="7250" w:type="dxa"/>
            <w:gridSpan w:val="5"/>
            <w:vAlign w:val="center"/>
          </w:tcPr>
          <w:p w14:paraId="5AC83BE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both"/>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w:t>
            </w:r>
            <w:r>
              <w:rPr>
                <w:rFonts w:hint="eastAsia" w:cs="Times New Roman"/>
                <w:color w:val="auto"/>
                <w:sz w:val="21"/>
                <w:szCs w:val="21"/>
                <w:highlight w:val="none"/>
                <w:lang w:val="en-US" w:eastAsia="zh-CN"/>
              </w:rPr>
              <w:t>1</w:t>
            </w:r>
            <w:r>
              <w:rPr>
                <w:rFonts w:hint="default" w:ascii="Times New Roman" w:hAnsi="Times New Roman" w:eastAsia="宋体" w:cs="Times New Roman"/>
                <w:color w:val="auto"/>
                <w:sz w:val="21"/>
                <w:szCs w:val="21"/>
                <w:highlight w:val="none"/>
              </w:rPr>
              <w:t>）</w:t>
            </w:r>
            <w:r>
              <w:rPr>
                <w:rFonts w:hint="default" w:ascii="Times New Roman" w:hAnsi="Times New Roman" w:eastAsia="宋体" w:cs="Times New Roman"/>
                <w:color w:val="auto"/>
                <w:sz w:val="21"/>
                <w:szCs w:val="21"/>
                <w:highlight w:val="none"/>
                <w:lang w:val="en-US" w:eastAsia="zh-CN"/>
              </w:rPr>
              <w:t>加强三级防控体系要求，建立与园区对接、联动的风险防范体系，加强日常监管</w:t>
            </w:r>
            <w:r>
              <w:rPr>
                <w:rFonts w:hint="default" w:ascii="Times New Roman" w:hAnsi="Times New Roman" w:eastAsia="宋体" w:cs="Times New Roman"/>
                <w:color w:val="auto"/>
                <w:sz w:val="21"/>
                <w:szCs w:val="21"/>
                <w:highlight w:val="none"/>
              </w:rPr>
              <w:t>。</w:t>
            </w:r>
          </w:p>
          <w:p w14:paraId="593E689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both"/>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w:t>
            </w:r>
            <w:r>
              <w:rPr>
                <w:rFonts w:hint="eastAsia" w:cs="Times New Roman"/>
                <w:color w:val="auto"/>
                <w:sz w:val="21"/>
                <w:szCs w:val="21"/>
                <w:highlight w:val="none"/>
                <w:lang w:val="en-US" w:eastAsia="zh-CN"/>
              </w:rPr>
              <w:t>2</w:t>
            </w:r>
            <w:r>
              <w:rPr>
                <w:rFonts w:hint="default" w:ascii="Times New Roman" w:hAnsi="Times New Roman" w:eastAsia="宋体" w:cs="Times New Roman"/>
                <w:color w:val="auto"/>
                <w:sz w:val="21"/>
                <w:szCs w:val="21"/>
                <w:highlight w:val="none"/>
              </w:rPr>
              <w:t>）对废气处理系统进行定期的监测和检修，如发生腐蚀、设备运行不稳定的情况，需对设备进行更换和修理，确保废气处理装置的正常运行，降低废气直接外排的风险。</w:t>
            </w:r>
          </w:p>
          <w:p w14:paraId="29149A8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both"/>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w:t>
            </w:r>
            <w:r>
              <w:rPr>
                <w:rFonts w:hint="eastAsia" w:cs="Times New Roman"/>
                <w:color w:val="auto"/>
                <w:sz w:val="21"/>
                <w:szCs w:val="21"/>
                <w:highlight w:val="none"/>
                <w:lang w:val="en-US" w:eastAsia="zh-CN"/>
              </w:rPr>
              <w:t>3</w:t>
            </w:r>
            <w:r>
              <w:rPr>
                <w:rFonts w:hint="default" w:ascii="Times New Roman" w:hAnsi="Times New Roman" w:eastAsia="宋体" w:cs="Times New Roman"/>
                <w:color w:val="auto"/>
                <w:sz w:val="21"/>
                <w:szCs w:val="21"/>
                <w:highlight w:val="none"/>
              </w:rPr>
              <w:t>）危险废物临时堆放场要做好防风、防雨、防晒、防渗漏措施。</w:t>
            </w:r>
          </w:p>
          <w:p w14:paraId="2B6F947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both"/>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w:t>
            </w:r>
            <w:r>
              <w:rPr>
                <w:rFonts w:hint="eastAsia" w:cs="Times New Roman"/>
                <w:color w:val="auto"/>
                <w:sz w:val="21"/>
                <w:szCs w:val="21"/>
                <w:highlight w:val="none"/>
                <w:lang w:val="en-US" w:eastAsia="zh-CN"/>
              </w:rPr>
              <w:t>4</w:t>
            </w:r>
            <w:r>
              <w:rPr>
                <w:rFonts w:hint="default" w:ascii="Times New Roman" w:hAnsi="Times New Roman" w:eastAsia="宋体" w:cs="Times New Roman"/>
                <w:color w:val="auto"/>
                <w:sz w:val="21"/>
                <w:szCs w:val="21"/>
                <w:highlight w:val="none"/>
              </w:rPr>
              <w:t>）易燃场所的电气设备应严格按照《爆炸和火灾危险环境电力装置设计规范》进行设计、安装，达到整体防爆要求，使用不易产生静电、撞击不产生火花的材料，并采取静电接地保护措施。</w:t>
            </w:r>
          </w:p>
          <w:p w14:paraId="47A34B6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both"/>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w:t>
            </w:r>
            <w:r>
              <w:rPr>
                <w:rFonts w:hint="eastAsia" w:cs="Times New Roman"/>
                <w:color w:val="auto"/>
                <w:sz w:val="21"/>
                <w:szCs w:val="21"/>
                <w:highlight w:val="none"/>
                <w:lang w:val="en-US" w:eastAsia="zh-CN"/>
              </w:rPr>
              <w:t>5</w:t>
            </w:r>
            <w:r>
              <w:rPr>
                <w:rFonts w:hint="default" w:ascii="Times New Roman" w:hAnsi="Times New Roman" w:eastAsia="宋体" w:cs="Times New Roman"/>
                <w:color w:val="auto"/>
                <w:sz w:val="21"/>
                <w:szCs w:val="21"/>
                <w:highlight w:val="none"/>
              </w:rPr>
              <w:t>）配备合适、足量灭火器材，并应保持安全消防设施齐全、完好，按规范配备砂子、灭火毯等消防用品。</w:t>
            </w:r>
          </w:p>
        </w:tc>
      </w:tr>
      <w:tr w14:paraId="6A4A97F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550" w:type="dxa"/>
            <w:vAlign w:val="center"/>
          </w:tcPr>
          <w:p w14:paraId="25FFEB0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宋体" w:hAnsi="宋体" w:cs="宋体"/>
                <w:b/>
                <w:bCs/>
                <w:color w:val="auto"/>
                <w:spacing w:val="-8"/>
                <w:szCs w:val="21"/>
                <w:highlight w:val="none"/>
              </w:rPr>
            </w:pPr>
            <w:r>
              <w:rPr>
                <w:rFonts w:hint="eastAsia" w:ascii="宋体" w:hAnsi="宋体" w:cs="宋体"/>
                <w:b/>
                <w:bCs/>
                <w:color w:val="auto"/>
                <w:spacing w:val="-8"/>
                <w:szCs w:val="21"/>
                <w:highlight w:val="none"/>
              </w:rPr>
              <w:t>其他环境</w:t>
            </w:r>
          </w:p>
          <w:p w14:paraId="517673A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宋体" w:hAnsi="宋体" w:cs="宋体"/>
                <w:b/>
                <w:bCs/>
                <w:color w:val="auto"/>
                <w:spacing w:val="-8"/>
                <w:szCs w:val="21"/>
                <w:highlight w:val="none"/>
              </w:rPr>
            </w:pPr>
            <w:r>
              <w:rPr>
                <w:rFonts w:hint="eastAsia" w:ascii="宋体" w:hAnsi="宋体" w:cs="宋体"/>
                <w:b/>
                <w:bCs/>
                <w:color w:val="auto"/>
                <w:spacing w:val="-8"/>
                <w:szCs w:val="21"/>
                <w:highlight w:val="none"/>
              </w:rPr>
              <w:t>管理要求</w:t>
            </w:r>
          </w:p>
        </w:tc>
        <w:tc>
          <w:tcPr>
            <w:tcW w:w="7250" w:type="dxa"/>
            <w:gridSpan w:val="5"/>
            <w:vAlign w:val="center"/>
          </w:tcPr>
          <w:p w14:paraId="293E9FD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both"/>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（1）认真执行建设项目环境保护</w:t>
            </w:r>
            <w:r>
              <w:rPr>
                <w:rFonts w:hint="eastAsia" w:cs="Times New Roman"/>
                <w:color w:val="auto"/>
                <w:sz w:val="21"/>
                <w:szCs w:val="21"/>
                <w:highlight w:val="none"/>
                <w:lang w:eastAsia="zh-CN"/>
              </w:rPr>
              <w:t>管理文件</w:t>
            </w:r>
            <w:r>
              <w:rPr>
                <w:rFonts w:hint="default" w:ascii="Times New Roman" w:hAnsi="Times New Roman" w:eastAsia="宋体" w:cs="Times New Roman"/>
                <w:color w:val="auto"/>
                <w:sz w:val="21"/>
                <w:szCs w:val="21"/>
                <w:highlight w:val="none"/>
              </w:rPr>
              <w:t>精神，建立健全各项环保规章制度，严格执行</w:t>
            </w:r>
            <w:r>
              <w:rPr>
                <w:rFonts w:hint="eastAsia"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三同时</w:t>
            </w:r>
            <w:r>
              <w:rPr>
                <w:rFonts w:hint="eastAsia"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制度；</w:t>
            </w:r>
          </w:p>
          <w:p w14:paraId="22A936E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both"/>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（2）确保各类污染治理设施长期、稳定、有效地运行，不得擅自拆除或者闲置废气处理设施和污水治理设施等，不得故意不正常使用污染治理设施；</w:t>
            </w:r>
          </w:p>
          <w:p w14:paraId="25AB62B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both"/>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（3）加强职工的安全研发和环境保护知识的教育。配备必要的环境管理专职人员，落实、检查环保设施的运行状况，配合当地环保部门做好本厂的环境管理、验收、监督和检查工作；</w:t>
            </w:r>
          </w:p>
          <w:p w14:paraId="155ECEA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both"/>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（4）排污口规范化。应</w:t>
            </w:r>
            <w:r>
              <w:rPr>
                <w:rFonts w:hint="eastAsia" w:ascii="Times New Roman" w:hAnsi="Times New Roman" w:eastAsia="宋体" w:cs="Times New Roman"/>
                <w:color w:val="auto"/>
                <w:sz w:val="21"/>
                <w:szCs w:val="21"/>
                <w:highlight w:val="none"/>
                <w:lang w:eastAsia="zh-CN"/>
              </w:rPr>
              <w:t>按照</w:t>
            </w:r>
            <w:r>
              <w:rPr>
                <w:rFonts w:hint="default" w:ascii="Times New Roman" w:hAnsi="Times New Roman" w:eastAsia="宋体" w:cs="Times New Roman"/>
                <w:color w:val="auto"/>
                <w:sz w:val="21"/>
                <w:szCs w:val="21"/>
                <w:highlight w:val="none"/>
              </w:rPr>
              <w:t>国家有关规定设置规范的污染物排放口，并设立标志牌；</w:t>
            </w:r>
          </w:p>
          <w:p w14:paraId="5736BDD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both"/>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（5）加强原料及产品的储、运管理，防止事故的发生；</w:t>
            </w:r>
          </w:p>
          <w:p w14:paraId="780C875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both"/>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（6）加强管道、设备的保养和维护。安装必要的用水监测仪表，减少跑、冒、滴、漏，最大限度地减少用水量；</w:t>
            </w:r>
          </w:p>
          <w:p w14:paraId="540A8ED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both"/>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（7）加强固体废物的环境管理。</w:t>
            </w:r>
          </w:p>
        </w:tc>
      </w:tr>
    </w:tbl>
    <w:p w14:paraId="2F05BFF3">
      <w:pPr>
        <w:pStyle w:val="18"/>
        <w:jc w:val="center"/>
        <w:outlineLvl w:val="0"/>
        <w:rPr>
          <w:rFonts w:ascii="黑体" w:hAnsi="黑体" w:eastAsia="黑体"/>
          <w:snapToGrid w:val="0"/>
          <w:color w:val="auto"/>
          <w:sz w:val="30"/>
          <w:szCs w:val="30"/>
          <w:highlight w:val="none"/>
        </w:rPr>
      </w:pPr>
      <w:r>
        <w:rPr>
          <w:snapToGrid w:val="0"/>
          <w:color w:val="auto"/>
          <w:highlight w:val="none"/>
        </w:rPr>
        <w:br w:type="page"/>
      </w:r>
      <w:bookmarkStart w:id="74" w:name="_GoBack"/>
      <w:bookmarkEnd w:id="74"/>
      <w:bookmarkStart w:id="39" w:name="_Toc18355"/>
      <w:r>
        <w:rPr>
          <w:rFonts w:hint="eastAsia" w:cs="宋体"/>
          <w:b/>
          <w:bCs/>
          <w:snapToGrid w:val="0"/>
          <w:color w:val="auto"/>
          <w:sz w:val="30"/>
          <w:szCs w:val="30"/>
          <w:highlight w:val="none"/>
        </w:rPr>
        <w:t>六、结论</w:t>
      </w:r>
      <w:bookmarkEnd w:id="39"/>
    </w:p>
    <w:tbl>
      <w:tblPr>
        <w:tblStyle w:val="26"/>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865"/>
      </w:tblGrid>
      <w:tr w14:paraId="390912A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1991" w:hRule="atLeast"/>
          <w:jc w:val="center"/>
        </w:trPr>
        <w:tc>
          <w:tcPr>
            <w:tcW w:w="8865" w:type="dxa"/>
          </w:tcPr>
          <w:p w14:paraId="25D79AFC">
            <w:pPr>
              <w:pStyle w:val="1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cs="宋体"/>
                <w:color w:val="auto"/>
                <w:sz w:val="24"/>
                <w:highlight w:val="none"/>
              </w:rPr>
            </w:pPr>
            <w:r>
              <w:rPr>
                <w:rFonts w:hint="eastAsia" w:ascii="Times New Roman" w:hAnsi="Times New Roman" w:cs="Times New Roman"/>
                <w:color w:val="auto"/>
                <w:sz w:val="24"/>
                <w:highlight w:val="none"/>
                <w:lang w:val="en-US" w:eastAsia="zh-CN"/>
              </w:rPr>
              <w:t>江西红鲤鱼鞋业有限公司</w:t>
            </w:r>
            <w:r>
              <w:rPr>
                <w:rFonts w:hint="default" w:ascii="Times New Roman" w:hAnsi="Times New Roman" w:cs="宋体"/>
                <w:color w:val="auto"/>
                <w:sz w:val="24"/>
                <w:highlight w:val="none"/>
              </w:rPr>
              <w:t>拟</w:t>
            </w:r>
            <w:r>
              <w:rPr>
                <w:rFonts w:hint="eastAsia" w:ascii="Times New Roman" w:hAnsi="Times New Roman" w:cs="宋体"/>
                <w:color w:val="auto"/>
                <w:sz w:val="24"/>
                <w:highlight w:val="none"/>
                <w:lang w:val="en-US" w:eastAsia="zh-CN"/>
              </w:rPr>
              <w:t>在</w:t>
            </w:r>
            <w:r>
              <w:rPr>
                <w:rFonts w:hint="eastAsia" w:ascii="Times New Roman" w:hAnsi="Times New Roman" w:cs="Times New Roman"/>
                <w:color w:val="auto"/>
                <w:sz w:val="24"/>
                <w:highlight w:val="none"/>
                <w:lang w:val="en-US" w:eastAsia="zh-CN"/>
              </w:rPr>
              <w:t>乐平市金山工业园区</w:t>
            </w:r>
            <w:r>
              <w:rPr>
                <w:rFonts w:hint="default" w:ascii="Times New Roman" w:hAnsi="Times New Roman" w:cs="宋体"/>
                <w:color w:val="auto"/>
                <w:sz w:val="24"/>
                <w:highlight w:val="none"/>
              </w:rPr>
              <w:t>投资</w:t>
            </w:r>
            <w:r>
              <w:rPr>
                <w:rFonts w:hint="eastAsia" w:ascii="Times New Roman" w:hAnsi="Times New Roman" w:cs="宋体"/>
                <w:color w:val="auto"/>
                <w:sz w:val="24"/>
                <w:highlight w:val="none"/>
                <w:lang w:val="en-US" w:eastAsia="zh-CN"/>
              </w:rPr>
              <w:t>2000</w:t>
            </w:r>
            <w:r>
              <w:rPr>
                <w:rFonts w:hint="default" w:ascii="Times New Roman" w:hAnsi="Times New Roman" w:cs="宋体"/>
                <w:color w:val="auto"/>
                <w:sz w:val="24"/>
                <w:highlight w:val="none"/>
              </w:rPr>
              <w:t>万元建设</w:t>
            </w:r>
            <w:r>
              <w:rPr>
                <w:rFonts w:hint="default" w:ascii="Times New Roman" w:hAnsi="Times New Roman" w:cs="宋体"/>
                <w:color w:val="auto"/>
                <w:sz w:val="24"/>
                <w:highlight w:val="none"/>
                <w:lang w:val="en-US" w:eastAsia="zh-CN"/>
              </w:rPr>
              <w:t>年产280万双休闲鞋项目</w:t>
            </w:r>
            <w:r>
              <w:rPr>
                <w:rFonts w:hint="default" w:ascii="Times New Roman" w:hAnsi="Times New Roman" w:cs="宋体"/>
                <w:color w:val="auto"/>
                <w:sz w:val="24"/>
                <w:highlight w:val="none"/>
              </w:rPr>
              <w:t>。</w:t>
            </w:r>
          </w:p>
          <w:p w14:paraId="1B637394">
            <w:pPr>
              <w:pStyle w:val="1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cs="宋体"/>
                <w:color w:val="auto"/>
                <w:sz w:val="24"/>
                <w:highlight w:val="none"/>
                <w:lang w:eastAsia="zh-CN"/>
              </w:rPr>
            </w:pPr>
            <w:r>
              <w:rPr>
                <w:rFonts w:hint="default" w:ascii="Times New Roman" w:hAnsi="Times New Roman" w:eastAsia="宋体" w:cs="宋体"/>
                <w:color w:val="auto"/>
                <w:sz w:val="24"/>
                <w:highlight w:val="none"/>
              </w:rPr>
              <w:t>本项目位</w:t>
            </w:r>
            <w:r>
              <w:rPr>
                <w:rFonts w:hint="eastAsia" w:ascii="Times New Roman" w:hAnsi="Times New Roman" w:eastAsia="宋体" w:cs="宋体"/>
                <w:color w:val="auto"/>
                <w:sz w:val="24"/>
                <w:highlight w:val="none"/>
                <w:lang w:val="en-US" w:eastAsia="zh-CN"/>
              </w:rPr>
              <w:t>于</w:t>
            </w:r>
            <w:r>
              <w:rPr>
                <w:rFonts w:hint="default" w:ascii="Times New Roman" w:hAnsi="Times New Roman" w:eastAsia="宋体" w:cs="宋体"/>
                <w:color w:val="auto"/>
                <w:sz w:val="24"/>
                <w:highlight w:val="none"/>
                <w:lang w:val="en-US" w:eastAsia="zh-CN"/>
              </w:rPr>
              <w:t>江西省</w:t>
            </w:r>
            <w:r>
              <w:rPr>
                <w:rFonts w:hint="eastAsia" w:ascii="Times New Roman" w:hAnsi="Times New Roman" w:eastAsia="宋体" w:cs="Times New Roman"/>
                <w:color w:val="auto"/>
                <w:sz w:val="24"/>
                <w:highlight w:val="none"/>
                <w:lang w:val="en-US" w:eastAsia="zh-CN"/>
              </w:rPr>
              <w:t>乐平市金山工业园区</w:t>
            </w:r>
            <w:r>
              <w:rPr>
                <w:rFonts w:hint="eastAsia" w:ascii="Times New Roman" w:hAnsi="Times New Roman" w:eastAsia="宋体" w:cs="宋体"/>
                <w:color w:val="auto"/>
                <w:sz w:val="24"/>
                <w:highlight w:val="none"/>
                <w:lang w:val="zh-CN"/>
              </w:rPr>
              <w:t>，</w:t>
            </w:r>
            <w:r>
              <w:rPr>
                <w:rFonts w:hint="eastAsia" w:ascii="Times New Roman" w:hAnsi="Times New Roman" w:eastAsia="宋体" w:cs="Times New Roman"/>
                <w:color w:val="auto"/>
                <w:sz w:val="24"/>
                <w:highlight w:val="none"/>
                <w:shd w:val="clear" w:color="auto" w:fill="auto"/>
                <w:lang w:val="en-US" w:eastAsia="zh-CN"/>
              </w:rPr>
              <w:t>租用乐平绿创物流有限公司现有</w:t>
            </w:r>
            <w:r>
              <w:rPr>
                <w:rFonts w:hint="eastAsia" w:ascii="Times New Roman" w:hAnsi="Times New Roman" w:cs="Times New Roman"/>
                <w:color w:val="auto"/>
                <w:sz w:val="24"/>
                <w:highlight w:val="none"/>
                <w:shd w:val="clear" w:color="auto" w:fill="auto"/>
                <w:lang w:val="en-US" w:eastAsia="zh-CN"/>
              </w:rPr>
              <w:t>空置</w:t>
            </w:r>
            <w:r>
              <w:rPr>
                <w:rFonts w:hint="eastAsia" w:ascii="Times New Roman" w:hAnsi="Times New Roman" w:eastAsia="宋体" w:cs="Times New Roman"/>
                <w:color w:val="auto"/>
                <w:sz w:val="24"/>
                <w:highlight w:val="none"/>
                <w:shd w:val="clear" w:color="auto" w:fill="auto"/>
                <w:lang w:val="en-US" w:eastAsia="zh-CN"/>
              </w:rPr>
              <w:t>厂房，</w:t>
            </w:r>
            <w:r>
              <w:rPr>
                <w:rFonts w:hint="eastAsia" w:ascii="Times New Roman" w:hAnsi="Times New Roman" w:eastAsia="宋体" w:cs="宋体"/>
                <w:color w:val="auto"/>
                <w:sz w:val="24"/>
                <w:highlight w:val="none"/>
                <w:lang w:val="en-US" w:eastAsia="zh-CN"/>
              </w:rPr>
              <w:t>总</w:t>
            </w:r>
            <w:r>
              <w:rPr>
                <w:rFonts w:hint="eastAsia" w:ascii="Times New Roman" w:hAnsi="Times New Roman" w:eastAsia="宋体" w:cs="宋体"/>
                <w:color w:val="auto"/>
                <w:sz w:val="24"/>
                <w:highlight w:val="none"/>
              </w:rPr>
              <w:t>用地</w:t>
            </w:r>
            <w:r>
              <w:rPr>
                <w:rFonts w:hint="default" w:ascii="Times New Roman" w:hAnsi="Times New Roman" w:eastAsia="宋体" w:cs="宋体"/>
                <w:color w:val="auto"/>
                <w:sz w:val="24"/>
                <w:highlight w:val="none"/>
                <w:lang w:val="zh-CN"/>
              </w:rPr>
              <w:t>面积</w:t>
            </w:r>
            <w:r>
              <w:rPr>
                <w:rFonts w:hint="eastAsia" w:ascii="Times New Roman" w:hAnsi="Times New Roman" w:eastAsia="宋体" w:cs="Times New Roman"/>
                <w:color w:val="auto"/>
                <w:sz w:val="24"/>
                <w:highlight w:val="none"/>
                <w:lang w:val="en-US" w:eastAsia="zh-CN"/>
              </w:rPr>
              <w:t>36517.62</w:t>
            </w:r>
            <w:r>
              <w:rPr>
                <w:rFonts w:hint="default" w:ascii="Times New Roman" w:hAnsi="Times New Roman" w:eastAsia="宋体" w:cs="宋体"/>
                <w:color w:val="auto"/>
                <w:sz w:val="24"/>
                <w:highlight w:val="none"/>
                <w:lang w:val="zh-CN"/>
              </w:rPr>
              <w:t>m</w:t>
            </w:r>
            <w:r>
              <w:rPr>
                <w:rFonts w:hint="default" w:ascii="Times New Roman" w:hAnsi="Times New Roman" w:eastAsia="宋体" w:cs="宋体"/>
                <w:color w:val="auto"/>
                <w:sz w:val="24"/>
                <w:highlight w:val="none"/>
                <w:vertAlign w:val="superscript"/>
                <w:lang w:val="zh-CN"/>
              </w:rPr>
              <w:t>2</w:t>
            </w:r>
            <w:r>
              <w:rPr>
                <w:rFonts w:hint="default" w:ascii="Times New Roman" w:hAnsi="Times New Roman" w:eastAsia="宋体" w:cs="宋体"/>
                <w:color w:val="auto"/>
                <w:sz w:val="24"/>
                <w:highlight w:val="none"/>
              </w:rPr>
              <w:t>，</w:t>
            </w:r>
            <w:r>
              <w:rPr>
                <w:rFonts w:hint="eastAsia" w:ascii="Times New Roman" w:hAnsi="Times New Roman" w:eastAsia="宋体" w:cs="宋体"/>
                <w:color w:val="auto"/>
                <w:sz w:val="24"/>
                <w:highlight w:val="none"/>
                <w:lang w:val="zh-CN"/>
              </w:rPr>
              <w:t>主要</w:t>
            </w:r>
            <w:r>
              <w:rPr>
                <w:rFonts w:hint="eastAsia" w:ascii="Times New Roman" w:hAnsi="Times New Roman" w:eastAsia="宋体" w:cs="宋体"/>
                <w:color w:val="auto"/>
                <w:sz w:val="24"/>
                <w:highlight w:val="none"/>
                <w:lang w:val="en-US" w:eastAsia="zh-CN"/>
              </w:rPr>
              <w:t>生产休闲鞋</w:t>
            </w:r>
            <w:r>
              <w:rPr>
                <w:rFonts w:hint="eastAsia" w:ascii="Times New Roman" w:hAnsi="Times New Roman" w:eastAsia="宋体" w:cs="宋体"/>
                <w:color w:val="auto"/>
                <w:sz w:val="24"/>
                <w:highlight w:val="none"/>
                <w:lang w:eastAsia="zh-CN"/>
              </w:rPr>
              <w:t>。</w:t>
            </w:r>
          </w:p>
          <w:p w14:paraId="3E97FBA3">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szCs w:val="24"/>
                <w:highlight w:val="none"/>
                <w:shd w:val="clear" w:color="auto" w:fill="auto"/>
                <w:lang w:val="en-US" w:eastAsia="zh-CN"/>
              </w:rPr>
            </w:pPr>
            <w:r>
              <w:rPr>
                <w:rFonts w:hint="default" w:ascii="Times New Roman" w:hAnsi="Times New Roman" w:eastAsia="宋体" w:cs="宋体"/>
                <w:color w:val="auto"/>
                <w:sz w:val="24"/>
                <w:highlight w:val="none"/>
              </w:rPr>
              <w:t>本项目劳动定员</w:t>
            </w:r>
            <w:r>
              <w:rPr>
                <w:rFonts w:hint="eastAsia" w:ascii="Times New Roman" w:hAnsi="Times New Roman" w:eastAsia="宋体" w:cs="宋体"/>
                <w:color w:val="auto"/>
                <w:sz w:val="24"/>
                <w:highlight w:val="none"/>
                <w:lang w:val="en-US" w:eastAsia="zh-CN"/>
              </w:rPr>
              <w:t>500</w:t>
            </w:r>
            <w:r>
              <w:rPr>
                <w:rFonts w:hint="default" w:ascii="Times New Roman" w:hAnsi="Times New Roman" w:eastAsia="宋体" w:cs="宋体"/>
                <w:color w:val="auto"/>
                <w:sz w:val="24"/>
                <w:highlight w:val="none"/>
              </w:rPr>
              <w:t>人</w:t>
            </w:r>
            <w:r>
              <w:rPr>
                <w:rFonts w:hint="eastAsia" w:ascii="Times New Roman" w:hAnsi="Times New Roman" w:eastAsia="宋体" w:cs="宋体"/>
                <w:color w:val="auto"/>
                <w:sz w:val="24"/>
                <w:highlight w:val="none"/>
              </w:rPr>
              <w:t>，</w:t>
            </w:r>
            <w:r>
              <w:rPr>
                <w:rFonts w:hint="eastAsia" w:ascii="Times New Roman" w:hAnsi="Times New Roman" w:cs="Times New Roman"/>
                <w:color w:val="auto"/>
                <w:sz w:val="24"/>
                <w:szCs w:val="24"/>
                <w:highlight w:val="none"/>
                <w:shd w:val="clear" w:color="auto" w:fill="auto"/>
                <w:lang w:val="en-US" w:eastAsia="zh-CN"/>
              </w:rPr>
              <w:t>休闲鞋（皮鞋、高跟鞋、注塑鞋）产生线、注塑鞋底制造线、鞋垫制造线，</w:t>
            </w:r>
            <w:r>
              <w:rPr>
                <w:rFonts w:hint="default" w:ascii="Times New Roman" w:hAnsi="Times New Roman" w:eastAsia="宋体" w:cs="Times New Roman"/>
                <w:color w:val="auto"/>
                <w:sz w:val="24"/>
                <w:szCs w:val="24"/>
                <w:highlight w:val="none"/>
                <w:shd w:val="clear" w:color="auto" w:fill="auto"/>
                <w:lang w:val="en-US" w:eastAsia="zh-CN"/>
              </w:rPr>
              <w:t>年工作</w:t>
            </w:r>
            <w:r>
              <w:rPr>
                <w:rFonts w:hint="eastAsia" w:ascii="Times New Roman" w:hAnsi="Times New Roman" w:cs="Times New Roman"/>
                <w:color w:val="auto"/>
                <w:sz w:val="24"/>
                <w:szCs w:val="24"/>
                <w:highlight w:val="none"/>
                <w:shd w:val="clear" w:color="auto" w:fill="auto"/>
                <w:lang w:val="en-US" w:eastAsia="zh-CN"/>
              </w:rPr>
              <w:t>300</w:t>
            </w:r>
            <w:r>
              <w:rPr>
                <w:rFonts w:hint="default" w:ascii="Times New Roman" w:hAnsi="Times New Roman" w:eastAsia="宋体" w:cs="Times New Roman"/>
                <w:color w:val="auto"/>
                <w:sz w:val="24"/>
                <w:szCs w:val="24"/>
                <w:highlight w:val="none"/>
                <w:shd w:val="clear" w:color="auto" w:fill="auto"/>
                <w:lang w:val="en-US" w:eastAsia="zh-CN"/>
              </w:rPr>
              <w:t>天，</w:t>
            </w:r>
            <w:r>
              <w:rPr>
                <w:rFonts w:hint="eastAsia" w:ascii="Times New Roman" w:hAnsi="Times New Roman" w:cs="Times New Roman"/>
                <w:color w:val="auto"/>
                <w:sz w:val="24"/>
                <w:szCs w:val="24"/>
                <w:highlight w:val="none"/>
                <w:shd w:val="clear" w:color="auto" w:fill="auto"/>
                <w:lang w:val="en-US" w:eastAsia="zh-CN"/>
              </w:rPr>
              <w:t>两</w:t>
            </w:r>
            <w:r>
              <w:rPr>
                <w:rFonts w:hint="default" w:ascii="Times New Roman" w:hAnsi="Times New Roman" w:eastAsia="宋体" w:cs="Times New Roman"/>
                <w:color w:val="auto"/>
                <w:sz w:val="24"/>
                <w:szCs w:val="24"/>
                <w:highlight w:val="none"/>
                <w:shd w:val="clear" w:color="auto" w:fill="auto"/>
                <w:lang w:val="en-US" w:eastAsia="zh-CN"/>
              </w:rPr>
              <w:t>班</w:t>
            </w:r>
            <w:r>
              <w:rPr>
                <w:rFonts w:hint="eastAsia" w:ascii="Times New Roman" w:hAnsi="Times New Roman" w:cs="Times New Roman"/>
                <w:color w:val="auto"/>
                <w:sz w:val="24"/>
                <w:szCs w:val="24"/>
                <w:highlight w:val="none"/>
                <w:shd w:val="clear" w:color="auto" w:fill="auto"/>
                <w:lang w:val="en-US" w:eastAsia="zh-CN"/>
              </w:rPr>
              <w:t>（6:00~14:00、14:00~22：00）</w:t>
            </w:r>
            <w:r>
              <w:rPr>
                <w:rFonts w:hint="default" w:ascii="Times New Roman" w:hAnsi="Times New Roman" w:eastAsia="宋体" w:cs="Times New Roman"/>
                <w:color w:val="auto"/>
                <w:sz w:val="24"/>
                <w:szCs w:val="24"/>
                <w:highlight w:val="none"/>
                <w:shd w:val="clear" w:color="auto" w:fill="auto"/>
                <w:lang w:val="en-US" w:eastAsia="zh-CN"/>
              </w:rPr>
              <w:t>，每班工作8小时</w:t>
            </w:r>
            <w:r>
              <w:rPr>
                <w:rFonts w:hint="eastAsia" w:ascii="Times New Roman" w:hAnsi="Times New Roman" w:cs="Times New Roman"/>
                <w:color w:val="auto"/>
                <w:sz w:val="24"/>
                <w:szCs w:val="24"/>
                <w:highlight w:val="none"/>
                <w:shd w:val="clear" w:color="auto" w:fill="auto"/>
                <w:lang w:val="en-US" w:eastAsia="zh-CN"/>
              </w:rPr>
              <w:t>，年工作时长4800h；</w:t>
            </w:r>
            <w:r>
              <w:rPr>
                <w:rFonts w:hint="eastAsia" w:ascii="Times New Roman" w:hAnsi="Times New Roman" w:cs="宋体"/>
                <w:color w:val="auto"/>
                <w:sz w:val="24"/>
                <w:szCs w:val="24"/>
                <w:highlight w:val="none"/>
                <w:lang w:val="en-US" w:eastAsia="zh-CN"/>
              </w:rPr>
              <w:t>裁断、丝网印花区，</w:t>
            </w:r>
            <w:r>
              <w:rPr>
                <w:rFonts w:hint="default" w:ascii="Times New Roman" w:hAnsi="Times New Roman" w:eastAsia="宋体" w:cs="Times New Roman"/>
                <w:color w:val="auto"/>
                <w:sz w:val="24"/>
                <w:szCs w:val="24"/>
                <w:highlight w:val="none"/>
                <w:shd w:val="clear" w:color="auto" w:fill="auto"/>
                <w:lang w:val="en-US" w:eastAsia="zh-CN"/>
              </w:rPr>
              <w:t>年工作</w:t>
            </w:r>
            <w:r>
              <w:rPr>
                <w:rFonts w:hint="eastAsia" w:ascii="Times New Roman" w:hAnsi="Times New Roman" w:cs="Times New Roman"/>
                <w:color w:val="auto"/>
                <w:sz w:val="24"/>
                <w:szCs w:val="24"/>
                <w:highlight w:val="none"/>
                <w:shd w:val="clear" w:color="auto" w:fill="auto"/>
                <w:lang w:val="en-US" w:eastAsia="zh-CN"/>
              </w:rPr>
              <w:t>300</w:t>
            </w:r>
            <w:r>
              <w:rPr>
                <w:rFonts w:hint="default" w:ascii="Times New Roman" w:hAnsi="Times New Roman" w:eastAsia="宋体" w:cs="Times New Roman"/>
                <w:color w:val="auto"/>
                <w:sz w:val="24"/>
                <w:szCs w:val="24"/>
                <w:highlight w:val="none"/>
                <w:shd w:val="clear" w:color="auto" w:fill="auto"/>
                <w:lang w:val="en-US" w:eastAsia="zh-CN"/>
              </w:rPr>
              <w:t>天，</w:t>
            </w:r>
            <w:r>
              <w:rPr>
                <w:rFonts w:hint="eastAsia" w:ascii="Times New Roman" w:hAnsi="Times New Roman" w:cs="Times New Roman"/>
                <w:color w:val="auto"/>
                <w:sz w:val="24"/>
                <w:szCs w:val="24"/>
                <w:highlight w:val="none"/>
                <w:shd w:val="clear" w:color="auto" w:fill="auto"/>
                <w:lang w:val="en-US" w:eastAsia="zh-CN"/>
              </w:rPr>
              <w:t>一</w:t>
            </w:r>
            <w:r>
              <w:rPr>
                <w:rFonts w:hint="default" w:ascii="Times New Roman" w:hAnsi="Times New Roman" w:eastAsia="宋体" w:cs="Times New Roman"/>
                <w:color w:val="auto"/>
                <w:sz w:val="24"/>
                <w:szCs w:val="24"/>
                <w:highlight w:val="none"/>
                <w:shd w:val="clear" w:color="auto" w:fill="auto"/>
                <w:lang w:val="en-US" w:eastAsia="zh-CN"/>
              </w:rPr>
              <w:t>班</w:t>
            </w:r>
            <w:r>
              <w:rPr>
                <w:rFonts w:hint="eastAsia" w:ascii="Times New Roman" w:hAnsi="Times New Roman" w:cs="Times New Roman"/>
                <w:color w:val="auto"/>
                <w:sz w:val="24"/>
                <w:szCs w:val="24"/>
                <w:highlight w:val="none"/>
                <w:shd w:val="clear" w:color="auto" w:fill="auto"/>
                <w:lang w:val="en-US" w:eastAsia="zh-CN"/>
              </w:rPr>
              <w:t>（6:00~14:00）</w:t>
            </w:r>
            <w:r>
              <w:rPr>
                <w:rFonts w:hint="default" w:ascii="Times New Roman" w:hAnsi="Times New Roman" w:eastAsia="宋体" w:cs="Times New Roman"/>
                <w:color w:val="auto"/>
                <w:sz w:val="24"/>
                <w:szCs w:val="24"/>
                <w:highlight w:val="none"/>
                <w:shd w:val="clear" w:color="auto" w:fill="auto"/>
                <w:lang w:val="en-US" w:eastAsia="zh-CN"/>
              </w:rPr>
              <w:t>，每班工作8小时</w:t>
            </w:r>
            <w:r>
              <w:rPr>
                <w:rFonts w:hint="eastAsia" w:ascii="Times New Roman" w:hAnsi="Times New Roman" w:cs="Times New Roman"/>
                <w:color w:val="auto"/>
                <w:sz w:val="24"/>
                <w:szCs w:val="24"/>
                <w:highlight w:val="none"/>
                <w:shd w:val="clear" w:color="auto" w:fill="auto"/>
                <w:lang w:val="en-US" w:eastAsia="zh-CN"/>
              </w:rPr>
              <w:t>，年工作时长2400h，</w:t>
            </w:r>
            <w:r>
              <w:rPr>
                <w:rFonts w:hint="eastAsia"/>
                <w:color w:val="auto"/>
                <w:sz w:val="24"/>
                <w:highlight w:val="none"/>
                <w:lang w:val="en-US" w:eastAsia="zh-CN"/>
              </w:rPr>
              <w:t>企业夜间不生产</w:t>
            </w:r>
            <w:r>
              <w:rPr>
                <w:rFonts w:hint="default" w:ascii="Times New Roman" w:hAnsi="Times New Roman" w:eastAsia="宋体" w:cs="Times New Roman"/>
                <w:color w:val="auto"/>
                <w:sz w:val="24"/>
                <w:szCs w:val="24"/>
                <w:highlight w:val="none"/>
                <w:shd w:val="clear" w:color="auto" w:fill="auto"/>
                <w:lang w:val="en-US" w:eastAsia="zh-CN"/>
              </w:rPr>
              <w:t>。</w:t>
            </w:r>
          </w:p>
          <w:p w14:paraId="521BF9A7">
            <w:pPr>
              <w:pStyle w:val="1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cs="宋体"/>
                <w:color w:val="auto"/>
                <w:sz w:val="24"/>
                <w:highlight w:val="none"/>
              </w:rPr>
            </w:pPr>
            <w:r>
              <w:rPr>
                <w:rFonts w:hint="eastAsia" w:ascii="Times New Roman" w:hAnsi="Times New Roman" w:cs="宋体"/>
                <w:color w:val="auto"/>
                <w:sz w:val="24"/>
                <w:highlight w:val="none"/>
              </w:rPr>
              <w:t>综上所述：本项目符合我国现行的产业政策，项目选址符合</w:t>
            </w:r>
            <w:r>
              <w:rPr>
                <w:rFonts w:hint="eastAsia" w:ascii="Times New Roman" w:hAnsi="Times New Roman" w:cs="宋体"/>
                <w:color w:val="auto"/>
                <w:sz w:val="24"/>
                <w:highlight w:val="none"/>
                <w:lang w:val="en-US" w:eastAsia="zh-CN"/>
              </w:rPr>
              <w:t>景德镇市</w:t>
            </w:r>
            <w:r>
              <w:rPr>
                <w:rFonts w:hint="eastAsia" w:ascii="Times New Roman" w:hAnsi="Times New Roman" w:cs="Times New Roman"/>
                <w:color w:val="auto"/>
                <w:sz w:val="24"/>
                <w:highlight w:val="none"/>
                <w:lang w:val="en-US" w:eastAsia="zh-CN"/>
              </w:rPr>
              <w:t>乐平市金山工业园</w:t>
            </w:r>
            <w:r>
              <w:rPr>
                <w:rFonts w:hint="eastAsia" w:ascii="Times New Roman" w:hAnsi="Times New Roman" w:cs="宋体"/>
                <w:color w:val="auto"/>
                <w:sz w:val="24"/>
                <w:highlight w:val="none"/>
              </w:rPr>
              <w:t>土地利用规划，与周边环境相容，周围环境质量状况良好，选址基本合理，只要落实本次环评提出的各项治理措施，严格执行</w:t>
            </w:r>
            <w:r>
              <w:rPr>
                <w:rFonts w:hint="eastAsia" w:ascii="Times New Roman" w:hAnsi="Times New Roman" w:cs="宋体"/>
                <w:color w:val="auto"/>
                <w:sz w:val="24"/>
                <w:highlight w:val="none"/>
                <w:lang w:eastAsia="zh-CN"/>
              </w:rPr>
              <w:t>“</w:t>
            </w:r>
            <w:r>
              <w:rPr>
                <w:rFonts w:hint="eastAsia" w:ascii="Times New Roman" w:hAnsi="Times New Roman" w:cs="宋体"/>
                <w:color w:val="auto"/>
                <w:sz w:val="24"/>
                <w:highlight w:val="none"/>
              </w:rPr>
              <w:t>三同时</w:t>
            </w:r>
            <w:r>
              <w:rPr>
                <w:rFonts w:hint="eastAsia" w:ascii="Times New Roman" w:hAnsi="Times New Roman" w:cs="宋体"/>
                <w:color w:val="auto"/>
                <w:sz w:val="24"/>
                <w:highlight w:val="none"/>
                <w:lang w:eastAsia="zh-CN"/>
              </w:rPr>
              <w:t>”</w:t>
            </w:r>
            <w:r>
              <w:rPr>
                <w:rFonts w:hint="eastAsia" w:ascii="Times New Roman" w:hAnsi="Times New Roman" w:cs="宋体"/>
                <w:color w:val="auto"/>
                <w:sz w:val="24"/>
                <w:highlight w:val="none"/>
              </w:rPr>
              <w:t>制度。在安全生产，确保污染物达标排放，加强环境管理，严禁事故性及非正常排放的前提下，从环保角度分析，本评价认为该项目是可行的。</w:t>
            </w:r>
          </w:p>
          <w:p w14:paraId="7136BE1E">
            <w:pPr>
              <w:pStyle w:val="1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cs="宋体"/>
                <w:color w:val="auto"/>
                <w:sz w:val="24"/>
                <w:highlight w:val="none"/>
              </w:rPr>
            </w:pPr>
            <w:r>
              <w:rPr>
                <w:rFonts w:hint="eastAsia" w:ascii="Times New Roman" w:hAnsi="Times New Roman" w:cs="宋体"/>
                <w:color w:val="auto"/>
                <w:sz w:val="24"/>
                <w:highlight w:val="none"/>
                <w:lang w:eastAsia="zh-CN"/>
              </w:rPr>
              <w:t>（</w:t>
            </w:r>
            <w:r>
              <w:rPr>
                <w:rFonts w:hint="eastAsia" w:ascii="Times New Roman" w:hAnsi="Times New Roman" w:cs="宋体"/>
                <w:color w:val="auto"/>
                <w:sz w:val="24"/>
                <w:highlight w:val="none"/>
              </w:rPr>
              <w:t>注：上述评价结论是在建设单位确定建设内容和规模</w:t>
            </w:r>
            <w:r>
              <w:rPr>
                <w:rFonts w:hint="eastAsia" w:ascii="Times New Roman" w:hAnsi="Times New Roman" w:cs="宋体"/>
                <w:color w:val="auto"/>
                <w:sz w:val="24"/>
                <w:highlight w:val="none"/>
                <w:lang w:eastAsia="zh-CN"/>
              </w:rPr>
              <w:t>（</w:t>
            </w:r>
            <w:r>
              <w:rPr>
                <w:rFonts w:hint="eastAsia" w:ascii="Times New Roman" w:hAnsi="Times New Roman" w:cs="宋体"/>
                <w:color w:val="auto"/>
                <w:sz w:val="24"/>
                <w:highlight w:val="none"/>
              </w:rPr>
              <w:t>包括产品方案、生产工艺、设备、厂址以及排污情况</w:t>
            </w:r>
            <w:r>
              <w:rPr>
                <w:rFonts w:hint="eastAsia" w:ascii="Times New Roman" w:hAnsi="Times New Roman" w:cs="宋体"/>
                <w:color w:val="auto"/>
                <w:sz w:val="24"/>
                <w:highlight w:val="none"/>
                <w:lang w:eastAsia="zh-CN"/>
              </w:rPr>
              <w:t>）</w:t>
            </w:r>
            <w:r>
              <w:rPr>
                <w:rFonts w:hint="eastAsia" w:ascii="Times New Roman" w:hAnsi="Times New Roman" w:cs="宋体"/>
                <w:color w:val="auto"/>
                <w:sz w:val="24"/>
                <w:highlight w:val="none"/>
              </w:rPr>
              <w:t>的基础上得出的，项目基础资料均由建设单位提供，并对其准确性负责</w:t>
            </w:r>
            <w:r>
              <w:rPr>
                <w:rFonts w:hint="eastAsia" w:ascii="Times New Roman" w:hAnsi="Times New Roman" w:cs="宋体"/>
                <w:color w:val="auto"/>
                <w:sz w:val="24"/>
                <w:highlight w:val="none"/>
                <w:lang w:eastAsia="zh-CN"/>
              </w:rPr>
              <w:t>（</w:t>
            </w:r>
            <w:r>
              <w:rPr>
                <w:rFonts w:hint="eastAsia" w:ascii="Times New Roman" w:hAnsi="Times New Roman" w:cs="宋体"/>
                <w:color w:val="auto"/>
                <w:sz w:val="24"/>
                <w:highlight w:val="none"/>
                <w:lang w:val="en-US" w:eastAsia="zh-CN"/>
              </w:rPr>
              <w:t>附件</w:t>
            </w:r>
            <w:r>
              <w:rPr>
                <w:rFonts w:hint="default" w:ascii="Times New Roman" w:hAnsi="Times New Roman" w:cs="Times New Roman"/>
                <w:color w:val="auto"/>
                <w:sz w:val="24"/>
                <w:highlight w:val="none"/>
                <w:lang w:val="en-US" w:eastAsia="zh-CN"/>
              </w:rPr>
              <w:t>8</w:t>
            </w:r>
            <w:r>
              <w:rPr>
                <w:rFonts w:hint="eastAsia" w:ascii="Times New Roman" w:hAnsi="Times New Roman" w:cs="宋体"/>
                <w:color w:val="auto"/>
                <w:sz w:val="24"/>
                <w:highlight w:val="none"/>
                <w:lang w:eastAsia="zh-CN"/>
              </w:rPr>
              <w:t>）</w:t>
            </w:r>
            <w:r>
              <w:rPr>
                <w:rFonts w:hint="eastAsia" w:ascii="Times New Roman" w:hAnsi="Times New Roman" w:cs="宋体"/>
                <w:color w:val="auto"/>
                <w:sz w:val="24"/>
                <w:highlight w:val="none"/>
              </w:rPr>
              <w:t>。建设单位未来如需增加本报告表所涉及之外的污染源或对其功能进行调整，则应按要求向有关</w:t>
            </w:r>
            <w:r>
              <w:rPr>
                <w:rFonts w:hint="eastAsia" w:ascii="Times New Roman" w:hAnsi="Times New Roman" w:cs="宋体"/>
                <w:color w:val="auto"/>
                <w:sz w:val="24"/>
                <w:highlight w:val="none"/>
                <w:lang w:eastAsia="zh-CN"/>
              </w:rPr>
              <w:t>生态环境</w:t>
            </w:r>
            <w:r>
              <w:rPr>
                <w:rFonts w:hint="eastAsia" w:ascii="Times New Roman" w:hAnsi="Times New Roman" w:cs="宋体"/>
                <w:color w:val="auto"/>
                <w:sz w:val="24"/>
                <w:highlight w:val="none"/>
              </w:rPr>
              <w:t>部门进行申报，并按污染控制目标采取相应的污染治理措施。</w:t>
            </w:r>
            <w:r>
              <w:rPr>
                <w:rFonts w:hint="eastAsia" w:ascii="Times New Roman" w:hAnsi="Times New Roman" w:cs="宋体"/>
                <w:color w:val="auto"/>
                <w:sz w:val="24"/>
                <w:highlight w:val="none"/>
                <w:lang w:eastAsia="zh-CN"/>
              </w:rPr>
              <w:t>）</w:t>
            </w:r>
          </w:p>
          <w:p w14:paraId="139B55C8">
            <w:pPr>
              <w:pStyle w:val="1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cs="宋体"/>
                <w:color w:val="auto"/>
                <w:sz w:val="24"/>
                <w:highlight w:val="none"/>
              </w:rPr>
            </w:pPr>
            <w:r>
              <w:rPr>
                <w:rFonts w:hint="eastAsia" w:ascii="Times New Roman" w:hAnsi="Times New Roman" w:cs="宋体"/>
                <w:color w:val="auto"/>
                <w:sz w:val="24"/>
                <w:highlight w:val="none"/>
              </w:rPr>
              <w:t>建议</w:t>
            </w:r>
          </w:p>
          <w:p w14:paraId="658380FD">
            <w:pPr>
              <w:pStyle w:val="1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cs="宋体"/>
                <w:color w:val="auto"/>
                <w:sz w:val="24"/>
                <w:highlight w:val="none"/>
              </w:rPr>
            </w:pPr>
            <w:r>
              <w:rPr>
                <w:rFonts w:hint="eastAsia" w:ascii="Times New Roman" w:hAnsi="Times New Roman" w:cs="宋体"/>
                <w:color w:val="auto"/>
                <w:sz w:val="24"/>
                <w:highlight w:val="none"/>
              </w:rPr>
              <w:t>（1）为了能使厂区内各项污染防治措施达到较好的实际使用效果，厂方应建立健全的环境保护制度，设立负责环保的科室，负责经常性的监督管理工作；加强对产噪设备的维修、保养及管理，确保工作设备的良性运转。</w:t>
            </w:r>
          </w:p>
          <w:p w14:paraId="5378765F">
            <w:pPr>
              <w:pStyle w:val="1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cs="宋体"/>
                <w:color w:val="auto"/>
                <w:sz w:val="24"/>
                <w:highlight w:val="none"/>
              </w:rPr>
            </w:pPr>
            <w:r>
              <w:rPr>
                <w:rFonts w:hint="eastAsia" w:ascii="Times New Roman" w:hAnsi="Times New Roman" w:cs="宋体"/>
                <w:color w:val="auto"/>
                <w:sz w:val="24"/>
                <w:highlight w:val="none"/>
              </w:rPr>
              <w:t>（2）在企业的各项废气、污水处理设施完善后，企业应按照环保有关法律法规的规定严格执行，并设立专人进行</w:t>
            </w:r>
            <w:r>
              <w:rPr>
                <w:rFonts w:hint="eastAsia" w:ascii="Times New Roman" w:hAnsi="Times New Roman" w:cs="宋体"/>
                <w:color w:val="auto"/>
                <w:sz w:val="24"/>
                <w:highlight w:val="none"/>
                <w:lang w:eastAsia="zh-CN"/>
              </w:rPr>
              <w:t>环境治理</w:t>
            </w:r>
            <w:r>
              <w:rPr>
                <w:rFonts w:hint="eastAsia" w:ascii="Times New Roman" w:hAnsi="Times New Roman" w:cs="宋体"/>
                <w:color w:val="auto"/>
                <w:sz w:val="24"/>
                <w:highlight w:val="none"/>
              </w:rPr>
              <w:t>设施的运行管理。</w:t>
            </w:r>
          </w:p>
          <w:p w14:paraId="7AC04E62">
            <w:pPr>
              <w:pStyle w:val="1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宋体" w:cs="宋体"/>
                <w:color w:val="auto"/>
                <w:highlight w:val="none"/>
              </w:rPr>
            </w:pPr>
            <w:r>
              <w:rPr>
                <w:rFonts w:hint="eastAsia" w:ascii="Times New Roman" w:hAnsi="Times New Roman" w:cs="宋体"/>
                <w:color w:val="auto"/>
                <w:sz w:val="24"/>
                <w:highlight w:val="none"/>
              </w:rPr>
              <w:t>（3）如产品方案、工艺、设备、原辅材料消耗等生产情况有大的变动，应及时向有关部门及时申报。</w:t>
            </w:r>
          </w:p>
        </w:tc>
      </w:tr>
    </w:tbl>
    <w:p w14:paraId="3B3511A7">
      <w:pPr>
        <w:rPr>
          <w:rFonts w:ascii="宋体"/>
          <w:color w:val="auto"/>
          <w:highlight w:val="none"/>
        </w:rPr>
        <w:sectPr>
          <w:pgSz w:w="11906" w:h="16838"/>
          <w:pgMar w:top="1701" w:right="1531" w:bottom="1701" w:left="1531" w:header="851" w:footer="851" w:gutter="0"/>
          <w:pgBorders>
            <w:top w:val="none" w:sz="0" w:space="0"/>
            <w:left w:val="none" w:sz="0" w:space="0"/>
            <w:bottom w:val="none" w:sz="0" w:space="0"/>
            <w:right w:val="none" w:sz="0" w:space="0"/>
          </w:pgBorders>
          <w:pgNumType w:fmt="decimal"/>
          <w:cols w:space="720" w:num="1"/>
          <w:docGrid w:linePitch="312" w:charSpace="0"/>
        </w:sectPr>
      </w:pPr>
    </w:p>
    <w:p w14:paraId="16712AC1">
      <w:pPr>
        <w:pStyle w:val="18"/>
        <w:adjustRightInd w:val="0"/>
        <w:snapToGrid w:val="0"/>
        <w:spacing w:before="0" w:beforeAutospacing="0" w:after="0" w:afterAutospacing="0" w:line="360" w:lineRule="auto"/>
        <w:outlineLvl w:val="0"/>
        <w:rPr>
          <w:rFonts w:ascii="Times New Roman" w:hAnsi="Times New Roman"/>
          <w:b/>
          <w:bCs/>
          <w:snapToGrid w:val="0"/>
          <w:color w:val="auto"/>
          <w:sz w:val="32"/>
          <w:szCs w:val="32"/>
          <w:highlight w:val="none"/>
        </w:rPr>
      </w:pPr>
      <w:bookmarkStart w:id="40" w:name="_Toc15580"/>
      <w:r>
        <w:rPr>
          <w:rFonts w:ascii="Times New Roman" w:hAnsi="Times New Roman"/>
          <w:b/>
          <w:bCs/>
          <w:snapToGrid w:val="0"/>
          <w:color w:val="auto"/>
          <w:sz w:val="32"/>
          <w:szCs w:val="32"/>
          <w:highlight w:val="none"/>
        </w:rPr>
        <w:t>附表</w:t>
      </w:r>
      <w:bookmarkEnd w:id="40"/>
    </w:p>
    <w:p w14:paraId="31ECA603">
      <w:pPr>
        <w:pStyle w:val="18"/>
        <w:keepNext w:val="0"/>
        <w:keepLines w:val="0"/>
        <w:pageBreakBefore w:val="0"/>
        <w:widowControl/>
        <w:kinsoku/>
        <w:wordWrap/>
        <w:overflowPunct/>
        <w:topLinePunct w:val="0"/>
        <w:autoSpaceDE/>
        <w:autoSpaceDN/>
        <w:bidi w:val="0"/>
        <w:adjustRightInd w:val="0"/>
        <w:snapToGrid w:val="0"/>
        <w:spacing w:before="0" w:beforeAutospacing="0" w:after="0" w:afterAutospacing="0" w:line="360" w:lineRule="auto"/>
        <w:jc w:val="center"/>
        <w:textAlignment w:val="auto"/>
        <w:outlineLvl w:val="0"/>
        <w:rPr>
          <w:rFonts w:ascii="Times New Roman" w:hAnsi="Times New Roman"/>
          <w:b/>
          <w:bCs/>
          <w:snapToGrid w:val="0"/>
          <w:color w:val="auto"/>
          <w:sz w:val="38"/>
          <w:szCs w:val="38"/>
          <w:highlight w:val="none"/>
        </w:rPr>
      </w:pPr>
      <w:bookmarkStart w:id="41" w:name="_Toc15067"/>
      <w:r>
        <w:rPr>
          <w:rFonts w:ascii="Times New Roman" w:hAnsi="Times New Roman"/>
          <w:b/>
          <w:bCs/>
          <w:snapToGrid w:val="0"/>
          <w:color w:val="auto"/>
          <w:sz w:val="38"/>
          <w:szCs w:val="38"/>
          <w:highlight w:val="none"/>
        </w:rPr>
        <w:t>建设项目污染物排放量汇总表</w:t>
      </w:r>
      <w:bookmarkEnd w:id="41"/>
    </w:p>
    <w:tbl>
      <w:tblPr>
        <w:tblStyle w:val="26"/>
        <w:tblW w:w="14038" w:type="dxa"/>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286"/>
        <w:gridCol w:w="1950"/>
        <w:gridCol w:w="1575"/>
        <w:gridCol w:w="1260"/>
        <w:gridCol w:w="1612"/>
        <w:gridCol w:w="1559"/>
        <w:gridCol w:w="1761"/>
        <w:gridCol w:w="1742"/>
        <w:gridCol w:w="1293"/>
      </w:tblGrid>
      <w:tr w14:paraId="74DD46A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trHeight w:val="23" w:hRule="atLeast"/>
        </w:trPr>
        <w:tc>
          <w:tcPr>
            <w:tcW w:w="1286" w:type="dxa"/>
            <w:tcBorders>
              <w:tl2br w:val="single" w:color="auto" w:sz="4" w:space="0"/>
            </w:tcBorders>
            <w:tcMar>
              <w:left w:w="28" w:type="dxa"/>
              <w:right w:w="28" w:type="dxa"/>
            </w:tcMar>
            <w:vAlign w:val="center"/>
          </w:tcPr>
          <w:p w14:paraId="40888FFF">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right"/>
              <w:textAlignment w:val="auto"/>
              <w:rPr>
                <w:rFonts w:hint="default" w:ascii="Times New Roman" w:hAnsi="Times New Roman" w:eastAsia="宋体" w:cs="Times New Roman"/>
                <w:bCs/>
                <w:snapToGrid w:val="0"/>
                <w:color w:val="auto"/>
                <w:spacing w:val="-6"/>
                <w:kern w:val="21"/>
                <w:sz w:val="21"/>
                <w:szCs w:val="21"/>
                <w:highlight w:val="none"/>
              </w:rPr>
            </w:pPr>
            <w:r>
              <w:rPr>
                <w:rFonts w:hint="default" w:ascii="Times New Roman" w:hAnsi="Times New Roman" w:eastAsia="宋体" w:cs="Times New Roman"/>
                <w:bCs/>
                <w:snapToGrid w:val="0"/>
                <w:color w:val="auto"/>
                <w:spacing w:val="-6"/>
                <w:kern w:val="21"/>
                <w:sz w:val="21"/>
                <w:szCs w:val="21"/>
                <w:highlight w:val="none"/>
              </w:rPr>
              <w:t>项目</w:t>
            </w:r>
          </w:p>
          <w:p w14:paraId="13BE7A06">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left"/>
              <w:textAlignment w:val="auto"/>
              <w:rPr>
                <w:rFonts w:hint="default" w:ascii="Times New Roman" w:hAnsi="Times New Roman" w:eastAsia="宋体" w:cs="Times New Roman"/>
                <w:bCs/>
                <w:snapToGrid w:val="0"/>
                <w:color w:val="auto"/>
                <w:spacing w:val="-6"/>
                <w:kern w:val="21"/>
                <w:sz w:val="21"/>
                <w:szCs w:val="21"/>
                <w:highlight w:val="none"/>
              </w:rPr>
            </w:pPr>
            <w:r>
              <w:rPr>
                <w:rFonts w:hint="default" w:ascii="Times New Roman" w:hAnsi="Times New Roman" w:eastAsia="宋体" w:cs="Times New Roman"/>
                <w:bCs/>
                <w:snapToGrid w:val="0"/>
                <w:color w:val="auto"/>
                <w:spacing w:val="-6"/>
                <w:kern w:val="21"/>
                <w:sz w:val="21"/>
                <w:szCs w:val="21"/>
                <w:highlight w:val="none"/>
              </w:rPr>
              <w:t>分类</w:t>
            </w:r>
          </w:p>
        </w:tc>
        <w:tc>
          <w:tcPr>
            <w:tcW w:w="1950" w:type="dxa"/>
            <w:tcMar>
              <w:left w:w="28" w:type="dxa"/>
              <w:right w:w="28" w:type="dxa"/>
            </w:tcMar>
            <w:vAlign w:val="center"/>
          </w:tcPr>
          <w:p w14:paraId="3D93E6D1">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Cs/>
                <w:snapToGrid w:val="0"/>
                <w:color w:val="auto"/>
                <w:spacing w:val="-6"/>
                <w:kern w:val="21"/>
                <w:sz w:val="21"/>
                <w:szCs w:val="21"/>
                <w:highlight w:val="none"/>
              </w:rPr>
            </w:pPr>
            <w:r>
              <w:rPr>
                <w:rFonts w:hint="default" w:ascii="Times New Roman" w:hAnsi="Times New Roman" w:eastAsia="宋体" w:cs="Times New Roman"/>
                <w:bCs/>
                <w:snapToGrid w:val="0"/>
                <w:color w:val="auto"/>
                <w:spacing w:val="-6"/>
                <w:kern w:val="21"/>
                <w:sz w:val="21"/>
                <w:szCs w:val="21"/>
                <w:highlight w:val="none"/>
              </w:rPr>
              <w:t>污染物名称</w:t>
            </w:r>
          </w:p>
        </w:tc>
        <w:tc>
          <w:tcPr>
            <w:tcW w:w="1575" w:type="dxa"/>
            <w:tcMar>
              <w:left w:w="28" w:type="dxa"/>
              <w:right w:w="28" w:type="dxa"/>
            </w:tcMar>
            <w:vAlign w:val="center"/>
          </w:tcPr>
          <w:p w14:paraId="13E15FCE">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Cs/>
                <w:snapToGrid w:val="0"/>
                <w:color w:val="auto"/>
                <w:spacing w:val="-6"/>
                <w:kern w:val="21"/>
                <w:sz w:val="21"/>
                <w:szCs w:val="21"/>
                <w:highlight w:val="none"/>
              </w:rPr>
            </w:pPr>
            <w:r>
              <w:rPr>
                <w:rFonts w:hint="default" w:ascii="Times New Roman" w:hAnsi="Times New Roman" w:eastAsia="宋体" w:cs="Times New Roman"/>
                <w:bCs/>
                <w:snapToGrid w:val="0"/>
                <w:color w:val="auto"/>
                <w:spacing w:val="-6"/>
                <w:kern w:val="21"/>
                <w:sz w:val="21"/>
                <w:szCs w:val="21"/>
                <w:highlight w:val="none"/>
              </w:rPr>
              <w:t>现有工程</w:t>
            </w:r>
          </w:p>
          <w:p w14:paraId="28030BB6">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Cs/>
                <w:snapToGrid w:val="0"/>
                <w:color w:val="auto"/>
                <w:spacing w:val="-6"/>
                <w:kern w:val="21"/>
                <w:sz w:val="21"/>
                <w:szCs w:val="21"/>
                <w:highlight w:val="none"/>
              </w:rPr>
            </w:pPr>
            <w:r>
              <w:rPr>
                <w:rFonts w:hint="default" w:ascii="Times New Roman" w:hAnsi="Times New Roman" w:eastAsia="宋体" w:cs="Times New Roman"/>
                <w:bCs/>
                <w:snapToGrid w:val="0"/>
                <w:color w:val="auto"/>
                <w:spacing w:val="-6"/>
                <w:kern w:val="21"/>
                <w:sz w:val="21"/>
                <w:szCs w:val="21"/>
                <w:highlight w:val="none"/>
              </w:rPr>
              <w:t>排放量（固体废物产生量）</w:t>
            </w:r>
            <w:r>
              <w:rPr>
                <w:rFonts w:hint="default" w:ascii="Times New Roman" w:hAnsi="Times New Roman" w:eastAsia="宋体" w:cs="Times New Roman"/>
                <w:bCs/>
                <w:snapToGrid w:val="0"/>
                <w:color w:val="auto"/>
                <w:spacing w:val="-6"/>
                <w:kern w:val="21"/>
                <w:sz w:val="21"/>
                <w:szCs w:val="21"/>
                <w:highlight w:val="none"/>
              </w:rPr>
              <w:fldChar w:fldCharType="begin"/>
            </w:r>
            <w:r>
              <w:rPr>
                <w:rFonts w:hint="default" w:ascii="Times New Roman" w:hAnsi="Times New Roman" w:eastAsia="宋体" w:cs="Times New Roman"/>
                <w:bCs/>
                <w:snapToGrid w:val="0"/>
                <w:color w:val="auto"/>
                <w:spacing w:val="-6"/>
                <w:kern w:val="21"/>
                <w:sz w:val="21"/>
                <w:szCs w:val="21"/>
                <w:highlight w:val="none"/>
              </w:rPr>
              <w:instrText xml:space="preserve"> = 1 \* GB3 \* MERGEFORMAT </w:instrText>
            </w:r>
            <w:r>
              <w:rPr>
                <w:rFonts w:hint="default" w:ascii="Times New Roman" w:hAnsi="Times New Roman" w:eastAsia="宋体" w:cs="Times New Roman"/>
                <w:bCs/>
                <w:snapToGrid w:val="0"/>
                <w:color w:val="auto"/>
                <w:spacing w:val="-6"/>
                <w:kern w:val="21"/>
                <w:sz w:val="21"/>
                <w:szCs w:val="21"/>
                <w:highlight w:val="none"/>
              </w:rPr>
              <w:fldChar w:fldCharType="separate"/>
            </w:r>
            <w:r>
              <w:rPr>
                <w:rFonts w:hint="default" w:ascii="Times New Roman" w:hAnsi="Times New Roman" w:eastAsia="宋体" w:cs="Times New Roman"/>
                <w:bCs/>
                <w:color w:val="auto"/>
                <w:kern w:val="2"/>
                <w:sz w:val="21"/>
                <w:szCs w:val="21"/>
                <w:highlight w:val="none"/>
              </w:rPr>
              <w:t>①</w:t>
            </w:r>
            <w:r>
              <w:rPr>
                <w:rFonts w:hint="default" w:ascii="Times New Roman" w:hAnsi="Times New Roman" w:eastAsia="宋体" w:cs="Times New Roman"/>
                <w:bCs/>
                <w:snapToGrid w:val="0"/>
                <w:color w:val="auto"/>
                <w:spacing w:val="-6"/>
                <w:kern w:val="21"/>
                <w:sz w:val="21"/>
                <w:szCs w:val="21"/>
                <w:highlight w:val="none"/>
              </w:rPr>
              <w:fldChar w:fldCharType="end"/>
            </w:r>
          </w:p>
        </w:tc>
        <w:tc>
          <w:tcPr>
            <w:tcW w:w="1260" w:type="dxa"/>
            <w:tcMar>
              <w:left w:w="28" w:type="dxa"/>
              <w:right w:w="28" w:type="dxa"/>
            </w:tcMar>
            <w:vAlign w:val="center"/>
          </w:tcPr>
          <w:p w14:paraId="74D92DE9">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Cs/>
                <w:snapToGrid w:val="0"/>
                <w:color w:val="auto"/>
                <w:spacing w:val="-6"/>
                <w:kern w:val="21"/>
                <w:sz w:val="21"/>
                <w:szCs w:val="21"/>
                <w:highlight w:val="none"/>
              </w:rPr>
            </w:pPr>
            <w:r>
              <w:rPr>
                <w:rFonts w:hint="default" w:ascii="Times New Roman" w:hAnsi="Times New Roman" w:eastAsia="宋体" w:cs="Times New Roman"/>
                <w:bCs/>
                <w:snapToGrid w:val="0"/>
                <w:color w:val="auto"/>
                <w:spacing w:val="-6"/>
                <w:kern w:val="21"/>
                <w:sz w:val="21"/>
                <w:szCs w:val="21"/>
                <w:highlight w:val="none"/>
              </w:rPr>
              <w:t>现有工程</w:t>
            </w:r>
          </w:p>
          <w:p w14:paraId="33D0E899">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Cs/>
                <w:snapToGrid w:val="0"/>
                <w:color w:val="auto"/>
                <w:spacing w:val="-6"/>
                <w:kern w:val="21"/>
                <w:sz w:val="21"/>
                <w:szCs w:val="21"/>
                <w:highlight w:val="none"/>
              </w:rPr>
            </w:pPr>
            <w:r>
              <w:rPr>
                <w:rFonts w:hint="default" w:ascii="Times New Roman" w:hAnsi="Times New Roman" w:eastAsia="宋体" w:cs="Times New Roman"/>
                <w:bCs/>
                <w:snapToGrid w:val="0"/>
                <w:color w:val="auto"/>
                <w:spacing w:val="-6"/>
                <w:kern w:val="21"/>
                <w:sz w:val="21"/>
                <w:szCs w:val="21"/>
                <w:highlight w:val="none"/>
              </w:rPr>
              <w:t>许可排放量</w:t>
            </w:r>
          </w:p>
          <w:p w14:paraId="742C5DD4">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Cs/>
                <w:snapToGrid w:val="0"/>
                <w:color w:val="auto"/>
                <w:spacing w:val="-6"/>
                <w:kern w:val="21"/>
                <w:sz w:val="21"/>
                <w:szCs w:val="21"/>
                <w:highlight w:val="none"/>
              </w:rPr>
            </w:pPr>
            <w:r>
              <w:rPr>
                <w:rFonts w:hint="default" w:ascii="Times New Roman" w:hAnsi="Times New Roman" w:eastAsia="宋体" w:cs="Times New Roman"/>
                <w:bCs/>
                <w:snapToGrid w:val="0"/>
                <w:color w:val="auto"/>
                <w:spacing w:val="-6"/>
                <w:kern w:val="21"/>
                <w:sz w:val="21"/>
                <w:szCs w:val="21"/>
                <w:highlight w:val="none"/>
              </w:rPr>
              <w:fldChar w:fldCharType="begin"/>
            </w:r>
            <w:r>
              <w:rPr>
                <w:rFonts w:hint="default" w:ascii="Times New Roman" w:hAnsi="Times New Roman" w:eastAsia="宋体" w:cs="Times New Roman"/>
                <w:bCs/>
                <w:snapToGrid w:val="0"/>
                <w:color w:val="auto"/>
                <w:spacing w:val="-6"/>
                <w:kern w:val="21"/>
                <w:sz w:val="21"/>
                <w:szCs w:val="21"/>
                <w:highlight w:val="none"/>
              </w:rPr>
              <w:instrText xml:space="preserve"> = 2 \* GB3 \* MERGEFORMAT </w:instrText>
            </w:r>
            <w:r>
              <w:rPr>
                <w:rFonts w:hint="default" w:ascii="Times New Roman" w:hAnsi="Times New Roman" w:eastAsia="宋体" w:cs="Times New Roman"/>
                <w:bCs/>
                <w:snapToGrid w:val="0"/>
                <w:color w:val="auto"/>
                <w:spacing w:val="-6"/>
                <w:kern w:val="21"/>
                <w:sz w:val="21"/>
                <w:szCs w:val="21"/>
                <w:highlight w:val="none"/>
              </w:rPr>
              <w:fldChar w:fldCharType="separate"/>
            </w:r>
            <w:r>
              <w:rPr>
                <w:rFonts w:hint="default" w:ascii="Times New Roman" w:hAnsi="Times New Roman" w:eastAsia="宋体" w:cs="Times New Roman"/>
                <w:bCs/>
                <w:snapToGrid w:val="0"/>
                <w:color w:val="auto"/>
                <w:spacing w:val="-6"/>
                <w:kern w:val="21"/>
                <w:sz w:val="21"/>
                <w:szCs w:val="21"/>
                <w:highlight w:val="none"/>
              </w:rPr>
              <w:t>②</w:t>
            </w:r>
            <w:r>
              <w:rPr>
                <w:rFonts w:hint="default" w:ascii="Times New Roman" w:hAnsi="Times New Roman" w:eastAsia="宋体" w:cs="Times New Roman"/>
                <w:bCs/>
                <w:snapToGrid w:val="0"/>
                <w:color w:val="auto"/>
                <w:spacing w:val="-6"/>
                <w:kern w:val="21"/>
                <w:sz w:val="21"/>
                <w:szCs w:val="21"/>
                <w:highlight w:val="none"/>
              </w:rPr>
              <w:fldChar w:fldCharType="end"/>
            </w:r>
          </w:p>
        </w:tc>
        <w:tc>
          <w:tcPr>
            <w:tcW w:w="1612" w:type="dxa"/>
            <w:tcMar>
              <w:left w:w="28" w:type="dxa"/>
              <w:right w:w="28" w:type="dxa"/>
            </w:tcMar>
            <w:vAlign w:val="center"/>
          </w:tcPr>
          <w:p w14:paraId="19E81AA4">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Cs/>
                <w:snapToGrid w:val="0"/>
                <w:color w:val="auto"/>
                <w:spacing w:val="-6"/>
                <w:kern w:val="21"/>
                <w:sz w:val="21"/>
                <w:szCs w:val="21"/>
                <w:highlight w:val="none"/>
              </w:rPr>
            </w:pPr>
            <w:r>
              <w:rPr>
                <w:rFonts w:hint="default" w:ascii="Times New Roman" w:hAnsi="Times New Roman" w:eastAsia="宋体" w:cs="Times New Roman"/>
                <w:bCs/>
                <w:snapToGrid w:val="0"/>
                <w:color w:val="auto"/>
                <w:spacing w:val="-6"/>
                <w:kern w:val="21"/>
                <w:sz w:val="21"/>
                <w:szCs w:val="21"/>
                <w:highlight w:val="none"/>
              </w:rPr>
              <w:t>在建工程</w:t>
            </w:r>
          </w:p>
          <w:p w14:paraId="30A8DC4B">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Cs/>
                <w:snapToGrid w:val="0"/>
                <w:color w:val="auto"/>
                <w:spacing w:val="-6"/>
                <w:kern w:val="21"/>
                <w:sz w:val="21"/>
                <w:szCs w:val="21"/>
                <w:highlight w:val="none"/>
              </w:rPr>
            </w:pPr>
            <w:r>
              <w:rPr>
                <w:rFonts w:hint="default" w:ascii="Times New Roman" w:hAnsi="Times New Roman" w:eastAsia="宋体" w:cs="Times New Roman"/>
                <w:bCs/>
                <w:snapToGrid w:val="0"/>
                <w:color w:val="auto"/>
                <w:spacing w:val="-6"/>
                <w:kern w:val="21"/>
                <w:sz w:val="21"/>
                <w:szCs w:val="21"/>
                <w:highlight w:val="none"/>
              </w:rPr>
              <w:t>排放量（固体废物产生量）</w:t>
            </w:r>
            <w:r>
              <w:rPr>
                <w:rFonts w:hint="default" w:ascii="Times New Roman" w:hAnsi="Times New Roman" w:eastAsia="宋体" w:cs="Times New Roman"/>
                <w:bCs/>
                <w:snapToGrid w:val="0"/>
                <w:color w:val="auto"/>
                <w:spacing w:val="-6"/>
                <w:kern w:val="21"/>
                <w:sz w:val="21"/>
                <w:szCs w:val="21"/>
                <w:highlight w:val="none"/>
              </w:rPr>
              <w:fldChar w:fldCharType="begin"/>
            </w:r>
            <w:r>
              <w:rPr>
                <w:rFonts w:hint="default" w:ascii="Times New Roman" w:hAnsi="Times New Roman" w:eastAsia="宋体" w:cs="Times New Roman"/>
                <w:bCs/>
                <w:snapToGrid w:val="0"/>
                <w:color w:val="auto"/>
                <w:spacing w:val="-6"/>
                <w:kern w:val="21"/>
                <w:sz w:val="21"/>
                <w:szCs w:val="21"/>
                <w:highlight w:val="none"/>
              </w:rPr>
              <w:instrText xml:space="preserve"> = 3 \* GB3 \* MERGEFORMAT </w:instrText>
            </w:r>
            <w:r>
              <w:rPr>
                <w:rFonts w:hint="default" w:ascii="Times New Roman" w:hAnsi="Times New Roman" w:eastAsia="宋体" w:cs="Times New Roman"/>
                <w:bCs/>
                <w:snapToGrid w:val="0"/>
                <w:color w:val="auto"/>
                <w:spacing w:val="-6"/>
                <w:kern w:val="21"/>
                <w:sz w:val="21"/>
                <w:szCs w:val="21"/>
                <w:highlight w:val="none"/>
              </w:rPr>
              <w:fldChar w:fldCharType="separate"/>
            </w:r>
            <w:r>
              <w:rPr>
                <w:rFonts w:hint="default" w:ascii="Times New Roman" w:hAnsi="Times New Roman" w:eastAsia="宋体" w:cs="Times New Roman"/>
                <w:bCs/>
                <w:color w:val="auto"/>
                <w:kern w:val="2"/>
                <w:sz w:val="21"/>
                <w:szCs w:val="21"/>
                <w:highlight w:val="none"/>
              </w:rPr>
              <w:t>③</w:t>
            </w:r>
            <w:r>
              <w:rPr>
                <w:rFonts w:hint="default" w:ascii="Times New Roman" w:hAnsi="Times New Roman" w:eastAsia="宋体" w:cs="Times New Roman"/>
                <w:bCs/>
                <w:snapToGrid w:val="0"/>
                <w:color w:val="auto"/>
                <w:spacing w:val="-6"/>
                <w:kern w:val="21"/>
                <w:sz w:val="21"/>
                <w:szCs w:val="21"/>
                <w:highlight w:val="none"/>
              </w:rPr>
              <w:fldChar w:fldCharType="end"/>
            </w:r>
          </w:p>
        </w:tc>
        <w:tc>
          <w:tcPr>
            <w:tcW w:w="1559" w:type="dxa"/>
            <w:tcMar>
              <w:left w:w="28" w:type="dxa"/>
              <w:right w:w="28" w:type="dxa"/>
            </w:tcMar>
            <w:vAlign w:val="center"/>
          </w:tcPr>
          <w:p w14:paraId="16192D20">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Cs/>
                <w:snapToGrid w:val="0"/>
                <w:color w:val="auto"/>
                <w:spacing w:val="-6"/>
                <w:kern w:val="21"/>
                <w:sz w:val="21"/>
                <w:szCs w:val="21"/>
                <w:highlight w:val="none"/>
              </w:rPr>
            </w:pPr>
            <w:r>
              <w:rPr>
                <w:rFonts w:hint="default" w:ascii="Times New Roman" w:hAnsi="Times New Roman" w:eastAsia="宋体" w:cs="Times New Roman"/>
                <w:bCs/>
                <w:snapToGrid w:val="0"/>
                <w:color w:val="auto"/>
                <w:spacing w:val="-6"/>
                <w:kern w:val="21"/>
                <w:sz w:val="21"/>
                <w:szCs w:val="21"/>
                <w:highlight w:val="none"/>
              </w:rPr>
              <w:t>本项目</w:t>
            </w:r>
          </w:p>
          <w:p w14:paraId="046E6082">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Cs/>
                <w:snapToGrid w:val="0"/>
                <w:color w:val="auto"/>
                <w:spacing w:val="-6"/>
                <w:kern w:val="21"/>
                <w:sz w:val="21"/>
                <w:szCs w:val="21"/>
                <w:highlight w:val="none"/>
              </w:rPr>
            </w:pPr>
            <w:r>
              <w:rPr>
                <w:rFonts w:hint="default" w:ascii="Times New Roman" w:hAnsi="Times New Roman" w:eastAsia="宋体" w:cs="Times New Roman"/>
                <w:bCs/>
                <w:snapToGrid w:val="0"/>
                <w:color w:val="auto"/>
                <w:spacing w:val="-6"/>
                <w:kern w:val="21"/>
                <w:sz w:val="21"/>
                <w:szCs w:val="21"/>
                <w:highlight w:val="none"/>
              </w:rPr>
              <w:t>排放量（固体废物产生量）</w:t>
            </w:r>
            <w:r>
              <w:rPr>
                <w:rFonts w:hint="default" w:ascii="Times New Roman" w:hAnsi="Times New Roman" w:eastAsia="宋体" w:cs="Times New Roman"/>
                <w:bCs/>
                <w:snapToGrid w:val="0"/>
                <w:color w:val="auto"/>
                <w:spacing w:val="-6"/>
                <w:kern w:val="21"/>
                <w:sz w:val="21"/>
                <w:szCs w:val="21"/>
                <w:highlight w:val="none"/>
              </w:rPr>
              <w:fldChar w:fldCharType="begin"/>
            </w:r>
            <w:r>
              <w:rPr>
                <w:rFonts w:hint="default" w:ascii="Times New Roman" w:hAnsi="Times New Roman" w:eastAsia="宋体" w:cs="Times New Roman"/>
                <w:bCs/>
                <w:snapToGrid w:val="0"/>
                <w:color w:val="auto"/>
                <w:spacing w:val="-6"/>
                <w:kern w:val="21"/>
                <w:sz w:val="21"/>
                <w:szCs w:val="21"/>
                <w:highlight w:val="none"/>
              </w:rPr>
              <w:instrText xml:space="preserve"> = 4 \* GB3 \* MERGEFORMAT </w:instrText>
            </w:r>
            <w:r>
              <w:rPr>
                <w:rFonts w:hint="default" w:ascii="Times New Roman" w:hAnsi="Times New Roman" w:eastAsia="宋体" w:cs="Times New Roman"/>
                <w:bCs/>
                <w:snapToGrid w:val="0"/>
                <w:color w:val="auto"/>
                <w:spacing w:val="-6"/>
                <w:kern w:val="21"/>
                <w:sz w:val="21"/>
                <w:szCs w:val="21"/>
                <w:highlight w:val="none"/>
              </w:rPr>
              <w:fldChar w:fldCharType="separate"/>
            </w:r>
            <w:r>
              <w:rPr>
                <w:rFonts w:hint="default" w:ascii="Times New Roman" w:hAnsi="Times New Roman" w:eastAsia="宋体" w:cs="Times New Roman"/>
                <w:bCs/>
                <w:color w:val="auto"/>
                <w:kern w:val="2"/>
                <w:sz w:val="21"/>
                <w:szCs w:val="21"/>
                <w:highlight w:val="none"/>
              </w:rPr>
              <w:t>④</w:t>
            </w:r>
            <w:r>
              <w:rPr>
                <w:rFonts w:hint="default" w:ascii="Times New Roman" w:hAnsi="Times New Roman" w:eastAsia="宋体" w:cs="Times New Roman"/>
                <w:bCs/>
                <w:snapToGrid w:val="0"/>
                <w:color w:val="auto"/>
                <w:spacing w:val="-6"/>
                <w:kern w:val="21"/>
                <w:sz w:val="21"/>
                <w:szCs w:val="21"/>
                <w:highlight w:val="none"/>
              </w:rPr>
              <w:fldChar w:fldCharType="end"/>
            </w:r>
          </w:p>
        </w:tc>
        <w:tc>
          <w:tcPr>
            <w:tcW w:w="1761" w:type="dxa"/>
            <w:tcMar>
              <w:left w:w="28" w:type="dxa"/>
              <w:right w:w="28" w:type="dxa"/>
            </w:tcMar>
            <w:vAlign w:val="center"/>
          </w:tcPr>
          <w:p w14:paraId="4EA1ADD8">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Cs/>
                <w:snapToGrid w:val="0"/>
                <w:color w:val="auto"/>
                <w:spacing w:val="-16"/>
                <w:kern w:val="21"/>
                <w:sz w:val="21"/>
                <w:szCs w:val="21"/>
                <w:highlight w:val="none"/>
              </w:rPr>
            </w:pPr>
            <w:r>
              <w:rPr>
                <w:rFonts w:hint="default" w:ascii="Times New Roman" w:hAnsi="Times New Roman" w:eastAsia="宋体" w:cs="Times New Roman"/>
                <w:bCs/>
                <w:snapToGrid w:val="0"/>
                <w:color w:val="auto"/>
                <w:spacing w:val="-16"/>
                <w:kern w:val="21"/>
                <w:sz w:val="21"/>
                <w:szCs w:val="21"/>
                <w:highlight w:val="none"/>
              </w:rPr>
              <w:t>以新带老削减量</w:t>
            </w:r>
          </w:p>
          <w:p w14:paraId="0C442757">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Cs/>
                <w:snapToGrid w:val="0"/>
                <w:color w:val="auto"/>
                <w:spacing w:val="-16"/>
                <w:kern w:val="21"/>
                <w:sz w:val="21"/>
                <w:szCs w:val="21"/>
                <w:highlight w:val="none"/>
              </w:rPr>
            </w:pPr>
            <w:r>
              <w:rPr>
                <w:rFonts w:hint="default" w:ascii="Times New Roman" w:hAnsi="Times New Roman" w:eastAsia="宋体" w:cs="Times New Roman"/>
                <w:bCs/>
                <w:snapToGrid w:val="0"/>
                <w:color w:val="auto"/>
                <w:spacing w:val="-16"/>
                <w:kern w:val="21"/>
                <w:sz w:val="21"/>
                <w:szCs w:val="21"/>
                <w:highlight w:val="none"/>
              </w:rPr>
              <w:t>（新建项目不填）</w:t>
            </w:r>
            <w:r>
              <w:rPr>
                <w:rFonts w:hint="default" w:ascii="Times New Roman" w:hAnsi="Times New Roman" w:eastAsia="宋体" w:cs="Times New Roman"/>
                <w:bCs/>
                <w:snapToGrid w:val="0"/>
                <w:color w:val="auto"/>
                <w:spacing w:val="-16"/>
                <w:kern w:val="21"/>
                <w:sz w:val="21"/>
                <w:szCs w:val="21"/>
                <w:highlight w:val="none"/>
              </w:rPr>
              <w:fldChar w:fldCharType="begin"/>
            </w:r>
            <w:r>
              <w:rPr>
                <w:rFonts w:hint="default" w:ascii="Times New Roman" w:hAnsi="Times New Roman" w:eastAsia="宋体" w:cs="Times New Roman"/>
                <w:bCs/>
                <w:snapToGrid w:val="0"/>
                <w:color w:val="auto"/>
                <w:spacing w:val="-16"/>
                <w:kern w:val="21"/>
                <w:sz w:val="21"/>
                <w:szCs w:val="21"/>
                <w:highlight w:val="none"/>
              </w:rPr>
              <w:instrText xml:space="preserve"> = 5 \* GB3 \* MERGEFORMAT </w:instrText>
            </w:r>
            <w:r>
              <w:rPr>
                <w:rFonts w:hint="default" w:ascii="Times New Roman" w:hAnsi="Times New Roman" w:eastAsia="宋体" w:cs="Times New Roman"/>
                <w:bCs/>
                <w:snapToGrid w:val="0"/>
                <w:color w:val="auto"/>
                <w:spacing w:val="-16"/>
                <w:kern w:val="21"/>
                <w:sz w:val="21"/>
                <w:szCs w:val="21"/>
                <w:highlight w:val="none"/>
              </w:rPr>
              <w:fldChar w:fldCharType="separate"/>
            </w:r>
            <w:r>
              <w:rPr>
                <w:rFonts w:hint="default" w:ascii="Times New Roman" w:hAnsi="Times New Roman" w:eastAsia="宋体" w:cs="Times New Roman"/>
                <w:bCs/>
                <w:color w:val="auto"/>
                <w:kern w:val="2"/>
                <w:sz w:val="21"/>
                <w:szCs w:val="21"/>
                <w:highlight w:val="none"/>
              </w:rPr>
              <w:t>⑤</w:t>
            </w:r>
            <w:r>
              <w:rPr>
                <w:rFonts w:hint="default" w:ascii="Times New Roman" w:hAnsi="Times New Roman" w:eastAsia="宋体" w:cs="Times New Roman"/>
                <w:bCs/>
                <w:snapToGrid w:val="0"/>
                <w:color w:val="auto"/>
                <w:spacing w:val="-16"/>
                <w:kern w:val="21"/>
                <w:sz w:val="21"/>
                <w:szCs w:val="21"/>
                <w:highlight w:val="none"/>
              </w:rPr>
              <w:fldChar w:fldCharType="end"/>
            </w:r>
          </w:p>
        </w:tc>
        <w:tc>
          <w:tcPr>
            <w:tcW w:w="1742" w:type="dxa"/>
            <w:tcMar>
              <w:left w:w="28" w:type="dxa"/>
              <w:right w:w="28" w:type="dxa"/>
            </w:tcMar>
            <w:vAlign w:val="center"/>
          </w:tcPr>
          <w:p w14:paraId="771208A2">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Cs/>
                <w:snapToGrid w:val="0"/>
                <w:color w:val="auto"/>
                <w:spacing w:val="-16"/>
                <w:kern w:val="21"/>
                <w:sz w:val="21"/>
                <w:szCs w:val="21"/>
                <w:highlight w:val="none"/>
              </w:rPr>
            </w:pPr>
            <w:r>
              <w:rPr>
                <w:rFonts w:hint="default" w:ascii="Times New Roman" w:hAnsi="Times New Roman" w:eastAsia="宋体" w:cs="Times New Roman"/>
                <w:bCs/>
                <w:snapToGrid w:val="0"/>
                <w:color w:val="auto"/>
                <w:spacing w:val="-16"/>
                <w:kern w:val="21"/>
                <w:sz w:val="21"/>
                <w:szCs w:val="21"/>
                <w:highlight w:val="none"/>
              </w:rPr>
              <w:t>本项目建成后</w:t>
            </w:r>
          </w:p>
          <w:p w14:paraId="548F562D">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Cs/>
                <w:snapToGrid w:val="0"/>
                <w:color w:val="auto"/>
                <w:spacing w:val="-16"/>
                <w:kern w:val="21"/>
                <w:sz w:val="21"/>
                <w:szCs w:val="21"/>
                <w:highlight w:val="none"/>
              </w:rPr>
            </w:pPr>
            <w:r>
              <w:rPr>
                <w:rFonts w:hint="default" w:ascii="Times New Roman" w:hAnsi="Times New Roman" w:eastAsia="宋体" w:cs="Times New Roman"/>
                <w:bCs/>
                <w:snapToGrid w:val="0"/>
                <w:color w:val="auto"/>
                <w:spacing w:val="-16"/>
                <w:kern w:val="21"/>
                <w:sz w:val="21"/>
                <w:szCs w:val="21"/>
                <w:highlight w:val="none"/>
              </w:rPr>
              <w:t>全厂排放量（固体废物产生量）</w:t>
            </w:r>
            <w:r>
              <w:rPr>
                <w:rFonts w:hint="default" w:ascii="Times New Roman" w:hAnsi="Times New Roman" w:eastAsia="宋体" w:cs="Times New Roman"/>
                <w:bCs/>
                <w:snapToGrid w:val="0"/>
                <w:color w:val="auto"/>
                <w:spacing w:val="-16"/>
                <w:kern w:val="21"/>
                <w:sz w:val="21"/>
                <w:szCs w:val="21"/>
                <w:highlight w:val="none"/>
              </w:rPr>
              <w:fldChar w:fldCharType="begin"/>
            </w:r>
            <w:r>
              <w:rPr>
                <w:rFonts w:hint="default" w:ascii="Times New Roman" w:hAnsi="Times New Roman" w:eastAsia="宋体" w:cs="Times New Roman"/>
                <w:bCs/>
                <w:snapToGrid w:val="0"/>
                <w:color w:val="auto"/>
                <w:spacing w:val="-16"/>
                <w:kern w:val="21"/>
                <w:sz w:val="21"/>
                <w:szCs w:val="21"/>
                <w:highlight w:val="none"/>
              </w:rPr>
              <w:instrText xml:space="preserve"> = 6 \* GB3 \* MERGEFORMAT </w:instrText>
            </w:r>
            <w:r>
              <w:rPr>
                <w:rFonts w:hint="default" w:ascii="Times New Roman" w:hAnsi="Times New Roman" w:eastAsia="宋体" w:cs="Times New Roman"/>
                <w:bCs/>
                <w:snapToGrid w:val="0"/>
                <w:color w:val="auto"/>
                <w:spacing w:val="-16"/>
                <w:kern w:val="21"/>
                <w:sz w:val="21"/>
                <w:szCs w:val="21"/>
                <w:highlight w:val="none"/>
              </w:rPr>
              <w:fldChar w:fldCharType="separate"/>
            </w:r>
            <w:r>
              <w:rPr>
                <w:rFonts w:hint="default" w:ascii="Times New Roman" w:hAnsi="Times New Roman" w:eastAsia="宋体" w:cs="Times New Roman"/>
                <w:bCs/>
                <w:color w:val="auto"/>
                <w:kern w:val="2"/>
                <w:sz w:val="21"/>
                <w:szCs w:val="21"/>
                <w:highlight w:val="none"/>
              </w:rPr>
              <w:t>⑥</w:t>
            </w:r>
            <w:r>
              <w:rPr>
                <w:rFonts w:hint="default" w:ascii="Times New Roman" w:hAnsi="Times New Roman" w:eastAsia="宋体" w:cs="Times New Roman"/>
                <w:bCs/>
                <w:snapToGrid w:val="0"/>
                <w:color w:val="auto"/>
                <w:spacing w:val="-16"/>
                <w:kern w:val="21"/>
                <w:sz w:val="21"/>
                <w:szCs w:val="21"/>
                <w:highlight w:val="none"/>
              </w:rPr>
              <w:fldChar w:fldCharType="end"/>
            </w:r>
          </w:p>
        </w:tc>
        <w:tc>
          <w:tcPr>
            <w:tcW w:w="1293" w:type="dxa"/>
            <w:tcMar>
              <w:left w:w="28" w:type="dxa"/>
              <w:right w:w="28" w:type="dxa"/>
            </w:tcMar>
            <w:vAlign w:val="center"/>
          </w:tcPr>
          <w:p w14:paraId="20C4B9A6">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Cs/>
                <w:snapToGrid w:val="0"/>
                <w:color w:val="auto"/>
                <w:spacing w:val="-6"/>
                <w:kern w:val="21"/>
                <w:sz w:val="21"/>
                <w:szCs w:val="21"/>
                <w:highlight w:val="none"/>
              </w:rPr>
            </w:pPr>
            <w:r>
              <w:rPr>
                <w:rFonts w:hint="default" w:ascii="Times New Roman" w:hAnsi="Times New Roman" w:eastAsia="宋体" w:cs="Times New Roman"/>
                <w:bCs/>
                <w:snapToGrid w:val="0"/>
                <w:color w:val="auto"/>
                <w:spacing w:val="-6"/>
                <w:kern w:val="21"/>
                <w:sz w:val="21"/>
                <w:szCs w:val="21"/>
                <w:highlight w:val="none"/>
              </w:rPr>
              <w:t>变化量</w:t>
            </w:r>
          </w:p>
          <w:p w14:paraId="375B9A8F">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Cs/>
                <w:snapToGrid w:val="0"/>
                <w:color w:val="auto"/>
                <w:spacing w:val="-6"/>
                <w:kern w:val="21"/>
                <w:sz w:val="21"/>
                <w:szCs w:val="21"/>
                <w:highlight w:val="none"/>
              </w:rPr>
            </w:pPr>
            <w:r>
              <w:rPr>
                <w:rFonts w:hint="default" w:ascii="Times New Roman" w:hAnsi="Times New Roman" w:eastAsia="宋体" w:cs="Times New Roman"/>
                <w:bCs/>
                <w:snapToGrid w:val="0"/>
                <w:color w:val="auto"/>
                <w:spacing w:val="-6"/>
                <w:kern w:val="21"/>
                <w:sz w:val="21"/>
                <w:szCs w:val="21"/>
                <w:highlight w:val="none"/>
              </w:rPr>
              <w:fldChar w:fldCharType="begin"/>
            </w:r>
            <w:r>
              <w:rPr>
                <w:rFonts w:hint="default" w:ascii="Times New Roman" w:hAnsi="Times New Roman" w:eastAsia="宋体" w:cs="Times New Roman"/>
                <w:bCs/>
                <w:snapToGrid w:val="0"/>
                <w:color w:val="auto"/>
                <w:spacing w:val="-6"/>
                <w:kern w:val="21"/>
                <w:sz w:val="21"/>
                <w:szCs w:val="21"/>
                <w:highlight w:val="none"/>
              </w:rPr>
              <w:instrText xml:space="preserve"> = 7 \* GB3 \* MERGEFORMAT </w:instrText>
            </w:r>
            <w:r>
              <w:rPr>
                <w:rFonts w:hint="default" w:ascii="Times New Roman" w:hAnsi="Times New Roman" w:eastAsia="宋体" w:cs="Times New Roman"/>
                <w:bCs/>
                <w:snapToGrid w:val="0"/>
                <w:color w:val="auto"/>
                <w:spacing w:val="-6"/>
                <w:kern w:val="21"/>
                <w:sz w:val="21"/>
                <w:szCs w:val="21"/>
                <w:highlight w:val="none"/>
              </w:rPr>
              <w:fldChar w:fldCharType="separate"/>
            </w:r>
            <w:r>
              <w:rPr>
                <w:rFonts w:hint="default" w:ascii="Times New Roman" w:hAnsi="Times New Roman" w:eastAsia="宋体" w:cs="Times New Roman"/>
                <w:bCs/>
                <w:color w:val="auto"/>
                <w:kern w:val="2"/>
                <w:sz w:val="21"/>
                <w:szCs w:val="21"/>
                <w:highlight w:val="none"/>
              </w:rPr>
              <w:t>⑦</w:t>
            </w:r>
            <w:r>
              <w:rPr>
                <w:rFonts w:hint="default" w:ascii="Times New Roman" w:hAnsi="Times New Roman" w:eastAsia="宋体" w:cs="Times New Roman"/>
                <w:bCs/>
                <w:snapToGrid w:val="0"/>
                <w:color w:val="auto"/>
                <w:spacing w:val="-6"/>
                <w:kern w:val="21"/>
                <w:sz w:val="21"/>
                <w:szCs w:val="21"/>
                <w:highlight w:val="none"/>
              </w:rPr>
              <w:fldChar w:fldCharType="end"/>
            </w:r>
          </w:p>
        </w:tc>
      </w:tr>
      <w:tr w14:paraId="1D6FD99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286" w:type="dxa"/>
            <w:vMerge w:val="restart"/>
            <w:vAlign w:val="center"/>
          </w:tcPr>
          <w:p w14:paraId="46E22DA5">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Cs/>
                <w:snapToGrid w:val="0"/>
                <w:color w:val="auto"/>
                <w:kern w:val="21"/>
                <w:sz w:val="21"/>
                <w:szCs w:val="21"/>
                <w:highlight w:val="none"/>
              </w:rPr>
            </w:pPr>
            <w:r>
              <w:rPr>
                <w:rFonts w:hint="default" w:ascii="Times New Roman" w:hAnsi="Times New Roman" w:eastAsia="宋体" w:cs="Times New Roman"/>
                <w:bCs/>
                <w:snapToGrid w:val="0"/>
                <w:color w:val="auto"/>
                <w:kern w:val="21"/>
                <w:sz w:val="21"/>
                <w:szCs w:val="21"/>
                <w:highlight w:val="none"/>
              </w:rPr>
              <w:t>废气</w:t>
            </w:r>
          </w:p>
        </w:tc>
        <w:tc>
          <w:tcPr>
            <w:tcW w:w="1950" w:type="dxa"/>
            <w:vAlign w:val="center"/>
          </w:tcPr>
          <w:p w14:paraId="5CC4BFF2">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snapToGrid w:val="0"/>
                <w:color w:val="auto"/>
                <w:kern w:val="21"/>
                <w:sz w:val="21"/>
                <w:szCs w:val="21"/>
                <w:highlight w:val="none"/>
                <w:lang w:val="en-US" w:eastAsia="zh-CN"/>
              </w:rPr>
            </w:pPr>
            <w:r>
              <w:rPr>
                <w:rFonts w:hint="eastAsia" w:cs="Times New Roman"/>
                <w:snapToGrid w:val="0"/>
                <w:color w:val="auto"/>
                <w:kern w:val="21"/>
                <w:sz w:val="21"/>
                <w:szCs w:val="21"/>
                <w:highlight w:val="none"/>
                <w:lang w:val="en-US" w:eastAsia="zh-CN"/>
              </w:rPr>
              <w:t>VOCs</w:t>
            </w:r>
          </w:p>
        </w:tc>
        <w:tc>
          <w:tcPr>
            <w:tcW w:w="1575" w:type="dxa"/>
            <w:vAlign w:val="center"/>
          </w:tcPr>
          <w:p w14:paraId="5CE6F37C">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snapToGrid w:val="0"/>
                <w:color w:val="auto"/>
                <w:kern w:val="21"/>
                <w:sz w:val="21"/>
                <w:szCs w:val="21"/>
                <w:highlight w:val="none"/>
                <w:lang w:val="en-US" w:eastAsia="zh-CN"/>
              </w:rPr>
            </w:pPr>
            <w:r>
              <w:rPr>
                <w:rFonts w:hint="eastAsia" w:ascii="Times New Roman" w:hAnsi="Times New Roman" w:eastAsia="宋体" w:cs="Times New Roman"/>
                <w:snapToGrid w:val="0"/>
                <w:color w:val="auto"/>
                <w:kern w:val="21"/>
                <w:sz w:val="21"/>
                <w:szCs w:val="21"/>
                <w:highlight w:val="none"/>
                <w:lang w:val="en-US" w:eastAsia="zh-CN"/>
              </w:rPr>
              <w:t>/</w:t>
            </w:r>
          </w:p>
        </w:tc>
        <w:tc>
          <w:tcPr>
            <w:tcW w:w="1260" w:type="dxa"/>
            <w:vAlign w:val="center"/>
          </w:tcPr>
          <w:p w14:paraId="1789EE5C">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snapToGrid w:val="0"/>
                <w:color w:val="auto"/>
                <w:kern w:val="21"/>
                <w:sz w:val="21"/>
                <w:szCs w:val="21"/>
                <w:highlight w:val="none"/>
                <w:lang w:val="en-US" w:eastAsia="zh-CN"/>
              </w:rPr>
            </w:pPr>
            <w:r>
              <w:rPr>
                <w:rFonts w:hint="eastAsia" w:ascii="Times New Roman" w:hAnsi="Times New Roman" w:eastAsia="宋体" w:cs="Times New Roman"/>
                <w:snapToGrid w:val="0"/>
                <w:color w:val="auto"/>
                <w:kern w:val="21"/>
                <w:sz w:val="21"/>
                <w:szCs w:val="21"/>
                <w:highlight w:val="none"/>
                <w:lang w:val="en-US" w:eastAsia="zh-CN"/>
              </w:rPr>
              <w:t>/</w:t>
            </w:r>
          </w:p>
        </w:tc>
        <w:tc>
          <w:tcPr>
            <w:tcW w:w="1612" w:type="dxa"/>
            <w:vAlign w:val="center"/>
          </w:tcPr>
          <w:p w14:paraId="1A2CB151">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snapToGrid w:val="0"/>
                <w:color w:val="auto"/>
                <w:kern w:val="21"/>
                <w:sz w:val="21"/>
                <w:szCs w:val="21"/>
                <w:highlight w:val="none"/>
                <w:lang w:val="en-US" w:eastAsia="zh-CN"/>
              </w:rPr>
            </w:pPr>
            <w:r>
              <w:rPr>
                <w:rFonts w:hint="eastAsia" w:ascii="Times New Roman" w:hAnsi="Times New Roman" w:eastAsia="宋体" w:cs="Times New Roman"/>
                <w:snapToGrid w:val="0"/>
                <w:color w:val="auto"/>
                <w:kern w:val="21"/>
                <w:sz w:val="21"/>
                <w:szCs w:val="21"/>
                <w:highlight w:val="none"/>
                <w:lang w:val="en-US" w:eastAsia="zh-CN"/>
              </w:rPr>
              <w:t>/</w:t>
            </w:r>
          </w:p>
        </w:tc>
        <w:tc>
          <w:tcPr>
            <w:tcW w:w="1559" w:type="dxa"/>
            <w:vAlign w:val="center"/>
          </w:tcPr>
          <w:p w14:paraId="097D2315">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snapToGrid w:val="0"/>
                <w:color w:val="auto"/>
                <w:kern w:val="21"/>
                <w:sz w:val="21"/>
                <w:szCs w:val="21"/>
                <w:highlight w:val="none"/>
                <w:lang w:val="en-US" w:eastAsia="zh-CN"/>
              </w:rPr>
            </w:pPr>
            <w:r>
              <w:rPr>
                <w:rFonts w:hint="eastAsia" w:cs="Times New Roman"/>
                <w:snapToGrid w:val="0"/>
                <w:color w:val="auto"/>
                <w:kern w:val="21"/>
                <w:sz w:val="21"/>
                <w:szCs w:val="21"/>
                <w:highlight w:val="none"/>
                <w:lang w:val="en-US" w:eastAsia="zh-CN"/>
              </w:rPr>
              <w:t>1.445</w:t>
            </w:r>
          </w:p>
        </w:tc>
        <w:tc>
          <w:tcPr>
            <w:tcW w:w="1761" w:type="dxa"/>
            <w:vAlign w:val="center"/>
          </w:tcPr>
          <w:p w14:paraId="2EDCB1DE">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snapToGrid w:val="0"/>
                <w:color w:val="auto"/>
                <w:kern w:val="21"/>
                <w:sz w:val="21"/>
                <w:szCs w:val="21"/>
                <w:highlight w:val="none"/>
                <w:lang w:val="en-US" w:eastAsia="zh-CN"/>
              </w:rPr>
            </w:pPr>
            <w:r>
              <w:rPr>
                <w:rFonts w:hint="eastAsia" w:ascii="Times New Roman" w:hAnsi="Times New Roman" w:eastAsia="宋体" w:cs="Times New Roman"/>
                <w:snapToGrid w:val="0"/>
                <w:color w:val="auto"/>
                <w:kern w:val="21"/>
                <w:sz w:val="21"/>
                <w:szCs w:val="21"/>
                <w:highlight w:val="none"/>
                <w:lang w:val="en-US" w:eastAsia="zh-CN"/>
              </w:rPr>
              <w:t>/</w:t>
            </w:r>
          </w:p>
        </w:tc>
        <w:tc>
          <w:tcPr>
            <w:tcW w:w="1742" w:type="dxa"/>
            <w:vAlign w:val="center"/>
          </w:tcPr>
          <w:p w14:paraId="381D953C">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snapToGrid w:val="0"/>
                <w:color w:val="auto"/>
                <w:kern w:val="21"/>
                <w:sz w:val="21"/>
                <w:szCs w:val="21"/>
                <w:highlight w:val="none"/>
                <w:lang w:val="en-US" w:eastAsia="zh-CN" w:bidi="ar-SA"/>
              </w:rPr>
            </w:pPr>
            <w:r>
              <w:rPr>
                <w:rFonts w:hint="eastAsia" w:cs="Times New Roman"/>
                <w:snapToGrid w:val="0"/>
                <w:color w:val="auto"/>
                <w:kern w:val="21"/>
                <w:sz w:val="21"/>
                <w:szCs w:val="21"/>
                <w:highlight w:val="none"/>
                <w:lang w:val="en-US" w:eastAsia="zh-CN"/>
              </w:rPr>
              <w:t>1.445</w:t>
            </w:r>
          </w:p>
        </w:tc>
        <w:tc>
          <w:tcPr>
            <w:tcW w:w="1293" w:type="dxa"/>
            <w:vAlign w:val="center"/>
          </w:tcPr>
          <w:p w14:paraId="4568DCF4">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snapToGrid w:val="0"/>
                <w:color w:val="auto"/>
                <w:kern w:val="21"/>
                <w:sz w:val="21"/>
                <w:szCs w:val="21"/>
                <w:highlight w:val="none"/>
                <w:lang w:val="en-US" w:eastAsia="zh-CN"/>
              </w:rPr>
            </w:pPr>
            <w:r>
              <w:rPr>
                <w:rFonts w:hint="eastAsia" w:hAnsi="宋体"/>
                <w:color w:val="auto"/>
                <w:szCs w:val="21"/>
                <w:highlight w:val="none"/>
                <w:lang w:val="en-US" w:eastAsia="zh-CN"/>
              </w:rPr>
              <w:t>/</w:t>
            </w:r>
          </w:p>
        </w:tc>
      </w:tr>
      <w:tr w14:paraId="0348C70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286" w:type="dxa"/>
            <w:vMerge w:val="continue"/>
            <w:vAlign w:val="center"/>
          </w:tcPr>
          <w:p w14:paraId="5B978012">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Cs/>
                <w:snapToGrid w:val="0"/>
                <w:color w:val="auto"/>
                <w:kern w:val="21"/>
                <w:sz w:val="21"/>
                <w:szCs w:val="21"/>
                <w:highlight w:val="none"/>
              </w:rPr>
            </w:pPr>
          </w:p>
        </w:tc>
        <w:tc>
          <w:tcPr>
            <w:tcW w:w="1950" w:type="dxa"/>
            <w:vAlign w:val="center"/>
          </w:tcPr>
          <w:p w14:paraId="539F7674">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snapToGrid w:val="0"/>
                <w:color w:val="auto"/>
                <w:kern w:val="21"/>
                <w:sz w:val="21"/>
                <w:szCs w:val="21"/>
                <w:highlight w:val="none"/>
                <w:lang w:val="en-US" w:eastAsia="zh-CN"/>
              </w:rPr>
            </w:pPr>
            <w:r>
              <w:rPr>
                <w:rFonts w:hint="eastAsia" w:cs="Times New Roman"/>
                <w:snapToGrid w:val="0"/>
                <w:color w:val="auto"/>
                <w:kern w:val="21"/>
                <w:sz w:val="21"/>
                <w:szCs w:val="21"/>
                <w:highlight w:val="none"/>
                <w:lang w:val="en-US" w:eastAsia="zh-CN"/>
              </w:rPr>
              <w:t>颗粒物</w:t>
            </w:r>
          </w:p>
        </w:tc>
        <w:tc>
          <w:tcPr>
            <w:tcW w:w="1575" w:type="dxa"/>
            <w:vAlign w:val="center"/>
          </w:tcPr>
          <w:p w14:paraId="1538CECD">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snapToGrid w:val="0"/>
                <w:color w:val="auto"/>
                <w:kern w:val="21"/>
                <w:sz w:val="21"/>
                <w:szCs w:val="21"/>
                <w:highlight w:val="none"/>
                <w:lang w:val="en-US" w:eastAsia="zh-CN"/>
              </w:rPr>
            </w:pPr>
            <w:r>
              <w:rPr>
                <w:rFonts w:hint="eastAsia" w:ascii="Times New Roman" w:hAnsi="Times New Roman" w:eastAsia="宋体" w:cs="Times New Roman"/>
                <w:snapToGrid w:val="0"/>
                <w:color w:val="auto"/>
                <w:kern w:val="21"/>
                <w:sz w:val="21"/>
                <w:szCs w:val="21"/>
                <w:highlight w:val="none"/>
                <w:lang w:val="en-US" w:eastAsia="zh-CN"/>
              </w:rPr>
              <w:t>/</w:t>
            </w:r>
          </w:p>
        </w:tc>
        <w:tc>
          <w:tcPr>
            <w:tcW w:w="1260" w:type="dxa"/>
            <w:vAlign w:val="center"/>
          </w:tcPr>
          <w:p w14:paraId="5F363301">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snapToGrid w:val="0"/>
                <w:color w:val="auto"/>
                <w:kern w:val="21"/>
                <w:sz w:val="21"/>
                <w:szCs w:val="21"/>
                <w:highlight w:val="none"/>
                <w:lang w:val="en-US" w:eastAsia="zh-CN"/>
              </w:rPr>
            </w:pPr>
            <w:r>
              <w:rPr>
                <w:rFonts w:hint="eastAsia" w:ascii="Times New Roman" w:hAnsi="Times New Roman" w:eastAsia="宋体" w:cs="Times New Roman"/>
                <w:snapToGrid w:val="0"/>
                <w:color w:val="auto"/>
                <w:kern w:val="21"/>
                <w:sz w:val="21"/>
                <w:szCs w:val="21"/>
                <w:highlight w:val="none"/>
                <w:lang w:val="en-US" w:eastAsia="zh-CN"/>
              </w:rPr>
              <w:t>/</w:t>
            </w:r>
          </w:p>
        </w:tc>
        <w:tc>
          <w:tcPr>
            <w:tcW w:w="1612" w:type="dxa"/>
            <w:vAlign w:val="center"/>
          </w:tcPr>
          <w:p w14:paraId="0CB7CAFE">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snapToGrid w:val="0"/>
                <w:color w:val="auto"/>
                <w:kern w:val="21"/>
                <w:sz w:val="21"/>
                <w:szCs w:val="21"/>
                <w:highlight w:val="none"/>
                <w:lang w:val="en-US" w:eastAsia="zh-CN"/>
              </w:rPr>
            </w:pPr>
            <w:r>
              <w:rPr>
                <w:rFonts w:hint="eastAsia" w:ascii="Times New Roman" w:hAnsi="Times New Roman" w:eastAsia="宋体" w:cs="Times New Roman"/>
                <w:snapToGrid w:val="0"/>
                <w:color w:val="auto"/>
                <w:kern w:val="21"/>
                <w:sz w:val="21"/>
                <w:szCs w:val="21"/>
                <w:highlight w:val="none"/>
                <w:lang w:val="en-US" w:eastAsia="zh-CN"/>
              </w:rPr>
              <w:t>/</w:t>
            </w:r>
          </w:p>
        </w:tc>
        <w:tc>
          <w:tcPr>
            <w:tcW w:w="1559" w:type="dxa"/>
            <w:vAlign w:val="center"/>
          </w:tcPr>
          <w:p w14:paraId="5C8A249F">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default" w:cs="Times New Roman"/>
                <w:snapToGrid w:val="0"/>
                <w:color w:val="auto"/>
                <w:kern w:val="21"/>
                <w:sz w:val="21"/>
                <w:szCs w:val="21"/>
                <w:highlight w:val="none"/>
                <w:lang w:val="en-US" w:eastAsia="zh-CN"/>
              </w:rPr>
            </w:pPr>
            <w:r>
              <w:rPr>
                <w:rFonts w:hint="eastAsia" w:cs="Times New Roman"/>
                <w:snapToGrid w:val="0"/>
                <w:color w:val="auto"/>
                <w:kern w:val="21"/>
                <w:sz w:val="21"/>
                <w:szCs w:val="21"/>
                <w:highlight w:val="none"/>
                <w:lang w:val="en-US" w:eastAsia="zh-CN"/>
              </w:rPr>
              <w:t>0.313</w:t>
            </w:r>
          </w:p>
        </w:tc>
        <w:tc>
          <w:tcPr>
            <w:tcW w:w="1761" w:type="dxa"/>
            <w:vAlign w:val="center"/>
          </w:tcPr>
          <w:p w14:paraId="205C6DF6">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snapToGrid w:val="0"/>
                <w:color w:val="auto"/>
                <w:kern w:val="21"/>
                <w:sz w:val="21"/>
                <w:szCs w:val="21"/>
                <w:highlight w:val="none"/>
                <w:lang w:val="en-US" w:eastAsia="zh-CN"/>
              </w:rPr>
            </w:pPr>
            <w:r>
              <w:rPr>
                <w:rFonts w:hint="eastAsia" w:ascii="Times New Roman" w:hAnsi="Times New Roman" w:eastAsia="宋体" w:cs="Times New Roman"/>
                <w:snapToGrid w:val="0"/>
                <w:color w:val="auto"/>
                <w:kern w:val="21"/>
                <w:sz w:val="21"/>
                <w:szCs w:val="21"/>
                <w:highlight w:val="none"/>
                <w:lang w:val="en-US" w:eastAsia="zh-CN"/>
              </w:rPr>
              <w:t>/</w:t>
            </w:r>
          </w:p>
        </w:tc>
        <w:tc>
          <w:tcPr>
            <w:tcW w:w="1742" w:type="dxa"/>
            <w:vAlign w:val="center"/>
          </w:tcPr>
          <w:p w14:paraId="0166B346">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cs="Times New Roman"/>
                <w:snapToGrid w:val="0"/>
                <w:color w:val="auto"/>
                <w:kern w:val="21"/>
                <w:sz w:val="21"/>
                <w:szCs w:val="21"/>
                <w:highlight w:val="none"/>
                <w:lang w:val="en-US" w:eastAsia="zh-CN"/>
              </w:rPr>
            </w:pPr>
            <w:r>
              <w:rPr>
                <w:rFonts w:hint="eastAsia" w:cs="Times New Roman"/>
                <w:snapToGrid w:val="0"/>
                <w:color w:val="auto"/>
                <w:kern w:val="21"/>
                <w:sz w:val="21"/>
                <w:szCs w:val="21"/>
                <w:highlight w:val="none"/>
                <w:lang w:val="en-US" w:eastAsia="zh-CN"/>
              </w:rPr>
              <w:t>0.313</w:t>
            </w:r>
          </w:p>
        </w:tc>
        <w:tc>
          <w:tcPr>
            <w:tcW w:w="1293" w:type="dxa"/>
            <w:vAlign w:val="center"/>
          </w:tcPr>
          <w:p w14:paraId="189F3637">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hAnsi="宋体"/>
                <w:color w:val="auto"/>
                <w:szCs w:val="21"/>
                <w:highlight w:val="none"/>
                <w:lang w:val="en-US" w:eastAsia="zh-CN"/>
              </w:rPr>
            </w:pPr>
            <w:r>
              <w:rPr>
                <w:rFonts w:hint="eastAsia" w:ascii="Times New Roman" w:hAnsi="Times New Roman" w:eastAsia="宋体" w:cs="Times New Roman"/>
                <w:snapToGrid w:val="0"/>
                <w:color w:val="auto"/>
                <w:kern w:val="21"/>
                <w:sz w:val="21"/>
                <w:szCs w:val="21"/>
                <w:highlight w:val="none"/>
                <w:lang w:val="en-US" w:eastAsia="zh-CN"/>
              </w:rPr>
              <w:t>/</w:t>
            </w:r>
          </w:p>
        </w:tc>
      </w:tr>
      <w:tr w14:paraId="0B0B3F2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286" w:type="dxa"/>
            <w:vMerge w:val="continue"/>
            <w:vAlign w:val="center"/>
          </w:tcPr>
          <w:p w14:paraId="6ADC0A9F">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Cs/>
                <w:snapToGrid w:val="0"/>
                <w:color w:val="auto"/>
                <w:kern w:val="21"/>
                <w:sz w:val="21"/>
                <w:szCs w:val="21"/>
                <w:highlight w:val="none"/>
              </w:rPr>
            </w:pPr>
          </w:p>
        </w:tc>
        <w:tc>
          <w:tcPr>
            <w:tcW w:w="1950" w:type="dxa"/>
            <w:vAlign w:val="center"/>
          </w:tcPr>
          <w:p w14:paraId="2CFE0C40">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default" w:cs="Times New Roman"/>
                <w:snapToGrid w:val="0"/>
                <w:color w:val="auto"/>
                <w:kern w:val="21"/>
                <w:sz w:val="21"/>
                <w:szCs w:val="21"/>
                <w:highlight w:val="none"/>
                <w:lang w:val="en-US" w:eastAsia="zh-CN"/>
              </w:rPr>
            </w:pPr>
            <w:r>
              <w:rPr>
                <w:rFonts w:hint="eastAsia" w:cs="Times New Roman"/>
                <w:snapToGrid w:val="0"/>
                <w:color w:val="auto"/>
                <w:kern w:val="21"/>
                <w:sz w:val="21"/>
                <w:szCs w:val="21"/>
                <w:highlight w:val="none"/>
                <w:lang w:val="en-US" w:eastAsia="zh-CN"/>
              </w:rPr>
              <w:t>HCl</w:t>
            </w:r>
          </w:p>
        </w:tc>
        <w:tc>
          <w:tcPr>
            <w:tcW w:w="1575" w:type="dxa"/>
            <w:vAlign w:val="center"/>
          </w:tcPr>
          <w:p w14:paraId="164181F9">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snapToGrid w:val="0"/>
                <w:color w:val="auto"/>
                <w:kern w:val="21"/>
                <w:sz w:val="21"/>
                <w:szCs w:val="21"/>
                <w:highlight w:val="none"/>
                <w:lang w:val="en-US" w:eastAsia="zh-CN"/>
              </w:rPr>
            </w:pPr>
            <w:r>
              <w:rPr>
                <w:rFonts w:hint="eastAsia" w:ascii="Times New Roman" w:hAnsi="Times New Roman" w:eastAsia="宋体" w:cs="Times New Roman"/>
                <w:snapToGrid w:val="0"/>
                <w:color w:val="auto"/>
                <w:kern w:val="21"/>
                <w:sz w:val="21"/>
                <w:szCs w:val="21"/>
                <w:highlight w:val="none"/>
                <w:lang w:val="en-US" w:eastAsia="zh-CN"/>
              </w:rPr>
              <w:t>/</w:t>
            </w:r>
          </w:p>
        </w:tc>
        <w:tc>
          <w:tcPr>
            <w:tcW w:w="1260" w:type="dxa"/>
            <w:vAlign w:val="center"/>
          </w:tcPr>
          <w:p w14:paraId="1C40C7DA">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snapToGrid w:val="0"/>
                <w:color w:val="auto"/>
                <w:kern w:val="21"/>
                <w:sz w:val="21"/>
                <w:szCs w:val="21"/>
                <w:highlight w:val="none"/>
                <w:lang w:val="en-US" w:eastAsia="zh-CN"/>
              </w:rPr>
            </w:pPr>
            <w:r>
              <w:rPr>
                <w:rFonts w:hint="eastAsia" w:ascii="Times New Roman" w:hAnsi="Times New Roman" w:eastAsia="宋体" w:cs="Times New Roman"/>
                <w:snapToGrid w:val="0"/>
                <w:color w:val="auto"/>
                <w:kern w:val="21"/>
                <w:sz w:val="21"/>
                <w:szCs w:val="21"/>
                <w:highlight w:val="none"/>
                <w:lang w:val="en-US" w:eastAsia="zh-CN"/>
              </w:rPr>
              <w:t>/</w:t>
            </w:r>
          </w:p>
        </w:tc>
        <w:tc>
          <w:tcPr>
            <w:tcW w:w="1612" w:type="dxa"/>
            <w:vAlign w:val="center"/>
          </w:tcPr>
          <w:p w14:paraId="1658A8D7">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snapToGrid w:val="0"/>
                <w:color w:val="auto"/>
                <w:kern w:val="21"/>
                <w:sz w:val="21"/>
                <w:szCs w:val="21"/>
                <w:highlight w:val="none"/>
                <w:lang w:val="en-US" w:eastAsia="zh-CN"/>
              </w:rPr>
            </w:pPr>
            <w:r>
              <w:rPr>
                <w:rFonts w:hint="eastAsia" w:ascii="Times New Roman" w:hAnsi="Times New Roman" w:eastAsia="宋体" w:cs="Times New Roman"/>
                <w:snapToGrid w:val="0"/>
                <w:color w:val="auto"/>
                <w:kern w:val="21"/>
                <w:sz w:val="21"/>
                <w:szCs w:val="21"/>
                <w:highlight w:val="none"/>
                <w:lang w:val="en-US" w:eastAsia="zh-CN"/>
              </w:rPr>
              <w:t>/</w:t>
            </w:r>
          </w:p>
        </w:tc>
        <w:tc>
          <w:tcPr>
            <w:tcW w:w="1559" w:type="dxa"/>
            <w:vAlign w:val="center"/>
          </w:tcPr>
          <w:p w14:paraId="56D572EB">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default" w:cs="Times New Roman"/>
                <w:snapToGrid w:val="0"/>
                <w:color w:val="auto"/>
                <w:kern w:val="21"/>
                <w:sz w:val="21"/>
                <w:szCs w:val="21"/>
                <w:highlight w:val="none"/>
                <w:lang w:val="en-US" w:eastAsia="zh-CN"/>
              </w:rPr>
            </w:pPr>
            <w:r>
              <w:rPr>
                <w:rFonts w:hint="eastAsia" w:cs="Times New Roman"/>
                <w:i w:val="0"/>
                <w:iCs w:val="0"/>
                <w:color w:val="auto"/>
                <w:kern w:val="0"/>
                <w:sz w:val="21"/>
                <w:szCs w:val="21"/>
                <w:highlight w:val="none"/>
                <w:u w:val="none"/>
                <w:lang w:val="en-US" w:eastAsia="zh-CN" w:bidi="ar"/>
              </w:rPr>
              <w:t>0.0024</w:t>
            </w:r>
          </w:p>
        </w:tc>
        <w:tc>
          <w:tcPr>
            <w:tcW w:w="1761" w:type="dxa"/>
            <w:vAlign w:val="center"/>
          </w:tcPr>
          <w:p w14:paraId="15B000FF">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snapToGrid w:val="0"/>
                <w:color w:val="auto"/>
                <w:kern w:val="21"/>
                <w:sz w:val="21"/>
                <w:szCs w:val="21"/>
                <w:highlight w:val="none"/>
                <w:lang w:val="en-US" w:eastAsia="zh-CN"/>
              </w:rPr>
            </w:pPr>
            <w:r>
              <w:rPr>
                <w:rFonts w:hint="eastAsia" w:ascii="Times New Roman" w:hAnsi="Times New Roman" w:eastAsia="宋体" w:cs="Times New Roman"/>
                <w:snapToGrid w:val="0"/>
                <w:color w:val="auto"/>
                <w:kern w:val="21"/>
                <w:sz w:val="21"/>
                <w:szCs w:val="21"/>
                <w:highlight w:val="none"/>
                <w:lang w:val="en-US" w:eastAsia="zh-CN"/>
              </w:rPr>
              <w:t>/</w:t>
            </w:r>
          </w:p>
        </w:tc>
        <w:tc>
          <w:tcPr>
            <w:tcW w:w="1742" w:type="dxa"/>
            <w:vAlign w:val="center"/>
          </w:tcPr>
          <w:p w14:paraId="10058230">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default" w:cs="Times New Roman"/>
                <w:snapToGrid w:val="0"/>
                <w:color w:val="auto"/>
                <w:kern w:val="21"/>
                <w:sz w:val="21"/>
                <w:szCs w:val="21"/>
                <w:highlight w:val="none"/>
                <w:lang w:val="en-US" w:eastAsia="zh-CN"/>
              </w:rPr>
            </w:pPr>
            <w:r>
              <w:rPr>
                <w:rFonts w:hint="eastAsia" w:cs="Times New Roman"/>
                <w:i w:val="0"/>
                <w:iCs w:val="0"/>
                <w:color w:val="auto"/>
                <w:kern w:val="0"/>
                <w:sz w:val="21"/>
                <w:szCs w:val="21"/>
                <w:highlight w:val="none"/>
                <w:u w:val="none"/>
                <w:lang w:val="en-US" w:eastAsia="zh-CN" w:bidi="ar"/>
              </w:rPr>
              <w:t>0.0024</w:t>
            </w:r>
          </w:p>
        </w:tc>
        <w:tc>
          <w:tcPr>
            <w:tcW w:w="1293" w:type="dxa"/>
            <w:vAlign w:val="center"/>
          </w:tcPr>
          <w:p w14:paraId="189CF480">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hAnsi="宋体"/>
                <w:color w:val="auto"/>
                <w:szCs w:val="21"/>
                <w:highlight w:val="none"/>
                <w:lang w:val="en-US" w:eastAsia="zh-CN"/>
              </w:rPr>
            </w:pPr>
            <w:r>
              <w:rPr>
                <w:rFonts w:hint="eastAsia" w:ascii="Times New Roman" w:hAnsi="Times New Roman" w:eastAsia="宋体" w:cs="Times New Roman"/>
                <w:snapToGrid w:val="0"/>
                <w:color w:val="auto"/>
                <w:kern w:val="21"/>
                <w:sz w:val="21"/>
                <w:szCs w:val="21"/>
                <w:highlight w:val="none"/>
                <w:lang w:val="en-US" w:eastAsia="zh-CN"/>
              </w:rPr>
              <w:t>/</w:t>
            </w:r>
          </w:p>
        </w:tc>
      </w:tr>
      <w:tr w14:paraId="381C6E0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286" w:type="dxa"/>
            <w:vMerge w:val="restart"/>
            <w:vAlign w:val="center"/>
          </w:tcPr>
          <w:p w14:paraId="76AA0CF9">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Cs/>
                <w:snapToGrid w:val="0"/>
                <w:color w:val="auto"/>
                <w:kern w:val="21"/>
                <w:sz w:val="21"/>
                <w:szCs w:val="21"/>
                <w:highlight w:val="none"/>
              </w:rPr>
            </w:pPr>
            <w:r>
              <w:rPr>
                <w:rFonts w:hint="default" w:ascii="Times New Roman" w:hAnsi="Times New Roman" w:eastAsia="宋体" w:cs="Times New Roman"/>
                <w:bCs/>
                <w:snapToGrid w:val="0"/>
                <w:color w:val="auto"/>
                <w:kern w:val="21"/>
                <w:sz w:val="21"/>
                <w:szCs w:val="21"/>
                <w:highlight w:val="none"/>
              </w:rPr>
              <w:t>废水</w:t>
            </w:r>
          </w:p>
        </w:tc>
        <w:tc>
          <w:tcPr>
            <w:tcW w:w="1950" w:type="dxa"/>
            <w:vAlign w:val="center"/>
          </w:tcPr>
          <w:p w14:paraId="502D4525">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snapToGrid w:val="0"/>
                <w:color w:val="auto"/>
                <w:kern w:val="21"/>
                <w:sz w:val="21"/>
                <w:szCs w:val="21"/>
                <w:highlight w:val="none"/>
                <w:lang w:val="en-US" w:eastAsia="zh-CN" w:bidi="ar-SA"/>
              </w:rPr>
            </w:pPr>
            <w:r>
              <w:rPr>
                <w:rFonts w:hint="eastAsia" w:ascii="Times New Roman" w:hAnsi="Times New Roman" w:eastAsia="宋体" w:cs="Times New Roman"/>
                <w:b w:val="0"/>
                <w:bCs/>
                <w:snapToGrid w:val="0"/>
                <w:color w:val="auto"/>
                <w:kern w:val="21"/>
                <w:sz w:val="21"/>
                <w:szCs w:val="21"/>
                <w:highlight w:val="none"/>
                <w:lang w:val="en-US" w:eastAsia="zh-CN" w:bidi="ar-SA"/>
              </w:rPr>
              <w:t>pH</w:t>
            </w:r>
          </w:p>
        </w:tc>
        <w:tc>
          <w:tcPr>
            <w:tcW w:w="1575" w:type="dxa"/>
            <w:vAlign w:val="center"/>
          </w:tcPr>
          <w:p w14:paraId="6954B558">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snapToGrid w:val="0"/>
                <w:color w:val="auto"/>
                <w:kern w:val="21"/>
                <w:sz w:val="21"/>
                <w:szCs w:val="21"/>
                <w:highlight w:val="none"/>
                <w:lang w:val="en-US" w:eastAsia="zh-CN"/>
              </w:rPr>
            </w:pPr>
            <w:r>
              <w:rPr>
                <w:rFonts w:hint="eastAsia" w:ascii="Times New Roman" w:hAnsi="Times New Roman" w:eastAsia="宋体" w:cs="Times New Roman"/>
                <w:b w:val="0"/>
                <w:bCs/>
                <w:snapToGrid w:val="0"/>
                <w:color w:val="auto"/>
                <w:kern w:val="21"/>
                <w:sz w:val="21"/>
                <w:szCs w:val="21"/>
                <w:highlight w:val="none"/>
                <w:lang w:val="en-US" w:eastAsia="zh-CN"/>
              </w:rPr>
              <w:t>/</w:t>
            </w:r>
          </w:p>
        </w:tc>
        <w:tc>
          <w:tcPr>
            <w:tcW w:w="1260" w:type="dxa"/>
            <w:vAlign w:val="center"/>
          </w:tcPr>
          <w:p w14:paraId="4DCED12E">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snapToGrid w:val="0"/>
                <w:color w:val="auto"/>
                <w:kern w:val="21"/>
                <w:sz w:val="21"/>
                <w:szCs w:val="21"/>
                <w:highlight w:val="none"/>
                <w:lang w:val="en-US" w:eastAsia="zh-CN"/>
              </w:rPr>
            </w:pPr>
            <w:r>
              <w:rPr>
                <w:rFonts w:hint="eastAsia" w:ascii="Times New Roman" w:hAnsi="Times New Roman" w:eastAsia="宋体" w:cs="Times New Roman"/>
                <w:snapToGrid w:val="0"/>
                <w:color w:val="auto"/>
                <w:kern w:val="21"/>
                <w:sz w:val="21"/>
                <w:szCs w:val="21"/>
                <w:highlight w:val="none"/>
                <w:lang w:val="en-US" w:eastAsia="zh-CN"/>
              </w:rPr>
              <w:t>/</w:t>
            </w:r>
          </w:p>
        </w:tc>
        <w:tc>
          <w:tcPr>
            <w:tcW w:w="1612" w:type="dxa"/>
            <w:vAlign w:val="center"/>
          </w:tcPr>
          <w:p w14:paraId="4B93F3F8">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snapToGrid w:val="0"/>
                <w:color w:val="auto"/>
                <w:kern w:val="21"/>
                <w:sz w:val="21"/>
                <w:szCs w:val="21"/>
                <w:highlight w:val="none"/>
                <w:lang w:val="en-US" w:eastAsia="zh-CN"/>
              </w:rPr>
            </w:pPr>
            <w:r>
              <w:rPr>
                <w:rFonts w:hint="eastAsia" w:ascii="Times New Roman" w:hAnsi="Times New Roman" w:eastAsia="宋体" w:cs="Times New Roman"/>
                <w:snapToGrid w:val="0"/>
                <w:color w:val="auto"/>
                <w:kern w:val="21"/>
                <w:sz w:val="21"/>
                <w:szCs w:val="21"/>
                <w:highlight w:val="none"/>
                <w:lang w:val="en-US" w:eastAsia="zh-CN"/>
              </w:rPr>
              <w:t>/</w:t>
            </w:r>
          </w:p>
        </w:tc>
        <w:tc>
          <w:tcPr>
            <w:tcW w:w="1559" w:type="dxa"/>
            <w:vAlign w:val="center"/>
          </w:tcPr>
          <w:p w14:paraId="2EC7ED2D">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snapToGrid w:val="0"/>
                <w:color w:val="auto"/>
                <w:kern w:val="21"/>
                <w:sz w:val="21"/>
                <w:szCs w:val="21"/>
                <w:highlight w:val="none"/>
                <w:lang w:val="en-US" w:eastAsia="zh-CN"/>
              </w:rPr>
            </w:pPr>
            <w:r>
              <w:rPr>
                <w:rFonts w:hint="eastAsia" w:ascii="Times New Roman" w:cs="Times New Roman"/>
                <w:b w:val="0"/>
                <w:bCs/>
                <w:snapToGrid w:val="0"/>
                <w:color w:val="auto"/>
                <w:kern w:val="21"/>
                <w:sz w:val="21"/>
                <w:szCs w:val="21"/>
                <w:highlight w:val="none"/>
                <w:lang w:val="en-US" w:eastAsia="zh-CN"/>
              </w:rPr>
              <w:t>6-9</w:t>
            </w:r>
          </w:p>
        </w:tc>
        <w:tc>
          <w:tcPr>
            <w:tcW w:w="1761" w:type="dxa"/>
            <w:vAlign w:val="center"/>
          </w:tcPr>
          <w:p w14:paraId="29BA8B71">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w:t>
            </w:r>
          </w:p>
        </w:tc>
        <w:tc>
          <w:tcPr>
            <w:tcW w:w="1742" w:type="dxa"/>
            <w:vAlign w:val="center"/>
          </w:tcPr>
          <w:p w14:paraId="3732BF03">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snapToGrid w:val="0"/>
                <w:color w:val="auto"/>
                <w:kern w:val="21"/>
                <w:sz w:val="21"/>
                <w:szCs w:val="21"/>
                <w:highlight w:val="none"/>
                <w:lang w:val="en-US" w:eastAsia="zh-CN" w:bidi="ar-SA"/>
              </w:rPr>
            </w:pPr>
            <w:r>
              <w:rPr>
                <w:rFonts w:hint="eastAsia" w:ascii="Times New Roman" w:cs="Times New Roman"/>
                <w:b w:val="0"/>
                <w:bCs/>
                <w:snapToGrid w:val="0"/>
                <w:color w:val="auto"/>
                <w:kern w:val="21"/>
                <w:sz w:val="21"/>
                <w:szCs w:val="21"/>
                <w:highlight w:val="none"/>
                <w:lang w:val="en-US" w:eastAsia="zh-CN"/>
              </w:rPr>
              <w:t>6-9</w:t>
            </w:r>
          </w:p>
        </w:tc>
        <w:tc>
          <w:tcPr>
            <w:tcW w:w="1293" w:type="dxa"/>
            <w:vAlign w:val="center"/>
          </w:tcPr>
          <w:p w14:paraId="63EDA985">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snapToGrid w:val="0"/>
                <w:color w:val="auto"/>
                <w:kern w:val="21"/>
                <w:sz w:val="21"/>
                <w:szCs w:val="21"/>
                <w:highlight w:val="none"/>
              </w:rPr>
            </w:pPr>
            <w:r>
              <w:rPr>
                <w:rFonts w:hint="eastAsia" w:hAnsi="宋体"/>
                <w:color w:val="auto"/>
                <w:szCs w:val="21"/>
                <w:highlight w:val="none"/>
                <w:lang w:val="en-US" w:eastAsia="zh-CN"/>
              </w:rPr>
              <w:t>/</w:t>
            </w:r>
          </w:p>
        </w:tc>
      </w:tr>
      <w:tr w14:paraId="20C2A7F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1286" w:type="dxa"/>
            <w:vMerge w:val="continue"/>
            <w:vAlign w:val="center"/>
          </w:tcPr>
          <w:p w14:paraId="328B1F92">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Cs/>
                <w:snapToGrid w:val="0"/>
                <w:color w:val="auto"/>
                <w:kern w:val="21"/>
                <w:sz w:val="21"/>
                <w:szCs w:val="21"/>
                <w:highlight w:val="none"/>
              </w:rPr>
            </w:pPr>
          </w:p>
        </w:tc>
        <w:tc>
          <w:tcPr>
            <w:tcW w:w="1950" w:type="dxa"/>
            <w:vAlign w:val="center"/>
          </w:tcPr>
          <w:p w14:paraId="6CD5A22B">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snapToGrid w:val="0"/>
                <w:color w:val="auto"/>
                <w:kern w:val="21"/>
                <w:sz w:val="21"/>
                <w:szCs w:val="21"/>
                <w:highlight w:val="none"/>
                <w:lang w:val="en-US" w:eastAsia="zh-CN" w:bidi="ar-SA"/>
              </w:rPr>
            </w:pPr>
            <w:r>
              <w:rPr>
                <w:rFonts w:hint="default" w:ascii="Times New Roman" w:hAnsi="Times New Roman" w:eastAsia="宋体" w:cs="Times New Roman"/>
                <w:b w:val="0"/>
                <w:bCs/>
                <w:snapToGrid w:val="0"/>
                <w:color w:val="auto"/>
                <w:kern w:val="21"/>
                <w:sz w:val="21"/>
                <w:szCs w:val="21"/>
                <w:highlight w:val="none"/>
              </w:rPr>
              <w:t>COD</w:t>
            </w:r>
            <w:r>
              <w:rPr>
                <w:rFonts w:hint="eastAsia" w:ascii="Times New Roman" w:cs="Times New Roman"/>
                <w:b w:val="0"/>
                <w:bCs/>
                <w:snapToGrid w:val="0"/>
                <w:color w:val="auto"/>
                <w:kern w:val="21"/>
                <w:sz w:val="21"/>
                <w:szCs w:val="21"/>
                <w:highlight w:val="none"/>
                <w:vertAlign w:val="subscript"/>
                <w:lang w:val="en-US" w:eastAsia="zh-CN"/>
              </w:rPr>
              <w:t>Cr</w:t>
            </w:r>
          </w:p>
        </w:tc>
        <w:tc>
          <w:tcPr>
            <w:tcW w:w="1575" w:type="dxa"/>
            <w:vAlign w:val="center"/>
          </w:tcPr>
          <w:p w14:paraId="0F1429B7">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val="0"/>
                <w:bCs/>
                <w:snapToGrid w:val="0"/>
                <w:color w:val="auto"/>
                <w:kern w:val="21"/>
                <w:sz w:val="21"/>
                <w:szCs w:val="21"/>
                <w:highlight w:val="none"/>
                <w:lang w:val="en-US" w:eastAsia="zh-CN" w:bidi="ar-SA"/>
              </w:rPr>
            </w:pPr>
            <w:r>
              <w:rPr>
                <w:rFonts w:hint="eastAsia" w:ascii="Times New Roman" w:cs="Times New Roman"/>
                <w:b w:val="0"/>
                <w:bCs/>
                <w:snapToGrid w:val="0"/>
                <w:color w:val="auto"/>
                <w:kern w:val="21"/>
                <w:sz w:val="21"/>
                <w:szCs w:val="21"/>
                <w:highlight w:val="none"/>
                <w:lang w:val="en-US" w:eastAsia="zh-CN"/>
              </w:rPr>
              <w:t>/</w:t>
            </w:r>
          </w:p>
        </w:tc>
        <w:tc>
          <w:tcPr>
            <w:tcW w:w="1260" w:type="dxa"/>
            <w:vAlign w:val="center"/>
          </w:tcPr>
          <w:p w14:paraId="005D0927">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snapToGrid w:val="0"/>
                <w:color w:val="auto"/>
                <w:kern w:val="21"/>
                <w:sz w:val="21"/>
                <w:szCs w:val="21"/>
                <w:highlight w:val="none"/>
                <w:lang w:val="en-US" w:eastAsia="zh-CN" w:bidi="ar-SA"/>
              </w:rPr>
            </w:pPr>
            <w:r>
              <w:rPr>
                <w:rFonts w:hint="eastAsia" w:ascii="Times New Roman" w:cs="Times New Roman"/>
                <w:b w:val="0"/>
                <w:bCs/>
                <w:snapToGrid w:val="0"/>
                <w:color w:val="auto"/>
                <w:kern w:val="21"/>
                <w:sz w:val="21"/>
                <w:szCs w:val="21"/>
                <w:highlight w:val="none"/>
                <w:lang w:val="en-US" w:eastAsia="zh-CN"/>
              </w:rPr>
              <w:t>/</w:t>
            </w:r>
          </w:p>
        </w:tc>
        <w:tc>
          <w:tcPr>
            <w:tcW w:w="1612" w:type="dxa"/>
            <w:vAlign w:val="center"/>
          </w:tcPr>
          <w:p w14:paraId="39016A47">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snapToGrid w:val="0"/>
                <w:color w:val="auto"/>
                <w:kern w:val="21"/>
                <w:sz w:val="21"/>
                <w:szCs w:val="21"/>
                <w:highlight w:val="none"/>
                <w:lang w:val="en-US" w:eastAsia="zh-CN" w:bidi="ar-SA"/>
              </w:rPr>
            </w:pPr>
            <w:r>
              <w:rPr>
                <w:rFonts w:hint="eastAsia" w:ascii="Times New Roman" w:cs="Times New Roman"/>
                <w:b w:val="0"/>
                <w:bCs/>
                <w:snapToGrid w:val="0"/>
                <w:color w:val="auto"/>
                <w:kern w:val="21"/>
                <w:sz w:val="21"/>
                <w:szCs w:val="21"/>
                <w:highlight w:val="none"/>
                <w:lang w:val="en-US" w:eastAsia="zh-CN"/>
              </w:rPr>
              <w:t>/</w:t>
            </w:r>
          </w:p>
        </w:tc>
        <w:tc>
          <w:tcPr>
            <w:tcW w:w="1559" w:type="dxa"/>
            <w:vAlign w:val="center"/>
          </w:tcPr>
          <w:p w14:paraId="117035A7">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b w:val="0"/>
                <w:bCs/>
                <w:snapToGrid w:val="0"/>
                <w:color w:val="auto"/>
                <w:kern w:val="21"/>
                <w:sz w:val="21"/>
                <w:szCs w:val="21"/>
                <w:highlight w:val="none"/>
                <w:lang w:val="en-US" w:eastAsia="zh-CN" w:bidi="ar-SA"/>
              </w:rPr>
            </w:pPr>
            <w:r>
              <w:rPr>
                <w:rFonts w:hint="eastAsia" w:cs="Times New Roman"/>
                <w:color w:val="auto"/>
                <w:kern w:val="2"/>
                <w:sz w:val="21"/>
                <w:szCs w:val="21"/>
                <w:highlight w:val="none"/>
                <w:lang w:val="en-US" w:eastAsia="zh-CN" w:bidi="ar-SA"/>
              </w:rPr>
              <w:t>3.84</w:t>
            </w:r>
          </w:p>
        </w:tc>
        <w:tc>
          <w:tcPr>
            <w:tcW w:w="1761" w:type="dxa"/>
            <w:vAlign w:val="center"/>
          </w:tcPr>
          <w:p w14:paraId="076A0D73">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snapToGrid w:val="0"/>
                <w:color w:val="auto"/>
                <w:kern w:val="21"/>
                <w:sz w:val="21"/>
                <w:szCs w:val="21"/>
                <w:highlight w:val="none"/>
                <w:lang w:val="en-US" w:eastAsia="zh-CN" w:bidi="ar-SA"/>
              </w:rPr>
            </w:pPr>
            <w:r>
              <w:rPr>
                <w:rFonts w:hint="eastAsia" w:ascii="Times New Roman" w:cs="Times New Roman"/>
                <w:b w:val="0"/>
                <w:bCs/>
                <w:snapToGrid w:val="0"/>
                <w:color w:val="auto"/>
                <w:kern w:val="21"/>
                <w:sz w:val="21"/>
                <w:szCs w:val="21"/>
                <w:highlight w:val="none"/>
                <w:lang w:val="en-US" w:eastAsia="zh-CN"/>
              </w:rPr>
              <w:t>/</w:t>
            </w:r>
          </w:p>
        </w:tc>
        <w:tc>
          <w:tcPr>
            <w:tcW w:w="1742" w:type="dxa"/>
            <w:vAlign w:val="center"/>
          </w:tcPr>
          <w:p w14:paraId="26588891">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b w:val="0"/>
                <w:bCs/>
                <w:snapToGrid w:val="0"/>
                <w:color w:val="auto"/>
                <w:kern w:val="21"/>
                <w:sz w:val="21"/>
                <w:szCs w:val="21"/>
                <w:highlight w:val="none"/>
                <w:lang w:val="en-US" w:eastAsia="zh-CN" w:bidi="ar-SA"/>
              </w:rPr>
            </w:pPr>
            <w:r>
              <w:rPr>
                <w:rFonts w:hint="eastAsia" w:cs="Times New Roman"/>
                <w:color w:val="auto"/>
                <w:kern w:val="2"/>
                <w:sz w:val="21"/>
                <w:szCs w:val="21"/>
                <w:highlight w:val="none"/>
                <w:lang w:val="en-US" w:eastAsia="zh-CN" w:bidi="ar-SA"/>
              </w:rPr>
              <w:t>3.84</w:t>
            </w:r>
          </w:p>
        </w:tc>
        <w:tc>
          <w:tcPr>
            <w:tcW w:w="1293" w:type="dxa"/>
            <w:vAlign w:val="center"/>
          </w:tcPr>
          <w:p w14:paraId="6E85D6E5">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snapToGrid w:val="0"/>
                <w:color w:val="auto"/>
                <w:kern w:val="21"/>
                <w:sz w:val="21"/>
                <w:szCs w:val="21"/>
                <w:highlight w:val="none"/>
                <w:lang w:val="en-US" w:eastAsia="zh-CN" w:bidi="ar-SA"/>
              </w:rPr>
            </w:pPr>
            <w:r>
              <w:rPr>
                <w:rFonts w:hint="eastAsia" w:hAnsi="宋体"/>
                <w:color w:val="auto"/>
                <w:szCs w:val="21"/>
                <w:highlight w:val="none"/>
                <w:lang w:val="en-US" w:eastAsia="zh-CN"/>
              </w:rPr>
              <w:t>/</w:t>
            </w:r>
          </w:p>
        </w:tc>
      </w:tr>
      <w:tr w14:paraId="44225A0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286" w:type="dxa"/>
            <w:vMerge w:val="continue"/>
            <w:vAlign w:val="center"/>
          </w:tcPr>
          <w:p w14:paraId="4B396AC1">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Cs/>
                <w:snapToGrid w:val="0"/>
                <w:color w:val="auto"/>
                <w:kern w:val="21"/>
                <w:sz w:val="21"/>
                <w:szCs w:val="21"/>
                <w:highlight w:val="none"/>
              </w:rPr>
            </w:pPr>
          </w:p>
        </w:tc>
        <w:tc>
          <w:tcPr>
            <w:tcW w:w="1950" w:type="dxa"/>
            <w:vAlign w:val="center"/>
          </w:tcPr>
          <w:p w14:paraId="7294A969">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snapToGrid w:val="0"/>
                <w:color w:val="auto"/>
                <w:kern w:val="21"/>
                <w:sz w:val="21"/>
                <w:szCs w:val="21"/>
                <w:highlight w:val="none"/>
                <w:lang w:val="en-US" w:eastAsia="zh-CN" w:bidi="ar-SA"/>
              </w:rPr>
            </w:pPr>
            <w:r>
              <w:rPr>
                <w:rFonts w:hint="default" w:ascii="Times New Roman" w:hAnsi="Times New Roman" w:eastAsia="宋体" w:cs="Times New Roman"/>
                <w:b w:val="0"/>
                <w:bCs/>
                <w:snapToGrid w:val="0"/>
                <w:color w:val="auto"/>
                <w:kern w:val="21"/>
                <w:sz w:val="21"/>
                <w:szCs w:val="21"/>
                <w:highlight w:val="none"/>
              </w:rPr>
              <w:t>BOD</w:t>
            </w:r>
            <w:r>
              <w:rPr>
                <w:rFonts w:hint="default" w:ascii="Times New Roman" w:hAnsi="Times New Roman" w:eastAsia="宋体" w:cs="Times New Roman"/>
                <w:b w:val="0"/>
                <w:bCs/>
                <w:snapToGrid w:val="0"/>
                <w:color w:val="auto"/>
                <w:kern w:val="21"/>
                <w:sz w:val="21"/>
                <w:szCs w:val="21"/>
                <w:highlight w:val="none"/>
                <w:vertAlign w:val="subscript"/>
              </w:rPr>
              <w:t>5</w:t>
            </w:r>
          </w:p>
        </w:tc>
        <w:tc>
          <w:tcPr>
            <w:tcW w:w="1575" w:type="dxa"/>
            <w:vAlign w:val="center"/>
          </w:tcPr>
          <w:p w14:paraId="6549B8CC">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snapToGrid w:val="0"/>
                <w:color w:val="auto"/>
                <w:kern w:val="21"/>
                <w:sz w:val="21"/>
                <w:szCs w:val="21"/>
                <w:highlight w:val="none"/>
                <w:lang w:val="en-US" w:eastAsia="zh-CN"/>
              </w:rPr>
            </w:pPr>
            <w:r>
              <w:rPr>
                <w:rFonts w:hint="eastAsia" w:ascii="Times New Roman" w:cs="Times New Roman"/>
                <w:b w:val="0"/>
                <w:bCs/>
                <w:snapToGrid w:val="0"/>
                <w:color w:val="auto"/>
                <w:kern w:val="21"/>
                <w:sz w:val="21"/>
                <w:szCs w:val="21"/>
                <w:highlight w:val="none"/>
                <w:lang w:val="en-US" w:eastAsia="zh-CN"/>
              </w:rPr>
              <w:t>/</w:t>
            </w:r>
          </w:p>
        </w:tc>
        <w:tc>
          <w:tcPr>
            <w:tcW w:w="1260" w:type="dxa"/>
            <w:vAlign w:val="center"/>
          </w:tcPr>
          <w:p w14:paraId="150CC9B2">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snapToGrid w:val="0"/>
                <w:color w:val="auto"/>
                <w:kern w:val="21"/>
                <w:sz w:val="21"/>
                <w:szCs w:val="21"/>
                <w:highlight w:val="none"/>
              </w:rPr>
            </w:pPr>
            <w:r>
              <w:rPr>
                <w:rFonts w:hint="eastAsia" w:ascii="Times New Roman" w:cs="Times New Roman"/>
                <w:b w:val="0"/>
                <w:bCs/>
                <w:snapToGrid w:val="0"/>
                <w:color w:val="auto"/>
                <w:kern w:val="21"/>
                <w:sz w:val="21"/>
                <w:szCs w:val="21"/>
                <w:highlight w:val="none"/>
                <w:lang w:val="en-US" w:eastAsia="zh-CN"/>
              </w:rPr>
              <w:t>/</w:t>
            </w:r>
          </w:p>
        </w:tc>
        <w:tc>
          <w:tcPr>
            <w:tcW w:w="1612" w:type="dxa"/>
            <w:vAlign w:val="center"/>
          </w:tcPr>
          <w:p w14:paraId="4D223DC3">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snapToGrid w:val="0"/>
                <w:color w:val="auto"/>
                <w:kern w:val="21"/>
                <w:sz w:val="21"/>
                <w:szCs w:val="21"/>
                <w:highlight w:val="none"/>
              </w:rPr>
            </w:pPr>
            <w:r>
              <w:rPr>
                <w:rFonts w:hint="eastAsia" w:ascii="Times New Roman" w:cs="Times New Roman"/>
                <w:b w:val="0"/>
                <w:bCs/>
                <w:snapToGrid w:val="0"/>
                <w:color w:val="auto"/>
                <w:kern w:val="21"/>
                <w:sz w:val="21"/>
                <w:szCs w:val="21"/>
                <w:highlight w:val="none"/>
                <w:lang w:val="en-US" w:eastAsia="zh-CN"/>
              </w:rPr>
              <w:t>/</w:t>
            </w:r>
          </w:p>
        </w:tc>
        <w:tc>
          <w:tcPr>
            <w:tcW w:w="1559" w:type="dxa"/>
            <w:vAlign w:val="center"/>
          </w:tcPr>
          <w:p w14:paraId="06B6B1C7">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b w:val="0"/>
                <w:bCs/>
                <w:snapToGrid w:val="0"/>
                <w:color w:val="auto"/>
                <w:kern w:val="21"/>
                <w:sz w:val="21"/>
                <w:szCs w:val="21"/>
                <w:highlight w:val="none"/>
                <w:lang w:val="en-US" w:eastAsia="zh-CN" w:bidi="ar-SA"/>
              </w:rPr>
            </w:pPr>
            <w:r>
              <w:rPr>
                <w:rFonts w:hint="eastAsia" w:cs="Times New Roman"/>
                <w:color w:val="auto"/>
                <w:kern w:val="2"/>
                <w:sz w:val="21"/>
                <w:szCs w:val="21"/>
                <w:highlight w:val="none"/>
                <w:lang w:val="en-US" w:eastAsia="zh-CN" w:bidi="ar-SA"/>
              </w:rPr>
              <w:t>1.536</w:t>
            </w:r>
          </w:p>
        </w:tc>
        <w:tc>
          <w:tcPr>
            <w:tcW w:w="1761" w:type="dxa"/>
            <w:vAlign w:val="center"/>
          </w:tcPr>
          <w:p w14:paraId="74A976A0">
            <w:pPr>
              <w:keepNext w:val="0"/>
              <w:keepLines w:val="0"/>
              <w:pageBreakBefore w:val="0"/>
              <w:widowControl w:val="0"/>
              <w:suppressLineNumbers w:val="0"/>
              <w:kinsoku/>
              <w:wordWrap/>
              <w:overflowPunct/>
              <w:topLinePunct w:val="0"/>
              <w:autoSpaceDE/>
              <w:autoSpaceDN/>
              <w:bidi w:val="0"/>
              <w:adjustRightIn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snapToGrid w:val="0"/>
                <w:color w:val="auto"/>
                <w:kern w:val="21"/>
                <w:szCs w:val="21"/>
                <w:highlight w:val="none"/>
              </w:rPr>
            </w:pPr>
            <w:r>
              <w:rPr>
                <w:rFonts w:hint="eastAsia" w:ascii="Times New Roman" w:cs="Times New Roman"/>
                <w:b w:val="0"/>
                <w:bCs/>
                <w:snapToGrid w:val="0"/>
                <w:color w:val="auto"/>
                <w:kern w:val="21"/>
                <w:sz w:val="21"/>
                <w:szCs w:val="21"/>
                <w:highlight w:val="none"/>
                <w:lang w:val="en-US" w:eastAsia="zh-CN"/>
              </w:rPr>
              <w:t>/</w:t>
            </w:r>
          </w:p>
        </w:tc>
        <w:tc>
          <w:tcPr>
            <w:tcW w:w="1742" w:type="dxa"/>
            <w:vAlign w:val="center"/>
          </w:tcPr>
          <w:p w14:paraId="7F37BC29">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b w:val="0"/>
                <w:bCs/>
                <w:snapToGrid w:val="0"/>
                <w:color w:val="auto"/>
                <w:kern w:val="21"/>
                <w:sz w:val="21"/>
                <w:szCs w:val="21"/>
                <w:highlight w:val="none"/>
                <w:lang w:val="en-US" w:eastAsia="zh-CN" w:bidi="ar-SA"/>
              </w:rPr>
            </w:pPr>
            <w:r>
              <w:rPr>
                <w:rFonts w:hint="eastAsia" w:cs="Times New Roman"/>
                <w:color w:val="auto"/>
                <w:kern w:val="2"/>
                <w:sz w:val="21"/>
                <w:szCs w:val="21"/>
                <w:highlight w:val="none"/>
                <w:lang w:val="en-US" w:eastAsia="zh-CN" w:bidi="ar-SA"/>
              </w:rPr>
              <w:t>1.536</w:t>
            </w:r>
          </w:p>
        </w:tc>
        <w:tc>
          <w:tcPr>
            <w:tcW w:w="1293" w:type="dxa"/>
            <w:vAlign w:val="center"/>
          </w:tcPr>
          <w:p w14:paraId="46608E70">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Cs/>
                <w:snapToGrid w:val="0"/>
                <w:color w:val="auto"/>
                <w:kern w:val="21"/>
                <w:szCs w:val="21"/>
                <w:highlight w:val="none"/>
              </w:rPr>
            </w:pPr>
            <w:r>
              <w:rPr>
                <w:rFonts w:hint="eastAsia" w:hAnsi="宋体"/>
                <w:color w:val="auto"/>
                <w:szCs w:val="21"/>
                <w:highlight w:val="none"/>
                <w:lang w:val="en-US" w:eastAsia="zh-CN"/>
              </w:rPr>
              <w:t>/</w:t>
            </w:r>
          </w:p>
        </w:tc>
      </w:tr>
      <w:tr w14:paraId="510BF87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286" w:type="dxa"/>
            <w:vMerge w:val="continue"/>
            <w:vAlign w:val="center"/>
          </w:tcPr>
          <w:p w14:paraId="0A638086">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Cs/>
                <w:snapToGrid w:val="0"/>
                <w:color w:val="auto"/>
                <w:kern w:val="21"/>
                <w:sz w:val="21"/>
                <w:szCs w:val="21"/>
                <w:highlight w:val="none"/>
              </w:rPr>
            </w:pPr>
          </w:p>
        </w:tc>
        <w:tc>
          <w:tcPr>
            <w:tcW w:w="1950" w:type="dxa"/>
            <w:vAlign w:val="center"/>
          </w:tcPr>
          <w:p w14:paraId="543CA060">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snapToGrid w:val="0"/>
                <w:color w:val="auto"/>
                <w:kern w:val="21"/>
                <w:sz w:val="21"/>
                <w:szCs w:val="21"/>
                <w:highlight w:val="none"/>
                <w:lang w:val="en-US" w:eastAsia="zh-CN" w:bidi="ar-SA"/>
              </w:rPr>
            </w:pPr>
            <w:r>
              <w:rPr>
                <w:rFonts w:hint="default" w:ascii="Times New Roman" w:hAnsi="Times New Roman" w:eastAsia="宋体" w:cs="Times New Roman"/>
                <w:b w:val="0"/>
                <w:bCs/>
                <w:snapToGrid w:val="0"/>
                <w:color w:val="auto"/>
                <w:kern w:val="21"/>
                <w:sz w:val="21"/>
                <w:szCs w:val="21"/>
                <w:highlight w:val="none"/>
              </w:rPr>
              <w:t>SS</w:t>
            </w:r>
          </w:p>
        </w:tc>
        <w:tc>
          <w:tcPr>
            <w:tcW w:w="1575" w:type="dxa"/>
            <w:vAlign w:val="center"/>
          </w:tcPr>
          <w:p w14:paraId="52B770A7">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szCs w:val="21"/>
                <w:highlight w:val="none"/>
                <w:lang w:val="en-US" w:eastAsia="zh-CN"/>
              </w:rPr>
            </w:pPr>
            <w:r>
              <w:rPr>
                <w:rFonts w:hint="eastAsia" w:ascii="Times New Roman" w:cs="Times New Roman"/>
                <w:b w:val="0"/>
                <w:bCs/>
                <w:snapToGrid w:val="0"/>
                <w:color w:val="auto"/>
                <w:kern w:val="21"/>
                <w:sz w:val="21"/>
                <w:szCs w:val="21"/>
                <w:highlight w:val="none"/>
                <w:lang w:val="en-US" w:eastAsia="zh-CN"/>
              </w:rPr>
              <w:t>/</w:t>
            </w:r>
          </w:p>
        </w:tc>
        <w:tc>
          <w:tcPr>
            <w:tcW w:w="1260" w:type="dxa"/>
            <w:vAlign w:val="center"/>
          </w:tcPr>
          <w:p w14:paraId="5D2D74A4">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Cs w:val="21"/>
                <w:highlight w:val="none"/>
              </w:rPr>
            </w:pPr>
            <w:r>
              <w:rPr>
                <w:rFonts w:hint="eastAsia" w:ascii="Times New Roman" w:cs="Times New Roman"/>
                <w:b w:val="0"/>
                <w:bCs/>
                <w:snapToGrid w:val="0"/>
                <w:color w:val="auto"/>
                <w:kern w:val="21"/>
                <w:sz w:val="21"/>
                <w:szCs w:val="21"/>
                <w:highlight w:val="none"/>
                <w:lang w:val="en-US" w:eastAsia="zh-CN"/>
              </w:rPr>
              <w:t>/</w:t>
            </w:r>
          </w:p>
        </w:tc>
        <w:tc>
          <w:tcPr>
            <w:tcW w:w="1612" w:type="dxa"/>
            <w:vAlign w:val="center"/>
          </w:tcPr>
          <w:p w14:paraId="3FBBC88C">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Cs w:val="21"/>
                <w:highlight w:val="none"/>
              </w:rPr>
            </w:pPr>
            <w:r>
              <w:rPr>
                <w:rFonts w:hint="eastAsia" w:ascii="Times New Roman" w:cs="Times New Roman"/>
                <w:b w:val="0"/>
                <w:bCs/>
                <w:snapToGrid w:val="0"/>
                <w:color w:val="auto"/>
                <w:kern w:val="21"/>
                <w:sz w:val="21"/>
                <w:szCs w:val="21"/>
                <w:highlight w:val="none"/>
                <w:lang w:val="en-US" w:eastAsia="zh-CN"/>
              </w:rPr>
              <w:t>/</w:t>
            </w:r>
          </w:p>
        </w:tc>
        <w:tc>
          <w:tcPr>
            <w:tcW w:w="1559" w:type="dxa"/>
            <w:vAlign w:val="center"/>
          </w:tcPr>
          <w:p w14:paraId="39583D01">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b w:val="0"/>
                <w:bCs/>
                <w:snapToGrid w:val="0"/>
                <w:color w:val="auto"/>
                <w:kern w:val="21"/>
                <w:sz w:val="21"/>
                <w:szCs w:val="21"/>
                <w:highlight w:val="none"/>
                <w:lang w:val="en-US" w:eastAsia="zh-CN" w:bidi="ar-SA"/>
              </w:rPr>
            </w:pPr>
            <w:r>
              <w:rPr>
                <w:rFonts w:hint="eastAsia" w:cs="Times New Roman"/>
                <w:color w:val="auto"/>
                <w:kern w:val="2"/>
                <w:sz w:val="21"/>
                <w:szCs w:val="21"/>
                <w:highlight w:val="none"/>
                <w:lang w:val="en-US" w:eastAsia="zh-CN" w:bidi="ar-SA"/>
              </w:rPr>
              <w:t>2.016</w:t>
            </w:r>
          </w:p>
        </w:tc>
        <w:tc>
          <w:tcPr>
            <w:tcW w:w="1761" w:type="dxa"/>
            <w:vAlign w:val="center"/>
          </w:tcPr>
          <w:p w14:paraId="6CB010A4">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zCs w:val="21"/>
                <w:highlight w:val="none"/>
              </w:rPr>
            </w:pPr>
            <w:r>
              <w:rPr>
                <w:rFonts w:hint="eastAsia" w:ascii="Times New Roman" w:cs="Times New Roman"/>
                <w:b w:val="0"/>
                <w:bCs/>
                <w:snapToGrid w:val="0"/>
                <w:color w:val="auto"/>
                <w:kern w:val="21"/>
                <w:sz w:val="21"/>
                <w:szCs w:val="21"/>
                <w:highlight w:val="none"/>
                <w:lang w:val="en-US" w:eastAsia="zh-CN"/>
              </w:rPr>
              <w:t>/</w:t>
            </w:r>
          </w:p>
        </w:tc>
        <w:tc>
          <w:tcPr>
            <w:tcW w:w="1742" w:type="dxa"/>
            <w:vAlign w:val="center"/>
          </w:tcPr>
          <w:p w14:paraId="2AC668CC">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b w:val="0"/>
                <w:bCs/>
                <w:snapToGrid w:val="0"/>
                <w:color w:val="auto"/>
                <w:kern w:val="21"/>
                <w:sz w:val="21"/>
                <w:szCs w:val="21"/>
                <w:highlight w:val="none"/>
                <w:lang w:val="en-US" w:eastAsia="zh-CN" w:bidi="ar-SA"/>
              </w:rPr>
            </w:pPr>
            <w:r>
              <w:rPr>
                <w:rFonts w:hint="eastAsia" w:cs="Times New Roman"/>
                <w:color w:val="auto"/>
                <w:kern w:val="2"/>
                <w:sz w:val="21"/>
                <w:szCs w:val="21"/>
                <w:highlight w:val="none"/>
                <w:lang w:val="en-US" w:eastAsia="zh-CN" w:bidi="ar-SA"/>
              </w:rPr>
              <w:t>2.016</w:t>
            </w:r>
          </w:p>
        </w:tc>
        <w:tc>
          <w:tcPr>
            <w:tcW w:w="1293" w:type="dxa"/>
            <w:vAlign w:val="center"/>
          </w:tcPr>
          <w:p w14:paraId="4E8B8D00">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Cs/>
                <w:color w:val="auto"/>
                <w:szCs w:val="21"/>
                <w:highlight w:val="none"/>
              </w:rPr>
            </w:pPr>
            <w:r>
              <w:rPr>
                <w:rFonts w:hint="eastAsia" w:hAnsi="宋体"/>
                <w:color w:val="auto"/>
                <w:szCs w:val="21"/>
                <w:highlight w:val="none"/>
                <w:lang w:val="en-US" w:eastAsia="zh-CN"/>
              </w:rPr>
              <w:t>/</w:t>
            </w:r>
          </w:p>
        </w:tc>
      </w:tr>
      <w:tr w14:paraId="5C87C91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286" w:type="dxa"/>
            <w:vMerge w:val="continue"/>
            <w:vAlign w:val="center"/>
          </w:tcPr>
          <w:p w14:paraId="65ACDF69">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Cs/>
                <w:snapToGrid w:val="0"/>
                <w:color w:val="auto"/>
                <w:kern w:val="21"/>
                <w:sz w:val="21"/>
                <w:szCs w:val="21"/>
                <w:highlight w:val="none"/>
              </w:rPr>
            </w:pPr>
          </w:p>
        </w:tc>
        <w:tc>
          <w:tcPr>
            <w:tcW w:w="1950" w:type="dxa"/>
            <w:vAlign w:val="center"/>
          </w:tcPr>
          <w:p w14:paraId="4AE2678C">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snapToGrid w:val="0"/>
                <w:color w:val="auto"/>
                <w:kern w:val="21"/>
                <w:sz w:val="21"/>
                <w:szCs w:val="21"/>
                <w:highlight w:val="none"/>
                <w:lang w:val="en-US" w:eastAsia="zh-CN" w:bidi="ar-SA"/>
              </w:rPr>
            </w:pPr>
            <w:r>
              <w:rPr>
                <w:rFonts w:hint="default" w:ascii="Times New Roman" w:hAnsi="Times New Roman" w:eastAsia="宋体" w:cs="Times New Roman"/>
                <w:b w:val="0"/>
                <w:bCs/>
                <w:snapToGrid w:val="0"/>
                <w:color w:val="auto"/>
                <w:kern w:val="21"/>
                <w:sz w:val="21"/>
                <w:szCs w:val="21"/>
                <w:highlight w:val="none"/>
              </w:rPr>
              <w:t>NH</w:t>
            </w:r>
            <w:r>
              <w:rPr>
                <w:rFonts w:hint="default" w:ascii="Times New Roman" w:hAnsi="Times New Roman" w:eastAsia="宋体" w:cs="Times New Roman"/>
                <w:b w:val="0"/>
                <w:bCs/>
                <w:snapToGrid w:val="0"/>
                <w:color w:val="auto"/>
                <w:kern w:val="21"/>
                <w:sz w:val="21"/>
                <w:szCs w:val="21"/>
                <w:highlight w:val="none"/>
                <w:vertAlign w:val="subscript"/>
              </w:rPr>
              <w:t>3</w:t>
            </w:r>
            <w:r>
              <w:rPr>
                <w:rFonts w:hint="default" w:ascii="Times New Roman" w:hAnsi="Times New Roman" w:eastAsia="宋体" w:cs="Times New Roman"/>
                <w:b w:val="0"/>
                <w:bCs/>
                <w:snapToGrid w:val="0"/>
                <w:color w:val="auto"/>
                <w:kern w:val="21"/>
                <w:sz w:val="21"/>
                <w:szCs w:val="21"/>
                <w:highlight w:val="none"/>
              </w:rPr>
              <w:t>-N</w:t>
            </w:r>
          </w:p>
        </w:tc>
        <w:tc>
          <w:tcPr>
            <w:tcW w:w="1575" w:type="dxa"/>
            <w:vAlign w:val="center"/>
          </w:tcPr>
          <w:p w14:paraId="6871699F">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snapToGrid w:val="0"/>
                <w:color w:val="auto"/>
                <w:kern w:val="21"/>
                <w:sz w:val="21"/>
                <w:szCs w:val="21"/>
                <w:highlight w:val="none"/>
                <w:lang w:val="en-US" w:eastAsia="zh-CN"/>
              </w:rPr>
            </w:pPr>
            <w:r>
              <w:rPr>
                <w:rFonts w:hint="eastAsia" w:ascii="Times New Roman" w:cs="Times New Roman"/>
                <w:b w:val="0"/>
                <w:bCs/>
                <w:snapToGrid w:val="0"/>
                <w:color w:val="auto"/>
                <w:kern w:val="21"/>
                <w:sz w:val="21"/>
                <w:szCs w:val="21"/>
                <w:highlight w:val="none"/>
                <w:lang w:val="en-US" w:eastAsia="zh-CN"/>
              </w:rPr>
              <w:t>/</w:t>
            </w:r>
          </w:p>
        </w:tc>
        <w:tc>
          <w:tcPr>
            <w:tcW w:w="1260" w:type="dxa"/>
            <w:vAlign w:val="center"/>
          </w:tcPr>
          <w:p w14:paraId="7C4896A9">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snapToGrid w:val="0"/>
                <w:color w:val="auto"/>
                <w:kern w:val="21"/>
                <w:sz w:val="21"/>
                <w:szCs w:val="21"/>
                <w:highlight w:val="none"/>
              </w:rPr>
            </w:pPr>
            <w:r>
              <w:rPr>
                <w:rFonts w:hint="eastAsia" w:ascii="Times New Roman" w:cs="Times New Roman"/>
                <w:b w:val="0"/>
                <w:bCs/>
                <w:snapToGrid w:val="0"/>
                <w:color w:val="auto"/>
                <w:kern w:val="21"/>
                <w:sz w:val="21"/>
                <w:szCs w:val="21"/>
                <w:highlight w:val="none"/>
                <w:lang w:val="en-US" w:eastAsia="zh-CN"/>
              </w:rPr>
              <w:t>/</w:t>
            </w:r>
          </w:p>
        </w:tc>
        <w:tc>
          <w:tcPr>
            <w:tcW w:w="1612" w:type="dxa"/>
            <w:vAlign w:val="center"/>
          </w:tcPr>
          <w:p w14:paraId="63D06994">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snapToGrid w:val="0"/>
                <w:color w:val="auto"/>
                <w:kern w:val="21"/>
                <w:sz w:val="21"/>
                <w:szCs w:val="21"/>
                <w:highlight w:val="none"/>
              </w:rPr>
            </w:pPr>
            <w:r>
              <w:rPr>
                <w:rFonts w:hint="eastAsia" w:ascii="Times New Roman" w:cs="Times New Roman"/>
                <w:b w:val="0"/>
                <w:bCs/>
                <w:snapToGrid w:val="0"/>
                <w:color w:val="auto"/>
                <w:kern w:val="21"/>
                <w:sz w:val="21"/>
                <w:szCs w:val="21"/>
                <w:highlight w:val="none"/>
                <w:lang w:val="en-US" w:eastAsia="zh-CN"/>
              </w:rPr>
              <w:t>/</w:t>
            </w:r>
          </w:p>
        </w:tc>
        <w:tc>
          <w:tcPr>
            <w:tcW w:w="1559" w:type="dxa"/>
            <w:vAlign w:val="center"/>
          </w:tcPr>
          <w:p w14:paraId="33EE2AAD">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b w:val="0"/>
                <w:bCs/>
                <w:snapToGrid w:val="0"/>
                <w:color w:val="auto"/>
                <w:kern w:val="21"/>
                <w:sz w:val="21"/>
                <w:szCs w:val="21"/>
                <w:highlight w:val="none"/>
                <w:lang w:val="en-US" w:eastAsia="zh-CN" w:bidi="ar-SA"/>
              </w:rPr>
            </w:pPr>
            <w:r>
              <w:rPr>
                <w:rFonts w:hint="eastAsia" w:cs="Times New Roman"/>
                <w:color w:val="auto"/>
                <w:kern w:val="2"/>
                <w:sz w:val="21"/>
                <w:szCs w:val="21"/>
                <w:highlight w:val="none"/>
                <w:lang w:val="en-US" w:eastAsia="zh-CN" w:bidi="ar-SA"/>
              </w:rPr>
              <w:t>0.48</w:t>
            </w:r>
          </w:p>
        </w:tc>
        <w:tc>
          <w:tcPr>
            <w:tcW w:w="1761" w:type="dxa"/>
            <w:vAlign w:val="center"/>
          </w:tcPr>
          <w:p w14:paraId="274945FB">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snapToGrid w:val="0"/>
                <w:color w:val="auto"/>
                <w:kern w:val="21"/>
                <w:sz w:val="21"/>
                <w:szCs w:val="21"/>
                <w:highlight w:val="none"/>
              </w:rPr>
            </w:pPr>
            <w:r>
              <w:rPr>
                <w:rFonts w:hint="eastAsia" w:ascii="Times New Roman" w:cs="Times New Roman"/>
                <w:b w:val="0"/>
                <w:bCs/>
                <w:snapToGrid w:val="0"/>
                <w:color w:val="auto"/>
                <w:kern w:val="21"/>
                <w:sz w:val="21"/>
                <w:szCs w:val="21"/>
                <w:highlight w:val="none"/>
                <w:lang w:val="en-US" w:eastAsia="zh-CN"/>
              </w:rPr>
              <w:t>/</w:t>
            </w:r>
          </w:p>
        </w:tc>
        <w:tc>
          <w:tcPr>
            <w:tcW w:w="1742" w:type="dxa"/>
            <w:vAlign w:val="center"/>
          </w:tcPr>
          <w:p w14:paraId="5A51E4B4">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b w:val="0"/>
                <w:bCs/>
                <w:snapToGrid w:val="0"/>
                <w:color w:val="auto"/>
                <w:kern w:val="21"/>
                <w:sz w:val="21"/>
                <w:szCs w:val="21"/>
                <w:highlight w:val="none"/>
                <w:lang w:val="en-US" w:eastAsia="zh-CN" w:bidi="ar-SA"/>
              </w:rPr>
            </w:pPr>
            <w:r>
              <w:rPr>
                <w:rFonts w:hint="eastAsia" w:cs="Times New Roman"/>
                <w:color w:val="auto"/>
                <w:kern w:val="2"/>
                <w:sz w:val="21"/>
                <w:szCs w:val="21"/>
                <w:highlight w:val="none"/>
                <w:lang w:val="en-US" w:eastAsia="zh-CN" w:bidi="ar-SA"/>
              </w:rPr>
              <w:t>0.48</w:t>
            </w:r>
          </w:p>
        </w:tc>
        <w:tc>
          <w:tcPr>
            <w:tcW w:w="1293" w:type="dxa"/>
            <w:vAlign w:val="center"/>
          </w:tcPr>
          <w:p w14:paraId="29A0DB60">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snapToGrid w:val="0"/>
                <w:color w:val="auto"/>
                <w:kern w:val="21"/>
                <w:sz w:val="21"/>
                <w:szCs w:val="21"/>
                <w:highlight w:val="none"/>
              </w:rPr>
            </w:pPr>
            <w:r>
              <w:rPr>
                <w:rFonts w:hint="eastAsia" w:hAnsi="宋体"/>
                <w:color w:val="auto"/>
                <w:szCs w:val="21"/>
                <w:highlight w:val="none"/>
                <w:lang w:val="en-US" w:eastAsia="zh-CN"/>
              </w:rPr>
              <w:t>/</w:t>
            </w:r>
          </w:p>
        </w:tc>
      </w:tr>
      <w:tr w14:paraId="29600C1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286" w:type="dxa"/>
            <w:vMerge w:val="continue"/>
            <w:vAlign w:val="center"/>
          </w:tcPr>
          <w:p w14:paraId="630F8C9C">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Cs/>
                <w:snapToGrid w:val="0"/>
                <w:color w:val="auto"/>
                <w:kern w:val="21"/>
                <w:sz w:val="21"/>
                <w:szCs w:val="21"/>
                <w:highlight w:val="none"/>
              </w:rPr>
            </w:pPr>
          </w:p>
        </w:tc>
        <w:tc>
          <w:tcPr>
            <w:tcW w:w="1950" w:type="dxa"/>
            <w:vAlign w:val="center"/>
          </w:tcPr>
          <w:p w14:paraId="61D53D8B">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cs="Times New Roman"/>
                <w:b w:val="0"/>
                <w:bCs/>
                <w:snapToGrid w:val="0"/>
                <w:color w:val="auto"/>
                <w:kern w:val="21"/>
                <w:sz w:val="21"/>
                <w:szCs w:val="21"/>
                <w:highlight w:val="none"/>
                <w:lang w:val="en-US" w:eastAsia="zh-CN"/>
              </w:rPr>
            </w:pPr>
            <w:r>
              <w:rPr>
                <w:rFonts w:hint="eastAsia" w:ascii="Times New Roman" w:cs="Times New Roman"/>
                <w:b w:val="0"/>
                <w:bCs/>
                <w:snapToGrid w:val="0"/>
                <w:color w:val="auto"/>
                <w:kern w:val="21"/>
                <w:sz w:val="21"/>
                <w:szCs w:val="21"/>
                <w:highlight w:val="none"/>
                <w:lang w:val="en-US" w:eastAsia="zh-CN"/>
              </w:rPr>
              <w:t>TN</w:t>
            </w:r>
          </w:p>
        </w:tc>
        <w:tc>
          <w:tcPr>
            <w:tcW w:w="1575" w:type="dxa"/>
            <w:vAlign w:val="center"/>
          </w:tcPr>
          <w:p w14:paraId="399A68EB">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default" w:ascii="Times New Roman" w:cs="Times New Roman"/>
                <w:b w:val="0"/>
                <w:bCs/>
                <w:snapToGrid w:val="0"/>
                <w:color w:val="auto"/>
                <w:kern w:val="21"/>
                <w:sz w:val="21"/>
                <w:szCs w:val="21"/>
                <w:highlight w:val="none"/>
                <w:lang w:val="en-US" w:eastAsia="zh-CN"/>
              </w:rPr>
            </w:pPr>
            <w:r>
              <w:rPr>
                <w:rFonts w:hint="eastAsia" w:cs="Times New Roman"/>
                <w:b w:val="0"/>
                <w:bCs/>
                <w:snapToGrid w:val="0"/>
                <w:color w:val="auto"/>
                <w:kern w:val="21"/>
                <w:sz w:val="21"/>
                <w:szCs w:val="21"/>
                <w:highlight w:val="none"/>
                <w:lang w:val="en-US" w:eastAsia="zh-CN"/>
              </w:rPr>
              <w:t>/</w:t>
            </w:r>
          </w:p>
        </w:tc>
        <w:tc>
          <w:tcPr>
            <w:tcW w:w="1260" w:type="dxa"/>
            <w:vAlign w:val="center"/>
          </w:tcPr>
          <w:p w14:paraId="0B32FB93">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default" w:ascii="Times New Roman" w:cs="Times New Roman"/>
                <w:b w:val="0"/>
                <w:bCs/>
                <w:snapToGrid w:val="0"/>
                <w:color w:val="auto"/>
                <w:kern w:val="21"/>
                <w:sz w:val="21"/>
                <w:szCs w:val="21"/>
                <w:highlight w:val="none"/>
                <w:lang w:val="en-US" w:eastAsia="zh-CN"/>
              </w:rPr>
            </w:pPr>
            <w:r>
              <w:rPr>
                <w:rFonts w:hint="eastAsia" w:cs="Times New Roman"/>
                <w:b w:val="0"/>
                <w:bCs/>
                <w:snapToGrid w:val="0"/>
                <w:color w:val="auto"/>
                <w:kern w:val="21"/>
                <w:sz w:val="21"/>
                <w:szCs w:val="21"/>
                <w:highlight w:val="none"/>
                <w:lang w:val="en-US" w:eastAsia="zh-CN"/>
              </w:rPr>
              <w:t>/</w:t>
            </w:r>
          </w:p>
        </w:tc>
        <w:tc>
          <w:tcPr>
            <w:tcW w:w="1612" w:type="dxa"/>
            <w:vAlign w:val="center"/>
          </w:tcPr>
          <w:p w14:paraId="6925612F">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default" w:ascii="Times New Roman" w:cs="Times New Roman"/>
                <w:b w:val="0"/>
                <w:bCs/>
                <w:snapToGrid w:val="0"/>
                <w:color w:val="auto"/>
                <w:kern w:val="21"/>
                <w:sz w:val="21"/>
                <w:szCs w:val="21"/>
                <w:highlight w:val="none"/>
                <w:lang w:val="en-US" w:eastAsia="zh-CN"/>
              </w:rPr>
            </w:pPr>
            <w:r>
              <w:rPr>
                <w:rFonts w:hint="eastAsia" w:cs="Times New Roman"/>
                <w:b w:val="0"/>
                <w:bCs/>
                <w:snapToGrid w:val="0"/>
                <w:color w:val="auto"/>
                <w:kern w:val="21"/>
                <w:sz w:val="21"/>
                <w:szCs w:val="21"/>
                <w:highlight w:val="none"/>
                <w:lang w:val="en-US" w:eastAsia="zh-CN"/>
              </w:rPr>
              <w:t>/</w:t>
            </w:r>
          </w:p>
        </w:tc>
        <w:tc>
          <w:tcPr>
            <w:tcW w:w="1559" w:type="dxa"/>
            <w:vAlign w:val="center"/>
          </w:tcPr>
          <w:p w14:paraId="224EE496">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0.864</w:t>
            </w:r>
          </w:p>
        </w:tc>
        <w:tc>
          <w:tcPr>
            <w:tcW w:w="1761" w:type="dxa"/>
            <w:shd w:val="clear" w:color="auto" w:fill="auto"/>
            <w:vAlign w:val="center"/>
          </w:tcPr>
          <w:p w14:paraId="398921E4">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val="0"/>
                <w:bCs/>
                <w:snapToGrid w:val="0"/>
                <w:color w:val="auto"/>
                <w:kern w:val="21"/>
                <w:sz w:val="21"/>
                <w:szCs w:val="21"/>
                <w:highlight w:val="none"/>
                <w:lang w:val="en-US" w:eastAsia="zh-CN" w:bidi="ar-SA"/>
              </w:rPr>
            </w:pPr>
            <w:r>
              <w:rPr>
                <w:rFonts w:hint="eastAsia" w:cs="Times New Roman"/>
                <w:b w:val="0"/>
                <w:bCs/>
                <w:snapToGrid w:val="0"/>
                <w:color w:val="auto"/>
                <w:kern w:val="21"/>
                <w:sz w:val="21"/>
                <w:szCs w:val="21"/>
                <w:highlight w:val="none"/>
                <w:lang w:val="en-US" w:eastAsia="zh-CN"/>
              </w:rPr>
              <w:t>/</w:t>
            </w:r>
          </w:p>
        </w:tc>
        <w:tc>
          <w:tcPr>
            <w:tcW w:w="1742" w:type="dxa"/>
            <w:shd w:val="clear" w:color="auto" w:fill="auto"/>
            <w:vAlign w:val="center"/>
          </w:tcPr>
          <w:p w14:paraId="51727D68">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0.864</w:t>
            </w:r>
          </w:p>
        </w:tc>
        <w:tc>
          <w:tcPr>
            <w:tcW w:w="1293" w:type="dxa"/>
            <w:vAlign w:val="center"/>
          </w:tcPr>
          <w:p w14:paraId="3E59CC90">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snapToGrid w:val="0"/>
                <w:color w:val="auto"/>
                <w:kern w:val="21"/>
                <w:sz w:val="21"/>
                <w:szCs w:val="21"/>
                <w:highlight w:val="none"/>
                <w:lang w:val="en-US" w:eastAsia="zh-CN"/>
              </w:rPr>
            </w:pPr>
            <w:r>
              <w:rPr>
                <w:rFonts w:hint="eastAsia" w:cs="Times New Roman"/>
                <w:snapToGrid w:val="0"/>
                <w:color w:val="auto"/>
                <w:kern w:val="21"/>
                <w:sz w:val="21"/>
                <w:szCs w:val="21"/>
                <w:highlight w:val="none"/>
                <w:lang w:val="en-US" w:eastAsia="zh-CN"/>
              </w:rPr>
              <w:t>/</w:t>
            </w:r>
          </w:p>
        </w:tc>
      </w:tr>
      <w:tr w14:paraId="7D28088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286" w:type="dxa"/>
            <w:vMerge w:val="continue"/>
            <w:vAlign w:val="center"/>
          </w:tcPr>
          <w:p w14:paraId="414351EF">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Cs/>
                <w:snapToGrid w:val="0"/>
                <w:color w:val="auto"/>
                <w:kern w:val="21"/>
                <w:sz w:val="21"/>
                <w:szCs w:val="21"/>
                <w:highlight w:val="none"/>
              </w:rPr>
            </w:pPr>
          </w:p>
        </w:tc>
        <w:tc>
          <w:tcPr>
            <w:tcW w:w="1950" w:type="dxa"/>
            <w:vAlign w:val="center"/>
          </w:tcPr>
          <w:p w14:paraId="6A0C6739">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color w:val="auto"/>
                <w:highlight w:val="none"/>
                <w:lang w:val="en-US" w:eastAsia="zh-CN"/>
              </w:rPr>
            </w:pPr>
            <w:r>
              <w:rPr>
                <w:rFonts w:hint="eastAsia" w:ascii="Times New Roman" w:cs="Times New Roman"/>
                <w:b w:val="0"/>
                <w:bCs/>
                <w:snapToGrid w:val="0"/>
                <w:color w:val="auto"/>
                <w:kern w:val="21"/>
                <w:sz w:val="21"/>
                <w:szCs w:val="21"/>
                <w:highlight w:val="none"/>
                <w:lang w:val="en-US" w:eastAsia="zh-CN"/>
              </w:rPr>
              <w:t>TP</w:t>
            </w:r>
          </w:p>
        </w:tc>
        <w:tc>
          <w:tcPr>
            <w:tcW w:w="1575" w:type="dxa"/>
            <w:vAlign w:val="center"/>
          </w:tcPr>
          <w:p w14:paraId="42053A57">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ascii="Times New Roman" w:cs="Times New Roman"/>
                <w:b w:val="0"/>
                <w:bCs/>
                <w:snapToGrid w:val="0"/>
                <w:color w:val="auto"/>
                <w:kern w:val="21"/>
                <w:sz w:val="21"/>
                <w:szCs w:val="21"/>
                <w:highlight w:val="none"/>
                <w:lang w:val="en-US" w:eastAsia="zh-CN"/>
              </w:rPr>
            </w:pPr>
            <w:r>
              <w:rPr>
                <w:rFonts w:hint="eastAsia" w:ascii="Times New Roman" w:cs="Times New Roman"/>
                <w:b w:val="0"/>
                <w:bCs/>
                <w:snapToGrid w:val="0"/>
                <w:color w:val="auto"/>
                <w:kern w:val="21"/>
                <w:sz w:val="21"/>
                <w:szCs w:val="21"/>
                <w:highlight w:val="none"/>
                <w:lang w:val="en-US" w:eastAsia="zh-CN"/>
              </w:rPr>
              <w:t>/</w:t>
            </w:r>
          </w:p>
        </w:tc>
        <w:tc>
          <w:tcPr>
            <w:tcW w:w="1260" w:type="dxa"/>
            <w:vAlign w:val="center"/>
          </w:tcPr>
          <w:p w14:paraId="56C9B6B6">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ascii="Times New Roman" w:cs="Times New Roman"/>
                <w:b w:val="0"/>
                <w:bCs/>
                <w:snapToGrid w:val="0"/>
                <w:color w:val="auto"/>
                <w:kern w:val="21"/>
                <w:sz w:val="21"/>
                <w:szCs w:val="21"/>
                <w:highlight w:val="none"/>
                <w:lang w:val="en-US" w:eastAsia="zh-CN"/>
              </w:rPr>
            </w:pPr>
            <w:r>
              <w:rPr>
                <w:rFonts w:hint="eastAsia" w:ascii="Times New Roman" w:cs="Times New Roman"/>
                <w:b w:val="0"/>
                <w:bCs/>
                <w:snapToGrid w:val="0"/>
                <w:color w:val="auto"/>
                <w:kern w:val="21"/>
                <w:sz w:val="21"/>
                <w:szCs w:val="21"/>
                <w:highlight w:val="none"/>
                <w:lang w:val="en-US" w:eastAsia="zh-CN"/>
              </w:rPr>
              <w:t>/</w:t>
            </w:r>
          </w:p>
        </w:tc>
        <w:tc>
          <w:tcPr>
            <w:tcW w:w="1612" w:type="dxa"/>
            <w:vAlign w:val="center"/>
          </w:tcPr>
          <w:p w14:paraId="041ED125">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ascii="Times New Roman" w:cs="Times New Roman"/>
                <w:b w:val="0"/>
                <w:bCs/>
                <w:snapToGrid w:val="0"/>
                <w:color w:val="auto"/>
                <w:kern w:val="21"/>
                <w:sz w:val="21"/>
                <w:szCs w:val="21"/>
                <w:highlight w:val="none"/>
                <w:lang w:val="en-US" w:eastAsia="zh-CN"/>
              </w:rPr>
            </w:pPr>
            <w:r>
              <w:rPr>
                <w:rFonts w:hint="eastAsia" w:ascii="Times New Roman" w:cs="Times New Roman"/>
                <w:b w:val="0"/>
                <w:bCs/>
                <w:snapToGrid w:val="0"/>
                <w:color w:val="auto"/>
                <w:kern w:val="21"/>
                <w:sz w:val="21"/>
                <w:szCs w:val="21"/>
                <w:highlight w:val="none"/>
                <w:lang w:val="en-US" w:eastAsia="zh-CN"/>
              </w:rPr>
              <w:t>/</w:t>
            </w:r>
          </w:p>
        </w:tc>
        <w:tc>
          <w:tcPr>
            <w:tcW w:w="1559" w:type="dxa"/>
            <w:vAlign w:val="center"/>
          </w:tcPr>
          <w:p w14:paraId="42BB88EE">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b w:val="0"/>
                <w:bCs/>
                <w:snapToGrid w:val="0"/>
                <w:color w:val="auto"/>
                <w:kern w:val="21"/>
                <w:sz w:val="21"/>
                <w:szCs w:val="21"/>
                <w:highlight w:val="none"/>
                <w:lang w:val="en-US" w:eastAsia="zh-CN" w:bidi="ar-SA"/>
              </w:rPr>
            </w:pPr>
            <w:r>
              <w:rPr>
                <w:rFonts w:hint="eastAsia" w:cs="Times New Roman"/>
                <w:color w:val="auto"/>
                <w:kern w:val="2"/>
                <w:sz w:val="21"/>
                <w:szCs w:val="21"/>
                <w:highlight w:val="none"/>
                <w:lang w:val="en-US" w:eastAsia="zh-CN" w:bidi="ar-SA"/>
              </w:rPr>
              <w:t>0.096</w:t>
            </w:r>
          </w:p>
        </w:tc>
        <w:tc>
          <w:tcPr>
            <w:tcW w:w="1761" w:type="dxa"/>
            <w:vAlign w:val="center"/>
          </w:tcPr>
          <w:p w14:paraId="77C77DA8">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ascii="Times New Roman" w:cs="Times New Roman"/>
                <w:b w:val="0"/>
                <w:bCs/>
                <w:snapToGrid w:val="0"/>
                <w:color w:val="auto"/>
                <w:kern w:val="21"/>
                <w:sz w:val="21"/>
                <w:szCs w:val="21"/>
                <w:highlight w:val="none"/>
                <w:lang w:val="en-US" w:eastAsia="zh-CN"/>
              </w:rPr>
            </w:pPr>
            <w:r>
              <w:rPr>
                <w:rFonts w:hint="eastAsia" w:ascii="Times New Roman" w:hAnsi="Times New Roman" w:eastAsia="宋体" w:cs="Times New Roman"/>
                <w:snapToGrid w:val="0"/>
                <w:color w:val="auto"/>
                <w:kern w:val="21"/>
                <w:sz w:val="21"/>
                <w:szCs w:val="21"/>
                <w:highlight w:val="none"/>
                <w:lang w:val="en-US" w:eastAsia="zh-CN"/>
              </w:rPr>
              <w:t>/</w:t>
            </w:r>
          </w:p>
        </w:tc>
        <w:tc>
          <w:tcPr>
            <w:tcW w:w="1742" w:type="dxa"/>
            <w:vAlign w:val="center"/>
          </w:tcPr>
          <w:p w14:paraId="5DE7FC58">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b w:val="0"/>
                <w:bCs/>
                <w:snapToGrid w:val="0"/>
                <w:color w:val="auto"/>
                <w:kern w:val="21"/>
                <w:sz w:val="21"/>
                <w:szCs w:val="21"/>
                <w:highlight w:val="none"/>
                <w:lang w:val="en-US" w:eastAsia="zh-CN" w:bidi="ar-SA"/>
              </w:rPr>
            </w:pPr>
            <w:r>
              <w:rPr>
                <w:rFonts w:hint="eastAsia" w:cs="Times New Roman"/>
                <w:color w:val="auto"/>
                <w:kern w:val="2"/>
                <w:sz w:val="21"/>
                <w:szCs w:val="21"/>
                <w:highlight w:val="none"/>
                <w:lang w:val="en-US" w:eastAsia="zh-CN" w:bidi="ar-SA"/>
              </w:rPr>
              <w:t>0.096</w:t>
            </w:r>
          </w:p>
        </w:tc>
        <w:tc>
          <w:tcPr>
            <w:tcW w:w="1293" w:type="dxa"/>
            <w:vAlign w:val="center"/>
          </w:tcPr>
          <w:p w14:paraId="53956D9E">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hAnsi="宋体"/>
                <w:color w:val="auto"/>
                <w:szCs w:val="21"/>
                <w:highlight w:val="none"/>
                <w:lang w:val="en-US" w:eastAsia="zh-CN"/>
              </w:rPr>
            </w:pPr>
            <w:r>
              <w:rPr>
                <w:rFonts w:hint="eastAsia" w:ascii="Times New Roman" w:hAnsi="Times New Roman" w:eastAsia="宋体" w:cs="Times New Roman"/>
                <w:snapToGrid w:val="0"/>
                <w:color w:val="auto"/>
                <w:kern w:val="21"/>
                <w:sz w:val="21"/>
                <w:szCs w:val="21"/>
                <w:highlight w:val="none"/>
                <w:lang w:val="en-US" w:eastAsia="zh-CN"/>
              </w:rPr>
              <w:t>/</w:t>
            </w:r>
          </w:p>
        </w:tc>
      </w:tr>
      <w:tr w14:paraId="33AD3A9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286" w:type="dxa"/>
            <w:vMerge w:val="continue"/>
            <w:vAlign w:val="center"/>
          </w:tcPr>
          <w:p w14:paraId="0559AC25">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Cs/>
                <w:snapToGrid w:val="0"/>
                <w:color w:val="auto"/>
                <w:kern w:val="21"/>
                <w:sz w:val="21"/>
                <w:szCs w:val="21"/>
                <w:highlight w:val="none"/>
              </w:rPr>
            </w:pPr>
          </w:p>
        </w:tc>
        <w:tc>
          <w:tcPr>
            <w:tcW w:w="1950" w:type="dxa"/>
            <w:vAlign w:val="center"/>
          </w:tcPr>
          <w:p w14:paraId="4593BCA5">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val="0"/>
                <w:bCs/>
                <w:snapToGrid w:val="0"/>
                <w:color w:val="auto"/>
                <w:kern w:val="21"/>
                <w:sz w:val="21"/>
                <w:szCs w:val="21"/>
                <w:highlight w:val="none"/>
                <w:lang w:val="en-US" w:eastAsia="zh-CN"/>
              </w:rPr>
            </w:pPr>
            <w:r>
              <w:rPr>
                <w:rFonts w:hint="eastAsia" w:ascii="Times New Roman" w:cs="Times New Roman"/>
                <w:b w:val="0"/>
                <w:bCs/>
                <w:snapToGrid w:val="0"/>
                <w:color w:val="auto"/>
                <w:kern w:val="21"/>
                <w:sz w:val="21"/>
                <w:szCs w:val="21"/>
                <w:highlight w:val="none"/>
                <w:lang w:val="en-US" w:eastAsia="zh-CN"/>
              </w:rPr>
              <w:t>动植物油</w:t>
            </w:r>
          </w:p>
        </w:tc>
        <w:tc>
          <w:tcPr>
            <w:tcW w:w="1575" w:type="dxa"/>
            <w:vAlign w:val="center"/>
          </w:tcPr>
          <w:p w14:paraId="194BFC93">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snapToGrid w:val="0"/>
                <w:color w:val="auto"/>
                <w:kern w:val="21"/>
                <w:sz w:val="21"/>
                <w:szCs w:val="21"/>
                <w:highlight w:val="none"/>
                <w:lang w:val="en-US" w:eastAsia="zh-CN"/>
              </w:rPr>
            </w:pPr>
            <w:r>
              <w:rPr>
                <w:rFonts w:hint="eastAsia" w:ascii="Times New Roman" w:cs="Times New Roman"/>
                <w:b w:val="0"/>
                <w:bCs/>
                <w:snapToGrid w:val="0"/>
                <w:color w:val="auto"/>
                <w:kern w:val="21"/>
                <w:sz w:val="21"/>
                <w:szCs w:val="21"/>
                <w:highlight w:val="none"/>
                <w:lang w:val="en-US" w:eastAsia="zh-CN"/>
              </w:rPr>
              <w:t>/</w:t>
            </w:r>
          </w:p>
        </w:tc>
        <w:tc>
          <w:tcPr>
            <w:tcW w:w="1260" w:type="dxa"/>
            <w:vAlign w:val="center"/>
          </w:tcPr>
          <w:p w14:paraId="001807A4">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snapToGrid w:val="0"/>
                <w:color w:val="auto"/>
                <w:kern w:val="21"/>
                <w:sz w:val="21"/>
                <w:szCs w:val="21"/>
                <w:highlight w:val="none"/>
              </w:rPr>
            </w:pPr>
            <w:r>
              <w:rPr>
                <w:rFonts w:hint="eastAsia" w:ascii="Times New Roman" w:cs="Times New Roman"/>
                <w:b w:val="0"/>
                <w:bCs/>
                <w:snapToGrid w:val="0"/>
                <w:color w:val="auto"/>
                <w:kern w:val="21"/>
                <w:sz w:val="21"/>
                <w:szCs w:val="21"/>
                <w:highlight w:val="none"/>
                <w:lang w:val="en-US" w:eastAsia="zh-CN"/>
              </w:rPr>
              <w:t>/</w:t>
            </w:r>
          </w:p>
        </w:tc>
        <w:tc>
          <w:tcPr>
            <w:tcW w:w="1612" w:type="dxa"/>
            <w:vAlign w:val="center"/>
          </w:tcPr>
          <w:p w14:paraId="47447D30">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snapToGrid w:val="0"/>
                <w:color w:val="auto"/>
                <w:kern w:val="21"/>
                <w:sz w:val="21"/>
                <w:szCs w:val="21"/>
                <w:highlight w:val="none"/>
              </w:rPr>
            </w:pPr>
            <w:r>
              <w:rPr>
                <w:rFonts w:hint="eastAsia" w:ascii="Times New Roman" w:cs="Times New Roman"/>
                <w:b w:val="0"/>
                <w:bCs/>
                <w:snapToGrid w:val="0"/>
                <w:color w:val="auto"/>
                <w:kern w:val="21"/>
                <w:sz w:val="21"/>
                <w:szCs w:val="21"/>
                <w:highlight w:val="none"/>
                <w:lang w:val="en-US" w:eastAsia="zh-CN"/>
              </w:rPr>
              <w:t>/</w:t>
            </w:r>
          </w:p>
        </w:tc>
        <w:tc>
          <w:tcPr>
            <w:tcW w:w="1559" w:type="dxa"/>
            <w:vAlign w:val="center"/>
          </w:tcPr>
          <w:p w14:paraId="44B2DA72">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b w:val="0"/>
                <w:bCs/>
                <w:snapToGrid w:val="0"/>
                <w:color w:val="auto"/>
                <w:kern w:val="21"/>
                <w:sz w:val="21"/>
                <w:szCs w:val="21"/>
                <w:highlight w:val="none"/>
                <w:lang w:val="en-US" w:eastAsia="zh-CN" w:bidi="ar-SA"/>
              </w:rPr>
            </w:pPr>
            <w:r>
              <w:rPr>
                <w:rFonts w:hint="eastAsia" w:cs="Times New Roman"/>
                <w:color w:val="auto"/>
                <w:kern w:val="2"/>
                <w:sz w:val="21"/>
                <w:szCs w:val="21"/>
                <w:highlight w:val="none"/>
                <w:lang w:val="en-US" w:eastAsia="zh-CN" w:bidi="ar-SA"/>
              </w:rPr>
              <w:t>0.115</w:t>
            </w:r>
          </w:p>
        </w:tc>
        <w:tc>
          <w:tcPr>
            <w:tcW w:w="1761" w:type="dxa"/>
            <w:vAlign w:val="center"/>
          </w:tcPr>
          <w:p w14:paraId="4737A030">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snapToGrid w:val="0"/>
                <w:color w:val="auto"/>
                <w:kern w:val="21"/>
                <w:sz w:val="21"/>
                <w:szCs w:val="21"/>
                <w:highlight w:val="none"/>
              </w:rPr>
            </w:pPr>
            <w:r>
              <w:rPr>
                <w:rFonts w:hint="eastAsia" w:ascii="Times New Roman" w:cs="Times New Roman"/>
                <w:b w:val="0"/>
                <w:bCs/>
                <w:snapToGrid w:val="0"/>
                <w:color w:val="auto"/>
                <w:kern w:val="21"/>
                <w:sz w:val="21"/>
                <w:szCs w:val="21"/>
                <w:highlight w:val="none"/>
                <w:lang w:val="en-US" w:eastAsia="zh-CN"/>
              </w:rPr>
              <w:t>/</w:t>
            </w:r>
          </w:p>
        </w:tc>
        <w:tc>
          <w:tcPr>
            <w:tcW w:w="1742" w:type="dxa"/>
            <w:vAlign w:val="center"/>
          </w:tcPr>
          <w:p w14:paraId="50A95069">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b w:val="0"/>
                <w:bCs/>
                <w:snapToGrid w:val="0"/>
                <w:color w:val="auto"/>
                <w:kern w:val="21"/>
                <w:sz w:val="21"/>
                <w:szCs w:val="21"/>
                <w:highlight w:val="none"/>
                <w:lang w:val="en-US" w:eastAsia="zh-CN" w:bidi="ar-SA"/>
              </w:rPr>
            </w:pPr>
            <w:r>
              <w:rPr>
                <w:rFonts w:hint="eastAsia" w:cs="Times New Roman"/>
                <w:color w:val="auto"/>
                <w:kern w:val="2"/>
                <w:sz w:val="21"/>
                <w:szCs w:val="21"/>
                <w:highlight w:val="none"/>
                <w:lang w:val="en-US" w:eastAsia="zh-CN" w:bidi="ar-SA"/>
              </w:rPr>
              <w:t>0.115</w:t>
            </w:r>
          </w:p>
        </w:tc>
        <w:tc>
          <w:tcPr>
            <w:tcW w:w="1293" w:type="dxa"/>
            <w:vAlign w:val="center"/>
          </w:tcPr>
          <w:p w14:paraId="150D3D7E">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snapToGrid w:val="0"/>
                <w:color w:val="auto"/>
                <w:kern w:val="21"/>
                <w:sz w:val="21"/>
                <w:szCs w:val="21"/>
                <w:highlight w:val="none"/>
              </w:rPr>
            </w:pPr>
            <w:r>
              <w:rPr>
                <w:rFonts w:hint="eastAsia" w:hAnsi="宋体"/>
                <w:color w:val="auto"/>
                <w:szCs w:val="21"/>
                <w:highlight w:val="none"/>
                <w:lang w:val="en-US" w:eastAsia="zh-CN"/>
              </w:rPr>
              <w:t>/</w:t>
            </w:r>
          </w:p>
        </w:tc>
      </w:tr>
      <w:tr w14:paraId="2B1F06E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286" w:type="dxa"/>
            <w:vMerge w:val="restart"/>
            <w:vAlign w:val="center"/>
          </w:tcPr>
          <w:p w14:paraId="4A6C9B9B">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Cs/>
                <w:snapToGrid w:val="0"/>
                <w:color w:val="auto"/>
                <w:kern w:val="21"/>
                <w:sz w:val="21"/>
                <w:szCs w:val="21"/>
                <w:highlight w:val="none"/>
              </w:rPr>
            </w:pPr>
            <w:r>
              <w:rPr>
                <w:rFonts w:hint="default" w:ascii="Times New Roman" w:hAnsi="Times New Roman" w:eastAsia="宋体" w:cs="Times New Roman"/>
                <w:bCs/>
                <w:snapToGrid w:val="0"/>
                <w:color w:val="auto"/>
                <w:kern w:val="21"/>
                <w:sz w:val="21"/>
                <w:szCs w:val="21"/>
                <w:highlight w:val="none"/>
              </w:rPr>
              <w:t>一般工业</w:t>
            </w:r>
          </w:p>
          <w:p w14:paraId="3FD4C414">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Cs/>
                <w:snapToGrid w:val="0"/>
                <w:color w:val="auto"/>
                <w:kern w:val="21"/>
                <w:sz w:val="21"/>
                <w:szCs w:val="21"/>
                <w:highlight w:val="none"/>
              </w:rPr>
            </w:pPr>
            <w:r>
              <w:rPr>
                <w:rFonts w:hint="default" w:ascii="Times New Roman" w:hAnsi="Times New Roman" w:eastAsia="宋体" w:cs="Times New Roman"/>
                <w:bCs/>
                <w:snapToGrid w:val="0"/>
                <w:color w:val="auto"/>
                <w:kern w:val="21"/>
                <w:sz w:val="21"/>
                <w:szCs w:val="21"/>
                <w:highlight w:val="none"/>
              </w:rPr>
              <w:t>固体废物</w:t>
            </w:r>
          </w:p>
        </w:tc>
        <w:tc>
          <w:tcPr>
            <w:tcW w:w="1950" w:type="dxa"/>
            <w:vAlign w:val="center"/>
          </w:tcPr>
          <w:p w14:paraId="77EFABC6">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废包装袋</w:t>
            </w:r>
          </w:p>
        </w:tc>
        <w:tc>
          <w:tcPr>
            <w:tcW w:w="1575" w:type="dxa"/>
            <w:vAlign w:val="center"/>
          </w:tcPr>
          <w:p w14:paraId="5B05B139">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snapToGrid w:val="0"/>
                <w:color w:val="auto"/>
                <w:kern w:val="21"/>
                <w:sz w:val="21"/>
                <w:szCs w:val="21"/>
                <w:highlight w:val="none"/>
                <w:lang w:val="en-US" w:eastAsia="zh-CN"/>
              </w:rPr>
            </w:pPr>
            <w:r>
              <w:rPr>
                <w:rFonts w:hint="eastAsia" w:ascii="Times New Roman" w:hAnsi="Times New Roman" w:eastAsia="宋体" w:cs="Times New Roman"/>
                <w:b w:val="0"/>
                <w:bCs/>
                <w:snapToGrid w:val="0"/>
                <w:color w:val="auto"/>
                <w:kern w:val="21"/>
                <w:sz w:val="21"/>
                <w:szCs w:val="21"/>
                <w:highlight w:val="none"/>
                <w:lang w:val="en-US" w:eastAsia="zh-CN"/>
              </w:rPr>
              <w:t>/</w:t>
            </w:r>
          </w:p>
        </w:tc>
        <w:tc>
          <w:tcPr>
            <w:tcW w:w="1260" w:type="dxa"/>
            <w:vAlign w:val="center"/>
          </w:tcPr>
          <w:p w14:paraId="3E8A5980">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snapToGrid w:val="0"/>
                <w:color w:val="auto"/>
                <w:kern w:val="21"/>
                <w:sz w:val="21"/>
                <w:szCs w:val="21"/>
                <w:highlight w:val="none"/>
                <w:lang w:val="en-US" w:eastAsia="zh-CN"/>
              </w:rPr>
            </w:pPr>
            <w:r>
              <w:rPr>
                <w:rFonts w:hint="eastAsia" w:ascii="Times New Roman" w:hAnsi="Times New Roman" w:eastAsia="宋体" w:cs="Times New Roman"/>
                <w:b w:val="0"/>
                <w:bCs/>
                <w:snapToGrid w:val="0"/>
                <w:color w:val="auto"/>
                <w:kern w:val="21"/>
                <w:sz w:val="21"/>
                <w:szCs w:val="21"/>
                <w:highlight w:val="none"/>
                <w:lang w:val="en-US" w:eastAsia="zh-CN"/>
              </w:rPr>
              <w:t>/</w:t>
            </w:r>
          </w:p>
        </w:tc>
        <w:tc>
          <w:tcPr>
            <w:tcW w:w="1612" w:type="dxa"/>
            <w:vAlign w:val="center"/>
          </w:tcPr>
          <w:p w14:paraId="32FB90A7">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snapToGrid w:val="0"/>
                <w:color w:val="auto"/>
                <w:kern w:val="21"/>
                <w:sz w:val="21"/>
                <w:szCs w:val="21"/>
                <w:highlight w:val="none"/>
                <w:lang w:val="en-US" w:eastAsia="zh-CN"/>
              </w:rPr>
            </w:pPr>
            <w:r>
              <w:rPr>
                <w:rFonts w:hint="eastAsia" w:ascii="Times New Roman" w:hAnsi="Times New Roman" w:eastAsia="宋体" w:cs="Times New Roman"/>
                <w:b w:val="0"/>
                <w:bCs/>
                <w:snapToGrid w:val="0"/>
                <w:color w:val="auto"/>
                <w:kern w:val="21"/>
                <w:sz w:val="21"/>
                <w:szCs w:val="21"/>
                <w:highlight w:val="none"/>
                <w:lang w:val="en-US" w:eastAsia="zh-CN"/>
              </w:rPr>
              <w:t>/</w:t>
            </w:r>
          </w:p>
        </w:tc>
        <w:tc>
          <w:tcPr>
            <w:tcW w:w="1559" w:type="dxa"/>
            <w:vAlign w:val="center"/>
          </w:tcPr>
          <w:p w14:paraId="06B14B70">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1</w:t>
            </w:r>
          </w:p>
        </w:tc>
        <w:tc>
          <w:tcPr>
            <w:tcW w:w="1761" w:type="dxa"/>
            <w:vAlign w:val="center"/>
          </w:tcPr>
          <w:p w14:paraId="61CC65DC">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snapToGrid w:val="0"/>
                <w:color w:val="auto"/>
                <w:kern w:val="21"/>
                <w:sz w:val="21"/>
                <w:szCs w:val="21"/>
                <w:highlight w:val="none"/>
                <w:lang w:val="en-US" w:eastAsia="zh-CN"/>
              </w:rPr>
            </w:pPr>
            <w:r>
              <w:rPr>
                <w:rFonts w:hint="eastAsia" w:ascii="Times New Roman" w:hAnsi="Times New Roman" w:eastAsia="宋体" w:cs="Times New Roman"/>
                <w:b w:val="0"/>
                <w:bCs/>
                <w:snapToGrid w:val="0"/>
                <w:color w:val="auto"/>
                <w:kern w:val="21"/>
                <w:sz w:val="21"/>
                <w:szCs w:val="21"/>
                <w:highlight w:val="none"/>
                <w:lang w:val="en-US" w:eastAsia="zh-CN"/>
              </w:rPr>
              <w:t>/</w:t>
            </w:r>
          </w:p>
        </w:tc>
        <w:tc>
          <w:tcPr>
            <w:tcW w:w="1742" w:type="dxa"/>
            <w:vAlign w:val="center"/>
          </w:tcPr>
          <w:p w14:paraId="4403E6A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1</w:t>
            </w:r>
          </w:p>
        </w:tc>
        <w:tc>
          <w:tcPr>
            <w:tcW w:w="1293" w:type="dxa"/>
            <w:vAlign w:val="center"/>
          </w:tcPr>
          <w:p w14:paraId="7C000BFA">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snapToGrid w:val="0"/>
                <w:color w:val="auto"/>
                <w:kern w:val="21"/>
                <w:sz w:val="21"/>
                <w:szCs w:val="21"/>
                <w:highlight w:val="none"/>
                <w:lang w:val="en-US" w:eastAsia="zh-CN"/>
              </w:rPr>
            </w:pPr>
            <w:r>
              <w:rPr>
                <w:rFonts w:hint="eastAsia" w:hAnsi="宋体"/>
                <w:color w:val="auto"/>
                <w:szCs w:val="21"/>
                <w:highlight w:val="none"/>
                <w:lang w:val="en-US" w:eastAsia="zh-CN"/>
              </w:rPr>
              <w:t>/</w:t>
            </w:r>
          </w:p>
        </w:tc>
      </w:tr>
      <w:tr w14:paraId="1ECDC20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286" w:type="dxa"/>
            <w:vMerge w:val="continue"/>
            <w:vAlign w:val="center"/>
          </w:tcPr>
          <w:p w14:paraId="20E75500">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Cs/>
                <w:snapToGrid w:val="0"/>
                <w:color w:val="auto"/>
                <w:kern w:val="21"/>
                <w:sz w:val="21"/>
                <w:szCs w:val="21"/>
                <w:highlight w:val="none"/>
              </w:rPr>
            </w:pPr>
          </w:p>
        </w:tc>
        <w:tc>
          <w:tcPr>
            <w:tcW w:w="1950" w:type="dxa"/>
            <w:vAlign w:val="center"/>
          </w:tcPr>
          <w:p w14:paraId="3A3D61FE">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废边角料</w:t>
            </w:r>
          </w:p>
        </w:tc>
        <w:tc>
          <w:tcPr>
            <w:tcW w:w="1575" w:type="dxa"/>
            <w:vAlign w:val="center"/>
          </w:tcPr>
          <w:p w14:paraId="754CEF5E">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snapToGrid w:val="0"/>
                <w:color w:val="auto"/>
                <w:kern w:val="21"/>
                <w:sz w:val="21"/>
                <w:szCs w:val="21"/>
                <w:highlight w:val="none"/>
                <w:lang w:val="en-US" w:eastAsia="zh-CN"/>
              </w:rPr>
            </w:pPr>
            <w:r>
              <w:rPr>
                <w:rFonts w:hint="eastAsia" w:ascii="Times New Roman" w:hAnsi="Times New Roman" w:eastAsia="宋体" w:cs="Times New Roman"/>
                <w:b w:val="0"/>
                <w:bCs/>
                <w:snapToGrid w:val="0"/>
                <w:color w:val="auto"/>
                <w:kern w:val="21"/>
                <w:sz w:val="21"/>
                <w:szCs w:val="21"/>
                <w:highlight w:val="none"/>
                <w:lang w:val="en-US" w:eastAsia="zh-CN"/>
              </w:rPr>
              <w:t>/</w:t>
            </w:r>
          </w:p>
        </w:tc>
        <w:tc>
          <w:tcPr>
            <w:tcW w:w="1260" w:type="dxa"/>
            <w:vAlign w:val="center"/>
          </w:tcPr>
          <w:p w14:paraId="4728E5D6">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snapToGrid w:val="0"/>
                <w:color w:val="auto"/>
                <w:kern w:val="21"/>
                <w:sz w:val="21"/>
                <w:szCs w:val="21"/>
                <w:highlight w:val="none"/>
                <w:lang w:val="en-US" w:eastAsia="zh-CN"/>
              </w:rPr>
            </w:pPr>
            <w:r>
              <w:rPr>
                <w:rFonts w:hint="eastAsia" w:ascii="Times New Roman" w:hAnsi="Times New Roman" w:eastAsia="宋体" w:cs="Times New Roman"/>
                <w:b w:val="0"/>
                <w:bCs/>
                <w:snapToGrid w:val="0"/>
                <w:color w:val="auto"/>
                <w:kern w:val="21"/>
                <w:sz w:val="21"/>
                <w:szCs w:val="21"/>
                <w:highlight w:val="none"/>
                <w:lang w:val="en-US" w:eastAsia="zh-CN"/>
              </w:rPr>
              <w:t>/</w:t>
            </w:r>
          </w:p>
        </w:tc>
        <w:tc>
          <w:tcPr>
            <w:tcW w:w="1612" w:type="dxa"/>
            <w:vAlign w:val="center"/>
          </w:tcPr>
          <w:p w14:paraId="074BAFB5">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snapToGrid w:val="0"/>
                <w:color w:val="auto"/>
                <w:kern w:val="21"/>
                <w:sz w:val="21"/>
                <w:szCs w:val="21"/>
                <w:highlight w:val="none"/>
                <w:lang w:val="en-US" w:eastAsia="zh-CN"/>
              </w:rPr>
            </w:pPr>
            <w:r>
              <w:rPr>
                <w:rFonts w:hint="eastAsia" w:ascii="Times New Roman" w:hAnsi="Times New Roman" w:eastAsia="宋体" w:cs="Times New Roman"/>
                <w:b w:val="0"/>
                <w:bCs/>
                <w:snapToGrid w:val="0"/>
                <w:color w:val="auto"/>
                <w:kern w:val="21"/>
                <w:sz w:val="21"/>
                <w:szCs w:val="21"/>
                <w:highlight w:val="none"/>
                <w:lang w:val="en-US" w:eastAsia="zh-CN"/>
              </w:rPr>
              <w:t>/</w:t>
            </w:r>
          </w:p>
        </w:tc>
        <w:tc>
          <w:tcPr>
            <w:tcW w:w="1559" w:type="dxa"/>
            <w:vAlign w:val="center"/>
          </w:tcPr>
          <w:p w14:paraId="2B1E018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14</w:t>
            </w:r>
          </w:p>
        </w:tc>
        <w:tc>
          <w:tcPr>
            <w:tcW w:w="1761" w:type="dxa"/>
            <w:vAlign w:val="center"/>
          </w:tcPr>
          <w:p w14:paraId="3BDFC962">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snapToGrid w:val="0"/>
                <w:color w:val="auto"/>
                <w:kern w:val="21"/>
                <w:sz w:val="21"/>
                <w:szCs w:val="21"/>
                <w:highlight w:val="none"/>
                <w:lang w:val="en-US" w:eastAsia="zh-CN"/>
              </w:rPr>
            </w:pPr>
            <w:r>
              <w:rPr>
                <w:rFonts w:hint="eastAsia" w:ascii="Times New Roman" w:hAnsi="Times New Roman" w:eastAsia="宋体" w:cs="Times New Roman"/>
                <w:b w:val="0"/>
                <w:bCs/>
                <w:snapToGrid w:val="0"/>
                <w:color w:val="auto"/>
                <w:kern w:val="21"/>
                <w:sz w:val="21"/>
                <w:szCs w:val="21"/>
                <w:highlight w:val="none"/>
                <w:lang w:val="en-US" w:eastAsia="zh-CN"/>
              </w:rPr>
              <w:t>/</w:t>
            </w:r>
          </w:p>
        </w:tc>
        <w:tc>
          <w:tcPr>
            <w:tcW w:w="1742" w:type="dxa"/>
            <w:vAlign w:val="center"/>
          </w:tcPr>
          <w:p w14:paraId="0F9A11E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14</w:t>
            </w:r>
          </w:p>
        </w:tc>
        <w:tc>
          <w:tcPr>
            <w:tcW w:w="1293" w:type="dxa"/>
            <w:vAlign w:val="center"/>
          </w:tcPr>
          <w:p w14:paraId="4EF76608">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snapToGrid w:val="0"/>
                <w:color w:val="auto"/>
                <w:kern w:val="21"/>
                <w:sz w:val="21"/>
                <w:szCs w:val="21"/>
                <w:highlight w:val="none"/>
                <w:lang w:val="en-US" w:eastAsia="zh-CN"/>
              </w:rPr>
            </w:pPr>
            <w:r>
              <w:rPr>
                <w:rFonts w:hint="eastAsia" w:hAnsi="宋体"/>
                <w:color w:val="auto"/>
                <w:szCs w:val="21"/>
                <w:highlight w:val="none"/>
                <w:lang w:val="en-US" w:eastAsia="zh-CN"/>
              </w:rPr>
              <w:t>/</w:t>
            </w:r>
          </w:p>
        </w:tc>
      </w:tr>
      <w:tr w14:paraId="31FC18D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286" w:type="dxa"/>
            <w:vMerge w:val="continue"/>
            <w:vAlign w:val="center"/>
          </w:tcPr>
          <w:p w14:paraId="311A6E8F">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Cs/>
                <w:snapToGrid w:val="0"/>
                <w:color w:val="auto"/>
                <w:kern w:val="21"/>
                <w:sz w:val="21"/>
                <w:szCs w:val="21"/>
                <w:highlight w:val="none"/>
              </w:rPr>
            </w:pPr>
          </w:p>
        </w:tc>
        <w:tc>
          <w:tcPr>
            <w:tcW w:w="1950" w:type="dxa"/>
            <w:vAlign w:val="center"/>
          </w:tcPr>
          <w:p w14:paraId="3D0EB285">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注塑废边角料</w:t>
            </w:r>
          </w:p>
        </w:tc>
        <w:tc>
          <w:tcPr>
            <w:tcW w:w="1575" w:type="dxa"/>
            <w:vAlign w:val="center"/>
          </w:tcPr>
          <w:p w14:paraId="0AD9B9CD">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cs="Times New Roman"/>
                <w:b w:val="0"/>
                <w:bCs/>
                <w:snapToGrid w:val="0"/>
                <w:color w:val="auto"/>
                <w:kern w:val="21"/>
                <w:sz w:val="21"/>
                <w:szCs w:val="21"/>
                <w:highlight w:val="none"/>
                <w:lang w:val="en-US" w:eastAsia="zh-CN"/>
              </w:rPr>
            </w:pPr>
            <w:r>
              <w:rPr>
                <w:rFonts w:hint="eastAsia" w:hAnsi="宋体"/>
                <w:color w:val="auto"/>
                <w:szCs w:val="21"/>
                <w:highlight w:val="none"/>
                <w:lang w:eastAsia="zh-CN"/>
              </w:rPr>
              <w:t>/</w:t>
            </w:r>
          </w:p>
        </w:tc>
        <w:tc>
          <w:tcPr>
            <w:tcW w:w="1260" w:type="dxa"/>
            <w:vAlign w:val="center"/>
          </w:tcPr>
          <w:p w14:paraId="0EA5AF80">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cs="Times New Roman"/>
                <w:b w:val="0"/>
                <w:bCs/>
                <w:snapToGrid w:val="0"/>
                <w:color w:val="auto"/>
                <w:kern w:val="21"/>
                <w:sz w:val="21"/>
                <w:szCs w:val="21"/>
                <w:highlight w:val="none"/>
                <w:lang w:val="en-US" w:eastAsia="zh-CN"/>
              </w:rPr>
            </w:pPr>
            <w:r>
              <w:rPr>
                <w:rFonts w:hint="eastAsia" w:hAnsi="宋体"/>
                <w:color w:val="auto"/>
                <w:szCs w:val="21"/>
                <w:highlight w:val="none"/>
                <w:lang w:eastAsia="zh-CN"/>
              </w:rPr>
              <w:t>/</w:t>
            </w:r>
          </w:p>
        </w:tc>
        <w:tc>
          <w:tcPr>
            <w:tcW w:w="1612" w:type="dxa"/>
            <w:vAlign w:val="center"/>
          </w:tcPr>
          <w:p w14:paraId="00F60447">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cs="Times New Roman"/>
                <w:b w:val="0"/>
                <w:bCs/>
                <w:snapToGrid w:val="0"/>
                <w:color w:val="auto"/>
                <w:kern w:val="21"/>
                <w:sz w:val="21"/>
                <w:szCs w:val="21"/>
                <w:highlight w:val="none"/>
                <w:lang w:val="en-US" w:eastAsia="zh-CN"/>
              </w:rPr>
            </w:pPr>
            <w:r>
              <w:rPr>
                <w:rFonts w:hint="eastAsia" w:hAnsi="宋体"/>
                <w:color w:val="auto"/>
                <w:szCs w:val="21"/>
                <w:highlight w:val="none"/>
                <w:lang w:eastAsia="zh-CN"/>
              </w:rPr>
              <w:t>/</w:t>
            </w:r>
          </w:p>
        </w:tc>
        <w:tc>
          <w:tcPr>
            <w:tcW w:w="1559" w:type="dxa"/>
            <w:vAlign w:val="center"/>
          </w:tcPr>
          <w:p w14:paraId="3B6CE77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24.8</w:t>
            </w:r>
          </w:p>
        </w:tc>
        <w:tc>
          <w:tcPr>
            <w:tcW w:w="1761" w:type="dxa"/>
            <w:vAlign w:val="center"/>
          </w:tcPr>
          <w:p w14:paraId="5FAB17BF">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val="0"/>
                <w:bCs/>
                <w:snapToGrid w:val="0"/>
                <w:color w:val="auto"/>
                <w:kern w:val="21"/>
                <w:sz w:val="21"/>
                <w:szCs w:val="21"/>
                <w:highlight w:val="none"/>
                <w:lang w:val="en-US" w:eastAsia="zh-CN" w:bidi="ar-SA"/>
              </w:rPr>
            </w:pPr>
            <w:r>
              <w:rPr>
                <w:rFonts w:hint="eastAsia" w:cs="Times New Roman"/>
                <w:b w:val="0"/>
                <w:bCs/>
                <w:snapToGrid w:val="0"/>
                <w:color w:val="auto"/>
                <w:kern w:val="21"/>
                <w:sz w:val="21"/>
                <w:szCs w:val="21"/>
                <w:highlight w:val="none"/>
                <w:lang w:val="en-US" w:eastAsia="zh-CN"/>
              </w:rPr>
              <w:t>/</w:t>
            </w:r>
          </w:p>
        </w:tc>
        <w:tc>
          <w:tcPr>
            <w:tcW w:w="1742" w:type="dxa"/>
            <w:vAlign w:val="center"/>
          </w:tcPr>
          <w:p w14:paraId="642B2CB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24.8</w:t>
            </w:r>
          </w:p>
        </w:tc>
        <w:tc>
          <w:tcPr>
            <w:tcW w:w="1293" w:type="dxa"/>
            <w:vAlign w:val="center"/>
          </w:tcPr>
          <w:p w14:paraId="7B0E0512">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val="0"/>
                <w:bCs/>
                <w:snapToGrid w:val="0"/>
                <w:color w:val="auto"/>
                <w:kern w:val="21"/>
                <w:sz w:val="21"/>
                <w:szCs w:val="21"/>
                <w:highlight w:val="none"/>
                <w:lang w:val="en-US" w:eastAsia="zh-CN" w:bidi="ar-SA"/>
              </w:rPr>
            </w:pPr>
            <w:r>
              <w:rPr>
                <w:rFonts w:hint="eastAsia" w:hAnsi="宋体"/>
                <w:color w:val="auto"/>
                <w:szCs w:val="21"/>
                <w:highlight w:val="none"/>
                <w:lang w:val="en-US" w:eastAsia="zh-CN"/>
              </w:rPr>
              <w:t>/</w:t>
            </w:r>
          </w:p>
        </w:tc>
      </w:tr>
      <w:tr w14:paraId="2B1CFC3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286" w:type="dxa"/>
            <w:vMerge w:val="continue"/>
            <w:vAlign w:val="center"/>
          </w:tcPr>
          <w:p w14:paraId="515A7BD3">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Cs/>
                <w:snapToGrid w:val="0"/>
                <w:color w:val="auto"/>
                <w:kern w:val="21"/>
                <w:sz w:val="21"/>
                <w:szCs w:val="21"/>
                <w:highlight w:val="none"/>
              </w:rPr>
            </w:pPr>
          </w:p>
        </w:tc>
        <w:tc>
          <w:tcPr>
            <w:tcW w:w="1950" w:type="dxa"/>
            <w:vAlign w:val="center"/>
          </w:tcPr>
          <w:p w14:paraId="2814DF7D">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eastAsia="宋体" w:cs="Times New Roman"/>
                <w:color w:val="auto"/>
                <w:kern w:val="2"/>
                <w:sz w:val="21"/>
                <w:szCs w:val="21"/>
                <w:highlight w:val="none"/>
                <w:lang w:val="en-US" w:eastAsia="zh-CN" w:bidi="ar-SA"/>
              </w:rPr>
              <w:t>布袋</w:t>
            </w:r>
            <w:r>
              <w:rPr>
                <w:rFonts w:hint="eastAsia" w:ascii="Times New Roman" w:hAnsi="Times New Roman" w:eastAsia="宋体" w:cs="Times New Roman"/>
                <w:color w:val="auto"/>
                <w:kern w:val="2"/>
                <w:sz w:val="21"/>
                <w:szCs w:val="21"/>
                <w:highlight w:val="none"/>
                <w:lang w:val="en-US" w:eastAsia="zh-CN" w:bidi="ar-SA"/>
              </w:rPr>
              <w:t>收集粉尘</w:t>
            </w:r>
          </w:p>
        </w:tc>
        <w:tc>
          <w:tcPr>
            <w:tcW w:w="1575" w:type="dxa"/>
            <w:vAlign w:val="center"/>
          </w:tcPr>
          <w:p w14:paraId="30F6E839">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hAnsi="宋体"/>
                <w:color w:val="auto"/>
                <w:szCs w:val="21"/>
                <w:highlight w:val="none"/>
                <w:lang w:eastAsia="zh-CN"/>
              </w:rPr>
            </w:pPr>
          </w:p>
        </w:tc>
        <w:tc>
          <w:tcPr>
            <w:tcW w:w="1260" w:type="dxa"/>
            <w:vAlign w:val="center"/>
          </w:tcPr>
          <w:p w14:paraId="56CA11C6">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hAnsi="宋体"/>
                <w:color w:val="auto"/>
                <w:szCs w:val="21"/>
                <w:highlight w:val="none"/>
                <w:lang w:eastAsia="zh-CN"/>
              </w:rPr>
            </w:pPr>
          </w:p>
        </w:tc>
        <w:tc>
          <w:tcPr>
            <w:tcW w:w="1612" w:type="dxa"/>
            <w:vAlign w:val="center"/>
          </w:tcPr>
          <w:p w14:paraId="1791E341">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hAnsi="宋体"/>
                <w:color w:val="auto"/>
                <w:szCs w:val="21"/>
                <w:highlight w:val="none"/>
                <w:lang w:eastAsia="zh-CN"/>
              </w:rPr>
            </w:pPr>
          </w:p>
        </w:tc>
        <w:tc>
          <w:tcPr>
            <w:tcW w:w="1559" w:type="dxa"/>
            <w:vAlign w:val="center"/>
          </w:tcPr>
          <w:p w14:paraId="1F73716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b w:val="0"/>
                <w:bCs/>
                <w:color w:val="auto"/>
                <w:kern w:val="2"/>
                <w:sz w:val="21"/>
                <w:szCs w:val="24"/>
                <w:highlight w:val="none"/>
                <w:lang w:val="en-US" w:eastAsia="zh-CN" w:bidi="ar-SA"/>
              </w:rPr>
            </w:pPr>
            <w:r>
              <w:rPr>
                <w:rFonts w:hint="eastAsia" w:cs="Times New Roman"/>
                <w:color w:val="auto"/>
                <w:kern w:val="2"/>
                <w:sz w:val="21"/>
                <w:szCs w:val="24"/>
                <w:highlight w:val="none"/>
                <w:lang w:val="en-US" w:eastAsia="zh-CN" w:bidi="ar-SA"/>
              </w:rPr>
              <w:t>5.95</w:t>
            </w:r>
          </w:p>
        </w:tc>
        <w:tc>
          <w:tcPr>
            <w:tcW w:w="1761" w:type="dxa"/>
            <w:vAlign w:val="center"/>
          </w:tcPr>
          <w:p w14:paraId="771978A4">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default" w:cs="Times New Roman"/>
                <w:b w:val="0"/>
                <w:bCs/>
                <w:snapToGrid w:val="0"/>
                <w:color w:val="auto"/>
                <w:kern w:val="21"/>
                <w:sz w:val="21"/>
                <w:szCs w:val="21"/>
                <w:highlight w:val="none"/>
                <w:lang w:val="en-US" w:eastAsia="zh-CN"/>
              </w:rPr>
            </w:pPr>
            <w:r>
              <w:rPr>
                <w:rFonts w:hint="eastAsia" w:cs="Times New Roman"/>
                <w:b w:val="0"/>
                <w:bCs/>
                <w:snapToGrid w:val="0"/>
                <w:color w:val="auto"/>
                <w:kern w:val="21"/>
                <w:sz w:val="21"/>
                <w:szCs w:val="21"/>
                <w:highlight w:val="none"/>
                <w:lang w:val="en-US" w:eastAsia="zh-CN"/>
              </w:rPr>
              <w:t>/</w:t>
            </w:r>
          </w:p>
        </w:tc>
        <w:tc>
          <w:tcPr>
            <w:tcW w:w="1742" w:type="dxa"/>
            <w:vAlign w:val="center"/>
          </w:tcPr>
          <w:p w14:paraId="7513939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b w:val="0"/>
                <w:bCs/>
                <w:color w:val="auto"/>
                <w:kern w:val="2"/>
                <w:sz w:val="21"/>
                <w:szCs w:val="24"/>
                <w:highlight w:val="none"/>
                <w:lang w:val="en-US" w:eastAsia="zh-CN" w:bidi="ar-SA"/>
              </w:rPr>
            </w:pPr>
            <w:r>
              <w:rPr>
                <w:rFonts w:hint="eastAsia" w:cs="Times New Roman"/>
                <w:color w:val="auto"/>
                <w:kern w:val="2"/>
                <w:sz w:val="21"/>
                <w:szCs w:val="24"/>
                <w:highlight w:val="none"/>
                <w:lang w:val="en-US" w:eastAsia="zh-CN" w:bidi="ar-SA"/>
              </w:rPr>
              <w:t>5.95</w:t>
            </w:r>
          </w:p>
        </w:tc>
        <w:tc>
          <w:tcPr>
            <w:tcW w:w="1293" w:type="dxa"/>
            <w:vAlign w:val="center"/>
          </w:tcPr>
          <w:p w14:paraId="482885AF">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ascii="Times New Roman" w:cs="Times New Roman"/>
                <w:b w:val="0"/>
                <w:bCs/>
                <w:snapToGrid w:val="0"/>
                <w:color w:val="auto"/>
                <w:kern w:val="21"/>
                <w:sz w:val="21"/>
                <w:szCs w:val="21"/>
                <w:highlight w:val="none"/>
                <w:lang w:val="en-US" w:eastAsia="zh-CN"/>
              </w:rPr>
            </w:pPr>
            <w:r>
              <w:rPr>
                <w:rFonts w:hint="eastAsia" w:hAnsi="宋体"/>
                <w:color w:val="auto"/>
                <w:szCs w:val="21"/>
                <w:highlight w:val="none"/>
                <w:lang w:val="en-US" w:eastAsia="zh-CN"/>
              </w:rPr>
              <w:t>/</w:t>
            </w:r>
          </w:p>
        </w:tc>
      </w:tr>
      <w:tr w14:paraId="46454E3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286" w:type="dxa"/>
            <w:vMerge w:val="continue"/>
            <w:vAlign w:val="center"/>
          </w:tcPr>
          <w:p w14:paraId="2C0525BE">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Cs/>
                <w:snapToGrid w:val="0"/>
                <w:color w:val="auto"/>
                <w:kern w:val="21"/>
                <w:sz w:val="21"/>
                <w:szCs w:val="21"/>
                <w:highlight w:val="none"/>
              </w:rPr>
            </w:pPr>
          </w:p>
        </w:tc>
        <w:tc>
          <w:tcPr>
            <w:tcW w:w="1950" w:type="dxa"/>
            <w:vAlign w:val="center"/>
          </w:tcPr>
          <w:p w14:paraId="24FAA0F6">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废布袋</w:t>
            </w:r>
          </w:p>
        </w:tc>
        <w:tc>
          <w:tcPr>
            <w:tcW w:w="1575" w:type="dxa"/>
            <w:vAlign w:val="center"/>
          </w:tcPr>
          <w:p w14:paraId="74E6AA2F">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default" w:hAnsi="宋体"/>
                <w:color w:val="auto"/>
                <w:szCs w:val="21"/>
                <w:highlight w:val="none"/>
                <w:lang w:val="en-US" w:eastAsia="zh-CN"/>
              </w:rPr>
            </w:pPr>
            <w:r>
              <w:rPr>
                <w:rFonts w:hint="eastAsia" w:hAnsi="宋体"/>
                <w:color w:val="auto"/>
                <w:szCs w:val="21"/>
                <w:highlight w:val="none"/>
                <w:lang w:val="en-US" w:eastAsia="zh-CN"/>
              </w:rPr>
              <w:t>/</w:t>
            </w:r>
          </w:p>
        </w:tc>
        <w:tc>
          <w:tcPr>
            <w:tcW w:w="1260" w:type="dxa"/>
            <w:vAlign w:val="center"/>
          </w:tcPr>
          <w:p w14:paraId="743C0543">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default" w:hAnsi="宋体"/>
                <w:color w:val="auto"/>
                <w:szCs w:val="21"/>
                <w:highlight w:val="none"/>
                <w:lang w:val="en-US" w:eastAsia="zh-CN"/>
              </w:rPr>
            </w:pPr>
            <w:r>
              <w:rPr>
                <w:rFonts w:hint="eastAsia" w:hAnsi="宋体"/>
                <w:color w:val="auto"/>
                <w:szCs w:val="21"/>
                <w:highlight w:val="none"/>
                <w:lang w:val="en-US" w:eastAsia="zh-CN"/>
              </w:rPr>
              <w:t>/</w:t>
            </w:r>
          </w:p>
        </w:tc>
        <w:tc>
          <w:tcPr>
            <w:tcW w:w="1612" w:type="dxa"/>
            <w:vAlign w:val="center"/>
          </w:tcPr>
          <w:p w14:paraId="2BEB69AA">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default" w:hAnsi="宋体"/>
                <w:color w:val="auto"/>
                <w:szCs w:val="21"/>
                <w:highlight w:val="none"/>
                <w:lang w:val="en-US" w:eastAsia="zh-CN"/>
              </w:rPr>
            </w:pPr>
            <w:r>
              <w:rPr>
                <w:rFonts w:hint="eastAsia" w:hAnsi="宋体"/>
                <w:color w:val="auto"/>
                <w:szCs w:val="21"/>
                <w:highlight w:val="none"/>
                <w:lang w:val="en-US" w:eastAsia="zh-CN"/>
              </w:rPr>
              <w:t>/</w:t>
            </w:r>
          </w:p>
        </w:tc>
        <w:tc>
          <w:tcPr>
            <w:tcW w:w="1559" w:type="dxa"/>
            <w:vAlign w:val="center"/>
          </w:tcPr>
          <w:p w14:paraId="0FF49CA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cs="Times New Roman"/>
                <w:b w:val="0"/>
                <w:bCs/>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0.01</w:t>
            </w:r>
          </w:p>
        </w:tc>
        <w:tc>
          <w:tcPr>
            <w:tcW w:w="1761" w:type="dxa"/>
            <w:vAlign w:val="center"/>
          </w:tcPr>
          <w:p w14:paraId="6A0B9DC5">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default" w:cs="Times New Roman"/>
                <w:b w:val="0"/>
                <w:bCs/>
                <w:snapToGrid w:val="0"/>
                <w:color w:val="auto"/>
                <w:kern w:val="21"/>
                <w:sz w:val="21"/>
                <w:szCs w:val="21"/>
                <w:highlight w:val="none"/>
                <w:lang w:val="en-US" w:eastAsia="zh-CN"/>
              </w:rPr>
            </w:pPr>
            <w:r>
              <w:rPr>
                <w:rFonts w:hint="eastAsia" w:cs="Times New Roman"/>
                <w:b w:val="0"/>
                <w:bCs/>
                <w:snapToGrid w:val="0"/>
                <w:color w:val="auto"/>
                <w:kern w:val="21"/>
                <w:sz w:val="21"/>
                <w:szCs w:val="21"/>
                <w:highlight w:val="none"/>
                <w:lang w:val="en-US" w:eastAsia="zh-CN"/>
              </w:rPr>
              <w:t>/</w:t>
            </w:r>
          </w:p>
        </w:tc>
        <w:tc>
          <w:tcPr>
            <w:tcW w:w="1742" w:type="dxa"/>
            <w:vAlign w:val="center"/>
          </w:tcPr>
          <w:p w14:paraId="437A24B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cs="Times New Roman"/>
                <w:b w:val="0"/>
                <w:bCs/>
                <w:color w:val="auto"/>
                <w:kern w:val="2"/>
                <w:sz w:val="21"/>
                <w:szCs w:val="24"/>
                <w:highlight w:val="none"/>
                <w:lang w:val="en-US" w:eastAsia="zh-CN" w:bidi="ar-SA"/>
              </w:rPr>
            </w:pPr>
            <w:r>
              <w:rPr>
                <w:rFonts w:hint="eastAsia" w:ascii="Times New Roman" w:hAnsi="Times New Roman" w:eastAsia="宋体" w:cs="Times New Roman"/>
                <w:color w:val="auto"/>
                <w:kern w:val="2"/>
                <w:sz w:val="21"/>
                <w:szCs w:val="24"/>
                <w:highlight w:val="none"/>
                <w:lang w:val="en-US" w:eastAsia="zh-CN" w:bidi="ar-SA"/>
              </w:rPr>
              <w:t>0.01</w:t>
            </w:r>
          </w:p>
        </w:tc>
        <w:tc>
          <w:tcPr>
            <w:tcW w:w="1293" w:type="dxa"/>
            <w:vAlign w:val="center"/>
          </w:tcPr>
          <w:p w14:paraId="2ADD1544">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default" w:hAnsi="宋体"/>
                <w:color w:val="auto"/>
                <w:szCs w:val="21"/>
                <w:highlight w:val="none"/>
                <w:lang w:val="en-US" w:eastAsia="zh-CN"/>
              </w:rPr>
            </w:pPr>
            <w:r>
              <w:rPr>
                <w:rFonts w:hint="eastAsia" w:hAnsi="宋体"/>
                <w:color w:val="auto"/>
                <w:szCs w:val="21"/>
                <w:highlight w:val="none"/>
                <w:lang w:val="en-US" w:eastAsia="zh-CN"/>
              </w:rPr>
              <w:t>/</w:t>
            </w:r>
          </w:p>
        </w:tc>
      </w:tr>
      <w:tr w14:paraId="192930A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286" w:type="dxa"/>
            <w:vMerge w:val="continue"/>
            <w:vAlign w:val="center"/>
          </w:tcPr>
          <w:p w14:paraId="4C94191F">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Cs/>
                <w:snapToGrid w:val="0"/>
                <w:color w:val="auto"/>
                <w:kern w:val="21"/>
                <w:sz w:val="21"/>
                <w:szCs w:val="21"/>
                <w:highlight w:val="none"/>
              </w:rPr>
            </w:pPr>
          </w:p>
        </w:tc>
        <w:tc>
          <w:tcPr>
            <w:tcW w:w="1950" w:type="dxa"/>
            <w:vAlign w:val="center"/>
          </w:tcPr>
          <w:p w14:paraId="2E381C82">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不合格品</w:t>
            </w:r>
          </w:p>
        </w:tc>
        <w:tc>
          <w:tcPr>
            <w:tcW w:w="1575" w:type="dxa"/>
            <w:vAlign w:val="center"/>
          </w:tcPr>
          <w:p w14:paraId="0591C31C">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hAnsi="宋体"/>
                <w:color w:val="auto"/>
                <w:szCs w:val="21"/>
                <w:highlight w:val="none"/>
                <w:lang w:val="en-US" w:eastAsia="zh-CN"/>
              </w:rPr>
            </w:pPr>
          </w:p>
        </w:tc>
        <w:tc>
          <w:tcPr>
            <w:tcW w:w="1260" w:type="dxa"/>
            <w:vAlign w:val="center"/>
          </w:tcPr>
          <w:p w14:paraId="7E2A8BDA">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hAnsi="宋体"/>
                <w:color w:val="auto"/>
                <w:szCs w:val="21"/>
                <w:highlight w:val="none"/>
                <w:lang w:val="en-US" w:eastAsia="zh-CN"/>
              </w:rPr>
            </w:pPr>
          </w:p>
        </w:tc>
        <w:tc>
          <w:tcPr>
            <w:tcW w:w="1612" w:type="dxa"/>
            <w:vAlign w:val="center"/>
          </w:tcPr>
          <w:p w14:paraId="61ED2DE8">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hAnsi="宋体"/>
                <w:color w:val="auto"/>
                <w:szCs w:val="21"/>
                <w:highlight w:val="none"/>
                <w:lang w:val="en-US" w:eastAsia="zh-CN"/>
              </w:rPr>
            </w:pPr>
          </w:p>
        </w:tc>
        <w:tc>
          <w:tcPr>
            <w:tcW w:w="1559" w:type="dxa"/>
            <w:vAlign w:val="center"/>
          </w:tcPr>
          <w:p w14:paraId="3B673BDC">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default" w:ascii="Times New Roman" w:cs="Times New Roman"/>
                <w:b w:val="0"/>
                <w:bCs/>
                <w:color w:val="auto"/>
                <w:kern w:val="2"/>
                <w:sz w:val="21"/>
                <w:szCs w:val="24"/>
                <w:highlight w:val="none"/>
                <w:lang w:val="en-US" w:eastAsia="zh-CN" w:bidi="ar-SA"/>
              </w:rPr>
            </w:pPr>
            <w:r>
              <w:rPr>
                <w:rFonts w:hint="eastAsia" w:ascii="Times New Roman" w:hAnsi="Times New Roman" w:eastAsia="宋体" w:cs="Times New Roman"/>
                <w:b w:val="0"/>
                <w:bCs/>
                <w:color w:val="auto"/>
                <w:kern w:val="2"/>
                <w:sz w:val="21"/>
                <w:szCs w:val="24"/>
                <w:highlight w:val="none"/>
                <w:lang w:val="en-US" w:eastAsia="zh-CN" w:bidi="ar-SA"/>
              </w:rPr>
              <w:t>0.</w:t>
            </w:r>
            <w:r>
              <w:rPr>
                <w:rFonts w:hint="eastAsia" w:ascii="Times New Roman" w:cs="Times New Roman"/>
                <w:b w:val="0"/>
                <w:bCs/>
                <w:color w:val="auto"/>
                <w:kern w:val="2"/>
                <w:sz w:val="21"/>
                <w:szCs w:val="24"/>
                <w:highlight w:val="none"/>
                <w:lang w:val="en-US" w:eastAsia="zh-CN" w:bidi="ar-SA"/>
              </w:rPr>
              <w:t>91</w:t>
            </w:r>
          </w:p>
        </w:tc>
        <w:tc>
          <w:tcPr>
            <w:tcW w:w="1761" w:type="dxa"/>
            <w:vAlign w:val="center"/>
          </w:tcPr>
          <w:p w14:paraId="25D0BA6E">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cs="Times New Roman"/>
                <w:b w:val="0"/>
                <w:bCs/>
                <w:snapToGrid w:val="0"/>
                <w:color w:val="auto"/>
                <w:kern w:val="21"/>
                <w:sz w:val="21"/>
                <w:szCs w:val="21"/>
                <w:highlight w:val="none"/>
                <w:lang w:val="en-US" w:eastAsia="zh-CN"/>
              </w:rPr>
            </w:pPr>
          </w:p>
        </w:tc>
        <w:tc>
          <w:tcPr>
            <w:tcW w:w="1742" w:type="dxa"/>
            <w:vAlign w:val="center"/>
          </w:tcPr>
          <w:p w14:paraId="13C4C0D5">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default" w:ascii="Times New Roman" w:cs="Times New Roman"/>
                <w:b w:val="0"/>
                <w:bCs/>
                <w:color w:val="auto"/>
                <w:kern w:val="2"/>
                <w:sz w:val="21"/>
                <w:szCs w:val="24"/>
                <w:highlight w:val="none"/>
                <w:lang w:val="en-US" w:eastAsia="zh-CN" w:bidi="ar-SA"/>
              </w:rPr>
            </w:pPr>
            <w:r>
              <w:rPr>
                <w:rFonts w:hint="eastAsia" w:ascii="Times New Roman" w:hAnsi="Times New Roman" w:eastAsia="宋体" w:cs="Times New Roman"/>
                <w:b w:val="0"/>
                <w:bCs/>
                <w:color w:val="auto"/>
                <w:kern w:val="2"/>
                <w:sz w:val="21"/>
                <w:szCs w:val="24"/>
                <w:highlight w:val="none"/>
                <w:lang w:val="en-US" w:eastAsia="zh-CN" w:bidi="ar-SA"/>
              </w:rPr>
              <w:t>0.</w:t>
            </w:r>
            <w:r>
              <w:rPr>
                <w:rFonts w:hint="eastAsia" w:ascii="Times New Roman" w:cs="Times New Roman"/>
                <w:b w:val="0"/>
                <w:bCs/>
                <w:color w:val="auto"/>
                <w:kern w:val="2"/>
                <w:sz w:val="21"/>
                <w:szCs w:val="24"/>
                <w:highlight w:val="none"/>
                <w:lang w:val="en-US" w:eastAsia="zh-CN" w:bidi="ar-SA"/>
              </w:rPr>
              <w:t>91</w:t>
            </w:r>
          </w:p>
        </w:tc>
        <w:tc>
          <w:tcPr>
            <w:tcW w:w="1293" w:type="dxa"/>
            <w:vAlign w:val="center"/>
          </w:tcPr>
          <w:p w14:paraId="0019EB3E">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hAnsi="宋体"/>
                <w:color w:val="auto"/>
                <w:szCs w:val="21"/>
                <w:highlight w:val="none"/>
                <w:lang w:val="en-US" w:eastAsia="zh-CN"/>
              </w:rPr>
            </w:pPr>
          </w:p>
        </w:tc>
      </w:tr>
      <w:tr w14:paraId="33C2F7A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286" w:type="dxa"/>
            <w:vMerge w:val="restart"/>
            <w:vAlign w:val="center"/>
          </w:tcPr>
          <w:p w14:paraId="5C1BD21E">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Cs/>
                <w:snapToGrid w:val="0"/>
                <w:color w:val="auto"/>
                <w:kern w:val="21"/>
                <w:sz w:val="21"/>
                <w:szCs w:val="21"/>
                <w:highlight w:val="none"/>
                <w:lang w:val="en-US" w:eastAsia="zh-CN"/>
              </w:rPr>
            </w:pPr>
            <w:r>
              <w:rPr>
                <w:rFonts w:hint="eastAsia" w:ascii="Times New Roman" w:cs="Times New Roman"/>
                <w:bCs/>
                <w:snapToGrid w:val="0"/>
                <w:color w:val="auto"/>
                <w:kern w:val="21"/>
                <w:sz w:val="21"/>
                <w:szCs w:val="21"/>
                <w:highlight w:val="none"/>
                <w:lang w:val="en-US" w:eastAsia="zh-CN"/>
              </w:rPr>
              <w:t>危险废物</w:t>
            </w:r>
          </w:p>
        </w:tc>
        <w:tc>
          <w:tcPr>
            <w:tcW w:w="1950" w:type="dxa"/>
            <w:vAlign w:val="center"/>
          </w:tcPr>
          <w:p w14:paraId="452BC030">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eastAsia="宋体" w:cs="Times New Roman"/>
                <w:color w:val="auto"/>
                <w:kern w:val="2"/>
                <w:sz w:val="21"/>
                <w:szCs w:val="21"/>
                <w:highlight w:val="none"/>
                <w:lang w:val="en-US" w:eastAsia="zh-CN" w:bidi="ar-SA"/>
              </w:rPr>
              <w:t>废网版</w:t>
            </w:r>
          </w:p>
        </w:tc>
        <w:tc>
          <w:tcPr>
            <w:tcW w:w="1575" w:type="dxa"/>
            <w:vAlign w:val="center"/>
          </w:tcPr>
          <w:p w14:paraId="05ED9980">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hAnsi="宋体"/>
                <w:color w:val="auto"/>
                <w:szCs w:val="21"/>
                <w:highlight w:val="none"/>
                <w:lang w:eastAsia="zh-CN"/>
              </w:rPr>
            </w:pPr>
            <w:r>
              <w:rPr>
                <w:rFonts w:hint="eastAsia" w:hAnsi="宋体"/>
                <w:color w:val="auto"/>
                <w:szCs w:val="21"/>
                <w:highlight w:val="none"/>
                <w:lang w:eastAsia="zh-CN"/>
              </w:rPr>
              <w:t>/</w:t>
            </w:r>
          </w:p>
        </w:tc>
        <w:tc>
          <w:tcPr>
            <w:tcW w:w="1260" w:type="dxa"/>
            <w:vAlign w:val="center"/>
          </w:tcPr>
          <w:p w14:paraId="1F56812D">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hAnsi="宋体"/>
                <w:color w:val="auto"/>
                <w:szCs w:val="21"/>
                <w:highlight w:val="none"/>
                <w:lang w:eastAsia="zh-CN"/>
              </w:rPr>
            </w:pPr>
            <w:r>
              <w:rPr>
                <w:rFonts w:hint="eastAsia" w:hAnsi="宋体"/>
                <w:color w:val="auto"/>
                <w:szCs w:val="21"/>
                <w:highlight w:val="none"/>
                <w:lang w:eastAsia="zh-CN"/>
              </w:rPr>
              <w:t>/</w:t>
            </w:r>
          </w:p>
        </w:tc>
        <w:tc>
          <w:tcPr>
            <w:tcW w:w="1612" w:type="dxa"/>
            <w:vAlign w:val="center"/>
          </w:tcPr>
          <w:p w14:paraId="51A35FA5">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hAnsi="宋体"/>
                <w:color w:val="auto"/>
                <w:szCs w:val="21"/>
                <w:highlight w:val="none"/>
                <w:lang w:eastAsia="zh-CN"/>
              </w:rPr>
            </w:pPr>
            <w:r>
              <w:rPr>
                <w:rFonts w:hint="eastAsia" w:hAnsi="宋体"/>
                <w:color w:val="auto"/>
                <w:szCs w:val="21"/>
                <w:highlight w:val="none"/>
                <w:lang w:eastAsia="zh-CN"/>
              </w:rPr>
              <w:t>/</w:t>
            </w:r>
          </w:p>
        </w:tc>
        <w:tc>
          <w:tcPr>
            <w:tcW w:w="1559" w:type="dxa"/>
            <w:vAlign w:val="center"/>
          </w:tcPr>
          <w:p w14:paraId="048361B3">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kern w:val="2"/>
                <w:sz w:val="21"/>
                <w:szCs w:val="24"/>
                <w:highlight w:val="none"/>
                <w:lang w:val="en-US" w:eastAsia="zh-CN" w:bidi="ar-SA"/>
              </w:rPr>
            </w:pPr>
            <w:r>
              <w:rPr>
                <w:rFonts w:hint="eastAsia" w:ascii="Times New Roman" w:hAnsi="Times New Roman" w:eastAsia="宋体" w:cs="Times New Roman"/>
                <w:b w:val="0"/>
                <w:bCs/>
                <w:color w:val="auto"/>
                <w:kern w:val="2"/>
                <w:sz w:val="21"/>
                <w:szCs w:val="24"/>
                <w:highlight w:val="none"/>
                <w:lang w:val="en-US" w:eastAsia="zh-CN" w:bidi="ar-SA"/>
              </w:rPr>
              <w:t>0.06</w:t>
            </w:r>
          </w:p>
        </w:tc>
        <w:tc>
          <w:tcPr>
            <w:tcW w:w="1761" w:type="dxa"/>
            <w:vAlign w:val="center"/>
          </w:tcPr>
          <w:p w14:paraId="657EF600">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default" w:hAnsi="宋体"/>
                <w:color w:val="auto"/>
                <w:szCs w:val="21"/>
                <w:highlight w:val="none"/>
                <w:lang w:val="en-US" w:eastAsia="zh-CN"/>
              </w:rPr>
            </w:pPr>
            <w:r>
              <w:rPr>
                <w:rFonts w:hint="eastAsia" w:hAnsi="宋体"/>
                <w:color w:val="auto"/>
                <w:szCs w:val="21"/>
                <w:highlight w:val="none"/>
                <w:lang w:val="en-US" w:eastAsia="zh-CN"/>
              </w:rPr>
              <w:t>/</w:t>
            </w:r>
          </w:p>
        </w:tc>
        <w:tc>
          <w:tcPr>
            <w:tcW w:w="1742" w:type="dxa"/>
            <w:vAlign w:val="center"/>
          </w:tcPr>
          <w:p w14:paraId="74AFFD8B">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eastAsia" w:ascii="Times New Roman" w:hAnsi="Times New Roman" w:eastAsia="宋体" w:cs="Times New Roman"/>
                <w:b w:val="0"/>
                <w:bCs/>
                <w:color w:val="auto"/>
                <w:kern w:val="2"/>
                <w:sz w:val="21"/>
                <w:szCs w:val="24"/>
                <w:highlight w:val="none"/>
                <w:lang w:val="en-US" w:eastAsia="zh-CN" w:bidi="ar-SA"/>
              </w:rPr>
            </w:pPr>
            <w:r>
              <w:rPr>
                <w:rFonts w:hint="eastAsia" w:ascii="Times New Roman" w:hAnsi="Times New Roman" w:eastAsia="宋体" w:cs="Times New Roman"/>
                <w:b w:val="0"/>
                <w:bCs/>
                <w:color w:val="auto"/>
                <w:kern w:val="2"/>
                <w:sz w:val="21"/>
                <w:szCs w:val="24"/>
                <w:highlight w:val="none"/>
                <w:lang w:val="en-US" w:eastAsia="zh-CN" w:bidi="ar-SA"/>
              </w:rPr>
              <w:t>0.06</w:t>
            </w:r>
          </w:p>
        </w:tc>
        <w:tc>
          <w:tcPr>
            <w:tcW w:w="1293" w:type="dxa"/>
            <w:vAlign w:val="center"/>
          </w:tcPr>
          <w:p w14:paraId="2F81D33A">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ascii="Times New Roman" w:cs="Times New Roman"/>
                <w:b w:val="0"/>
                <w:bCs/>
                <w:snapToGrid w:val="0"/>
                <w:color w:val="auto"/>
                <w:kern w:val="21"/>
                <w:sz w:val="21"/>
                <w:szCs w:val="21"/>
                <w:highlight w:val="none"/>
                <w:lang w:val="en-US" w:eastAsia="zh-CN"/>
              </w:rPr>
            </w:pPr>
            <w:r>
              <w:rPr>
                <w:rFonts w:hint="eastAsia" w:hAnsi="宋体"/>
                <w:color w:val="auto"/>
                <w:szCs w:val="21"/>
                <w:highlight w:val="none"/>
                <w:lang w:val="en-US" w:eastAsia="zh-CN"/>
              </w:rPr>
              <w:t>/</w:t>
            </w:r>
          </w:p>
        </w:tc>
      </w:tr>
      <w:tr w14:paraId="6555308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286" w:type="dxa"/>
            <w:vMerge w:val="continue"/>
            <w:vAlign w:val="center"/>
          </w:tcPr>
          <w:p w14:paraId="08BB1CA9">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Cs/>
                <w:snapToGrid w:val="0"/>
                <w:color w:val="auto"/>
                <w:kern w:val="21"/>
                <w:sz w:val="21"/>
                <w:szCs w:val="21"/>
                <w:highlight w:val="none"/>
              </w:rPr>
            </w:pPr>
          </w:p>
        </w:tc>
        <w:tc>
          <w:tcPr>
            <w:tcW w:w="1950" w:type="dxa"/>
            <w:vAlign w:val="center"/>
          </w:tcPr>
          <w:p w14:paraId="19619CA8">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eastAsia="宋体" w:cs="Times New Roman"/>
                <w:color w:val="auto"/>
                <w:kern w:val="2"/>
                <w:sz w:val="21"/>
                <w:szCs w:val="21"/>
                <w:highlight w:val="none"/>
                <w:lang w:val="en-US" w:eastAsia="zh-CN" w:bidi="ar-SA"/>
              </w:rPr>
            </w:pPr>
            <w:r>
              <w:rPr>
                <w:rFonts w:hint="eastAsia" w:eastAsia="宋体" w:cs="Times New Roman"/>
                <w:color w:val="auto"/>
                <w:kern w:val="2"/>
                <w:sz w:val="21"/>
                <w:szCs w:val="21"/>
                <w:highlight w:val="none"/>
                <w:lang w:val="en-US" w:eastAsia="zh-CN" w:bidi="ar-SA"/>
              </w:rPr>
              <w:t>网版清洗水</w:t>
            </w:r>
          </w:p>
        </w:tc>
        <w:tc>
          <w:tcPr>
            <w:tcW w:w="1575" w:type="dxa"/>
            <w:vAlign w:val="center"/>
          </w:tcPr>
          <w:p w14:paraId="7D615585">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hAnsi="宋体"/>
                <w:color w:val="auto"/>
                <w:szCs w:val="21"/>
                <w:highlight w:val="none"/>
                <w:lang w:eastAsia="zh-CN"/>
              </w:rPr>
            </w:pPr>
            <w:r>
              <w:rPr>
                <w:rFonts w:hint="eastAsia" w:hAnsi="宋体"/>
                <w:color w:val="auto"/>
                <w:szCs w:val="21"/>
                <w:highlight w:val="none"/>
                <w:lang w:eastAsia="zh-CN"/>
              </w:rPr>
              <w:t>/</w:t>
            </w:r>
          </w:p>
        </w:tc>
        <w:tc>
          <w:tcPr>
            <w:tcW w:w="1260" w:type="dxa"/>
            <w:vAlign w:val="center"/>
          </w:tcPr>
          <w:p w14:paraId="2BA6752A">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hAnsi="宋体"/>
                <w:color w:val="auto"/>
                <w:szCs w:val="21"/>
                <w:highlight w:val="none"/>
                <w:lang w:eastAsia="zh-CN"/>
              </w:rPr>
            </w:pPr>
            <w:r>
              <w:rPr>
                <w:rFonts w:hint="eastAsia" w:hAnsi="宋体"/>
                <w:color w:val="auto"/>
                <w:szCs w:val="21"/>
                <w:highlight w:val="none"/>
                <w:lang w:eastAsia="zh-CN"/>
              </w:rPr>
              <w:t>/</w:t>
            </w:r>
          </w:p>
        </w:tc>
        <w:tc>
          <w:tcPr>
            <w:tcW w:w="1612" w:type="dxa"/>
            <w:vAlign w:val="center"/>
          </w:tcPr>
          <w:p w14:paraId="042164E1">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hAnsi="宋体"/>
                <w:color w:val="auto"/>
                <w:szCs w:val="21"/>
                <w:highlight w:val="none"/>
                <w:lang w:eastAsia="zh-CN"/>
              </w:rPr>
            </w:pPr>
            <w:r>
              <w:rPr>
                <w:rFonts w:hint="eastAsia" w:hAnsi="宋体"/>
                <w:color w:val="auto"/>
                <w:szCs w:val="21"/>
                <w:highlight w:val="none"/>
                <w:lang w:eastAsia="zh-CN"/>
              </w:rPr>
              <w:t>/</w:t>
            </w:r>
          </w:p>
        </w:tc>
        <w:tc>
          <w:tcPr>
            <w:tcW w:w="1559" w:type="dxa"/>
            <w:vAlign w:val="center"/>
          </w:tcPr>
          <w:p w14:paraId="5091C61F">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default" w:ascii="Times New Roman" w:cs="Times New Roman"/>
                <w:b w:val="0"/>
                <w:bCs/>
                <w:color w:val="auto"/>
                <w:kern w:val="2"/>
                <w:sz w:val="21"/>
                <w:szCs w:val="24"/>
                <w:highlight w:val="none"/>
                <w:lang w:val="en-US" w:eastAsia="zh-CN" w:bidi="ar-SA"/>
              </w:rPr>
            </w:pPr>
            <w:r>
              <w:rPr>
                <w:rFonts w:hint="eastAsia" w:ascii="Times New Roman" w:hAnsi="Times New Roman" w:eastAsia="宋体" w:cs="Times New Roman"/>
                <w:b w:val="0"/>
                <w:bCs/>
                <w:color w:val="auto"/>
                <w:kern w:val="2"/>
                <w:sz w:val="21"/>
                <w:szCs w:val="24"/>
                <w:highlight w:val="none"/>
                <w:lang w:val="en-US" w:eastAsia="zh-CN" w:bidi="ar-SA"/>
              </w:rPr>
              <w:t>6</w:t>
            </w:r>
          </w:p>
        </w:tc>
        <w:tc>
          <w:tcPr>
            <w:tcW w:w="1761" w:type="dxa"/>
            <w:vAlign w:val="center"/>
          </w:tcPr>
          <w:p w14:paraId="043233C0">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default" w:hAnsi="宋体"/>
                <w:color w:val="auto"/>
                <w:szCs w:val="21"/>
                <w:highlight w:val="none"/>
                <w:lang w:val="en-US" w:eastAsia="zh-CN"/>
              </w:rPr>
            </w:pPr>
            <w:r>
              <w:rPr>
                <w:rFonts w:hint="eastAsia" w:hAnsi="宋体"/>
                <w:color w:val="auto"/>
                <w:szCs w:val="21"/>
                <w:highlight w:val="none"/>
                <w:lang w:val="en-US" w:eastAsia="zh-CN"/>
              </w:rPr>
              <w:t>/</w:t>
            </w:r>
          </w:p>
        </w:tc>
        <w:tc>
          <w:tcPr>
            <w:tcW w:w="1742" w:type="dxa"/>
            <w:vAlign w:val="center"/>
          </w:tcPr>
          <w:p w14:paraId="5B3A5598">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eastAsia" w:ascii="Times New Roman" w:cs="Times New Roman"/>
                <w:b w:val="0"/>
                <w:bCs/>
                <w:color w:val="auto"/>
                <w:kern w:val="2"/>
                <w:sz w:val="21"/>
                <w:szCs w:val="24"/>
                <w:highlight w:val="none"/>
                <w:lang w:val="en-US" w:eastAsia="zh-CN" w:bidi="ar-SA"/>
              </w:rPr>
            </w:pPr>
            <w:r>
              <w:rPr>
                <w:rFonts w:hint="eastAsia" w:ascii="Times New Roman" w:hAnsi="Times New Roman" w:eastAsia="宋体" w:cs="Times New Roman"/>
                <w:b w:val="0"/>
                <w:bCs/>
                <w:color w:val="auto"/>
                <w:kern w:val="2"/>
                <w:sz w:val="21"/>
                <w:szCs w:val="24"/>
                <w:highlight w:val="none"/>
                <w:lang w:val="en-US" w:eastAsia="zh-CN" w:bidi="ar-SA"/>
              </w:rPr>
              <w:t>6</w:t>
            </w:r>
          </w:p>
        </w:tc>
        <w:tc>
          <w:tcPr>
            <w:tcW w:w="1293" w:type="dxa"/>
            <w:vAlign w:val="center"/>
          </w:tcPr>
          <w:p w14:paraId="3AB97E03">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default" w:hAnsi="宋体"/>
                <w:color w:val="auto"/>
                <w:szCs w:val="21"/>
                <w:highlight w:val="none"/>
                <w:lang w:val="en-US" w:eastAsia="zh-CN"/>
              </w:rPr>
            </w:pPr>
            <w:r>
              <w:rPr>
                <w:rFonts w:hint="eastAsia" w:hAnsi="宋体"/>
                <w:color w:val="auto"/>
                <w:szCs w:val="21"/>
                <w:highlight w:val="none"/>
                <w:lang w:val="en-US" w:eastAsia="zh-CN"/>
              </w:rPr>
              <w:t>/</w:t>
            </w:r>
          </w:p>
        </w:tc>
      </w:tr>
      <w:tr w14:paraId="0A8AFE8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286" w:type="dxa"/>
            <w:vMerge w:val="continue"/>
            <w:vAlign w:val="center"/>
          </w:tcPr>
          <w:p w14:paraId="5F9E6648">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Cs/>
                <w:snapToGrid w:val="0"/>
                <w:color w:val="auto"/>
                <w:kern w:val="21"/>
                <w:sz w:val="21"/>
                <w:szCs w:val="21"/>
                <w:highlight w:val="none"/>
              </w:rPr>
            </w:pPr>
          </w:p>
        </w:tc>
        <w:tc>
          <w:tcPr>
            <w:tcW w:w="1950" w:type="dxa"/>
            <w:vAlign w:val="center"/>
          </w:tcPr>
          <w:p w14:paraId="3E0B1ED5">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废包装桶</w:t>
            </w:r>
          </w:p>
        </w:tc>
        <w:tc>
          <w:tcPr>
            <w:tcW w:w="1575" w:type="dxa"/>
            <w:vAlign w:val="center"/>
          </w:tcPr>
          <w:p w14:paraId="5990EFB1">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hAnsi="宋体"/>
                <w:color w:val="auto"/>
                <w:szCs w:val="21"/>
                <w:highlight w:val="none"/>
                <w:lang w:eastAsia="zh-CN"/>
              </w:rPr>
            </w:pPr>
            <w:r>
              <w:rPr>
                <w:rFonts w:hint="eastAsia" w:hAnsi="宋体"/>
                <w:color w:val="auto"/>
                <w:szCs w:val="21"/>
                <w:highlight w:val="none"/>
                <w:lang w:eastAsia="zh-CN"/>
              </w:rPr>
              <w:t>/</w:t>
            </w:r>
          </w:p>
        </w:tc>
        <w:tc>
          <w:tcPr>
            <w:tcW w:w="1260" w:type="dxa"/>
            <w:vAlign w:val="center"/>
          </w:tcPr>
          <w:p w14:paraId="05E73510">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hAnsi="宋体"/>
                <w:color w:val="auto"/>
                <w:szCs w:val="21"/>
                <w:highlight w:val="none"/>
                <w:lang w:eastAsia="zh-CN"/>
              </w:rPr>
            </w:pPr>
            <w:r>
              <w:rPr>
                <w:rFonts w:hint="eastAsia" w:hAnsi="宋体"/>
                <w:color w:val="auto"/>
                <w:szCs w:val="21"/>
                <w:highlight w:val="none"/>
                <w:lang w:eastAsia="zh-CN"/>
              </w:rPr>
              <w:t>/</w:t>
            </w:r>
          </w:p>
        </w:tc>
        <w:tc>
          <w:tcPr>
            <w:tcW w:w="1612" w:type="dxa"/>
            <w:vAlign w:val="center"/>
          </w:tcPr>
          <w:p w14:paraId="3B31433B">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hAnsi="宋体"/>
                <w:color w:val="auto"/>
                <w:szCs w:val="21"/>
                <w:highlight w:val="none"/>
                <w:lang w:eastAsia="zh-CN"/>
              </w:rPr>
            </w:pPr>
            <w:r>
              <w:rPr>
                <w:rFonts w:hint="eastAsia" w:hAnsi="宋体"/>
                <w:color w:val="auto"/>
                <w:szCs w:val="21"/>
                <w:highlight w:val="none"/>
                <w:lang w:eastAsia="zh-CN"/>
              </w:rPr>
              <w:t>/</w:t>
            </w:r>
          </w:p>
        </w:tc>
        <w:tc>
          <w:tcPr>
            <w:tcW w:w="1559" w:type="dxa"/>
            <w:vAlign w:val="center"/>
          </w:tcPr>
          <w:p w14:paraId="68942268">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default" w:ascii="Times New Roman" w:cs="Times New Roman"/>
                <w:b w:val="0"/>
                <w:bCs/>
                <w:color w:val="auto"/>
                <w:kern w:val="2"/>
                <w:sz w:val="21"/>
                <w:szCs w:val="24"/>
                <w:highlight w:val="none"/>
                <w:lang w:val="en-US" w:eastAsia="zh-CN" w:bidi="ar-SA"/>
              </w:rPr>
            </w:pPr>
            <w:r>
              <w:rPr>
                <w:rFonts w:hint="eastAsia" w:ascii="Times New Roman" w:cs="Times New Roman"/>
                <w:b w:val="0"/>
                <w:bCs/>
                <w:color w:val="auto"/>
                <w:kern w:val="2"/>
                <w:sz w:val="21"/>
                <w:szCs w:val="24"/>
                <w:highlight w:val="none"/>
                <w:lang w:val="en-US" w:eastAsia="zh-CN" w:bidi="ar-SA"/>
              </w:rPr>
              <w:t>0.958</w:t>
            </w:r>
          </w:p>
        </w:tc>
        <w:tc>
          <w:tcPr>
            <w:tcW w:w="1761" w:type="dxa"/>
            <w:vAlign w:val="center"/>
          </w:tcPr>
          <w:p w14:paraId="25E95BF0">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default" w:hAnsi="宋体"/>
                <w:color w:val="auto"/>
                <w:szCs w:val="21"/>
                <w:highlight w:val="none"/>
                <w:lang w:val="en-US" w:eastAsia="zh-CN"/>
              </w:rPr>
            </w:pPr>
            <w:r>
              <w:rPr>
                <w:rFonts w:hint="eastAsia" w:hAnsi="宋体"/>
                <w:color w:val="auto"/>
                <w:szCs w:val="21"/>
                <w:highlight w:val="none"/>
                <w:lang w:val="en-US" w:eastAsia="zh-CN"/>
              </w:rPr>
              <w:t>/</w:t>
            </w:r>
          </w:p>
        </w:tc>
        <w:tc>
          <w:tcPr>
            <w:tcW w:w="1742" w:type="dxa"/>
            <w:vAlign w:val="center"/>
          </w:tcPr>
          <w:p w14:paraId="3D66D690">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default" w:ascii="Times New Roman" w:cs="Times New Roman"/>
                <w:b w:val="0"/>
                <w:bCs/>
                <w:color w:val="auto"/>
                <w:kern w:val="2"/>
                <w:sz w:val="21"/>
                <w:szCs w:val="24"/>
                <w:highlight w:val="none"/>
                <w:lang w:val="en-US" w:eastAsia="zh-CN" w:bidi="ar-SA"/>
              </w:rPr>
            </w:pPr>
            <w:r>
              <w:rPr>
                <w:rFonts w:hint="eastAsia" w:ascii="Times New Roman" w:cs="Times New Roman"/>
                <w:b w:val="0"/>
                <w:bCs/>
                <w:color w:val="auto"/>
                <w:kern w:val="2"/>
                <w:sz w:val="21"/>
                <w:szCs w:val="24"/>
                <w:highlight w:val="none"/>
                <w:lang w:val="en-US" w:eastAsia="zh-CN" w:bidi="ar-SA"/>
              </w:rPr>
              <w:t>0.958</w:t>
            </w:r>
          </w:p>
        </w:tc>
        <w:tc>
          <w:tcPr>
            <w:tcW w:w="1293" w:type="dxa"/>
            <w:vAlign w:val="center"/>
          </w:tcPr>
          <w:p w14:paraId="32C29B95">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default" w:hAnsi="宋体"/>
                <w:color w:val="auto"/>
                <w:szCs w:val="21"/>
                <w:highlight w:val="none"/>
                <w:lang w:val="en-US" w:eastAsia="zh-CN"/>
              </w:rPr>
            </w:pPr>
            <w:r>
              <w:rPr>
                <w:rFonts w:hint="eastAsia" w:hAnsi="宋体"/>
                <w:color w:val="auto"/>
                <w:szCs w:val="21"/>
                <w:highlight w:val="none"/>
                <w:lang w:val="en-US" w:eastAsia="zh-CN"/>
              </w:rPr>
              <w:t>/</w:t>
            </w:r>
          </w:p>
        </w:tc>
      </w:tr>
      <w:tr w14:paraId="5BC2BB1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286" w:type="dxa"/>
            <w:vMerge w:val="continue"/>
            <w:vAlign w:val="center"/>
          </w:tcPr>
          <w:p w14:paraId="7792CAF2">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Cs/>
                <w:snapToGrid w:val="0"/>
                <w:color w:val="auto"/>
                <w:kern w:val="21"/>
                <w:sz w:val="21"/>
                <w:szCs w:val="21"/>
                <w:highlight w:val="none"/>
              </w:rPr>
            </w:pPr>
          </w:p>
        </w:tc>
        <w:tc>
          <w:tcPr>
            <w:tcW w:w="1950" w:type="dxa"/>
            <w:vAlign w:val="center"/>
          </w:tcPr>
          <w:p w14:paraId="064AC2ED">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eastAsia="宋体" w:cs="Times New Roman"/>
                <w:color w:val="auto"/>
                <w:kern w:val="2"/>
                <w:sz w:val="21"/>
                <w:szCs w:val="21"/>
                <w:highlight w:val="none"/>
                <w:lang w:val="en-US" w:eastAsia="zh-CN" w:bidi="ar-SA"/>
              </w:rPr>
              <w:t>废油墨桶</w:t>
            </w:r>
          </w:p>
        </w:tc>
        <w:tc>
          <w:tcPr>
            <w:tcW w:w="1575" w:type="dxa"/>
            <w:vAlign w:val="center"/>
          </w:tcPr>
          <w:p w14:paraId="14B8D972">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hAnsi="宋体"/>
                <w:color w:val="auto"/>
                <w:szCs w:val="21"/>
                <w:highlight w:val="none"/>
                <w:lang w:eastAsia="zh-CN"/>
              </w:rPr>
            </w:pPr>
            <w:r>
              <w:rPr>
                <w:rFonts w:hint="eastAsia" w:hAnsi="宋体"/>
                <w:color w:val="auto"/>
                <w:szCs w:val="21"/>
                <w:highlight w:val="none"/>
                <w:lang w:val="en-US" w:eastAsia="zh-CN"/>
              </w:rPr>
              <w:t>/</w:t>
            </w:r>
          </w:p>
        </w:tc>
        <w:tc>
          <w:tcPr>
            <w:tcW w:w="1260" w:type="dxa"/>
            <w:vAlign w:val="center"/>
          </w:tcPr>
          <w:p w14:paraId="059DC108">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hAnsi="宋体"/>
                <w:color w:val="auto"/>
                <w:szCs w:val="21"/>
                <w:highlight w:val="none"/>
                <w:lang w:eastAsia="zh-CN"/>
              </w:rPr>
            </w:pPr>
            <w:r>
              <w:rPr>
                <w:rFonts w:hint="eastAsia" w:hAnsi="宋体"/>
                <w:color w:val="auto"/>
                <w:szCs w:val="21"/>
                <w:highlight w:val="none"/>
                <w:lang w:val="en-US" w:eastAsia="zh-CN"/>
              </w:rPr>
              <w:t>/</w:t>
            </w:r>
          </w:p>
        </w:tc>
        <w:tc>
          <w:tcPr>
            <w:tcW w:w="1612" w:type="dxa"/>
            <w:vAlign w:val="center"/>
          </w:tcPr>
          <w:p w14:paraId="09D18B80">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hAnsi="宋体"/>
                <w:color w:val="auto"/>
                <w:szCs w:val="21"/>
                <w:highlight w:val="none"/>
                <w:lang w:eastAsia="zh-CN"/>
              </w:rPr>
            </w:pPr>
            <w:r>
              <w:rPr>
                <w:rFonts w:hint="eastAsia" w:hAnsi="宋体"/>
                <w:color w:val="auto"/>
                <w:szCs w:val="21"/>
                <w:highlight w:val="none"/>
                <w:lang w:val="en-US" w:eastAsia="zh-CN"/>
              </w:rPr>
              <w:t>/</w:t>
            </w:r>
          </w:p>
        </w:tc>
        <w:tc>
          <w:tcPr>
            <w:tcW w:w="1559" w:type="dxa"/>
            <w:vAlign w:val="center"/>
          </w:tcPr>
          <w:p w14:paraId="0117F89E">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kern w:val="2"/>
                <w:sz w:val="21"/>
                <w:szCs w:val="24"/>
                <w:highlight w:val="none"/>
                <w:lang w:val="en-US" w:eastAsia="zh-CN" w:bidi="ar-SA"/>
              </w:rPr>
            </w:pPr>
            <w:r>
              <w:rPr>
                <w:rFonts w:hint="eastAsia" w:ascii="Times New Roman" w:hAnsi="Times New Roman" w:eastAsia="宋体" w:cs="Times New Roman"/>
                <w:b w:val="0"/>
                <w:bCs/>
                <w:color w:val="auto"/>
                <w:kern w:val="2"/>
                <w:sz w:val="21"/>
                <w:szCs w:val="24"/>
                <w:highlight w:val="none"/>
                <w:lang w:val="en-US" w:eastAsia="zh-CN" w:bidi="ar-SA"/>
              </w:rPr>
              <w:t>0.005</w:t>
            </w:r>
          </w:p>
        </w:tc>
        <w:tc>
          <w:tcPr>
            <w:tcW w:w="1761" w:type="dxa"/>
            <w:vAlign w:val="center"/>
          </w:tcPr>
          <w:p w14:paraId="1CF7B1C5">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hAnsi="宋体"/>
                <w:color w:val="auto"/>
                <w:szCs w:val="21"/>
                <w:highlight w:val="none"/>
                <w:lang w:val="en-US" w:eastAsia="zh-CN"/>
              </w:rPr>
            </w:pPr>
            <w:r>
              <w:rPr>
                <w:rFonts w:hint="eastAsia" w:hAnsi="宋体"/>
                <w:color w:val="auto"/>
                <w:szCs w:val="21"/>
                <w:highlight w:val="none"/>
                <w:lang w:val="en-US" w:eastAsia="zh-CN"/>
              </w:rPr>
              <w:t>/</w:t>
            </w:r>
          </w:p>
        </w:tc>
        <w:tc>
          <w:tcPr>
            <w:tcW w:w="1742" w:type="dxa"/>
            <w:vAlign w:val="center"/>
          </w:tcPr>
          <w:p w14:paraId="33854897">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eastAsia" w:ascii="Times New Roman" w:hAnsi="Times New Roman" w:eastAsia="宋体" w:cs="Times New Roman"/>
                <w:b w:val="0"/>
                <w:bCs/>
                <w:color w:val="auto"/>
                <w:kern w:val="2"/>
                <w:sz w:val="21"/>
                <w:szCs w:val="24"/>
                <w:highlight w:val="none"/>
                <w:lang w:val="en-US" w:eastAsia="zh-CN" w:bidi="ar-SA"/>
              </w:rPr>
            </w:pPr>
            <w:r>
              <w:rPr>
                <w:rFonts w:hint="eastAsia" w:ascii="Times New Roman" w:hAnsi="Times New Roman" w:eastAsia="宋体" w:cs="Times New Roman"/>
                <w:b w:val="0"/>
                <w:bCs/>
                <w:color w:val="auto"/>
                <w:kern w:val="2"/>
                <w:sz w:val="21"/>
                <w:szCs w:val="24"/>
                <w:highlight w:val="none"/>
                <w:lang w:val="en-US" w:eastAsia="zh-CN" w:bidi="ar-SA"/>
              </w:rPr>
              <w:t>0.005</w:t>
            </w:r>
          </w:p>
        </w:tc>
        <w:tc>
          <w:tcPr>
            <w:tcW w:w="1293" w:type="dxa"/>
            <w:vAlign w:val="center"/>
          </w:tcPr>
          <w:p w14:paraId="131A4E31">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ascii="Times New Roman" w:cs="Times New Roman"/>
                <w:b w:val="0"/>
                <w:bCs/>
                <w:snapToGrid w:val="0"/>
                <w:color w:val="auto"/>
                <w:kern w:val="21"/>
                <w:sz w:val="21"/>
                <w:szCs w:val="21"/>
                <w:highlight w:val="none"/>
                <w:lang w:val="en-US" w:eastAsia="zh-CN"/>
              </w:rPr>
            </w:pPr>
            <w:r>
              <w:rPr>
                <w:rFonts w:hint="eastAsia" w:hAnsi="宋体"/>
                <w:color w:val="auto"/>
                <w:szCs w:val="21"/>
                <w:highlight w:val="none"/>
                <w:lang w:val="en-US" w:eastAsia="zh-CN"/>
              </w:rPr>
              <w:t>/</w:t>
            </w:r>
          </w:p>
        </w:tc>
      </w:tr>
      <w:tr w14:paraId="639B9DC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286" w:type="dxa"/>
            <w:vMerge w:val="continue"/>
            <w:vAlign w:val="center"/>
          </w:tcPr>
          <w:p w14:paraId="628ABEA9">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Cs/>
                <w:snapToGrid w:val="0"/>
                <w:color w:val="auto"/>
                <w:kern w:val="21"/>
                <w:sz w:val="21"/>
                <w:szCs w:val="21"/>
                <w:highlight w:val="none"/>
              </w:rPr>
            </w:pPr>
          </w:p>
        </w:tc>
        <w:tc>
          <w:tcPr>
            <w:tcW w:w="1950" w:type="dxa"/>
            <w:vAlign w:val="center"/>
          </w:tcPr>
          <w:p w14:paraId="07DE8A84">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eastAsia="宋体" w:cs="Times New Roman"/>
                <w:color w:val="auto"/>
                <w:kern w:val="2"/>
                <w:sz w:val="21"/>
                <w:szCs w:val="21"/>
                <w:highlight w:val="none"/>
                <w:lang w:val="en-US" w:eastAsia="zh-CN" w:bidi="ar-SA"/>
              </w:rPr>
              <w:t>废活性炭</w:t>
            </w:r>
          </w:p>
        </w:tc>
        <w:tc>
          <w:tcPr>
            <w:tcW w:w="1575" w:type="dxa"/>
            <w:vAlign w:val="center"/>
          </w:tcPr>
          <w:p w14:paraId="3868B427">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hAnsi="宋体"/>
                <w:color w:val="auto"/>
                <w:szCs w:val="21"/>
                <w:highlight w:val="none"/>
                <w:lang w:val="en-US" w:eastAsia="zh-CN"/>
              </w:rPr>
            </w:pPr>
          </w:p>
        </w:tc>
        <w:tc>
          <w:tcPr>
            <w:tcW w:w="1260" w:type="dxa"/>
            <w:vAlign w:val="center"/>
          </w:tcPr>
          <w:p w14:paraId="607C35C1">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hAnsi="宋体"/>
                <w:color w:val="auto"/>
                <w:szCs w:val="21"/>
                <w:highlight w:val="none"/>
                <w:lang w:val="en-US" w:eastAsia="zh-CN"/>
              </w:rPr>
            </w:pPr>
          </w:p>
        </w:tc>
        <w:tc>
          <w:tcPr>
            <w:tcW w:w="1612" w:type="dxa"/>
            <w:vAlign w:val="center"/>
          </w:tcPr>
          <w:p w14:paraId="57328BF6">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hAnsi="宋体"/>
                <w:color w:val="auto"/>
                <w:szCs w:val="21"/>
                <w:highlight w:val="none"/>
                <w:lang w:val="en-US" w:eastAsia="zh-CN"/>
              </w:rPr>
            </w:pPr>
          </w:p>
        </w:tc>
        <w:tc>
          <w:tcPr>
            <w:tcW w:w="1559" w:type="dxa"/>
            <w:vAlign w:val="center"/>
          </w:tcPr>
          <w:p w14:paraId="18A8EF94">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eastAsia" w:ascii="Times New Roman" w:cs="Times New Roman"/>
                <w:b w:val="0"/>
                <w:bCs/>
                <w:color w:val="auto"/>
                <w:kern w:val="2"/>
                <w:sz w:val="21"/>
                <w:szCs w:val="24"/>
                <w:highlight w:val="none"/>
                <w:lang w:val="en-US" w:eastAsia="zh-CN" w:bidi="ar-SA"/>
              </w:rPr>
            </w:pPr>
            <w:r>
              <w:rPr>
                <w:rFonts w:hint="eastAsia" w:ascii="Times New Roman" w:cs="Times New Roman"/>
                <w:b w:val="0"/>
                <w:bCs/>
                <w:color w:val="auto"/>
                <w:kern w:val="2"/>
                <w:sz w:val="21"/>
                <w:szCs w:val="24"/>
                <w:highlight w:val="none"/>
                <w:lang w:val="en-US" w:eastAsia="zh-CN" w:bidi="ar-SA"/>
              </w:rPr>
              <w:t>47.7</w:t>
            </w:r>
          </w:p>
        </w:tc>
        <w:tc>
          <w:tcPr>
            <w:tcW w:w="1761" w:type="dxa"/>
            <w:vAlign w:val="center"/>
          </w:tcPr>
          <w:p w14:paraId="19D25663">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hAnsi="宋体"/>
                <w:color w:val="auto"/>
                <w:szCs w:val="21"/>
                <w:highlight w:val="none"/>
                <w:lang w:val="en-US" w:eastAsia="zh-CN"/>
              </w:rPr>
            </w:pPr>
          </w:p>
        </w:tc>
        <w:tc>
          <w:tcPr>
            <w:tcW w:w="1742" w:type="dxa"/>
            <w:vAlign w:val="center"/>
          </w:tcPr>
          <w:p w14:paraId="251B6D4D">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eastAsia" w:ascii="Times New Roman" w:cs="Times New Roman"/>
                <w:b w:val="0"/>
                <w:bCs/>
                <w:color w:val="auto"/>
                <w:kern w:val="2"/>
                <w:sz w:val="21"/>
                <w:szCs w:val="24"/>
                <w:highlight w:val="none"/>
                <w:lang w:val="en-US" w:eastAsia="zh-CN" w:bidi="ar-SA"/>
              </w:rPr>
            </w:pPr>
            <w:r>
              <w:rPr>
                <w:rFonts w:hint="eastAsia" w:ascii="Times New Roman" w:cs="Times New Roman"/>
                <w:b w:val="0"/>
                <w:bCs/>
                <w:color w:val="auto"/>
                <w:kern w:val="2"/>
                <w:sz w:val="21"/>
                <w:szCs w:val="24"/>
                <w:highlight w:val="none"/>
                <w:lang w:val="en-US" w:eastAsia="zh-CN" w:bidi="ar-SA"/>
              </w:rPr>
              <w:t>47.7</w:t>
            </w:r>
          </w:p>
        </w:tc>
        <w:tc>
          <w:tcPr>
            <w:tcW w:w="1293" w:type="dxa"/>
            <w:vAlign w:val="center"/>
          </w:tcPr>
          <w:p w14:paraId="1B4309C8">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hAnsi="宋体"/>
                <w:color w:val="auto"/>
                <w:szCs w:val="21"/>
                <w:highlight w:val="none"/>
                <w:lang w:val="en-US" w:eastAsia="zh-CN"/>
              </w:rPr>
            </w:pPr>
          </w:p>
        </w:tc>
      </w:tr>
      <w:tr w14:paraId="33B6053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286" w:type="dxa"/>
            <w:vMerge w:val="continue"/>
            <w:vAlign w:val="center"/>
          </w:tcPr>
          <w:p w14:paraId="793AEFD5">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Cs/>
                <w:snapToGrid w:val="0"/>
                <w:color w:val="auto"/>
                <w:kern w:val="21"/>
                <w:sz w:val="21"/>
                <w:szCs w:val="21"/>
                <w:highlight w:val="none"/>
              </w:rPr>
            </w:pPr>
          </w:p>
        </w:tc>
        <w:tc>
          <w:tcPr>
            <w:tcW w:w="1950" w:type="dxa"/>
            <w:vAlign w:val="center"/>
          </w:tcPr>
          <w:p w14:paraId="1EA1432B">
            <w:pPr>
              <w:pStyle w:val="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eastAsia="宋体" w:cs="Times New Roman"/>
                <w:color w:val="auto"/>
                <w:kern w:val="2"/>
                <w:sz w:val="21"/>
                <w:szCs w:val="21"/>
                <w:highlight w:val="none"/>
                <w:lang w:val="en-US" w:eastAsia="zh-CN" w:bidi="ar-SA"/>
              </w:rPr>
              <w:t>废润滑油</w:t>
            </w:r>
          </w:p>
        </w:tc>
        <w:tc>
          <w:tcPr>
            <w:tcW w:w="1575" w:type="dxa"/>
            <w:vAlign w:val="center"/>
          </w:tcPr>
          <w:p w14:paraId="38945054">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hAnsi="宋体"/>
                <w:color w:val="auto"/>
                <w:szCs w:val="21"/>
                <w:highlight w:val="none"/>
                <w:lang w:val="en-US" w:eastAsia="zh-CN"/>
              </w:rPr>
            </w:pPr>
          </w:p>
        </w:tc>
        <w:tc>
          <w:tcPr>
            <w:tcW w:w="1260" w:type="dxa"/>
            <w:vAlign w:val="center"/>
          </w:tcPr>
          <w:p w14:paraId="32C82DA8">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hAnsi="宋体"/>
                <w:color w:val="auto"/>
                <w:szCs w:val="21"/>
                <w:highlight w:val="none"/>
                <w:lang w:val="en-US" w:eastAsia="zh-CN"/>
              </w:rPr>
            </w:pPr>
          </w:p>
        </w:tc>
        <w:tc>
          <w:tcPr>
            <w:tcW w:w="1612" w:type="dxa"/>
            <w:vAlign w:val="center"/>
          </w:tcPr>
          <w:p w14:paraId="71C38D7E">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hAnsi="宋体"/>
                <w:color w:val="auto"/>
                <w:szCs w:val="21"/>
                <w:highlight w:val="none"/>
                <w:lang w:val="en-US" w:eastAsia="zh-CN"/>
              </w:rPr>
            </w:pPr>
          </w:p>
        </w:tc>
        <w:tc>
          <w:tcPr>
            <w:tcW w:w="1559" w:type="dxa"/>
            <w:vAlign w:val="center"/>
          </w:tcPr>
          <w:p w14:paraId="050EC3B5">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eastAsia" w:ascii="Times New Roman" w:cs="Times New Roman"/>
                <w:b w:val="0"/>
                <w:bCs/>
                <w:color w:val="auto"/>
                <w:kern w:val="2"/>
                <w:sz w:val="21"/>
                <w:szCs w:val="24"/>
                <w:highlight w:val="none"/>
                <w:lang w:val="en-US" w:eastAsia="zh-CN" w:bidi="ar-SA"/>
              </w:rPr>
            </w:pPr>
            <w:r>
              <w:rPr>
                <w:rFonts w:hint="eastAsia" w:ascii="Times New Roman" w:hAnsi="Times New Roman" w:eastAsia="宋体" w:cs="Times New Roman"/>
                <w:b w:val="0"/>
                <w:bCs/>
                <w:color w:val="auto"/>
                <w:kern w:val="2"/>
                <w:sz w:val="21"/>
                <w:szCs w:val="24"/>
                <w:highlight w:val="none"/>
                <w:lang w:val="en-US" w:eastAsia="zh-CN" w:bidi="ar-SA"/>
              </w:rPr>
              <w:t>0.05</w:t>
            </w:r>
          </w:p>
        </w:tc>
        <w:tc>
          <w:tcPr>
            <w:tcW w:w="1761" w:type="dxa"/>
            <w:vAlign w:val="center"/>
          </w:tcPr>
          <w:p w14:paraId="12B8D143">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hAnsi="宋体"/>
                <w:color w:val="auto"/>
                <w:szCs w:val="21"/>
                <w:highlight w:val="none"/>
                <w:lang w:val="en-US" w:eastAsia="zh-CN"/>
              </w:rPr>
            </w:pPr>
          </w:p>
        </w:tc>
        <w:tc>
          <w:tcPr>
            <w:tcW w:w="1742" w:type="dxa"/>
            <w:vAlign w:val="center"/>
          </w:tcPr>
          <w:p w14:paraId="5EC42439">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eastAsia" w:ascii="Times New Roman" w:cs="Times New Roman"/>
                <w:b w:val="0"/>
                <w:bCs/>
                <w:color w:val="auto"/>
                <w:kern w:val="2"/>
                <w:sz w:val="21"/>
                <w:szCs w:val="24"/>
                <w:highlight w:val="none"/>
                <w:lang w:val="en-US" w:eastAsia="zh-CN" w:bidi="ar-SA"/>
              </w:rPr>
            </w:pPr>
            <w:r>
              <w:rPr>
                <w:rFonts w:hint="eastAsia" w:ascii="Times New Roman" w:hAnsi="Times New Roman" w:eastAsia="宋体" w:cs="Times New Roman"/>
                <w:b w:val="0"/>
                <w:bCs/>
                <w:color w:val="auto"/>
                <w:kern w:val="2"/>
                <w:sz w:val="21"/>
                <w:szCs w:val="24"/>
                <w:highlight w:val="none"/>
                <w:lang w:val="en-US" w:eastAsia="zh-CN" w:bidi="ar-SA"/>
              </w:rPr>
              <w:t>0.05</w:t>
            </w:r>
          </w:p>
        </w:tc>
        <w:tc>
          <w:tcPr>
            <w:tcW w:w="1293" w:type="dxa"/>
            <w:vAlign w:val="center"/>
          </w:tcPr>
          <w:p w14:paraId="0E47EF14">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hAnsi="宋体"/>
                <w:color w:val="auto"/>
                <w:szCs w:val="21"/>
                <w:highlight w:val="none"/>
                <w:lang w:val="en-US" w:eastAsia="zh-CN"/>
              </w:rPr>
            </w:pPr>
          </w:p>
        </w:tc>
      </w:tr>
      <w:tr w14:paraId="0DCB99F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286" w:type="dxa"/>
            <w:vMerge w:val="continue"/>
            <w:vAlign w:val="center"/>
          </w:tcPr>
          <w:p w14:paraId="7B84A9DD">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Cs/>
                <w:snapToGrid w:val="0"/>
                <w:color w:val="auto"/>
                <w:kern w:val="21"/>
                <w:sz w:val="21"/>
                <w:szCs w:val="21"/>
                <w:highlight w:val="none"/>
              </w:rPr>
            </w:pPr>
          </w:p>
        </w:tc>
        <w:tc>
          <w:tcPr>
            <w:tcW w:w="1950" w:type="dxa"/>
            <w:vAlign w:val="center"/>
          </w:tcPr>
          <w:p w14:paraId="48299F61">
            <w:pPr>
              <w:keepNext w:val="0"/>
              <w:keepLines w:val="0"/>
              <w:widowControl/>
              <w:suppressLineNumbers w:val="0"/>
              <w:autoSpaceDE w:val="0"/>
              <w:autoSpaceDN w:val="0"/>
              <w:adjustRightInd w:val="0"/>
              <w:spacing w:before="0" w:beforeAutospacing="0" w:after="0" w:afterAutospacing="0" w:line="240" w:lineRule="exact"/>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bCs/>
                <w:color w:val="auto"/>
                <w:sz w:val="21"/>
                <w:szCs w:val="21"/>
                <w:lang w:val="en-US" w:eastAsia="zh-CN"/>
              </w:rPr>
              <w:t>废机油</w:t>
            </w:r>
          </w:p>
        </w:tc>
        <w:tc>
          <w:tcPr>
            <w:tcW w:w="1575" w:type="dxa"/>
            <w:vAlign w:val="center"/>
          </w:tcPr>
          <w:p w14:paraId="28821853">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hAnsi="宋体"/>
                <w:color w:val="auto"/>
                <w:szCs w:val="21"/>
                <w:highlight w:val="none"/>
                <w:lang w:val="en-US" w:eastAsia="zh-CN"/>
              </w:rPr>
            </w:pPr>
          </w:p>
        </w:tc>
        <w:tc>
          <w:tcPr>
            <w:tcW w:w="1260" w:type="dxa"/>
            <w:vAlign w:val="center"/>
          </w:tcPr>
          <w:p w14:paraId="55B63B82">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hAnsi="宋体"/>
                <w:color w:val="auto"/>
                <w:szCs w:val="21"/>
                <w:highlight w:val="none"/>
                <w:lang w:val="en-US" w:eastAsia="zh-CN"/>
              </w:rPr>
            </w:pPr>
          </w:p>
        </w:tc>
        <w:tc>
          <w:tcPr>
            <w:tcW w:w="1612" w:type="dxa"/>
            <w:vAlign w:val="center"/>
          </w:tcPr>
          <w:p w14:paraId="2338D8F8">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hAnsi="宋体"/>
                <w:color w:val="auto"/>
                <w:szCs w:val="21"/>
                <w:highlight w:val="none"/>
                <w:lang w:val="en-US" w:eastAsia="zh-CN"/>
              </w:rPr>
            </w:pPr>
          </w:p>
        </w:tc>
        <w:tc>
          <w:tcPr>
            <w:tcW w:w="1559" w:type="dxa"/>
            <w:vAlign w:val="center"/>
          </w:tcPr>
          <w:p w14:paraId="4B009A9F">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eastAsia" w:ascii="Times New Roman" w:cs="Times New Roman"/>
                <w:b w:val="0"/>
                <w:bCs/>
                <w:color w:val="auto"/>
                <w:kern w:val="2"/>
                <w:sz w:val="21"/>
                <w:szCs w:val="24"/>
                <w:highlight w:val="none"/>
                <w:lang w:val="en-US" w:eastAsia="zh-CN" w:bidi="ar-SA"/>
              </w:rPr>
            </w:pPr>
            <w:r>
              <w:rPr>
                <w:rFonts w:hint="eastAsia" w:ascii="Times New Roman" w:hAnsi="Times New Roman" w:eastAsia="宋体" w:cs="Times New Roman"/>
                <w:b w:val="0"/>
                <w:bCs/>
                <w:color w:val="auto"/>
                <w:kern w:val="2"/>
                <w:sz w:val="21"/>
                <w:szCs w:val="24"/>
                <w:highlight w:val="none"/>
                <w:lang w:val="en-US" w:eastAsia="zh-CN" w:bidi="ar-SA"/>
              </w:rPr>
              <w:t>0.2</w:t>
            </w:r>
          </w:p>
        </w:tc>
        <w:tc>
          <w:tcPr>
            <w:tcW w:w="1761" w:type="dxa"/>
            <w:vAlign w:val="center"/>
          </w:tcPr>
          <w:p w14:paraId="698E8988">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hAnsi="宋体"/>
                <w:color w:val="auto"/>
                <w:szCs w:val="21"/>
                <w:highlight w:val="none"/>
                <w:lang w:val="en-US" w:eastAsia="zh-CN"/>
              </w:rPr>
            </w:pPr>
          </w:p>
        </w:tc>
        <w:tc>
          <w:tcPr>
            <w:tcW w:w="1742" w:type="dxa"/>
            <w:vAlign w:val="center"/>
          </w:tcPr>
          <w:p w14:paraId="243C9F7A">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eastAsia" w:ascii="Times New Roman" w:cs="Times New Roman"/>
                <w:b w:val="0"/>
                <w:bCs/>
                <w:color w:val="auto"/>
                <w:kern w:val="2"/>
                <w:sz w:val="21"/>
                <w:szCs w:val="24"/>
                <w:highlight w:val="none"/>
                <w:lang w:val="en-US" w:eastAsia="zh-CN" w:bidi="ar-SA"/>
              </w:rPr>
            </w:pPr>
            <w:r>
              <w:rPr>
                <w:rFonts w:hint="eastAsia" w:ascii="Times New Roman" w:hAnsi="Times New Roman" w:eastAsia="宋体" w:cs="Times New Roman"/>
                <w:b w:val="0"/>
                <w:bCs/>
                <w:color w:val="auto"/>
                <w:kern w:val="2"/>
                <w:sz w:val="21"/>
                <w:szCs w:val="24"/>
                <w:highlight w:val="none"/>
                <w:lang w:val="en-US" w:eastAsia="zh-CN" w:bidi="ar-SA"/>
              </w:rPr>
              <w:t>0.2</w:t>
            </w:r>
          </w:p>
        </w:tc>
        <w:tc>
          <w:tcPr>
            <w:tcW w:w="1293" w:type="dxa"/>
            <w:vAlign w:val="center"/>
          </w:tcPr>
          <w:p w14:paraId="3E8AEA67">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hAnsi="宋体"/>
                <w:color w:val="auto"/>
                <w:szCs w:val="21"/>
                <w:highlight w:val="none"/>
                <w:lang w:val="en-US" w:eastAsia="zh-CN"/>
              </w:rPr>
            </w:pPr>
          </w:p>
        </w:tc>
      </w:tr>
      <w:tr w14:paraId="41B1190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286" w:type="dxa"/>
            <w:vMerge w:val="continue"/>
            <w:vAlign w:val="center"/>
          </w:tcPr>
          <w:p w14:paraId="2E59A590">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Cs/>
                <w:snapToGrid w:val="0"/>
                <w:color w:val="auto"/>
                <w:kern w:val="21"/>
                <w:sz w:val="21"/>
                <w:szCs w:val="21"/>
                <w:highlight w:val="none"/>
              </w:rPr>
            </w:pPr>
          </w:p>
        </w:tc>
        <w:tc>
          <w:tcPr>
            <w:tcW w:w="1950" w:type="dxa"/>
            <w:vAlign w:val="center"/>
          </w:tcPr>
          <w:p w14:paraId="43E329EB">
            <w:pPr>
              <w:keepNext w:val="0"/>
              <w:keepLines w:val="0"/>
              <w:widowControl/>
              <w:suppressLineNumbers w:val="0"/>
              <w:autoSpaceDE w:val="0"/>
              <w:autoSpaceDN w:val="0"/>
              <w:adjustRightInd w:val="0"/>
              <w:spacing w:before="0" w:beforeAutospacing="0" w:after="0" w:afterAutospacing="0" w:line="240" w:lineRule="exact"/>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bCs/>
                <w:color w:val="auto"/>
                <w:sz w:val="21"/>
                <w:szCs w:val="21"/>
                <w:lang w:val="en-US" w:eastAsia="zh-CN"/>
              </w:rPr>
              <w:t>废机油</w:t>
            </w:r>
            <w:r>
              <w:rPr>
                <w:rFonts w:hint="eastAsia" w:ascii="Times New Roman" w:hAnsi="Times New Roman" w:eastAsia="宋体" w:cs="宋体"/>
                <w:color w:val="auto"/>
                <w:kern w:val="0"/>
                <w:sz w:val="21"/>
                <w:szCs w:val="21"/>
                <w:lang w:val="en-US" w:eastAsia="zh-CN" w:bidi="ar"/>
              </w:rPr>
              <w:t>桶</w:t>
            </w:r>
          </w:p>
        </w:tc>
        <w:tc>
          <w:tcPr>
            <w:tcW w:w="1575" w:type="dxa"/>
            <w:vAlign w:val="center"/>
          </w:tcPr>
          <w:p w14:paraId="2F0CF815">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hAnsi="宋体"/>
                <w:color w:val="auto"/>
                <w:szCs w:val="21"/>
                <w:highlight w:val="none"/>
                <w:lang w:val="en-US" w:eastAsia="zh-CN"/>
              </w:rPr>
            </w:pPr>
          </w:p>
        </w:tc>
        <w:tc>
          <w:tcPr>
            <w:tcW w:w="1260" w:type="dxa"/>
            <w:vAlign w:val="center"/>
          </w:tcPr>
          <w:p w14:paraId="3DDBE480">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hAnsi="宋体"/>
                <w:color w:val="auto"/>
                <w:szCs w:val="21"/>
                <w:highlight w:val="none"/>
                <w:lang w:val="en-US" w:eastAsia="zh-CN"/>
              </w:rPr>
            </w:pPr>
          </w:p>
        </w:tc>
        <w:tc>
          <w:tcPr>
            <w:tcW w:w="1612" w:type="dxa"/>
            <w:vAlign w:val="center"/>
          </w:tcPr>
          <w:p w14:paraId="2790A5A7">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hAnsi="宋体"/>
                <w:color w:val="auto"/>
                <w:szCs w:val="21"/>
                <w:highlight w:val="none"/>
                <w:lang w:val="en-US" w:eastAsia="zh-CN"/>
              </w:rPr>
            </w:pPr>
          </w:p>
        </w:tc>
        <w:tc>
          <w:tcPr>
            <w:tcW w:w="1559" w:type="dxa"/>
            <w:vAlign w:val="center"/>
          </w:tcPr>
          <w:p w14:paraId="74FE6874">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eastAsia" w:ascii="Times New Roman" w:cs="Times New Roman"/>
                <w:b w:val="0"/>
                <w:bCs/>
                <w:color w:val="auto"/>
                <w:kern w:val="2"/>
                <w:sz w:val="21"/>
                <w:szCs w:val="24"/>
                <w:highlight w:val="none"/>
                <w:lang w:val="en-US" w:eastAsia="zh-CN" w:bidi="ar-SA"/>
              </w:rPr>
            </w:pPr>
            <w:r>
              <w:rPr>
                <w:rFonts w:hint="eastAsia" w:ascii="Times New Roman" w:hAnsi="Times New Roman" w:eastAsia="宋体" w:cs="Times New Roman"/>
                <w:b w:val="0"/>
                <w:bCs/>
                <w:color w:val="auto"/>
                <w:kern w:val="2"/>
                <w:sz w:val="21"/>
                <w:szCs w:val="24"/>
                <w:highlight w:val="none"/>
                <w:lang w:val="en-US" w:eastAsia="zh-CN" w:bidi="ar-SA"/>
              </w:rPr>
              <w:t>0.02</w:t>
            </w:r>
          </w:p>
        </w:tc>
        <w:tc>
          <w:tcPr>
            <w:tcW w:w="1761" w:type="dxa"/>
            <w:vAlign w:val="center"/>
          </w:tcPr>
          <w:p w14:paraId="412D3A22">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hAnsi="宋体"/>
                <w:color w:val="auto"/>
                <w:szCs w:val="21"/>
                <w:highlight w:val="none"/>
                <w:lang w:val="en-US" w:eastAsia="zh-CN"/>
              </w:rPr>
            </w:pPr>
          </w:p>
        </w:tc>
        <w:tc>
          <w:tcPr>
            <w:tcW w:w="1742" w:type="dxa"/>
            <w:vAlign w:val="center"/>
          </w:tcPr>
          <w:p w14:paraId="56F93D4A">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eastAsia" w:ascii="Times New Roman" w:cs="Times New Roman"/>
                <w:b w:val="0"/>
                <w:bCs/>
                <w:color w:val="auto"/>
                <w:kern w:val="2"/>
                <w:sz w:val="21"/>
                <w:szCs w:val="24"/>
                <w:highlight w:val="none"/>
                <w:lang w:val="en-US" w:eastAsia="zh-CN" w:bidi="ar-SA"/>
              </w:rPr>
            </w:pPr>
            <w:r>
              <w:rPr>
                <w:rFonts w:hint="eastAsia" w:ascii="Times New Roman" w:hAnsi="Times New Roman" w:eastAsia="宋体" w:cs="Times New Roman"/>
                <w:b w:val="0"/>
                <w:bCs/>
                <w:color w:val="auto"/>
                <w:kern w:val="2"/>
                <w:sz w:val="21"/>
                <w:szCs w:val="24"/>
                <w:highlight w:val="none"/>
                <w:lang w:val="en-US" w:eastAsia="zh-CN" w:bidi="ar-SA"/>
              </w:rPr>
              <w:t>0.02</w:t>
            </w:r>
          </w:p>
        </w:tc>
        <w:tc>
          <w:tcPr>
            <w:tcW w:w="1293" w:type="dxa"/>
            <w:vAlign w:val="center"/>
          </w:tcPr>
          <w:p w14:paraId="6D6AF62D">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hAnsi="宋体"/>
                <w:color w:val="auto"/>
                <w:szCs w:val="21"/>
                <w:highlight w:val="none"/>
                <w:lang w:val="en-US" w:eastAsia="zh-CN"/>
              </w:rPr>
            </w:pPr>
          </w:p>
        </w:tc>
      </w:tr>
      <w:tr w14:paraId="5E6C9DB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286" w:type="dxa"/>
            <w:vMerge w:val="continue"/>
            <w:vAlign w:val="center"/>
          </w:tcPr>
          <w:p w14:paraId="1F3A30E7">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Cs/>
                <w:snapToGrid w:val="0"/>
                <w:color w:val="auto"/>
                <w:kern w:val="21"/>
                <w:sz w:val="21"/>
                <w:szCs w:val="21"/>
                <w:highlight w:val="none"/>
              </w:rPr>
            </w:pPr>
          </w:p>
        </w:tc>
        <w:tc>
          <w:tcPr>
            <w:tcW w:w="1950" w:type="dxa"/>
            <w:vAlign w:val="center"/>
          </w:tcPr>
          <w:p w14:paraId="5DABC40D">
            <w:pPr>
              <w:keepNext w:val="0"/>
              <w:keepLines w:val="0"/>
              <w:widowControl/>
              <w:suppressLineNumbers w:val="0"/>
              <w:autoSpaceDE w:val="0"/>
              <w:autoSpaceDN w:val="0"/>
              <w:adjustRightInd w:val="0"/>
              <w:spacing w:before="0" w:beforeAutospacing="0" w:after="0" w:afterAutospacing="0" w:line="240" w:lineRule="exact"/>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lang w:val="en-US" w:eastAsia="zh-CN"/>
              </w:rPr>
              <w:t>废含油手套及抹布</w:t>
            </w:r>
          </w:p>
        </w:tc>
        <w:tc>
          <w:tcPr>
            <w:tcW w:w="1575" w:type="dxa"/>
            <w:vAlign w:val="center"/>
          </w:tcPr>
          <w:p w14:paraId="3BFB4FC9">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hAnsi="宋体"/>
                <w:color w:val="auto"/>
                <w:szCs w:val="21"/>
                <w:highlight w:val="none"/>
                <w:lang w:eastAsia="zh-CN"/>
              </w:rPr>
            </w:pPr>
            <w:r>
              <w:rPr>
                <w:rFonts w:hint="eastAsia" w:hAnsi="宋体"/>
                <w:color w:val="auto"/>
                <w:szCs w:val="21"/>
                <w:highlight w:val="none"/>
                <w:lang w:val="en-US" w:eastAsia="zh-CN"/>
              </w:rPr>
              <w:t>/</w:t>
            </w:r>
          </w:p>
        </w:tc>
        <w:tc>
          <w:tcPr>
            <w:tcW w:w="1260" w:type="dxa"/>
            <w:vAlign w:val="center"/>
          </w:tcPr>
          <w:p w14:paraId="58BD1729">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hAnsi="宋体"/>
                <w:color w:val="auto"/>
                <w:szCs w:val="21"/>
                <w:highlight w:val="none"/>
                <w:lang w:eastAsia="zh-CN"/>
              </w:rPr>
            </w:pPr>
            <w:r>
              <w:rPr>
                <w:rFonts w:hint="eastAsia" w:hAnsi="宋体"/>
                <w:color w:val="auto"/>
                <w:szCs w:val="21"/>
                <w:highlight w:val="none"/>
                <w:lang w:val="en-US" w:eastAsia="zh-CN"/>
              </w:rPr>
              <w:t>/</w:t>
            </w:r>
          </w:p>
        </w:tc>
        <w:tc>
          <w:tcPr>
            <w:tcW w:w="1612" w:type="dxa"/>
            <w:vAlign w:val="center"/>
          </w:tcPr>
          <w:p w14:paraId="3960662A">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hAnsi="宋体"/>
                <w:color w:val="auto"/>
                <w:szCs w:val="21"/>
                <w:highlight w:val="none"/>
                <w:lang w:eastAsia="zh-CN"/>
              </w:rPr>
            </w:pPr>
            <w:r>
              <w:rPr>
                <w:rFonts w:hint="eastAsia" w:hAnsi="宋体"/>
                <w:color w:val="auto"/>
                <w:szCs w:val="21"/>
                <w:highlight w:val="none"/>
                <w:lang w:val="en-US" w:eastAsia="zh-CN"/>
              </w:rPr>
              <w:t>/</w:t>
            </w:r>
          </w:p>
        </w:tc>
        <w:tc>
          <w:tcPr>
            <w:tcW w:w="1559" w:type="dxa"/>
            <w:vAlign w:val="center"/>
          </w:tcPr>
          <w:p w14:paraId="73EE9CD2">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kern w:val="2"/>
                <w:sz w:val="21"/>
                <w:szCs w:val="24"/>
                <w:highlight w:val="none"/>
                <w:lang w:val="en-US" w:eastAsia="zh-CN" w:bidi="ar-SA"/>
              </w:rPr>
            </w:pPr>
            <w:r>
              <w:rPr>
                <w:rFonts w:hint="eastAsia" w:ascii="Times New Roman" w:hAnsi="Times New Roman" w:eastAsia="宋体" w:cs="Times New Roman"/>
                <w:b w:val="0"/>
                <w:bCs/>
                <w:color w:val="auto"/>
                <w:kern w:val="2"/>
                <w:sz w:val="21"/>
                <w:szCs w:val="24"/>
                <w:highlight w:val="none"/>
                <w:lang w:val="en-US" w:eastAsia="zh-CN" w:bidi="ar-SA"/>
              </w:rPr>
              <w:t>0.05</w:t>
            </w:r>
          </w:p>
        </w:tc>
        <w:tc>
          <w:tcPr>
            <w:tcW w:w="1761" w:type="dxa"/>
            <w:vAlign w:val="center"/>
          </w:tcPr>
          <w:p w14:paraId="67AEA4EC">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hAnsi="宋体"/>
                <w:color w:val="auto"/>
                <w:szCs w:val="21"/>
                <w:highlight w:val="none"/>
                <w:lang w:val="en-US" w:eastAsia="zh-CN"/>
              </w:rPr>
            </w:pPr>
            <w:r>
              <w:rPr>
                <w:rFonts w:hint="eastAsia" w:hAnsi="宋体"/>
                <w:color w:val="auto"/>
                <w:szCs w:val="21"/>
                <w:highlight w:val="none"/>
                <w:lang w:val="en-US" w:eastAsia="zh-CN"/>
              </w:rPr>
              <w:t>/</w:t>
            </w:r>
          </w:p>
        </w:tc>
        <w:tc>
          <w:tcPr>
            <w:tcW w:w="1742" w:type="dxa"/>
            <w:vAlign w:val="center"/>
          </w:tcPr>
          <w:p w14:paraId="323D1B75">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kern w:val="2"/>
                <w:sz w:val="21"/>
                <w:szCs w:val="24"/>
                <w:highlight w:val="none"/>
                <w:lang w:val="en-US" w:eastAsia="zh-CN" w:bidi="ar-SA"/>
              </w:rPr>
            </w:pPr>
            <w:r>
              <w:rPr>
                <w:rFonts w:hint="eastAsia" w:ascii="Times New Roman" w:hAnsi="Times New Roman" w:eastAsia="宋体" w:cs="Times New Roman"/>
                <w:b w:val="0"/>
                <w:bCs/>
                <w:color w:val="auto"/>
                <w:kern w:val="2"/>
                <w:sz w:val="21"/>
                <w:szCs w:val="24"/>
                <w:highlight w:val="none"/>
                <w:lang w:val="en-US" w:eastAsia="zh-CN" w:bidi="ar-SA"/>
              </w:rPr>
              <w:t>0.05</w:t>
            </w:r>
          </w:p>
        </w:tc>
        <w:tc>
          <w:tcPr>
            <w:tcW w:w="1293" w:type="dxa"/>
            <w:vAlign w:val="center"/>
          </w:tcPr>
          <w:p w14:paraId="733A2252">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ascii="Times New Roman" w:cs="Times New Roman"/>
                <w:b w:val="0"/>
                <w:bCs/>
                <w:snapToGrid w:val="0"/>
                <w:color w:val="auto"/>
                <w:kern w:val="21"/>
                <w:sz w:val="21"/>
                <w:szCs w:val="21"/>
                <w:highlight w:val="none"/>
                <w:lang w:val="en-US" w:eastAsia="zh-CN"/>
              </w:rPr>
            </w:pPr>
            <w:r>
              <w:rPr>
                <w:rFonts w:hint="eastAsia" w:hAnsi="宋体"/>
                <w:color w:val="auto"/>
                <w:szCs w:val="21"/>
                <w:highlight w:val="none"/>
                <w:lang w:val="en-US" w:eastAsia="zh-CN"/>
              </w:rPr>
              <w:t>/</w:t>
            </w:r>
          </w:p>
        </w:tc>
      </w:tr>
      <w:tr w14:paraId="4D340EC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286" w:type="dxa"/>
            <w:vAlign w:val="center"/>
          </w:tcPr>
          <w:p w14:paraId="2E6FAF55">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snapToGrid w:val="0"/>
                <w:color w:val="auto"/>
                <w:kern w:val="21"/>
                <w:sz w:val="21"/>
                <w:szCs w:val="21"/>
                <w:highlight w:val="none"/>
                <w:lang w:val="en-US" w:eastAsia="zh-CN" w:bidi="ar-SA"/>
              </w:rPr>
            </w:pPr>
            <w:r>
              <w:rPr>
                <w:rFonts w:hint="eastAsia" w:ascii="Times New Roman" w:cs="Times New Roman"/>
                <w:bCs/>
                <w:snapToGrid w:val="0"/>
                <w:color w:val="auto"/>
                <w:kern w:val="21"/>
                <w:sz w:val="21"/>
                <w:szCs w:val="21"/>
                <w:highlight w:val="none"/>
                <w:lang w:val="en-US" w:eastAsia="zh-CN"/>
              </w:rPr>
              <w:t>生活垃圾</w:t>
            </w:r>
          </w:p>
        </w:tc>
        <w:tc>
          <w:tcPr>
            <w:tcW w:w="1950" w:type="dxa"/>
            <w:vAlign w:val="center"/>
          </w:tcPr>
          <w:p w14:paraId="14B40A85">
            <w:pPr>
              <w:pStyle w:val="47"/>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snapToGrid w:val="0"/>
                <w:color w:val="auto"/>
                <w:kern w:val="21"/>
                <w:sz w:val="21"/>
                <w:szCs w:val="21"/>
                <w:highlight w:val="none"/>
                <w:lang w:val="en-US" w:eastAsia="zh-CN" w:bidi="ar-SA"/>
              </w:rPr>
            </w:pPr>
            <w:r>
              <w:rPr>
                <w:rFonts w:hint="eastAsia" w:ascii="Times New Roman" w:hAnsi="Times New Roman" w:eastAsia="宋体" w:cs="Times New Roman"/>
                <w:b w:val="0"/>
                <w:bCs/>
                <w:snapToGrid w:val="0"/>
                <w:color w:val="auto"/>
                <w:kern w:val="21"/>
                <w:sz w:val="21"/>
                <w:szCs w:val="21"/>
                <w:highlight w:val="none"/>
                <w:lang w:val="en-US" w:eastAsia="zh-CN"/>
              </w:rPr>
              <w:t>生活垃圾</w:t>
            </w:r>
          </w:p>
        </w:tc>
        <w:tc>
          <w:tcPr>
            <w:tcW w:w="1575" w:type="dxa"/>
            <w:vAlign w:val="center"/>
          </w:tcPr>
          <w:p w14:paraId="213C8500">
            <w:pPr>
              <w:keepNext w:val="0"/>
              <w:keepLines w:val="0"/>
              <w:widowControl w:val="0"/>
              <w:suppressLineNumbers w:val="0"/>
              <w:bidi w:val="0"/>
              <w:adjustRightInd/>
              <w:spacing w:before="0" w:beforeAutospacing="0" w:after="0" w:afterAutospacing="0" w:line="240" w:lineRule="auto"/>
              <w:ind w:left="0" w:leftChars="0" w:right="0" w:rightChars="0" w:firstLine="0" w:firstLineChars="0"/>
              <w:jc w:val="center"/>
              <w:textAlignment w:val="auto"/>
              <w:rPr>
                <w:rFonts w:hint="eastAsia" w:hAnsi="宋体"/>
                <w:color w:val="auto"/>
                <w:szCs w:val="21"/>
                <w:highlight w:val="none"/>
                <w:lang w:eastAsia="zh-CN"/>
              </w:rPr>
            </w:pPr>
            <w:r>
              <w:rPr>
                <w:rFonts w:hint="eastAsia" w:hAnsi="宋体"/>
                <w:color w:val="auto"/>
                <w:szCs w:val="21"/>
                <w:highlight w:val="none"/>
                <w:lang w:val="en-US" w:eastAsia="zh-CN"/>
              </w:rPr>
              <w:t>/</w:t>
            </w:r>
          </w:p>
        </w:tc>
        <w:tc>
          <w:tcPr>
            <w:tcW w:w="1260" w:type="dxa"/>
            <w:vAlign w:val="center"/>
          </w:tcPr>
          <w:p w14:paraId="48171AC7">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hAnsi="宋体"/>
                <w:color w:val="auto"/>
                <w:szCs w:val="21"/>
                <w:highlight w:val="none"/>
                <w:lang w:eastAsia="zh-CN"/>
              </w:rPr>
            </w:pPr>
            <w:r>
              <w:rPr>
                <w:rFonts w:hint="eastAsia" w:hAnsi="宋体"/>
                <w:color w:val="auto"/>
                <w:szCs w:val="21"/>
                <w:highlight w:val="none"/>
                <w:lang w:val="en-US" w:eastAsia="zh-CN"/>
              </w:rPr>
              <w:t>/</w:t>
            </w:r>
          </w:p>
        </w:tc>
        <w:tc>
          <w:tcPr>
            <w:tcW w:w="1612" w:type="dxa"/>
            <w:vAlign w:val="center"/>
          </w:tcPr>
          <w:p w14:paraId="53D22897">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hAnsi="宋体"/>
                <w:color w:val="auto"/>
                <w:szCs w:val="21"/>
                <w:highlight w:val="none"/>
                <w:lang w:eastAsia="zh-CN"/>
              </w:rPr>
            </w:pPr>
            <w:r>
              <w:rPr>
                <w:rFonts w:hint="eastAsia" w:hAnsi="宋体"/>
                <w:color w:val="auto"/>
                <w:szCs w:val="21"/>
                <w:highlight w:val="none"/>
                <w:lang w:val="en-US" w:eastAsia="zh-CN"/>
              </w:rPr>
              <w:t>/</w:t>
            </w:r>
          </w:p>
        </w:tc>
        <w:tc>
          <w:tcPr>
            <w:tcW w:w="1559" w:type="dxa"/>
            <w:vAlign w:val="center"/>
          </w:tcPr>
          <w:p w14:paraId="6F6D0DB1">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default" w:ascii="Times New Roman" w:hAnsi="Times New Roman" w:eastAsia="宋体" w:cs="Times New Roman"/>
                <w:b w:val="0"/>
                <w:bCs/>
                <w:color w:val="auto"/>
                <w:kern w:val="2"/>
                <w:sz w:val="21"/>
                <w:szCs w:val="24"/>
                <w:highlight w:val="none"/>
                <w:lang w:val="en-US" w:eastAsia="zh-CN" w:bidi="ar-SA"/>
              </w:rPr>
            </w:pPr>
            <w:r>
              <w:rPr>
                <w:rFonts w:hint="eastAsia" w:ascii="Times New Roman" w:cs="Times New Roman"/>
                <w:b w:val="0"/>
                <w:bCs/>
                <w:color w:val="auto"/>
                <w:kern w:val="2"/>
                <w:sz w:val="21"/>
                <w:szCs w:val="24"/>
                <w:highlight w:val="none"/>
                <w:lang w:val="en-US" w:eastAsia="zh-CN" w:bidi="ar-SA"/>
              </w:rPr>
              <w:t>75</w:t>
            </w:r>
          </w:p>
        </w:tc>
        <w:tc>
          <w:tcPr>
            <w:tcW w:w="1761" w:type="dxa"/>
            <w:vAlign w:val="center"/>
          </w:tcPr>
          <w:p w14:paraId="32B7CB06">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hAnsi="宋体"/>
                <w:color w:val="auto"/>
                <w:szCs w:val="21"/>
                <w:highlight w:val="none"/>
                <w:lang w:val="en-US" w:eastAsia="zh-CN"/>
              </w:rPr>
            </w:pPr>
            <w:r>
              <w:rPr>
                <w:rFonts w:hint="eastAsia" w:hAnsi="宋体"/>
                <w:color w:val="auto"/>
                <w:szCs w:val="21"/>
                <w:highlight w:val="none"/>
                <w:lang w:val="en-US" w:eastAsia="zh-CN"/>
              </w:rPr>
              <w:t>/</w:t>
            </w:r>
          </w:p>
        </w:tc>
        <w:tc>
          <w:tcPr>
            <w:tcW w:w="1742" w:type="dxa"/>
            <w:vAlign w:val="center"/>
          </w:tcPr>
          <w:p w14:paraId="3CF5D09A">
            <w:pPr>
              <w:pStyle w:val="47"/>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firstLine="0" w:firstLineChars="0"/>
              <w:jc w:val="center"/>
              <w:textAlignment w:val="auto"/>
              <w:rPr>
                <w:rFonts w:hint="eastAsia" w:ascii="Times New Roman" w:hAnsi="Times New Roman" w:eastAsia="宋体" w:cs="Times New Roman"/>
                <w:b w:val="0"/>
                <w:bCs/>
                <w:color w:val="auto"/>
                <w:kern w:val="2"/>
                <w:sz w:val="21"/>
                <w:szCs w:val="24"/>
                <w:highlight w:val="none"/>
                <w:lang w:val="en-US" w:eastAsia="zh-CN" w:bidi="ar-SA"/>
              </w:rPr>
            </w:pPr>
            <w:r>
              <w:rPr>
                <w:rFonts w:hint="eastAsia" w:ascii="Times New Roman" w:cs="Times New Roman"/>
                <w:b w:val="0"/>
                <w:bCs/>
                <w:color w:val="auto"/>
                <w:kern w:val="2"/>
                <w:sz w:val="21"/>
                <w:szCs w:val="24"/>
                <w:highlight w:val="none"/>
                <w:lang w:val="en-US" w:eastAsia="zh-CN" w:bidi="ar-SA"/>
              </w:rPr>
              <w:t>75</w:t>
            </w:r>
          </w:p>
        </w:tc>
        <w:tc>
          <w:tcPr>
            <w:tcW w:w="1293" w:type="dxa"/>
            <w:vAlign w:val="center"/>
          </w:tcPr>
          <w:p w14:paraId="4457F406">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leftChars="0" w:right="0" w:firstLine="0" w:firstLineChars="0"/>
              <w:jc w:val="center"/>
              <w:textAlignment w:val="auto"/>
              <w:rPr>
                <w:rFonts w:hint="eastAsia" w:ascii="Times New Roman" w:cs="Times New Roman"/>
                <w:b w:val="0"/>
                <w:bCs/>
                <w:snapToGrid w:val="0"/>
                <w:color w:val="auto"/>
                <w:kern w:val="21"/>
                <w:sz w:val="21"/>
                <w:szCs w:val="21"/>
                <w:highlight w:val="none"/>
                <w:lang w:val="en-US" w:eastAsia="zh-CN"/>
              </w:rPr>
            </w:pPr>
            <w:r>
              <w:rPr>
                <w:rFonts w:hint="eastAsia" w:hAnsi="宋体"/>
                <w:color w:val="auto"/>
                <w:szCs w:val="21"/>
                <w:highlight w:val="none"/>
                <w:lang w:val="en-US" w:eastAsia="zh-CN"/>
              </w:rPr>
              <w:t>/</w:t>
            </w:r>
          </w:p>
        </w:tc>
      </w:tr>
    </w:tbl>
    <w:p w14:paraId="4FE7E8DB">
      <w:pPr>
        <w:pStyle w:val="47"/>
        <w:keepNext w:val="0"/>
        <w:keepLines w:val="0"/>
        <w:pageBreakBefore w:val="0"/>
        <w:widowControl w:val="0"/>
        <w:kinsoku/>
        <w:wordWrap/>
        <w:overflowPunct/>
        <w:topLinePunct w:val="0"/>
        <w:autoSpaceDE/>
        <w:autoSpaceDN/>
        <w:bidi w:val="0"/>
        <w:adjustRightInd w:val="0"/>
        <w:snapToGrid w:val="0"/>
        <w:spacing w:before="251" w:beforeLines="80" w:after="32" w:afterLines="10" w:line="260" w:lineRule="auto"/>
        <w:ind w:left="38" w:leftChars="18" w:firstLine="0" w:firstLineChars="0"/>
        <w:jc w:val="left"/>
        <w:textAlignment w:val="auto"/>
        <w:rPr>
          <w:rFonts w:hint="eastAsia" w:ascii="宋体" w:hAnsi="宋体" w:eastAsia="宋体" w:cs="宋体"/>
          <w:bCs/>
          <w:snapToGrid w:val="0"/>
          <w:color w:val="auto"/>
          <w:kern w:val="21"/>
          <w:szCs w:val="21"/>
          <w:highlight w:val="none"/>
        </w:rPr>
        <w:sectPr>
          <w:footerReference r:id="rId6" w:type="default"/>
          <w:pgSz w:w="16838" w:h="11906" w:orient="landscape"/>
          <w:pgMar w:top="1417" w:right="1440" w:bottom="1417" w:left="1440" w:header="851" w:footer="992" w:gutter="0"/>
          <w:pgBorders>
            <w:top w:val="none" w:sz="0" w:space="0"/>
            <w:left w:val="none" w:sz="0" w:space="0"/>
            <w:bottom w:val="none" w:sz="0" w:space="0"/>
            <w:right w:val="none" w:sz="0" w:space="0"/>
          </w:pgBorders>
          <w:pgNumType w:fmt="decimal"/>
          <w:cols w:space="425" w:num="1"/>
          <w:docGrid w:type="lines" w:linePitch="312" w:charSpace="0"/>
        </w:sectPr>
      </w:pPr>
      <w:r>
        <w:rPr>
          <w:rFonts w:hint="eastAsia" w:ascii="宋体" w:hAnsi="宋体" w:eastAsia="宋体" w:cs="宋体"/>
          <w:bCs/>
          <w:snapToGrid w:val="0"/>
          <w:color w:val="auto"/>
          <w:kern w:val="21"/>
          <w:szCs w:val="21"/>
          <w:highlight w:val="none"/>
        </w:rPr>
        <w:t>注：</w:t>
      </w:r>
      <w:r>
        <w:rPr>
          <w:rFonts w:hint="eastAsia" w:ascii="宋体" w:hAnsi="宋体" w:eastAsia="宋体" w:cs="宋体"/>
          <w:bCs/>
          <w:snapToGrid w:val="0"/>
          <w:color w:val="auto"/>
          <w:kern w:val="21"/>
          <w:szCs w:val="21"/>
          <w:highlight w:val="none"/>
        </w:rPr>
        <w:fldChar w:fldCharType="begin"/>
      </w:r>
      <w:r>
        <w:rPr>
          <w:rFonts w:hint="eastAsia" w:ascii="宋体" w:hAnsi="宋体" w:eastAsia="宋体" w:cs="宋体"/>
          <w:bCs/>
          <w:snapToGrid w:val="0"/>
          <w:color w:val="auto"/>
          <w:kern w:val="21"/>
          <w:szCs w:val="21"/>
          <w:highlight w:val="none"/>
        </w:rPr>
        <w:instrText xml:space="preserve"> = 6 \* GB3 \* MERGEFORMAT </w:instrText>
      </w:r>
      <w:r>
        <w:rPr>
          <w:rFonts w:hint="eastAsia" w:ascii="宋体" w:hAnsi="宋体" w:eastAsia="宋体" w:cs="宋体"/>
          <w:bCs/>
          <w:snapToGrid w:val="0"/>
          <w:color w:val="auto"/>
          <w:kern w:val="21"/>
          <w:szCs w:val="21"/>
          <w:highlight w:val="none"/>
        </w:rPr>
        <w:fldChar w:fldCharType="separate"/>
      </w:r>
      <w:r>
        <w:rPr>
          <w:rFonts w:hint="eastAsia" w:ascii="宋体" w:hAnsi="宋体" w:eastAsia="宋体" w:cs="宋体"/>
          <w:bCs/>
          <w:snapToGrid w:val="0"/>
          <w:color w:val="auto"/>
          <w:kern w:val="21"/>
          <w:szCs w:val="21"/>
          <w:highlight w:val="none"/>
        </w:rPr>
        <w:t>⑥</w:t>
      </w:r>
      <w:r>
        <w:rPr>
          <w:rFonts w:hint="eastAsia" w:ascii="宋体" w:hAnsi="宋体" w:eastAsia="宋体" w:cs="宋体"/>
          <w:bCs/>
          <w:snapToGrid w:val="0"/>
          <w:color w:val="auto"/>
          <w:kern w:val="21"/>
          <w:szCs w:val="21"/>
          <w:highlight w:val="none"/>
        </w:rPr>
        <w:fldChar w:fldCharType="end"/>
      </w:r>
      <w:r>
        <w:rPr>
          <w:rFonts w:hint="eastAsia" w:ascii="宋体" w:hAnsi="宋体" w:eastAsia="宋体" w:cs="宋体"/>
          <w:bCs/>
          <w:snapToGrid w:val="0"/>
          <w:color w:val="auto"/>
          <w:kern w:val="21"/>
          <w:szCs w:val="21"/>
          <w:highlight w:val="none"/>
        </w:rPr>
        <w:t>=</w:t>
      </w:r>
      <w:r>
        <w:rPr>
          <w:rFonts w:hint="eastAsia" w:ascii="宋体" w:hAnsi="宋体" w:eastAsia="宋体" w:cs="宋体"/>
          <w:bCs/>
          <w:snapToGrid w:val="0"/>
          <w:color w:val="auto"/>
          <w:kern w:val="21"/>
          <w:szCs w:val="21"/>
          <w:highlight w:val="none"/>
        </w:rPr>
        <w:fldChar w:fldCharType="begin"/>
      </w:r>
      <w:r>
        <w:rPr>
          <w:rFonts w:hint="eastAsia" w:ascii="宋体" w:hAnsi="宋体" w:eastAsia="宋体" w:cs="宋体"/>
          <w:bCs/>
          <w:snapToGrid w:val="0"/>
          <w:color w:val="auto"/>
          <w:kern w:val="21"/>
          <w:szCs w:val="21"/>
          <w:highlight w:val="none"/>
        </w:rPr>
        <w:instrText xml:space="preserve"> = 1 \* GB3 \* MERGEFORMAT </w:instrText>
      </w:r>
      <w:r>
        <w:rPr>
          <w:rFonts w:hint="eastAsia" w:ascii="宋体" w:hAnsi="宋体" w:eastAsia="宋体" w:cs="宋体"/>
          <w:bCs/>
          <w:snapToGrid w:val="0"/>
          <w:color w:val="auto"/>
          <w:kern w:val="21"/>
          <w:szCs w:val="21"/>
          <w:highlight w:val="none"/>
        </w:rPr>
        <w:fldChar w:fldCharType="separate"/>
      </w:r>
      <w:r>
        <w:rPr>
          <w:rFonts w:hint="eastAsia" w:ascii="宋体" w:hAnsi="宋体" w:eastAsia="宋体" w:cs="宋体"/>
          <w:bCs/>
          <w:snapToGrid w:val="0"/>
          <w:color w:val="auto"/>
          <w:kern w:val="21"/>
          <w:szCs w:val="21"/>
          <w:highlight w:val="none"/>
        </w:rPr>
        <w:t>①</w:t>
      </w:r>
      <w:r>
        <w:rPr>
          <w:rFonts w:hint="eastAsia" w:ascii="宋体" w:hAnsi="宋体" w:eastAsia="宋体" w:cs="宋体"/>
          <w:bCs/>
          <w:snapToGrid w:val="0"/>
          <w:color w:val="auto"/>
          <w:kern w:val="21"/>
          <w:szCs w:val="21"/>
          <w:highlight w:val="none"/>
        </w:rPr>
        <w:fldChar w:fldCharType="end"/>
      </w:r>
      <w:r>
        <w:rPr>
          <w:rFonts w:hint="eastAsia" w:ascii="宋体" w:hAnsi="宋体" w:eastAsia="宋体" w:cs="宋体"/>
          <w:bCs/>
          <w:snapToGrid w:val="0"/>
          <w:color w:val="auto"/>
          <w:kern w:val="21"/>
          <w:szCs w:val="21"/>
          <w:highlight w:val="none"/>
        </w:rPr>
        <w:t>+</w:t>
      </w:r>
      <w:r>
        <w:rPr>
          <w:rFonts w:hint="eastAsia" w:ascii="宋体" w:hAnsi="宋体" w:eastAsia="宋体" w:cs="宋体"/>
          <w:bCs/>
          <w:snapToGrid w:val="0"/>
          <w:color w:val="auto"/>
          <w:kern w:val="21"/>
          <w:szCs w:val="21"/>
          <w:highlight w:val="none"/>
        </w:rPr>
        <w:fldChar w:fldCharType="begin"/>
      </w:r>
      <w:r>
        <w:rPr>
          <w:rFonts w:hint="eastAsia" w:ascii="宋体" w:hAnsi="宋体" w:eastAsia="宋体" w:cs="宋体"/>
          <w:bCs/>
          <w:snapToGrid w:val="0"/>
          <w:color w:val="auto"/>
          <w:kern w:val="21"/>
          <w:szCs w:val="21"/>
          <w:highlight w:val="none"/>
        </w:rPr>
        <w:instrText xml:space="preserve"> = 3 \* GB3 \* MERGEFORMAT </w:instrText>
      </w:r>
      <w:r>
        <w:rPr>
          <w:rFonts w:hint="eastAsia" w:ascii="宋体" w:hAnsi="宋体" w:eastAsia="宋体" w:cs="宋体"/>
          <w:bCs/>
          <w:snapToGrid w:val="0"/>
          <w:color w:val="auto"/>
          <w:kern w:val="21"/>
          <w:szCs w:val="21"/>
          <w:highlight w:val="none"/>
        </w:rPr>
        <w:fldChar w:fldCharType="separate"/>
      </w:r>
      <w:r>
        <w:rPr>
          <w:rFonts w:hint="eastAsia" w:ascii="宋体" w:hAnsi="宋体" w:eastAsia="宋体" w:cs="宋体"/>
          <w:bCs/>
          <w:snapToGrid w:val="0"/>
          <w:color w:val="auto"/>
          <w:kern w:val="21"/>
          <w:szCs w:val="21"/>
          <w:highlight w:val="none"/>
        </w:rPr>
        <w:t>③</w:t>
      </w:r>
      <w:r>
        <w:rPr>
          <w:rFonts w:hint="eastAsia" w:ascii="宋体" w:hAnsi="宋体" w:eastAsia="宋体" w:cs="宋体"/>
          <w:bCs/>
          <w:snapToGrid w:val="0"/>
          <w:color w:val="auto"/>
          <w:kern w:val="21"/>
          <w:szCs w:val="21"/>
          <w:highlight w:val="none"/>
        </w:rPr>
        <w:fldChar w:fldCharType="end"/>
      </w:r>
      <w:r>
        <w:rPr>
          <w:rFonts w:hint="eastAsia" w:ascii="宋体" w:hAnsi="宋体" w:eastAsia="宋体" w:cs="宋体"/>
          <w:bCs/>
          <w:snapToGrid w:val="0"/>
          <w:color w:val="auto"/>
          <w:kern w:val="21"/>
          <w:szCs w:val="21"/>
          <w:highlight w:val="none"/>
        </w:rPr>
        <w:t>+</w:t>
      </w:r>
      <w:r>
        <w:rPr>
          <w:rFonts w:hint="eastAsia" w:ascii="宋体" w:hAnsi="宋体" w:eastAsia="宋体" w:cs="宋体"/>
          <w:bCs/>
          <w:snapToGrid w:val="0"/>
          <w:color w:val="auto"/>
          <w:kern w:val="21"/>
          <w:szCs w:val="21"/>
          <w:highlight w:val="none"/>
        </w:rPr>
        <w:fldChar w:fldCharType="begin"/>
      </w:r>
      <w:r>
        <w:rPr>
          <w:rFonts w:hint="eastAsia" w:ascii="宋体" w:hAnsi="宋体" w:eastAsia="宋体" w:cs="宋体"/>
          <w:bCs/>
          <w:snapToGrid w:val="0"/>
          <w:color w:val="auto"/>
          <w:kern w:val="21"/>
          <w:szCs w:val="21"/>
          <w:highlight w:val="none"/>
        </w:rPr>
        <w:instrText xml:space="preserve"> = 4 \* GB3 \* MERGEFORMAT </w:instrText>
      </w:r>
      <w:r>
        <w:rPr>
          <w:rFonts w:hint="eastAsia" w:ascii="宋体" w:hAnsi="宋体" w:eastAsia="宋体" w:cs="宋体"/>
          <w:bCs/>
          <w:snapToGrid w:val="0"/>
          <w:color w:val="auto"/>
          <w:kern w:val="21"/>
          <w:szCs w:val="21"/>
          <w:highlight w:val="none"/>
        </w:rPr>
        <w:fldChar w:fldCharType="separate"/>
      </w:r>
      <w:r>
        <w:rPr>
          <w:rFonts w:hint="eastAsia" w:ascii="宋体" w:hAnsi="宋体" w:eastAsia="宋体" w:cs="宋体"/>
          <w:bCs/>
          <w:snapToGrid w:val="0"/>
          <w:color w:val="auto"/>
          <w:kern w:val="21"/>
          <w:szCs w:val="21"/>
          <w:highlight w:val="none"/>
        </w:rPr>
        <w:t>④</w:t>
      </w:r>
      <w:r>
        <w:rPr>
          <w:rFonts w:hint="eastAsia" w:ascii="宋体" w:hAnsi="宋体" w:eastAsia="宋体" w:cs="宋体"/>
          <w:bCs/>
          <w:snapToGrid w:val="0"/>
          <w:color w:val="auto"/>
          <w:kern w:val="21"/>
          <w:szCs w:val="21"/>
          <w:highlight w:val="none"/>
        </w:rPr>
        <w:fldChar w:fldCharType="end"/>
      </w:r>
      <w:r>
        <w:rPr>
          <w:rFonts w:hint="eastAsia" w:ascii="宋体" w:hAnsi="宋体" w:eastAsia="宋体" w:cs="宋体"/>
          <w:bCs/>
          <w:snapToGrid w:val="0"/>
          <w:color w:val="auto"/>
          <w:kern w:val="21"/>
          <w:szCs w:val="21"/>
          <w:highlight w:val="none"/>
        </w:rPr>
        <w:t>-</w:t>
      </w:r>
      <w:r>
        <w:rPr>
          <w:rFonts w:hint="eastAsia" w:ascii="宋体" w:hAnsi="宋体" w:eastAsia="宋体" w:cs="宋体"/>
          <w:bCs/>
          <w:snapToGrid w:val="0"/>
          <w:color w:val="auto"/>
          <w:kern w:val="21"/>
          <w:szCs w:val="21"/>
          <w:highlight w:val="none"/>
        </w:rPr>
        <w:fldChar w:fldCharType="begin"/>
      </w:r>
      <w:r>
        <w:rPr>
          <w:rFonts w:hint="eastAsia" w:ascii="宋体" w:hAnsi="宋体" w:eastAsia="宋体" w:cs="宋体"/>
          <w:bCs/>
          <w:snapToGrid w:val="0"/>
          <w:color w:val="auto"/>
          <w:kern w:val="21"/>
          <w:szCs w:val="21"/>
          <w:highlight w:val="none"/>
        </w:rPr>
        <w:instrText xml:space="preserve"> = 5 \* GB3 \* MERGEFORMAT </w:instrText>
      </w:r>
      <w:r>
        <w:rPr>
          <w:rFonts w:hint="eastAsia" w:ascii="宋体" w:hAnsi="宋体" w:eastAsia="宋体" w:cs="宋体"/>
          <w:bCs/>
          <w:snapToGrid w:val="0"/>
          <w:color w:val="auto"/>
          <w:kern w:val="21"/>
          <w:szCs w:val="21"/>
          <w:highlight w:val="none"/>
        </w:rPr>
        <w:fldChar w:fldCharType="separate"/>
      </w:r>
      <w:r>
        <w:rPr>
          <w:rFonts w:hint="eastAsia" w:ascii="宋体" w:hAnsi="宋体" w:eastAsia="宋体" w:cs="宋体"/>
          <w:bCs/>
          <w:snapToGrid w:val="0"/>
          <w:color w:val="auto"/>
          <w:kern w:val="21"/>
          <w:szCs w:val="21"/>
          <w:highlight w:val="none"/>
        </w:rPr>
        <w:t>⑤</w:t>
      </w:r>
      <w:r>
        <w:rPr>
          <w:rFonts w:hint="eastAsia" w:ascii="宋体" w:hAnsi="宋体" w:eastAsia="宋体" w:cs="宋体"/>
          <w:bCs/>
          <w:snapToGrid w:val="0"/>
          <w:color w:val="auto"/>
          <w:kern w:val="21"/>
          <w:szCs w:val="21"/>
          <w:highlight w:val="none"/>
        </w:rPr>
        <w:fldChar w:fldCharType="end"/>
      </w:r>
      <w:r>
        <w:rPr>
          <w:rFonts w:hint="eastAsia" w:ascii="宋体" w:hAnsi="宋体" w:eastAsia="宋体" w:cs="宋体"/>
          <w:bCs/>
          <w:snapToGrid w:val="0"/>
          <w:color w:val="auto"/>
          <w:kern w:val="21"/>
          <w:szCs w:val="21"/>
          <w:highlight w:val="none"/>
        </w:rPr>
        <w:t>；</w:t>
      </w:r>
      <w:r>
        <w:rPr>
          <w:rFonts w:hint="eastAsia" w:ascii="宋体" w:hAnsi="宋体" w:eastAsia="宋体" w:cs="宋体"/>
          <w:bCs/>
          <w:snapToGrid w:val="0"/>
          <w:color w:val="auto"/>
          <w:kern w:val="21"/>
          <w:szCs w:val="21"/>
          <w:highlight w:val="none"/>
        </w:rPr>
        <w:fldChar w:fldCharType="begin"/>
      </w:r>
      <w:r>
        <w:rPr>
          <w:rFonts w:hint="eastAsia" w:ascii="宋体" w:hAnsi="宋体" w:eastAsia="宋体" w:cs="宋体"/>
          <w:bCs/>
          <w:snapToGrid w:val="0"/>
          <w:color w:val="auto"/>
          <w:kern w:val="21"/>
          <w:szCs w:val="21"/>
          <w:highlight w:val="none"/>
        </w:rPr>
        <w:instrText xml:space="preserve"> = 7 \* GB3 \* MERGEFORMAT </w:instrText>
      </w:r>
      <w:r>
        <w:rPr>
          <w:rFonts w:hint="eastAsia" w:ascii="宋体" w:hAnsi="宋体" w:eastAsia="宋体" w:cs="宋体"/>
          <w:bCs/>
          <w:snapToGrid w:val="0"/>
          <w:color w:val="auto"/>
          <w:kern w:val="21"/>
          <w:szCs w:val="21"/>
          <w:highlight w:val="none"/>
        </w:rPr>
        <w:fldChar w:fldCharType="separate"/>
      </w:r>
      <w:r>
        <w:rPr>
          <w:rFonts w:hint="eastAsia" w:ascii="宋体" w:hAnsi="宋体" w:eastAsia="宋体" w:cs="宋体"/>
          <w:bCs/>
          <w:snapToGrid w:val="0"/>
          <w:color w:val="auto"/>
          <w:kern w:val="21"/>
          <w:szCs w:val="21"/>
          <w:highlight w:val="none"/>
        </w:rPr>
        <w:t>⑦</w:t>
      </w:r>
      <w:r>
        <w:rPr>
          <w:rFonts w:hint="eastAsia" w:ascii="宋体" w:hAnsi="宋体" w:eastAsia="宋体" w:cs="宋体"/>
          <w:bCs/>
          <w:snapToGrid w:val="0"/>
          <w:color w:val="auto"/>
          <w:kern w:val="21"/>
          <w:szCs w:val="21"/>
          <w:highlight w:val="none"/>
        </w:rPr>
        <w:fldChar w:fldCharType="end"/>
      </w:r>
      <w:r>
        <w:rPr>
          <w:rFonts w:hint="eastAsia" w:ascii="宋体" w:hAnsi="宋体" w:eastAsia="宋体" w:cs="宋体"/>
          <w:bCs/>
          <w:snapToGrid w:val="0"/>
          <w:color w:val="auto"/>
          <w:kern w:val="21"/>
          <w:szCs w:val="21"/>
          <w:highlight w:val="none"/>
        </w:rPr>
        <w:t>=</w:t>
      </w:r>
      <w:r>
        <w:rPr>
          <w:rFonts w:hint="eastAsia" w:ascii="宋体" w:hAnsi="宋体" w:eastAsia="宋体" w:cs="宋体"/>
          <w:bCs/>
          <w:snapToGrid w:val="0"/>
          <w:color w:val="auto"/>
          <w:kern w:val="21"/>
          <w:szCs w:val="21"/>
          <w:highlight w:val="none"/>
        </w:rPr>
        <w:fldChar w:fldCharType="begin"/>
      </w:r>
      <w:r>
        <w:rPr>
          <w:rFonts w:hint="eastAsia" w:ascii="宋体" w:hAnsi="宋体" w:eastAsia="宋体" w:cs="宋体"/>
          <w:bCs/>
          <w:snapToGrid w:val="0"/>
          <w:color w:val="auto"/>
          <w:kern w:val="21"/>
          <w:szCs w:val="21"/>
          <w:highlight w:val="none"/>
        </w:rPr>
        <w:instrText xml:space="preserve"> = 6 \* GB3 \* MERGEFORMAT </w:instrText>
      </w:r>
      <w:r>
        <w:rPr>
          <w:rFonts w:hint="eastAsia" w:ascii="宋体" w:hAnsi="宋体" w:eastAsia="宋体" w:cs="宋体"/>
          <w:bCs/>
          <w:snapToGrid w:val="0"/>
          <w:color w:val="auto"/>
          <w:kern w:val="21"/>
          <w:szCs w:val="21"/>
          <w:highlight w:val="none"/>
        </w:rPr>
        <w:fldChar w:fldCharType="separate"/>
      </w:r>
      <w:r>
        <w:rPr>
          <w:rFonts w:hint="eastAsia" w:ascii="宋体" w:hAnsi="宋体" w:eastAsia="宋体" w:cs="宋体"/>
          <w:bCs/>
          <w:snapToGrid w:val="0"/>
          <w:color w:val="auto"/>
          <w:kern w:val="21"/>
          <w:szCs w:val="21"/>
          <w:highlight w:val="none"/>
        </w:rPr>
        <w:t>⑥</w:t>
      </w:r>
      <w:r>
        <w:rPr>
          <w:rFonts w:hint="eastAsia" w:ascii="宋体" w:hAnsi="宋体" w:eastAsia="宋体" w:cs="宋体"/>
          <w:bCs/>
          <w:snapToGrid w:val="0"/>
          <w:color w:val="auto"/>
          <w:kern w:val="21"/>
          <w:szCs w:val="21"/>
          <w:highlight w:val="none"/>
        </w:rPr>
        <w:fldChar w:fldCharType="end"/>
      </w:r>
      <w:r>
        <w:rPr>
          <w:rFonts w:hint="eastAsia" w:ascii="宋体" w:hAnsi="宋体" w:eastAsia="宋体" w:cs="宋体"/>
          <w:bCs/>
          <w:snapToGrid w:val="0"/>
          <w:color w:val="auto"/>
          <w:kern w:val="21"/>
          <w:szCs w:val="21"/>
          <w:highlight w:val="none"/>
        </w:rPr>
        <w:t>-</w:t>
      </w:r>
      <w:r>
        <w:rPr>
          <w:rFonts w:hint="eastAsia" w:ascii="宋体" w:hAnsi="宋体" w:eastAsia="宋体" w:cs="宋体"/>
          <w:bCs/>
          <w:snapToGrid w:val="0"/>
          <w:color w:val="auto"/>
          <w:kern w:val="21"/>
          <w:szCs w:val="21"/>
          <w:highlight w:val="none"/>
        </w:rPr>
        <w:fldChar w:fldCharType="begin"/>
      </w:r>
      <w:r>
        <w:rPr>
          <w:rFonts w:hint="eastAsia" w:ascii="宋体" w:hAnsi="宋体" w:eastAsia="宋体" w:cs="宋体"/>
          <w:bCs/>
          <w:snapToGrid w:val="0"/>
          <w:color w:val="auto"/>
          <w:kern w:val="21"/>
          <w:szCs w:val="21"/>
          <w:highlight w:val="none"/>
        </w:rPr>
        <w:instrText xml:space="preserve"> = 1 \* GB3 \* MERGEFORMAT </w:instrText>
      </w:r>
      <w:r>
        <w:rPr>
          <w:rFonts w:hint="eastAsia" w:ascii="宋体" w:hAnsi="宋体" w:eastAsia="宋体" w:cs="宋体"/>
          <w:bCs/>
          <w:snapToGrid w:val="0"/>
          <w:color w:val="auto"/>
          <w:kern w:val="21"/>
          <w:szCs w:val="21"/>
          <w:highlight w:val="none"/>
        </w:rPr>
        <w:fldChar w:fldCharType="separate"/>
      </w:r>
      <w:r>
        <w:rPr>
          <w:rFonts w:hint="eastAsia" w:ascii="宋体" w:hAnsi="宋体" w:eastAsia="宋体" w:cs="宋体"/>
          <w:bCs/>
          <w:snapToGrid w:val="0"/>
          <w:color w:val="auto"/>
          <w:kern w:val="21"/>
          <w:szCs w:val="21"/>
          <w:highlight w:val="none"/>
        </w:rPr>
        <w:t>①</w:t>
      </w:r>
      <w:r>
        <w:rPr>
          <w:rFonts w:hint="eastAsia" w:ascii="宋体" w:hAnsi="宋体" w:eastAsia="宋体" w:cs="宋体"/>
          <w:bCs/>
          <w:snapToGrid w:val="0"/>
          <w:color w:val="auto"/>
          <w:kern w:val="21"/>
          <w:szCs w:val="21"/>
          <w:highlight w:val="none"/>
        </w:rPr>
        <w:fldChar w:fldCharType="end"/>
      </w:r>
    </w:p>
    <w:p w14:paraId="2A2422F6">
      <w:pPr>
        <w:bidi w:val="0"/>
        <w:jc w:val="center"/>
        <w:rPr>
          <w:rFonts w:hint="eastAsia"/>
          <w:color w:val="auto"/>
          <w:lang w:val="en-US" w:eastAsia="zh-CN"/>
        </w:rPr>
      </w:pPr>
      <w:r>
        <w:rPr>
          <w:color w:val="auto"/>
        </w:rPr>
        <w:drawing>
          <wp:anchor distT="0" distB="0" distL="114300" distR="114300" simplePos="0" relativeHeight="251676672" behindDoc="0" locked="0" layoutInCell="1" allowOverlap="1">
            <wp:simplePos x="0" y="0"/>
            <wp:positionH relativeFrom="column">
              <wp:posOffset>7579995</wp:posOffset>
            </wp:positionH>
            <wp:positionV relativeFrom="paragraph">
              <wp:posOffset>205105</wp:posOffset>
            </wp:positionV>
            <wp:extent cx="768350" cy="662940"/>
            <wp:effectExtent l="0" t="0" r="8890" b="7620"/>
            <wp:wrapNone/>
            <wp:docPr id="6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2"/>
                    <pic:cNvPicPr>
                      <a:picLocks noChangeAspect="1"/>
                    </pic:cNvPicPr>
                  </pic:nvPicPr>
                  <pic:blipFill>
                    <a:blip r:embed="rId38"/>
                    <a:stretch>
                      <a:fillRect/>
                    </a:stretch>
                  </pic:blipFill>
                  <pic:spPr>
                    <a:xfrm>
                      <a:off x="0" y="0"/>
                      <a:ext cx="768350" cy="662940"/>
                    </a:xfrm>
                    <a:prstGeom prst="rect">
                      <a:avLst/>
                    </a:prstGeom>
                    <a:noFill/>
                    <a:ln>
                      <a:noFill/>
                    </a:ln>
                  </pic:spPr>
                </pic:pic>
              </a:graphicData>
            </a:graphic>
          </wp:anchor>
        </w:drawing>
      </w:r>
      <w:r>
        <w:rPr>
          <w:color w:val="auto"/>
          <w:sz w:val="21"/>
        </w:rPr>
        <mc:AlternateContent>
          <mc:Choice Requires="wps">
            <w:drawing>
              <wp:anchor distT="0" distB="0" distL="114300" distR="114300" simplePos="0" relativeHeight="251665408" behindDoc="0" locked="0" layoutInCell="1" allowOverlap="1">
                <wp:simplePos x="0" y="0"/>
                <wp:positionH relativeFrom="column">
                  <wp:posOffset>4979670</wp:posOffset>
                </wp:positionH>
                <wp:positionV relativeFrom="paragraph">
                  <wp:posOffset>1669415</wp:posOffset>
                </wp:positionV>
                <wp:extent cx="175895" cy="203835"/>
                <wp:effectExtent l="12700" t="12700" r="24765" b="27305"/>
                <wp:wrapNone/>
                <wp:docPr id="16" name="十字星 16"/>
                <wp:cNvGraphicFramePr/>
                <a:graphic xmlns:a="http://schemas.openxmlformats.org/drawingml/2006/main">
                  <a:graphicData uri="http://schemas.microsoft.com/office/word/2010/wordprocessingShape">
                    <wps:wsp>
                      <wps:cNvSpPr/>
                      <wps:spPr>
                        <a:xfrm>
                          <a:off x="0" y="0"/>
                          <a:ext cx="175895" cy="203835"/>
                        </a:xfrm>
                        <a:prstGeom prst="star4">
                          <a:avLst/>
                        </a:prstGeom>
                        <a:solidFill>
                          <a:srgbClr val="FFFF00"/>
                        </a:solidFill>
                        <a:ln>
                          <a:solidFill>
                            <a:srgbClr val="FFFF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87" type="#_x0000_t187" style="position:absolute;left:0pt;margin-left:392.1pt;margin-top:131.45pt;height:16.05pt;width:13.85pt;z-index:251665408;v-text-anchor:middle;mso-width-relative:page;mso-height-relative:page;" fillcolor="#FFFF00" filled="t" stroked="t" coordsize="21600,21600" o:gfxdata="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BkqySG2gAAAAsBAAAPAAAAAAAAAAEAIAAAACIAAABkcnMvZG93bnJldi54bWxQ&#10;SwECFAAUAAAACACHTuJAxDe4CGcCAADiBAAADgAAAAAAAAABACAAAAApAQAAZHJzL2Uyb0RvYy54&#10;bWxQSwUGAAAAAAYABgBZAQAAAgYAAAAA&#10;" adj="8100">
                <v:fill on="t" focussize="0,0"/>
                <v:stroke weight="2pt" color="#FFFF00 [2404]" joinstyle="round"/>
                <v:imagedata o:title=""/>
                <o:lock v:ext="edit" aspectratio="f"/>
              </v:shape>
            </w:pict>
          </mc:Fallback>
        </mc:AlternateContent>
      </w:r>
      <w:r>
        <w:rPr>
          <w:color w:val="auto"/>
        </w:rPr>
        <mc:AlternateContent>
          <mc:Choice Requires="wps">
            <w:drawing>
              <wp:anchor distT="0" distB="0" distL="114300" distR="114300" simplePos="0" relativeHeight="251664384" behindDoc="0" locked="0" layoutInCell="1" allowOverlap="1">
                <wp:simplePos x="0" y="0"/>
                <wp:positionH relativeFrom="column">
                  <wp:posOffset>3874135</wp:posOffset>
                </wp:positionH>
                <wp:positionV relativeFrom="paragraph">
                  <wp:posOffset>1059180</wp:posOffset>
                </wp:positionV>
                <wp:extent cx="980440" cy="401320"/>
                <wp:effectExtent l="8255" t="7620" r="230505" b="337820"/>
                <wp:wrapNone/>
                <wp:docPr id="14" name="圆角矩形标注 14"/>
                <wp:cNvGraphicFramePr/>
                <a:graphic xmlns:a="http://schemas.openxmlformats.org/drawingml/2006/main">
                  <a:graphicData uri="http://schemas.microsoft.com/office/word/2010/wordprocessingShape">
                    <wps:wsp>
                      <wps:cNvSpPr/>
                      <wps:spPr>
                        <a:xfrm>
                          <a:off x="0" y="0"/>
                          <a:ext cx="980440" cy="401320"/>
                        </a:xfrm>
                        <a:prstGeom prst="wedgeRoundRectCallout">
                          <a:avLst>
                            <a:gd name="adj1" fmla="val 67227"/>
                            <a:gd name="adj2" fmla="val 124367"/>
                            <a:gd name="adj3" fmla="val 16667"/>
                          </a:avLst>
                        </a:prstGeom>
                        <a:noFill/>
                        <a:ln w="15875" cap="flat" cmpd="sng">
                          <a:solidFill>
                            <a:srgbClr val="FFC000"/>
                          </a:solidFill>
                          <a:prstDash val="solid"/>
                          <a:miter/>
                          <a:headEnd type="none" w="med" len="med"/>
                          <a:tailEnd type="none" w="med" len="med"/>
                        </a:ln>
                      </wps:spPr>
                      <wps:txbx>
                        <w:txbxContent>
                          <w:p w14:paraId="10260462">
                            <w:pPr>
                              <w:jc w:val="center"/>
                              <w:rPr>
                                <w:rFonts w:hint="default" w:eastAsia="宋体"/>
                                <w:b/>
                                <w:bCs/>
                                <w:color w:val="FFC000"/>
                                <w:sz w:val="21"/>
                                <w:szCs w:val="20"/>
                                <w:lang w:val="en-US" w:eastAsia="zh-CN"/>
                              </w:rPr>
                            </w:pPr>
                            <w:r>
                              <w:rPr>
                                <w:b/>
                                <w:bCs/>
                                <w:color w:val="FFC000"/>
                                <w:sz w:val="21"/>
                                <w:szCs w:val="20"/>
                              </w:rPr>
                              <w:t>项目</w:t>
                            </w:r>
                            <w:r>
                              <w:rPr>
                                <w:rFonts w:hint="eastAsia"/>
                                <w:b/>
                                <w:bCs/>
                                <w:color w:val="FFC000"/>
                                <w:sz w:val="21"/>
                                <w:szCs w:val="20"/>
                                <w:lang w:val="en-US" w:eastAsia="zh-CN"/>
                              </w:rPr>
                              <w:t>位置</w:t>
                            </w:r>
                          </w:p>
                        </w:txbxContent>
                      </wps:txbx>
                      <wps:bodyPr upright="1"/>
                    </wps:wsp>
                  </a:graphicData>
                </a:graphic>
              </wp:anchor>
            </w:drawing>
          </mc:Choice>
          <mc:Fallback>
            <w:pict>
              <v:shape id="_x0000_s1026" o:spid="_x0000_s1026" o:spt="62" type="#_x0000_t62" style="position:absolute;left:0pt;margin-left:305.05pt;margin-top:83.4pt;height:31.6pt;width:77.2pt;z-index:251664384;mso-width-relative:page;mso-height-relative:page;" filled="f" stroked="t" coordsize="21600,21600" o:gfxdata="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ABRBE2AAAAAsBAAAPAAAAAAAA&#10;AAEAIAAAACIAAABkcnMvZG93bnJldi54bWxQSwECFAAUAAAACACHTuJA8aWJQUsCAACVBAAADgAA&#10;AAAAAAABACAAAAAnAQAAZHJzL2Uyb0RvYy54bWxQSwUGAAAAAAYABgBZAQAA5AUAAAAA&#10;" adj="25321,37663,14400">
                <v:fill on="f" focussize="0,0"/>
                <v:stroke weight="1.25pt" color="#FFC000" joinstyle="miter"/>
                <v:imagedata o:title=""/>
                <o:lock v:ext="edit" aspectratio="f"/>
                <v:textbox>
                  <w:txbxContent>
                    <w:p w14:paraId="10260462">
                      <w:pPr>
                        <w:jc w:val="center"/>
                        <w:rPr>
                          <w:rFonts w:hint="default" w:eastAsia="宋体"/>
                          <w:b/>
                          <w:bCs/>
                          <w:color w:val="FFC000"/>
                          <w:sz w:val="21"/>
                          <w:szCs w:val="20"/>
                          <w:lang w:val="en-US" w:eastAsia="zh-CN"/>
                        </w:rPr>
                      </w:pPr>
                      <w:r>
                        <w:rPr>
                          <w:b/>
                          <w:bCs/>
                          <w:color w:val="FFC000"/>
                          <w:sz w:val="21"/>
                          <w:szCs w:val="20"/>
                        </w:rPr>
                        <w:t>项目</w:t>
                      </w:r>
                      <w:r>
                        <w:rPr>
                          <w:rFonts w:hint="eastAsia"/>
                          <w:b/>
                          <w:bCs/>
                          <w:color w:val="FFC000"/>
                          <w:sz w:val="21"/>
                          <w:szCs w:val="20"/>
                          <w:lang w:val="en-US" w:eastAsia="zh-CN"/>
                        </w:rPr>
                        <w:t>位置</w:t>
                      </w:r>
                    </w:p>
                  </w:txbxContent>
                </v:textbox>
              </v:shape>
            </w:pict>
          </mc:Fallback>
        </mc:AlternateContent>
      </w:r>
      <w:r>
        <w:rPr>
          <w:rFonts w:hint="eastAsia"/>
          <w:color w:val="auto"/>
          <w:lang w:val="en-US" w:eastAsia="zh-CN"/>
        </w:rPr>
        <w:drawing>
          <wp:inline distT="0" distB="0" distL="114300" distR="114300">
            <wp:extent cx="8491220" cy="5613400"/>
            <wp:effectExtent l="0" t="0" r="12700" b="10160"/>
            <wp:docPr id="10" name="图片 10" descr="045e99f8-a39b-46c9-9971-0c8f0033f0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045e99f8-a39b-46c9-9971-0c8f0033f00e"/>
                    <pic:cNvPicPr>
                      <a:picLocks noChangeAspect="1"/>
                    </pic:cNvPicPr>
                  </pic:nvPicPr>
                  <pic:blipFill>
                    <a:blip r:embed="rId39"/>
                    <a:stretch>
                      <a:fillRect/>
                    </a:stretch>
                  </pic:blipFill>
                  <pic:spPr>
                    <a:xfrm>
                      <a:off x="0" y="0"/>
                      <a:ext cx="8491220" cy="5613400"/>
                    </a:xfrm>
                    <a:prstGeom prst="rect">
                      <a:avLst/>
                    </a:prstGeom>
                  </pic:spPr>
                </pic:pic>
              </a:graphicData>
            </a:graphic>
          </wp:inline>
        </w:drawing>
      </w:r>
    </w:p>
    <w:p w14:paraId="70AEFFEA">
      <w:pPr>
        <w:pStyle w:val="18"/>
        <w:jc w:val="center"/>
        <w:outlineLvl w:val="0"/>
        <w:rPr>
          <w:rFonts w:hint="eastAsia"/>
          <w:color w:val="auto"/>
          <w:lang w:val="en-US" w:eastAsia="zh-CN"/>
        </w:rPr>
      </w:pPr>
      <w:bookmarkStart w:id="42" w:name="_Toc22942"/>
      <w:r>
        <w:rPr>
          <w:rFonts w:hint="eastAsia" w:ascii="宋体" w:hAnsi="宋体" w:eastAsia="宋体" w:cs="宋体"/>
          <w:b/>
          <w:bCs/>
          <w:snapToGrid w:val="0"/>
          <w:color w:val="auto"/>
          <w:sz w:val="24"/>
          <w:szCs w:val="24"/>
          <w:highlight w:val="none"/>
          <w:lang w:val="en-US" w:eastAsia="zh-CN"/>
        </w:rPr>
        <w:t>附图</w:t>
      </w:r>
      <w:r>
        <w:rPr>
          <w:rFonts w:hint="default" w:ascii="Times New Roman" w:hAnsi="Times New Roman" w:eastAsia="宋体" w:cs="Times New Roman"/>
          <w:b/>
          <w:bCs/>
          <w:snapToGrid w:val="0"/>
          <w:color w:val="auto"/>
          <w:sz w:val="24"/>
          <w:szCs w:val="24"/>
          <w:highlight w:val="none"/>
          <w:lang w:val="en-US" w:eastAsia="zh-CN"/>
        </w:rPr>
        <w:t>1</w:t>
      </w:r>
      <w:r>
        <w:rPr>
          <w:rFonts w:hint="eastAsia" w:ascii="宋体" w:hAnsi="宋体" w:eastAsia="宋体" w:cs="宋体"/>
          <w:b/>
          <w:bCs/>
          <w:snapToGrid w:val="0"/>
          <w:color w:val="auto"/>
          <w:sz w:val="24"/>
          <w:szCs w:val="24"/>
          <w:highlight w:val="none"/>
          <w:lang w:val="en-US" w:eastAsia="zh-CN"/>
        </w:rPr>
        <w:t xml:space="preserve"> 项目地理位置图</w:t>
      </w:r>
      <w:bookmarkEnd w:id="42"/>
    </w:p>
    <w:p w14:paraId="741CD3D2">
      <w:pPr>
        <w:pStyle w:val="18"/>
        <w:jc w:val="center"/>
        <w:outlineLvl w:val="0"/>
        <w:rPr>
          <w:rFonts w:hint="eastAsia" w:ascii="宋体" w:hAnsi="宋体" w:eastAsia="宋体" w:cs="宋体"/>
          <w:b/>
          <w:bCs/>
          <w:snapToGrid w:val="0"/>
          <w:color w:val="auto"/>
          <w:sz w:val="24"/>
          <w:szCs w:val="24"/>
          <w:highlight w:val="none"/>
          <w:lang w:val="en-US" w:eastAsia="zh-CN"/>
        </w:rPr>
        <w:sectPr>
          <w:pgSz w:w="16838" w:h="11906" w:orient="landscape"/>
          <w:pgMar w:top="964" w:right="1440" w:bottom="964" w:left="144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5F235E11">
      <w:pPr>
        <w:pStyle w:val="23"/>
        <w:bidi w:val="0"/>
        <w:rPr>
          <w:rFonts w:hint="eastAsia"/>
          <w:color w:val="auto"/>
          <w:lang w:val="en-US" w:eastAsia="zh-CN"/>
        </w:rPr>
      </w:pPr>
      <w:r>
        <w:rPr>
          <w:color w:val="auto"/>
        </w:rPr>
        <mc:AlternateContent>
          <mc:Choice Requires="wps">
            <w:drawing>
              <wp:anchor distT="0" distB="0" distL="114300" distR="114300" simplePos="0" relativeHeight="251911168" behindDoc="0" locked="0" layoutInCell="1" allowOverlap="1">
                <wp:simplePos x="0" y="0"/>
                <wp:positionH relativeFrom="column">
                  <wp:posOffset>5432425</wp:posOffset>
                </wp:positionH>
                <wp:positionV relativeFrom="paragraph">
                  <wp:posOffset>1621155</wp:posOffset>
                </wp:positionV>
                <wp:extent cx="537210" cy="321310"/>
                <wp:effectExtent l="0" t="0" r="0" b="0"/>
                <wp:wrapNone/>
                <wp:docPr id="339" name="矩形 339"/>
                <wp:cNvGraphicFramePr/>
                <a:graphic xmlns:a="http://schemas.openxmlformats.org/drawingml/2006/main">
                  <a:graphicData uri="http://schemas.microsoft.com/office/word/2010/wordprocessingShape">
                    <wps:wsp>
                      <wps:cNvSpPr/>
                      <wps:spPr>
                        <a:xfrm>
                          <a:off x="0" y="0"/>
                          <a:ext cx="537210" cy="321310"/>
                        </a:xfrm>
                        <a:prstGeom prst="rect">
                          <a:avLst/>
                        </a:prstGeom>
                        <a:noFill/>
                        <a:ln w="15875">
                          <a:noFill/>
                        </a:ln>
                      </wps:spPr>
                      <wps:txbx>
                        <w:txbxContent>
                          <w:p w14:paraId="028C0EDB">
                            <w:pPr>
                              <w:keepNext w:val="0"/>
                              <w:keepLines w:val="0"/>
                              <w:pageBreakBefore w:val="0"/>
                              <w:widowControl w:val="0"/>
                              <w:kinsoku/>
                              <w:wordWrap/>
                              <w:overflowPunct/>
                              <w:topLinePunct w:val="0"/>
                              <w:bidi w:val="0"/>
                              <w:adjustRightInd/>
                              <w:snapToGrid/>
                              <w:spacing w:line="240" w:lineRule="atLeast"/>
                              <w:textAlignment w:val="auto"/>
                              <w:rPr>
                                <w:rFonts w:hint="default"/>
                                <w:b w:val="0"/>
                                <w:bCs/>
                                <w:color w:val="D9D9D9" w:themeColor="background1" w:themeShade="D9"/>
                                <w:sz w:val="15"/>
                                <w:szCs w:val="15"/>
                                <w:lang w:val="en-US" w:eastAsia="zh-CN"/>
                              </w:rPr>
                            </w:pPr>
                            <w:r>
                              <w:rPr>
                                <w:rFonts w:hint="eastAsia"/>
                                <w:b w:val="0"/>
                                <w:bCs/>
                                <w:color w:val="D9D9D9" w:themeColor="background1" w:themeShade="D9"/>
                                <w:sz w:val="15"/>
                                <w:szCs w:val="15"/>
                                <w:lang w:val="en-US" w:eastAsia="zh-CN"/>
                              </w:rPr>
                              <w:t>针车</w:t>
                            </w:r>
                          </w:p>
                        </w:txbxContent>
                      </wps:txbx>
                      <wps:bodyPr upright="1"/>
                    </wps:wsp>
                  </a:graphicData>
                </a:graphic>
              </wp:anchor>
            </w:drawing>
          </mc:Choice>
          <mc:Fallback>
            <w:pict>
              <v:rect id="_x0000_s1026" o:spid="_x0000_s1026" o:spt="1" style="position:absolute;left:0pt;margin-left:427.75pt;margin-top:127.65pt;height:25.3pt;width:42.3pt;z-index:251911168;mso-width-relative:page;mso-height-relative:page;" filled="f" stroked="f" coordsize="21600,21600" o:gfxdata="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Zshq&#10;89sAAAALAQAADwAAAAAAAAABACAAAAAiAAAAZHJzL2Rvd25yZXYueG1sUEsBAhQAFAAAAAgAh07i&#10;QImY642tAQAATgMAAA4AAAAAAAAAAQAgAAAAKgEAAGRycy9lMm9Eb2MueG1sUEsFBgAAAAAGAAYA&#10;WQEAAEkFAAAAAA==&#10;">
                <v:fill on="f" focussize="0,0"/>
                <v:stroke on="f" weight="1.25pt"/>
                <v:imagedata o:title=""/>
                <o:lock v:ext="edit" aspectratio="f"/>
                <v:textbox>
                  <w:txbxContent>
                    <w:p w14:paraId="028C0EDB">
                      <w:pPr>
                        <w:keepNext w:val="0"/>
                        <w:keepLines w:val="0"/>
                        <w:pageBreakBefore w:val="0"/>
                        <w:widowControl w:val="0"/>
                        <w:kinsoku/>
                        <w:wordWrap/>
                        <w:overflowPunct/>
                        <w:topLinePunct w:val="0"/>
                        <w:bidi w:val="0"/>
                        <w:adjustRightInd/>
                        <w:snapToGrid/>
                        <w:spacing w:line="240" w:lineRule="atLeast"/>
                        <w:textAlignment w:val="auto"/>
                        <w:rPr>
                          <w:rFonts w:hint="default"/>
                          <w:b w:val="0"/>
                          <w:bCs/>
                          <w:color w:val="D9D9D9" w:themeColor="background1" w:themeShade="D9"/>
                          <w:sz w:val="15"/>
                          <w:szCs w:val="15"/>
                          <w:lang w:val="en-US" w:eastAsia="zh-CN"/>
                        </w:rPr>
                      </w:pPr>
                      <w:r>
                        <w:rPr>
                          <w:rFonts w:hint="eastAsia"/>
                          <w:b w:val="0"/>
                          <w:bCs/>
                          <w:color w:val="D9D9D9" w:themeColor="background1" w:themeShade="D9"/>
                          <w:sz w:val="15"/>
                          <w:szCs w:val="15"/>
                          <w:lang w:val="en-US" w:eastAsia="zh-CN"/>
                        </w:rPr>
                        <w:t>针车</w:t>
                      </w:r>
                    </w:p>
                  </w:txbxContent>
                </v:textbox>
              </v:rect>
            </w:pict>
          </mc:Fallback>
        </mc:AlternateContent>
      </w:r>
      <w:r>
        <w:rPr>
          <w:rFonts w:hint="eastAsia"/>
          <w:color w:val="auto"/>
          <w:lang w:val="en-US" w:eastAsia="zh-CN"/>
        </w:rPr>
        <w:drawing>
          <wp:inline distT="0" distB="0" distL="114300" distR="114300">
            <wp:extent cx="8853805" cy="5545455"/>
            <wp:effectExtent l="9525" t="9525" r="21590" b="22860"/>
            <wp:docPr id="135" name="图片 135" descr="局部截取_20260126_14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descr="局部截取_20260126_141754"/>
                    <pic:cNvPicPr>
                      <a:picLocks noChangeAspect="1"/>
                    </pic:cNvPicPr>
                  </pic:nvPicPr>
                  <pic:blipFill>
                    <a:blip r:embed="rId40"/>
                    <a:stretch>
                      <a:fillRect/>
                    </a:stretch>
                  </pic:blipFill>
                  <pic:spPr>
                    <a:xfrm>
                      <a:off x="0" y="0"/>
                      <a:ext cx="8853805" cy="5545455"/>
                    </a:xfrm>
                    <a:prstGeom prst="rect">
                      <a:avLst/>
                    </a:prstGeom>
                    <a:ln>
                      <a:solidFill>
                        <a:schemeClr val="tx1"/>
                      </a:solidFill>
                    </a:ln>
                  </pic:spPr>
                </pic:pic>
              </a:graphicData>
            </a:graphic>
          </wp:inline>
        </w:drawing>
      </w:r>
      <w:r>
        <w:rPr>
          <w:color w:val="auto"/>
        </w:rPr>
        <mc:AlternateContent>
          <mc:Choice Requires="wps">
            <w:drawing>
              <wp:anchor distT="0" distB="0" distL="114300" distR="114300" simplePos="0" relativeHeight="251910144" behindDoc="0" locked="0" layoutInCell="1" allowOverlap="1">
                <wp:simplePos x="0" y="0"/>
                <wp:positionH relativeFrom="column">
                  <wp:posOffset>5437505</wp:posOffset>
                </wp:positionH>
                <wp:positionV relativeFrom="paragraph">
                  <wp:posOffset>1686560</wp:posOffset>
                </wp:positionV>
                <wp:extent cx="537210" cy="313055"/>
                <wp:effectExtent l="0" t="0" r="0" b="0"/>
                <wp:wrapNone/>
                <wp:docPr id="338" name="矩形 338"/>
                <wp:cNvGraphicFramePr/>
                <a:graphic xmlns:a="http://schemas.openxmlformats.org/drawingml/2006/main">
                  <a:graphicData uri="http://schemas.microsoft.com/office/word/2010/wordprocessingShape">
                    <wps:wsp>
                      <wps:cNvSpPr/>
                      <wps:spPr>
                        <a:xfrm>
                          <a:off x="0" y="0"/>
                          <a:ext cx="537210" cy="313055"/>
                        </a:xfrm>
                        <a:prstGeom prst="rect">
                          <a:avLst/>
                        </a:prstGeom>
                        <a:noFill/>
                        <a:ln w="15875">
                          <a:noFill/>
                        </a:ln>
                      </wps:spPr>
                      <wps:txbx>
                        <w:txbxContent>
                          <w:p w14:paraId="7C42DED8">
                            <w:pPr>
                              <w:keepNext w:val="0"/>
                              <w:keepLines w:val="0"/>
                              <w:pageBreakBefore w:val="0"/>
                              <w:widowControl w:val="0"/>
                              <w:kinsoku/>
                              <w:wordWrap/>
                              <w:overflowPunct/>
                              <w:topLinePunct w:val="0"/>
                              <w:bidi w:val="0"/>
                              <w:adjustRightInd/>
                              <w:snapToGrid/>
                              <w:spacing w:line="240" w:lineRule="atLeast"/>
                              <w:textAlignment w:val="auto"/>
                              <w:rPr>
                                <w:rFonts w:hint="default"/>
                                <w:b w:val="0"/>
                                <w:bCs/>
                                <w:color w:val="D9D9D9" w:themeColor="background1" w:themeShade="D9"/>
                                <w:sz w:val="15"/>
                                <w:szCs w:val="15"/>
                                <w:lang w:val="en-US" w:eastAsia="zh-CN"/>
                              </w:rPr>
                            </w:pPr>
                            <w:r>
                              <w:rPr>
                                <w:rFonts w:hint="eastAsia"/>
                                <w:b w:val="0"/>
                                <w:bCs/>
                                <w:color w:val="D9D9D9" w:themeColor="background1" w:themeShade="D9"/>
                                <w:sz w:val="15"/>
                                <w:szCs w:val="15"/>
                                <w:lang w:val="en-US" w:eastAsia="zh-CN"/>
                              </w:rPr>
                              <w:t>花样机</w:t>
                            </w:r>
                          </w:p>
                        </w:txbxContent>
                      </wps:txbx>
                      <wps:bodyPr upright="1"/>
                    </wps:wsp>
                  </a:graphicData>
                </a:graphic>
              </wp:anchor>
            </w:drawing>
          </mc:Choice>
          <mc:Fallback>
            <w:pict>
              <v:rect id="_x0000_s1026" o:spid="_x0000_s1026" o:spt="1" style="position:absolute;left:0pt;margin-left:428.15pt;margin-top:132.8pt;height:24.65pt;width:42.3pt;z-index:251910144;mso-width-relative:page;mso-height-relative:page;" filled="f" stroked="f" coordsize="21600,21600" o:gfxdata="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iYcP&#10;WdwAAAALAQAADwAAAAAAAAABACAAAAAiAAAAZHJzL2Rvd25yZXYueG1sUEsBAhQAFAAAAAgAh07i&#10;QITJObisAQAATgMAAA4AAAAAAAAAAQAgAAAAKwEAAGRycy9lMm9Eb2MueG1sUEsFBgAAAAAGAAYA&#10;WQEAAEkFAAAAAA==&#10;">
                <v:fill on="f" focussize="0,0"/>
                <v:stroke on="f" weight="1.25pt"/>
                <v:imagedata o:title=""/>
                <o:lock v:ext="edit" aspectratio="f"/>
                <v:textbox>
                  <w:txbxContent>
                    <w:p w14:paraId="7C42DED8">
                      <w:pPr>
                        <w:keepNext w:val="0"/>
                        <w:keepLines w:val="0"/>
                        <w:pageBreakBefore w:val="0"/>
                        <w:widowControl w:val="0"/>
                        <w:kinsoku/>
                        <w:wordWrap/>
                        <w:overflowPunct/>
                        <w:topLinePunct w:val="0"/>
                        <w:bidi w:val="0"/>
                        <w:adjustRightInd/>
                        <w:snapToGrid/>
                        <w:spacing w:line="240" w:lineRule="atLeast"/>
                        <w:textAlignment w:val="auto"/>
                        <w:rPr>
                          <w:rFonts w:hint="default"/>
                          <w:b w:val="0"/>
                          <w:bCs/>
                          <w:color w:val="D9D9D9" w:themeColor="background1" w:themeShade="D9"/>
                          <w:sz w:val="15"/>
                          <w:szCs w:val="15"/>
                          <w:lang w:val="en-US" w:eastAsia="zh-CN"/>
                        </w:rPr>
                      </w:pPr>
                      <w:r>
                        <w:rPr>
                          <w:rFonts w:hint="eastAsia"/>
                          <w:b w:val="0"/>
                          <w:bCs/>
                          <w:color w:val="D9D9D9" w:themeColor="background1" w:themeShade="D9"/>
                          <w:sz w:val="15"/>
                          <w:szCs w:val="15"/>
                          <w:lang w:val="en-US" w:eastAsia="zh-CN"/>
                        </w:rPr>
                        <w:t>花样机</w:t>
                      </w:r>
                    </w:p>
                  </w:txbxContent>
                </v:textbox>
              </v:rect>
            </w:pict>
          </mc:Fallback>
        </mc:AlternateContent>
      </w:r>
      <w:r>
        <w:rPr>
          <w:color w:val="auto"/>
        </w:rPr>
        <mc:AlternateContent>
          <mc:Choice Requires="wps">
            <w:drawing>
              <wp:anchor distT="0" distB="0" distL="114300" distR="114300" simplePos="0" relativeHeight="251904000" behindDoc="0" locked="0" layoutInCell="1" allowOverlap="1">
                <wp:simplePos x="0" y="0"/>
                <wp:positionH relativeFrom="column">
                  <wp:posOffset>5558155</wp:posOffset>
                </wp:positionH>
                <wp:positionV relativeFrom="paragraph">
                  <wp:posOffset>1775460</wp:posOffset>
                </wp:positionV>
                <wp:extent cx="659130" cy="476250"/>
                <wp:effectExtent l="0" t="0" r="0" b="0"/>
                <wp:wrapNone/>
                <wp:docPr id="337" name="矩形 337"/>
                <wp:cNvGraphicFramePr/>
                <a:graphic xmlns:a="http://schemas.openxmlformats.org/drawingml/2006/main">
                  <a:graphicData uri="http://schemas.microsoft.com/office/word/2010/wordprocessingShape">
                    <wps:wsp>
                      <wps:cNvSpPr/>
                      <wps:spPr>
                        <a:xfrm>
                          <a:off x="0" y="0"/>
                          <a:ext cx="659130" cy="476250"/>
                        </a:xfrm>
                        <a:prstGeom prst="rect">
                          <a:avLst/>
                        </a:prstGeom>
                        <a:noFill/>
                        <a:ln w="15875">
                          <a:noFill/>
                        </a:ln>
                      </wps:spPr>
                      <wps:txbx>
                        <w:txbxContent>
                          <w:p w14:paraId="103142F4">
                            <w:pPr>
                              <w:keepNext w:val="0"/>
                              <w:keepLines w:val="0"/>
                              <w:pageBreakBefore w:val="0"/>
                              <w:widowControl w:val="0"/>
                              <w:kinsoku/>
                              <w:wordWrap/>
                              <w:overflowPunct/>
                              <w:topLinePunct w:val="0"/>
                              <w:bidi w:val="0"/>
                              <w:adjustRightInd/>
                              <w:snapToGrid/>
                              <w:spacing w:line="240" w:lineRule="atLeast"/>
                              <w:textAlignment w:val="auto"/>
                              <w:rPr>
                                <w:rFonts w:hint="eastAsia"/>
                                <w:b w:val="0"/>
                                <w:bCs/>
                                <w:color w:val="D9D9D9" w:themeColor="background1" w:themeShade="D9"/>
                                <w:sz w:val="15"/>
                                <w:szCs w:val="15"/>
                                <w:lang w:val="en-US" w:eastAsia="zh-CN"/>
                              </w:rPr>
                            </w:pPr>
                            <w:r>
                              <w:rPr>
                                <w:rFonts w:hint="eastAsia"/>
                                <w:b w:val="0"/>
                                <w:bCs/>
                                <w:color w:val="D9D9D9" w:themeColor="background1" w:themeShade="D9"/>
                                <w:sz w:val="15"/>
                                <w:szCs w:val="15"/>
                                <w:lang w:val="en-US" w:eastAsia="zh-CN"/>
                              </w:rPr>
                              <w:t>打磨</w:t>
                            </w:r>
                          </w:p>
                          <w:p w14:paraId="210C89E8">
                            <w:pPr>
                              <w:keepNext w:val="0"/>
                              <w:keepLines w:val="0"/>
                              <w:pageBreakBefore w:val="0"/>
                              <w:widowControl w:val="0"/>
                              <w:kinsoku/>
                              <w:wordWrap/>
                              <w:overflowPunct/>
                              <w:topLinePunct w:val="0"/>
                              <w:bidi w:val="0"/>
                              <w:adjustRightInd/>
                              <w:snapToGrid/>
                              <w:spacing w:line="240" w:lineRule="atLeast"/>
                              <w:textAlignment w:val="auto"/>
                              <w:rPr>
                                <w:rFonts w:hint="default"/>
                                <w:b w:val="0"/>
                                <w:bCs/>
                                <w:color w:val="D9D9D9" w:themeColor="background1" w:themeShade="D9"/>
                                <w:sz w:val="15"/>
                                <w:szCs w:val="15"/>
                                <w:lang w:val="en-US" w:eastAsia="zh-CN"/>
                              </w:rPr>
                            </w:pPr>
                            <w:r>
                              <w:rPr>
                                <w:rFonts w:hint="eastAsia"/>
                                <w:b w:val="0"/>
                                <w:bCs/>
                                <w:color w:val="D9D9D9" w:themeColor="background1" w:themeShade="D9"/>
                                <w:sz w:val="15"/>
                                <w:szCs w:val="15"/>
                                <w:lang w:val="en-US" w:eastAsia="zh-CN"/>
                              </w:rPr>
                              <w:t>定型机等</w:t>
                            </w:r>
                          </w:p>
                        </w:txbxContent>
                      </wps:txbx>
                      <wps:bodyPr upright="1"/>
                    </wps:wsp>
                  </a:graphicData>
                </a:graphic>
              </wp:anchor>
            </w:drawing>
          </mc:Choice>
          <mc:Fallback>
            <w:pict>
              <v:rect id="_x0000_s1026" o:spid="_x0000_s1026" o:spt="1" style="position:absolute;left:0pt;margin-left:437.65pt;margin-top:139.8pt;height:37.5pt;width:51.9pt;z-index:251904000;mso-width-relative:page;mso-height-relative:page;" filled="f" stroked="f" coordsize="21600,21600" o:gfxdata="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6QwM7t0AAAALAQAADwAAAAAAAAABACAAAAAiAAAAZHJzL2Rvd25yZXYueG1sUEsBAhQAFAAAAAgA&#10;h07iQFg2gdquAQAATgMAAA4AAAAAAAAAAQAgAAAALAEAAGRycy9lMm9Eb2MueG1sUEsFBgAAAAAG&#10;AAYAWQEAAEwFAAAAAA==&#10;">
                <v:fill on="f" focussize="0,0"/>
                <v:stroke on="f" weight="1.25pt"/>
                <v:imagedata o:title=""/>
                <o:lock v:ext="edit" aspectratio="f"/>
                <v:textbox>
                  <w:txbxContent>
                    <w:p w14:paraId="103142F4">
                      <w:pPr>
                        <w:keepNext w:val="0"/>
                        <w:keepLines w:val="0"/>
                        <w:pageBreakBefore w:val="0"/>
                        <w:widowControl w:val="0"/>
                        <w:kinsoku/>
                        <w:wordWrap/>
                        <w:overflowPunct/>
                        <w:topLinePunct w:val="0"/>
                        <w:bidi w:val="0"/>
                        <w:adjustRightInd/>
                        <w:snapToGrid/>
                        <w:spacing w:line="240" w:lineRule="atLeast"/>
                        <w:textAlignment w:val="auto"/>
                        <w:rPr>
                          <w:rFonts w:hint="eastAsia"/>
                          <w:b w:val="0"/>
                          <w:bCs/>
                          <w:color w:val="D9D9D9" w:themeColor="background1" w:themeShade="D9"/>
                          <w:sz w:val="15"/>
                          <w:szCs w:val="15"/>
                          <w:lang w:val="en-US" w:eastAsia="zh-CN"/>
                        </w:rPr>
                      </w:pPr>
                      <w:r>
                        <w:rPr>
                          <w:rFonts w:hint="eastAsia"/>
                          <w:b w:val="0"/>
                          <w:bCs/>
                          <w:color w:val="D9D9D9" w:themeColor="background1" w:themeShade="D9"/>
                          <w:sz w:val="15"/>
                          <w:szCs w:val="15"/>
                          <w:lang w:val="en-US" w:eastAsia="zh-CN"/>
                        </w:rPr>
                        <w:t>打磨</w:t>
                      </w:r>
                    </w:p>
                    <w:p w14:paraId="210C89E8">
                      <w:pPr>
                        <w:keepNext w:val="0"/>
                        <w:keepLines w:val="0"/>
                        <w:pageBreakBefore w:val="0"/>
                        <w:widowControl w:val="0"/>
                        <w:kinsoku/>
                        <w:wordWrap/>
                        <w:overflowPunct/>
                        <w:topLinePunct w:val="0"/>
                        <w:bidi w:val="0"/>
                        <w:adjustRightInd/>
                        <w:snapToGrid/>
                        <w:spacing w:line="240" w:lineRule="atLeast"/>
                        <w:textAlignment w:val="auto"/>
                        <w:rPr>
                          <w:rFonts w:hint="default"/>
                          <w:b w:val="0"/>
                          <w:bCs/>
                          <w:color w:val="D9D9D9" w:themeColor="background1" w:themeShade="D9"/>
                          <w:sz w:val="15"/>
                          <w:szCs w:val="15"/>
                          <w:lang w:val="en-US" w:eastAsia="zh-CN"/>
                        </w:rPr>
                      </w:pPr>
                      <w:r>
                        <w:rPr>
                          <w:rFonts w:hint="eastAsia"/>
                          <w:b w:val="0"/>
                          <w:bCs/>
                          <w:color w:val="D9D9D9" w:themeColor="background1" w:themeShade="D9"/>
                          <w:sz w:val="15"/>
                          <w:szCs w:val="15"/>
                          <w:lang w:val="en-US" w:eastAsia="zh-CN"/>
                        </w:rPr>
                        <w:t>定型机等</w:t>
                      </w:r>
                    </w:p>
                  </w:txbxContent>
                </v:textbox>
              </v:rect>
            </w:pict>
          </mc:Fallback>
        </mc:AlternateContent>
      </w:r>
      <w:r>
        <w:rPr>
          <w:color w:val="auto"/>
        </w:rPr>
        <mc:AlternateContent>
          <mc:Choice Requires="wps">
            <w:drawing>
              <wp:anchor distT="0" distB="0" distL="114300" distR="114300" simplePos="0" relativeHeight="251906048" behindDoc="0" locked="0" layoutInCell="1" allowOverlap="1">
                <wp:simplePos x="0" y="0"/>
                <wp:positionH relativeFrom="column">
                  <wp:posOffset>5584825</wp:posOffset>
                </wp:positionH>
                <wp:positionV relativeFrom="paragraph">
                  <wp:posOffset>2160905</wp:posOffset>
                </wp:positionV>
                <wp:extent cx="485140" cy="1055370"/>
                <wp:effectExtent l="0" t="0" r="0" b="0"/>
                <wp:wrapNone/>
                <wp:docPr id="336" name="矩形 336"/>
                <wp:cNvGraphicFramePr/>
                <a:graphic xmlns:a="http://schemas.openxmlformats.org/drawingml/2006/main">
                  <a:graphicData uri="http://schemas.microsoft.com/office/word/2010/wordprocessingShape">
                    <wps:wsp>
                      <wps:cNvSpPr/>
                      <wps:spPr>
                        <a:xfrm>
                          <a:off x="0" y="0"/>
                          <a:ext cx="485140" cy="1055370"/>
                        </a:xfrm>
                        <a:prstGeom prst="rect">
                          <a:avLst/>
                        </a:prstGeom>
                        <a:noFill/>
                        <a:ln w="15875">
                          <a:noFill/>
                        </a:ln>
                      </wps:spPr>
                      <wps:txbx>
                        <w:txbxContent>
                          <w:p w14:paraId="1C2D2DB2">
                            <w:pPr>
                              <w:keepNext w:val="0"/>
                              <w:keepLines w:val="0"/>
                              <w:pageBreakBefore w:val="0"/>
                              <w:widowControl w:val="0"/>
                              <w:kinsoku/>
                              <w:wordWrap/>
                              <w:overflowPunct/>
                              <w:topLinePunct w:val="0"/>
                              <w:bidi w:val="0"/>
                              <w:adjustRightInd/>
                              <w:snapToGrid/>
                              <w:spacing w:line="240" w:lineRule="atLeast"/>
                              <w:textAlignment w:val="auto"/>
                              <w:rPr>
                                <w:rFonts w:hint="eastAsia"/>
                                <w:b w:val="0"/>
                                <w:bCs/>
                                <w:color w:val="D9D9D9" w:themeColor="background1" w:themeShade="D9"/>
                                <w:sz w:val="15"/>
                                <w:szCs w:val="15"/>
                                <w:lang w:val="en-US" w:eastAsia="zh-CN"/>
                              </w:rPr>
                            </w:pPr>
                            <w:r>
                              <w:rPr>
                                <w:rFonts w:hint="eastAsia"/>
                                <w:b w:val="0"/>
                                <w:bCs/>
                                <w:color w:val="D9D9D9" w:themeColor="background1" w:themeShade="D9"/>
                                <w:sz w:val="15"/>
                                <w:szCs w:val="15"/>
                                <w:lang w:val="en-US" w:eastAsia="zh-CN"/>
                              </w:rPr>
                              <w:t>冷粘</w:t>
                            </w:r>
                          </w:p>
                          <w:p w14:paraId="00CAABD1">
                            <w:pPr>
                              <w:keepNext w:val="0"/>
                              <w:keepLines w:val="0"/>
                              <w:pageBreakBefore w:val="0"/>
                              <w:widowControl w:val="0"/>
                              <w:kinsoku/>
                              <w:wordWrap/>
                              <w:overflowPunct/>
                              <w:topLinePunct w:val="0"/>
                              <w:bidi w:val="0"/>
                              <w:adjustRightInd/>
                              <w:snapToGrid/>
                              <w:spacing w:line="240" w:lineRule="atLeast"/>
                              <w:textAlignment w:val="auto"/>
                              <w:rPr>
                                <w:rFonts w:hint="eastAsia"/>
                                <w:b w:val="0"/>
                                <w:bCs/>
                                <w:color w:val="D9D9D9" w:themeColor="background1" w:themeShade="D9"/>
                                <w:sz w:val="15"/>
                                <w:szCs w:val="15"/>
                                <w:lang w:val="en-US" w:eastAsia="zh-CN"/>
                              </w:rPr>
                            </w:pPr>
                            <w:r>
                              <w:rPr>
                                <w:rFonts w:hint="eastAsia"/>
                                <w:b w:val="0"/>
                                <w:bCs/>
                                <w:color w:val="D9D9D9" w:themeColor="background1" w:themeShade="D9"/>
                                <w:sz w:val="15"/>
                                <w:szCs w:val="15"/>
                                <w:lang w:val="en-US" w:eastAsia="zh-CN"/>
                              </w:rPr>
                              <w:t>过胶</w:t>
                            </w:r>
                          </w:p>
                          <w:p w14:paraId="0E13BF45">
                            <w:pPr>
                              <w:keepNext w:val="0"/>
                              <w:keepLines w:val="0"/>
                              <w:pageBreakBefore w:val="0"/>
                              <w:widowControl w:val="0"/>
                              <w:kinsoku/>
                              <w:wordWrap/>
                              <w:overflowPunct/>
                              <w:topLinePunct w:val="0"/>
                              <w:bidi w:val="0"/>
                              <w:adjustRightInd/>
                              <w:snapToGrid/>
                              <w:spacing w:line="240" w:lineRule="atLeast"/>
                              <w:textAlignment w:val="auto"/>
                              <w:rPr>
                                <w:rFonts w:hint="eastAsia"/>
                                <w:b w:val="0"/>
                                <w:bCs/>
                                <w:color w:val="D9D9D9" w:themeColor="background1" w:themeShade="D9"/>
                                <w:sz w:val="15"/>
                                <w:szCs w:val="15"/>
                                <w:lang w:val="en-US" w:eastAsia="zh-CN"/>
                              </w:rPr>
                            </w:pPr>
                            <w:r>
                              <w:rPr>
                                <w:rFonts w:hint="eastAsia"/>
                                <w:b w:val="0"/>
                                <w:bCs/>
                                <w:color w:val="D9D9D9" w:themeColor="background1" w:themeShade="D9"/>
                                <w:sz w:val="15"/>
                                <w:szCs w:val="15"/>
                                <w:lang w:val="en-US" w:eastAsia="zh-CN"/>
                              </w:rPr>
                              <w:t>烘干机</w:t>
                            </w:r>
                          </w:p>
                          <w:p w14:paraId="4FE17909">
                            <w:pPr>
                              <w:keepNext w:val="0"/>
                              <w:keepLines w:val="0"/>
                              <w:pageBreakBefore w:val="0"/>
                              <w:widowControl w:val="0"/>
                              <w:kinsoku/>
                              <w:wordWrap/>
                              <w:overflowPunct/>
                              <w:topLinePunct w:val="0"/>
                              <w:bidi w:val="0"/>
                              <w:adjustRightInd/>
                              <w:snapToGrid/>
                              <w:spacing w:line="240" w:lineRule="atLeast"/>
                              <w:textAlignment w:val="auto"/>
                              <w:rPr>
                                <w:rFonts w:hint="eastAsia"/>
                                <w:b w:val="0"/>
                                <w:bCs/>
                                <w:color w:val="D9D9D9" w:themeColor="background1" w:themeShade="D9"/>
                                <w:sz w:val="15"/>
                                <w:szCs w:val="15"/>
                                <w:lang w:val="en-US" w:eastAsia="zh-CN"/>
                              </w:rPr>
                            </w:pPr>
                            <w:r>
                              <w:rPr>
                                <w:rFonts w:hint="eastAsia"/>
                                <w:b w:val="0"/>
                                <w:bCs/>
                                <w:color w:val="D9D9D9" w:themeColor="background1" w:themeShade="D9"/>
                                <w:sz w:val="15"/>
                                <w:szCs w:val="15"/>
                                <w:lang w:val="en-US" w:eastAsia="zh-CN"/>
                              </w:rPr>
                              <w:t>冷冻机</w:t>
                            </w:r>
                          </w:p>
                          <w:p w14:paraId="60A69BC1">
                            <w:pPr>
                              <w:keepNext w:val="0"/>
                              <w:keepLines w:val="0"/>
                              <w:pageBreakBefore w:val="0"/>
                              <w:widowControl w:val="0"/>
                              <w:kinsoku/>
                              <w:wordWrap/>
                              <w:overflowPunct/>
                              <w:topLinePunct w:val="0"/>
                              <w:bidi w:val="0"/>
                              <w:adjustRightInd/>
                              <w:snapToGrid/>
                              <w:spacing w:line="240" w:lineRule="atLeast"/>
                              <w:textAlignment w:val="auto"/>
                              <w:rPr>
                                <w:rFonts w:hint="default"/>
                                <w:b w:val="0"/>
                                <w:bCs/>
                                <w:color w:val="D9D9D9" w:themeColor="background1" w:themeShade="D9"/>
                                <w:sz w:val="15"/>
                                <w:szCs w:val="15"/>
                                <w:lang w:val="en-US" w:eastAsia="zh-CN"/>
                              </w:rPr>
                            </w:pPr>
                            <w:r>
                              <w:rPr>
                                <w:rFonts w:hint="eastAsia"/>
                                <w:b w:val="0"/>
                                <w:bCs/>
                                <w:color w:val="D9D9D9" w:themeColor="background1" w:themeShade="D9"/>
                                <w:sz w:val="15"/>
                                <w:szCs w:val="15"/>
                                <w:lang w:val="en-US" w:eastAsia="zh-CN"/>
                              </w:rPr>
                              <w:t>压机</w:t>
                            </w:r>
                          </w:p>
                        </w:txbxContent>
                      </wps:txbx>
                      <wps:bodyPr upright="1"/>
                    </wps:wsp>
                  </a:graphicData>
                </a:graphic>
              </wp:anchor>
            </w:drawing>
          </mc:Choice>
          <mc:Fallback>
            <w:pict>
              <v:rect id="_x0000_s1026" o:spid="_x0000_s1026" o:spt="1" style="position:absolute;left:0pt;margin-left:439.75pt;margin-top:170.15pt;height:83.1pt;width:38.2pt;z-index:251906048;mso-width-relative:page;mso-height-relative:page;" filled="f" stroked="f" coordsize="21600,21600" o:gfxdata="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De&#10;Q3QE3AAAAAsBAAAPAAAAAAAAAAEAIAAAACIAAABkcnMvZG93bnJldi54bWxQSwECFAAUAAAACACH&#10;TuJA6BXASK4BAABPAwAADgAAAAAAAAABACAAAAArAQAAZHJzL2Uyb0RvYy54bWxQSwUGAAAAAAYA&#10;BgBZAQAASwUAAAAA&#10;">
                <v:fill on="f" focussize="0,0"/>
                <v:stroke on="f" weight="1.25pt"/>
                <v:imagedata o:title=""/>
                <o:lock v:ext="edit" aspectratio="f"/>
                <v:textbox>
                  <w:txbxContent>
                    <w:p w14:paraId="1C2D2DB2">
                      <w:pPr>
                        <w:keepNext w:val="0"/>
                        <w:keepLines w:val="0"/>
                        <w:pageBreakBefore w:val="0"/>
                        <w:widowControl w:val="0"/>
                        <w:kinsoku/>
                        <w:wordWrap/>
                        <w:overflowPunct/>
                        <w:topLinePunct w:val="0"/>
                        <w:bidi w:val="0"/>
                        <w:adjustRightInd/>
                        <w:snapToGrid/>
                        <w:spacing w:line="240" w:lineRule="atLeast"/>
                        <w:textAlignment w:val="auto"/>
                        <w:rPr>
                          <w:rFonts w:hint="eastAsia"/>
                          <w:b w:val="0"/>
                          <w:bCs/>
                          <w:color w:val="D9D9D9" w:themeColor="background1" w:themeShade="D9"/>
                          <w:sz w:val="15"/>
                          <w:szCs w:val="15"/>
                          <w:lang w:val="en-US" w:eastAsia="zh-CN"/>
                        </w:rPr>
                      </w:pPr>
                      <w:r>
                        <w:rPr>
                          <w:rFonts w:hint="eastAsia"/>
                          <w:b w:val="0"/>
                          <w:bCs/>
                          <w:color w:val="D9D9D9" w:themeColor="background1" w:themeShade="D9"/>
                          <w:sz w:val="15"/>
                          <w:szCs w:val="15"/>
                          <w:lang w:val="en-US" w:eastAsia="zh-CN"/>
                        </w:rPr>
                        <w:t>冷粘</w:t>
                      </w:r>
                    </w:p>
                    <w:p w14:paraId="00CAABD1">
                      <w:pPr>
                        <w:keepNext w:val="0"/>
                        <w:keepLines w:val="0"/>
                        <w:pageBreakBefore w:val="0"/>
                        <w:widowControl w:val="0"/>
                        <w:kinsoku/>
                        <w:wordWrap/>
                        <w:overflowPunct/>
                        <w:topLinePunct w:val="0"/>
                        <w:bidi w:val="0"/>
                        <w:adjustRightInd/>
                        <w:snapToGrid/>
                        <w:spacing w:line="240" w:lineRule="atLeast"/>
                        <w:textAlignment w:val="auto"/>
                        <w:rPr>
                          <w:rFonts w:hint="eastAsia"/>
                          <w:b w:val="0"/>
                          <w:bCs/>
                          <w:color w:val="D9D9D9" w:themeColor="background1" w:themeShade="D9"/>
                          <w:sz w:val="15"/>
                          <w:szCs w:val="15"/>
                          <w:lang w:val="en-US" w:eastAsia="zh-CN"/>
                        </w:rPr>
                      </w:pPr>
                      <w:r>
                        <w:rPr>
                          <w:rFonts w:hint="eastAsia"/>
                          <w:b w:val="0"/>
                          <w:bCs/>
                          <w:color w:val="D9D9D9" w:themeColor="background1" w:themeShade="D9"/>
                          <w:sz w:val="15"/>
                          <w:szCs w:val="15"/>
                          <w:lang w:val="en-US" w:eastAsia="zh-CN"/>
                        </w:rPr>
                        <w:t>过胶</w:t>
                      </w:r>
                    </w:p>
                    <w:p w14:paraId="0E13BF45">
                      <w:pPr>
                        <w:keepNext w:val="0"/>
                        <w:keepLines w:val="0"/>
                        <w:pageBreakBefore w:val="0"/>
                        <w:widowControl w:val="0"/>
                        <w:kinsoku/>
                        <w:wordWrap/>
                        <w:overflowPunct/>
                        <w:topLinePunct w:val="0"/>
                        <w:bidi w:val="0"/>
                        <w:adjustRightInd/>
                        <w:snapToGrid/>
                        <w:spacing w:line="240" w:lineRule="atLeast"/>
                        <w:textAlignment w:val="auto"/>
                        <w:rPr>
                          <w:rFonts w:hint="eastAsia"/>
                          <w:b w:val="0"/>
                          <w:bCs/>
                          <w:color w:val="D9D9D9" w:themeColor="background1" w:themeShade="D9"/>
                          <w:sz w:val="15"/>
                          <w:szCs w:val="15"/>
                          <w:lang w:val="en-US" w:eastAsia="zh-CN"/>
                        </w:rPr>
                      </w:pPr>
                      <w:r>
                        <w:rPr>
                          <w:rFonts w:hint="eastAsia"/>
                          <w:b w:val="0"/>
                          <w:bCs/>
                          <w:color w:val="D9D9D9" w:themeColor="background1" w:themeShade="D9"/>
                          <w:sz w:val="15"/>
                          <w:szCs w:val="15"/>
                          <w:lang w:val="en-US" w:eastAsia="zh-CN"/>
                        </w:rPr>
                        <w:t>烘干机</w:t>
                      </w:r>
                    </w:p>
                    <w:p w14:paraId="4FE17909">
                      <w:pPr>
                        <w:keepNext w:val="0"/>
                        <w:keepLines w:val="0"/>
                        <w:pageBreakBefore w:val="0"/>
                        <w:widowControl w:val="0"/>
                        <w:kinsoku/>
                        <w:wordWrap/>
                        <w:overflowPunct/>
                        <w:topLinePunct w:val="0"/>
                        <w:bidi w:val="0"/>
                        <w:adjustRightInd/>
                        <w:snapToGrid/>
                        <w:spacing w:line="240" w:lineRule="atLeast"/>
                        <w:textAlignment w:val="auto"/>
                        <w:rPr>
                          <w:rFonts w:hint="eastAsia"/>
                          <w:b w:val="0"/>
                          <w:bCs/>
                          <w:color w:val="D9D9D9" w:themeColor="background1" w:themeShade="D9"/>
                          <w:sz w:val="15"/>
                          <w:szCs w:val="15"/>
                          <w:lang w:val="en-US" w:eastAsia="zh-CN"/>
                        </w:rPr>
                      </w:pPr>
                      <w:r>
                        <w:rPr>
                          <w:rFonts w:hint="eastAsia"/>
                          <w:b w:val="0"/>
                          <w:bCs/>
                          <w:color w:val="D9D9D9" w:themeColor="background1" w:themeShade="D9"/>
                          <w:sz w:val="15"/>
                          <w:szCs w:val="15"/>
                          <w:lang w:val="en-US" w:eastAsia="zh-CN"/>
                        </w:rPr>
                        <w:t>冷冻机</w:t>
                      </w:r>
                    </w:p>
                    <w:p w14:paraId="60A69BC1">
                      <w:pPr>
                        <w:keepNext w:val="0"/>
                        <w:keepLines w:val="0"/>
                        <w:pageBreakBefore w:val="0"/>
                        <w:widowControl w:val="0"/>
                        <w:kinsoku/>
                        <w:wordWrap/>
                        <w:overflowPunct/>
                        <w:topLinePunct w:val="0"/>
                        <w:bidi w:val="0"/>
                        <w:adjustRightInd/>
                        <w:snapToGrid/>
                        <w:spacing w:line="240" w:lineRule="atLeast"/>
                        <w:textAlignment w:val="auto"/>
                        <w:rPr>
                          <w:rFonts w:hint="default"/>
                          <w:b w:val="0"/>
                          <w:bCs/>
                          <w:color w:val="D9D9D9" w:themeColor="background1" w:themeShade="D9"/>
                          <w:sz w:val="15"/>
                          <w:szCs w:val="15"/>
                          <w:lang w:val="en-US" w:eastAsia="zh-CN"/>
                        </w:rPr>
                      </w:pPr>
                      <w:r>
                        <w:rPr>
                          <w:rFonts w:hint="eastAsia"/>
                          <w:b w:val="0"/>
                          <w:bCs/>
                          <w:color w:val="D9D9D9" w:themeColor="background1" w:themeShade="D9"/>
                          <w:sz w:val="15"/>
                          <w:szCs w:val="15"/>
                          <w:lang w:val="en-US" w:eastAsia="zh-CN"/>
                        </w:rPr>
                        <w:t>压机</w:t>
                      </w:r>
                    </w:p>
                  </w:txbxContent>
                </v:textbox>
              </v:rect>
            </w:pict>
          </mc:Fallback>
        </mc:AlternateContent>
      </w:r>
      <w:r>
        <w:rPr>
          <w:color w:val="auto"/>
        </w:rPr>
        <mc:AlternateContent>
          <mc:Choice Requires="wps">
            <w:drawing>
              <wp:anchor distT="0" distB="0" distL="114300" distR="114300" simplePos="0" relativeHeight="251908096" behindDoc="0" locked="0" layoutInCell="1" allowOverlap="1">
                <wp:simplePos x="0" y="0"/>
                <wp:positionH relativeFrom="column">
                  <wp:posOffset>4973320</wp:posOffset>
                </wp:positionH>
                <wp:positionV relativeFrom="paragraph">
                  <wp:posOffset>1873885</wp:posOffset>
                </wp:positionV>
                <wp:extent cx="659130" cy="476250"/>
                <wp:effectExtent l="0" t="0" r="0" b="0"/>
                <wp:wrapNone/>
                <wp:docPr id="334" name="矩形 334"/>
                <wp:cNvGraphicFramePr/>
                <a:graphic xmlns:a="http://schemas.openxmlformats.org/drawingml/2006/main">
                  <a:graphicData uri="http://schemas.microsoft.com/office/word/2010/wordprocessingShape">
                    <wps:wsp>
                      <wps:cNvSpPr/>
                      <wps:spPr>
                        <a:xfrm>
                          <a:off x="0" y="0"/>
                          <a:ext cx="659130" cy="476250"/>
                        </a:xfrm>
                        <a:prstGeom prst="rect">
                          <a:avLst/>
                        </a:prstGeom>
                        <a:noFill/>
                        <a:ln w="15875">
                          <a:noFill/>
                        </a:ln>
                      </wps:spPr>
                      <wps:txbx>
                        <w:txbxContent>
                          <w:p w14:paraId="34B17A48">
                            <w:pPr>
                              <w:keepNext w:val="0"/>
                              <w:keepLines w:val="0"/>
                              <w:pageBreakBefore w:val="0"/>
                              <w:widowControl w:val="0"/>
                              <w:kinsoku/>
                              <w:wordWrap/>
                              <w:overflowPunct/>
                              <w:topLinePunct w:val="0"/>
                              <w:bidi w:val="0"/>
                              <w:adjustRightInd/>
                              <w:snapToGrid/>
                              <w:spacing w:line="240" w:lineRule="atLeast"/>
                              <w:textAlignment w:val="auto"/>
                              <w:rPr>
                                <w:rFonts w:hint="eastAsia"/>
                                <w:b w:val="0"/>
                                <w:bCs/>
                                <w:color w:val="D9D9D9" w:themeColor="background1" w:themeShade="D9"/>
                                <w:sz w:val="15"/>
                                <w:szCs w:val="15"/>
                                <w:lang w:val="en-US" w:eastAsia="zh-CN"/>
                              </w:rPr>
                            </w:pPr>
                            <w:r>
                              <w:rPr>
                                <w:rFonts w:hint="eastAsia"/>
                                <w:b w:val="0"/>
                                <w:bCs/>
                                <w:color w:val="D9D9D9" w:themeColor="background1" w:themeShade="D9"/>
                                <w:sz w:val="15"/>
                                <w:szCs w:val="15"/>
                                <w:lang w:val="en-US" w:eastAsia="zh-CN"/>
                              </w:rPr>
                              <w:t>打磨</w:t>
                            </w:r>
                          </w:p>
                          <w:p w14:paraId="5FF82517">
                            <w:pPr>
                              <w:keepNext w:val="0"/>
                              <w:keepLines w:val="0"/>
                              <w:pageBreakBefore w:val="0"/>
                              <w:widowControl w:val="0"/>
                              <w:kinsoku/>
                              <w:wordWrap/>
                              <w:overflowPunct/>
                              <w:topLinePunct w:val="0"/>
                              <w:bidi w:val="0"/>
                              <w:adjustRightInd/>
                              <w:snapToGrid/>
                              <w:spacing w:line="240" w:lineRule="atLeast"/>
                              <w:textAlignment w:val="auto"/>
                              <w:rPr>
                                <w:rFonts w:hint="default"/>
                                <w:b w:val="0"/>
                                <w:bCs/>
                                <w:color w:val="D9D9D9" w:themeColor="background1" w:themeShade="D9"/>
                                <w:sz w:val="15"/>
                                <w:szCs w:val="15"/>
                                <w:lang w:val="en-US" w:eastAsia="zh-CN"/>
                              </w:rPr>
                            </w:pPr>
                            <w:r>
                              <w:rPr>
                                <w:rFonts w:hint="eastAsia"/>
                                <w:b w:val="0"/>
                                <w:bCs/>
                                <w:color w:val="D9D9D9" w:themeColor="background1" w:themeShade="D9"/>
                                <w:sz w:val="15"/>
                                <w:szCs w:val="15"/>
                                <w:lang w:val="en-US" w:eastAsia="zh-CN"/>
                              </w:rPr>
                              <w:t>定型机等</w:t>
                            </w:r>
                          </w:p>
                        </w:txbxContent>
                      </wps:txbx>
                      <wps:bodyPr upright="1"/>
                    </wps:wsp>
                  </a:graphicData>
                </a:graphic>
              </wp:anchor>
            </w:drawing>
          </mc:Choice>
          <mc:Fallback>
            <w:pict>
              <v:rect id="_x0000_s1026" o:spid="_x0000_s1026" o:spt="1" style="position:absolute;left:0pt;margin-left:391.6pt;margin-top:147.55pt;height:37.5pt;width:51.9pt;z-index:251908096;mso-width-relative:page;mso-height-relative:page;" filled="f" stroked="f" coordsize="21600,21600" o:gfxdata="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Cq&#10;MBfg3AAAAAsBAAAPAAAAAAAAAAEAIAAAACIAAABkcnMvZG93bnJldi54bWxQSwECFAAUAAAACACH&#10;TuJACtONxq4BAABOAwAADgAAAAAAAAABACAAAAArAQAAZHJzL2Uyb0RvYy54bWxQSwUGAAAAAAYA&#10;BgBZAQAASwUAAAAA&#10;">
                <v:fill on="f" focussize="0,0"/>
                <v:stroke on="f" weight="1.25pt"/>
                <v:imagedata o:title=""/>
                <o:lock v:ext="edit" aspectratio="f"/>
                <v:textbox>
                  <w:txbxContent>
                    <w:p w14:paraId="34B17A48">
                      <w:pPr>
                        <w:keepNext w:val="0"/>
                        <w:keepLines w:val="0"/>
                        <w:pageBreakBefore w:val="0"/>
                        <w:widowControl w:val="0"/>
                        <w:kinsoku/>
                        <w:wordWrap/>
                        <w:overflowPunct/>
                        <w:topLinePunct w:val="0"/>
                        <w:bidi w:val="0"/>
                        <w:adjustRightInd/>
                        <w:snapToGrid/>
                        <w:spacing w:line="240" w:lineRule="atLeast"/>
                        <w:textAlignment w:val="auto"/>
                        <w:rPr>
                          <w:rFonts w:hint="eastAsia"/>
                          <w:b w:val="0"/>
                          <w:bCs/>
                          <w:color w:val="D9D9D9" w:themeColor="background1" w:themeShade="D9"/>
                          <w:sz w:val="15"/>
                          <w:szCs w:val="15"/>
                          <w:lang w:val="en-US" w:eastAsia="zh-CN"/>
                        </w:rPr>
                      </w:pPr>
                      <w:r>
                        <w:rPr>
                          <w:rFonts w:hint="eastAsia"/>
                          <w:b w:val="0"/>
                          <w:bCs/>
                          <w:color w:val="D9D9D9" w:themeColor="background1" w:themeShade="D9"/>
                          <w:sz w:val="15"/>
                          <w:szCs w:val="15"/>
                          <w:lang w:val="en-US" w:eastAsia="zh-CN"/>
                        </w:rPr>
                        <w:t>打磨</w:t>
                      </w:r>
                    </w:p>
                    <w:p w14:paraId="5FF82517">
                      <w:pPr>
                        <w:keepNext w:val="0"/>
                        <w:keepLines w:val="0"/>
                        <w:pageBreakBefore w:val="0"/>
                        <w:widowControl w:val="0"/>
                        <w:kinsoku/>
                        <w:wordWrap/>
                        <w:overflowPunct/>
                        <w:topLinePunct w:val="0"/>
                        <w:bidi w:val="0"/>
                        <w:adjustRightInd/>
                        <w:snapToGrid/>
                        <w:spacing w:line="240" w:lineRule="atLeast"/>
                        <w:textAlignment w:val="auto"/>
                        <w:rPr>
                          <w:rFonts w:hint="default"/>
                          <w:b w:val="0"/>
                          <w:bCs/>
                          <w:color w:val="D9D9D9" w:themeColor="background1" w:themeShade="D9"/>
                          <w:sz w:val="15"/>
                          <w:szCs w:val="15"/>
                          <w:lang w:val="en-US" w:eastAsia="zh-CN"/>
                        </w:rPr>
                      </w:pPr>
                      <w:r>
                        <w:rPr>
                          <w:rFonts w:hint="eastAsia"/>
                          <w:b w:val="0"/>
                          <w:bCs/>
                          <w:color w:val="D9D9D9" w:themeColor="background1" w:themeShade="D9"/>
                          <w:sz w:val="15"/>
                          <w:szCs w:val="15"/>
                          <w:lang w:val="en-US" w:eastAsia="zh-CN"/>
                        </w:rPr>
                        <w:t>定型机等</w:t>
                      </w:r>
                    </w:p>
                  </w:txbxContent>
                </v:textbox>
              </v:rect>
            </w:pict>
          </mc:Fallback>
        </mc:AlternateContent>
      </w:r>
      <w:r>
        <w:rPr>
          <w:color w:val="auto"/>
        </w:rPr>
        <mc:AlternateContent>
          <mc:Choice Requires="wps">
            <w:drawing>
              <wp:anchor distT="0" distB="0" distL="114300" distR="114300" simplePos="0" relativeHeight="251763712" behindDoc="0" locked="0" layoutInCell="1" allowOverlap="1">
                <wp:simplePos x="0" y="0"/>
                <wp:positionH relativeFrom="column">
                  <wp:posOffset>4820920</wp:posOffset>
                </wp:positionH>
                <wp:positionV relativeFrom="paragraph">
                  <wp:posOffset>1848485</wp:posOffset>
                </wp:positionV>
                <wp:extent cx="440690" cy="1333500"/>
                <wp:effectExtent l="0" t="0" r="0" b="0"/>
                <wp:wrapNone/>
                <wp:docPr id="224" name="矩形 224"/>
                <wp:cNvGraphicFramePr/>
                <a:graphic xmlns:a="http://schemas.openxmlformats.org/drawingml/2006/main">
                  <a:graphicData uri="http://schemas.microsoft.com/office/word/2010/wordprocessingShape">
                    <wps:wsp>
                      <wps:cNvSpPr/>
                      <wps:spPr>
                        <a:xfrm>
                          <a:off x="0" y="0"/>
                          <a:ext cx="440690" cy="1333500"/>
                        </a:xfrm>
                        <a:prstGeom prst="rect">
                          <a:avLst/>
                        </a:prstGeom>
                        <a:noFill/>
                        <a:ln w="15875">
                          <a:noFill/>
                        </a:ln>
                      </wps:spPr>
                      <wps:txbx>
                        <w:txbxContent>
                          <w:p w14:paraId="7D60969F">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高</w:t>
                            </w:r>
                          </w:p>
                          <w:p w14:paraId="360B15D1">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跟</w:t>
                            </w:r>
                          </w:p>
                          <w:p w14:paraId="554F0CEA">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鞋</w:t>
                            </w:r>
                          </w:p>
                          <w:p w14:paraId="2E5797D0">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生</w:t>
                            </w:r>
                          </w:p>
                          <w:p w14:paraId="6516A635">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产</w:t>
                            </w:r>
                          </w:p>
                          <w:p w14:paraId="24DAF6CC">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线</w:t>
                            </w:r>
                          </w:p>
                        </w:txbxContent>
                      </wps:txbx>
                      <wps:bodyPr upright="1"/>
                    </wps:wsp>
                  </a:graphicData>
                </a:graphic>
              </wp:anchor>
            </w:drawing>
          </mc:Choice>
          <mc:Fallback>
            <w:pict>
              <v:rect id="_x0000_s1026" o:spid="_x0000_s1026" o:spt="1" style="position:absolute;left:0pt;margin-left:379.6pt;margin-top:145.55pt;height:105pt;width:34.7pt;z-index:251763712;mso-width-relative:page;mso-height-relative:page;" filled="f" stroked="f" coordsize="21600,21600" o:gfxdata="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FJO&#10;Nw7bAAAACwEAAA8AAAAAAAAAAQAgAAAAIgAAAGRycy9kb3ducmV2LnhtbFBLAQIUABQAAAAIAIdO&#10;4kCQVhZIrgEAAE8DAAAOAAAAAAAAAAEAIAAAACoBAABkcnMvZTJvRG9jLnhtbFBLBQYAAAAABgAG&#10;AFkBAABKBQAAAAA=&#10;">
                <v:fill on="f" focussize="0,0"/>
                <v:stroke on="f" weight="1.25pt"/>
                <v:imagedata o:title=""/>
                <o:lock v:ext="edit" aspectratio="f"/>
                <v:textbox>
                  <w:txbxContent>
                    <w:p w14:paraId="7D60969F">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高</w:t>
                      </w:r>
                    </w:p>
                    <w:p w14:paraId="360B15D1">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跟</w:t>
                      </w:r>
                    </w:p>
                    <w:p w14:paraId="554F0CEA">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鞋</w:t>
                      </w:r>
                    </w:p>
                    <w:p w14:paraId="2E5797D0">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生</w:t>
                      </w:r>
                    </w:p>
                    <w:p w14:paraId="6516A635">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产</w:t>
                      </w:r>
                    </w:p>
                    <w:p w14:paraId="24DAF6CC">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线</w:t>
                      </w:r>
                    </w:p>
                  </w:txbxContent>
                </v:textbox>
              </v:rect>
            </w:pict>
          </mc:Fallback>
        </mc:AlternateContent>
      </w:r>
      <w:r>
        <w:rPr>
          <w:color w:val="auto"/>
        </w:rPr>
        <mc:AlternateContent>
          <mc:Choice Requires="wps">
            <w:drawing>
              <wp:anchor distT="0" distB="0" distL="114300" distR="114300" simplePos="0" relativeHeight="251909120" behindDoc="0" locked="0" layoutInCell="1" allowOverlap="1">
                <wp:simplePos x="0" y="0"/>
                <wp:positionH relativeFrom="column">
                  <wp:posOffset>4987925</wp:posOffset>
                </wp:positionH>
                <wp:positionV relativeFrom="paragraph">
                  <wp:posOffset>2190115</wp:posOffset>
                </wp:positionV>
                <wp:extent cx="485140" cy="1055370"/>
                <wp:effectExtent l="0" t="0" r="0" b="0"/>
                <wp:wrapNone/>
                <wp:docPr id="335" name="矩形 335"/>
                <wp:cNvGraphicFramePr/>
                <a:graphic xmlns:a="http://schemas.openxmlformats.org/drawingml/2006/main">
                  <a:graphicData uri="http://schemas.microsoft.com/office/word/2010/wordprocessingShape">
                    <wps:wsp>
                      <wps:cNvSpPr/>
                      <wps:spPr>
                        <a:xfrm>
                          <a:off x="0" y="0"/>
                          <a:ext cx="485140" cy="1055370"/>
                        </a:xfrm>
                        <a:prstGeom prst="rect">
                          <a:avLst/>
                        </a:prstGeom>
                        <a:noFill/>
                        <a:ln w="15875">
                          <a:noFill/>
                        </a:ln>
                      </wps:spPr>
                      <wps:txbx>
                        <w:txbxContent>
                          <w:p w14:paraId="4FF353B9">
                            <w:pPr>
                              <w:keepNext w:val="0"/>
                              <w:keepLines w:val="0"/>
                              <w:pageBreakBefore w:val="0"/>
                              <w:widowControl w:val="0"/>
                              <w:kinsoku/>
                              <w:wordWrap/>
                              <w:overflowPunct/>
                              <w:topLinePunct w:val="0"/>
                              <w:bidi w:val="0"/>
                              <w:adjustRightInd/>
                              <w:snapToGrid/>
                              <w:spacing w:line="240" w:lineRule="atLeast"/>
                              <w:textAlignment w:val="auto"/>
                              <w:rPr>
                                <w:rFonts w:hint="eastAsia"/>
                                <w:b w:val="0"/>
                                <w:bCs/>
                                <w:color w:val="D9D9D9" w:themeColor="background1" w:themeShade="D9"/>
                                <w:sz w:val="15"/>
                                <w:szCs w:val="15"/>
                                <w:lang w:val="en-US" w:eastAsia="zh-CN"/>
                              </w:rPr>
                            </w:pPr>
                            <w:r>
                              <w:rPr>
                                <w:rFonts w:hint="eastAsia"/>
                                <w:b w:val="0"/>
                                <w:bCs/>
                                <w:color w:val="D9D9D9" w:themeColor="background1" w:themeShade="D9"/>
                                <w:sz w:val="15"/>
                                <w:szCs w:val="15"/>
                                <w:lang w:val="en-US" w:eastAsia="zh-CN"/>
                              </w:rPr>
                              <w:t>冷粘</w:t>
                            </w:r>
                          </w:p>
                          <w:p w14:paraId="3C85D665">
                            <w:pPr>
                              <w:keepNext w:val="0"/>
                              <w:keepLines w:val="0"/>
                              <w:pageBreakBefore w:val="0"/>
                              <w:widowControl w:val="0"/>
                              <w:kinsoku/>
                              <w:wordWrap/>
                              <w:overflowPunct/>
                              <w:topLinePunct w:val="0"/>
                              <w:bidi w:val="0"/>
                              <w:adjustRightInd/>
                              <w:snapToGrid/>
                              <w:spacing w:line="240" w:lineRule="atLeast"/>
                              <w:textAlignment w:val="auto"/>
                              <w:rPr>
                                <w:rFonts w:hint="eastAsia"/>
                                <w:b w:val="0"/>
                                <w:bCs/>
                                <w:color w:val="D9D9D9" w:themeColor="background1" w:themeShade="D9"/>
                                <w:sz w:val="15"/>
                                <w:szCs w:val="15"/>
                                <w:lang w:val="en-US" w:eastAsia="zh-CN"/>
                              </w:rPr>
                            </w:pPr>
                            <w:r>
                              <w:rPr>
                                <w:rFonts w:hint="eastAsia"/>
                                <w:b w:val="0"/>
                                <w:bCs/>
                                <w:color w:val="D9D9D9" w:themeColor="background1" w:themeShade="D9"/>
                                <w:sz w:val="15"/>
                                <w:szCs w:val="15"/>
                                <w:lang w:val="en-US" w:eastAsia="zh-CN"/>
                              </w:rPr>
                              <w:t>过胶</w:t>
                            </w:r>
                          </w:p>
                          <w:p w14:paraId="1A8BDC5B">
                            <w:pPr>
                              <w:keepNext w:val="0"/>
                              <w:keepLines w:val="0"/>
                              <w:pageBreakBefore w:val="0"/>
                              <w:widowControl w:val="0"/>
                              <w:kinsoku/>
                              <w:wordWrap/>
                              <w:overflowPunct/>
                              <w:topLinePunct w:val="0"/>
                              <w:bidi w:val="0"/>
                              <w:adjustRightInd/>
                              <w:snapToGrid/>
                              <w:spacing w:line="240" w:lineRule="atLeast"/>
                              <w:textAlignment w:val="auto"/>
                              <w:rPr>
                                <w:rFonts w:hint="eastAsia"/>
                                <w:b w:val="0"/>
                                <w:bCs/>
                                <w:color w:val="D9D9D9" w:themeColor="background1" w:themeShade="D9"/>
                                <w:sz w:val="15"/>
                                <w:szCs w:val="15"/>
                                <w:lang w:val="en-US" w:eastAsia="zh-CN"/>
                              </w:rPr>
                            </w:pPr>
                            <w:r>
                              <w:rPr>
                                <w:rFonts w:hint="eastAsia"/>
                                <w:b w:val="0"/>
                                <w:bCs/>
                                <w:color w:val="D9D9D9" w:themeColor="background1" w:themeShade="D9"/>
                                <w:sz w:val="15"/>
                                <w:szCs w:val="15"/>
                                <w:lang w:val="en-US" w:eastAsia="zh-CN"/>
                              </w:rPr>
                              <w:t>烘干机</w:t>
                            </w:r>
                          </w:p>
                          <w:p w14:paraId="5B70BAE5">
                            <w:pPr>
                              <w:keepNext w:val="0"/>
                              <w:keepLines w:val="0"/>
                              <w:pageBreakBefore w:val="0"/>
                              <w:widowControl w:val="0"/>
                              <w:kinsoku/>
                              <w:wordWrap/>
                              <w:overflowPunct/>
                              <w:topLinePunct w:val="0"/>
                              <w:bidi w:val="0"/>
                              <w:adjustRightInd/>
                              <w:snapToGrid/>
                              <w:spacing w:line="240" w:lineRule="atLeast"/>
                              <w:textAlignment w:val="auto"/>
                              <w:rPr>
                                <w:rFonts w:hint="eastAsia"/>
                                <w:b w:val="0"/>
                                <w:bCs/>
                                <w:color w:val="D9D9D9" w:themeColor="background1" w:themeShade="D9"/>
                                <w:sz w:val="15"/>
                                <w:szCs w:val="15"/>
                                <w:lang w:val="en-US" w:eastAsia="zh-CN"/>
                              </w:rPr>
                            </w:pPr>
                            <w:r>
                              <w:rPr>
                                <w:rFonts w:hint="eastAsia"/>
                                <w:b w:val="0"/>
                                <w:bCs/>
                                <w:color w:val="D9D9D9" w:themeColor="background1" w:themeShade="D9"/>
                                <w:sz w:val="15"/>
                                <w:szCs w:val="15"/>
                                <w:lang w:val="en-US" w:eastAsia="zh-CN"/>
                              </w:rPr>
                              <w:t>冷冻机</w:t>
                            </w:r>
                          </w:p>
                          <w:p w14:paraId="6FB90D50">
                            <w:pPr>
                              <w:keepNext w:val="0"/>
                              <w:keepLines w:val="0"/>
                              <w:pageBreakBefore w:val="0"/>
                              <w:widowControl w:val="0"/>
                              <w:kinsoku/>
                              <w:wordWrap/>
                              <w:overflowPunct/>
                              <w:topLinePunct w:val="0"/>
                              <w:bidi w:val="0"/>
                              <w:adjustRightInd/>
                              <w:snapToGrid/>
                              <w:spacing w:line="240" w:lineRule="atLeast"/>
                              <w:textAlignment w:val="auto"/>
                              <w:rPr>
                                <w:rFonts w:hint="default"/>
                                <w:b w:val="0"/>
                                <w:bCs/>
                                <w:color w:val="D9D9D9" w:themeColor="background1" w:themeShade="D9"/>
                                <w:sz w:val="15"/>
                                <w:szCs w:val="15"/>
                                <w:lang w:val="en-US" w:eastAsia="zh-CN"/>
                              </w:rPr>
                            </w:pPr>
                            <w:r>
                              <w:rPr>
                                <w:rFonts w:hint="eastAsia"/>
                                <w:b w:val="0"/>
                                <w:bCs/>
                                <w:color w:val="D9D9D9" w:themeColor="background1" w:themeShade="D9"/>
                                <w:sz w:val="15"/>
                                <w:szCs w:val="15"/>
                                <w:lang w:val="en-US" w:eastAsia="zh-CN"/>
                              </w:rPr>
                              <w:t>压机</w:t>
                            </w:r>
                          </w:p>
                        </w:txbxContent>
                      </wps:txbx>
                      <wps:bodyPr upright="1"/>
                    </wps:wsp>
                  </a:graphicData>
                </a:graphic>
              </wp:anchor>
            </w:drawing>
          </mc:Choice>
          <mc:Fallback>
            <w:pict>
              <v:rect id="_x0000_s1026" o:spid="_x0000_s1026" o:spt="1" style="position:absolute;left:0pt;margin-left:392.75pt;margin-top:172.45pt;height:83.1pt;width:38.2pt;z-index:251909120;mso-width-relative:page;mso-height-relative:page;" filled="f" stroked="f" coordsize="21600,21600" o:gfxdata="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BM&#10;ivRt3AAAAAsBAAAPAAAAAAAAAAEAIAAAACIAAABkcnMvZG93bnJldi54bWxQSwECFAAUAAAACACH&#10;TuJA1Sm5za4BAABPAwAADgAAAAAAAAABACAAAAArAQAAZHJzL2Uyb0RvYy54bWxQSwUGAAAAAAYA&#10;BgBZAQAASwUAAAAA&#10;">
                <v:fill on="f" focussize="0,0"/>
                <v:stroke on="f" weight="1.25pt"/>
                <v:imagedata o:title=""/>
                <o:lock v:ext="edit" aspectratio="f"/>
                <v:textbox>
                  <w:txbxContent>
                    <w:p w14:paraId="4FF353B9">
                      <w:pPr>
                        <w:keepNext w:val="0"/>
                        <w:keepLines w:val="0"/>
                        <w:pageBreakBefore w:val="0"/>
                        <w:widowControl w:val="0"/>
                        <w:kinsoku/>
                        <w:wordWrap/>
                        <w:overflowPunct/>
                        <w:topLinePunct w:val="0"/>
                        <w:bidi w:val="0"/>
                        <w:adjustRightInd/>
                        <w:snapToGrid/>
                        <w:spacing w:line="240" w:lineRule="atLeast"/>
                        <w:textAlignment w:val="auto"/>
                        <w:rPr>
                          <w:rFonts w:hint="eastAsia"/>
                          <w:b w:val="0"/>
                          <w:bCs/>
                          <w:color w:val="D9D9D9" w:themeColor="background1" w:themeShade="D9"/>
                          <w:sz w:val="15"/>
                          <w:szCs w:val="15"/>
                          <w:lang w:val="en-US" w:eastAsia="zh-CN"/>
                        </w:rPr>
                      </w:pPr>
                      <w:r>
                        <w:rPr>
                          <w:rFonts w:hint="eastAsia"/>
                          <w:b w:val="0"/>
                          <w:bCs/>
                          <w:color w:val="D9D9D9" w:themeColor="background1" w:themeShade="D9"/>
                          <w:sz w:val="15"/>
                          <w:szCs w:val="15"/>
                          <w:lang w:val="en-US" w:eastAsia="zh-CN"/>
                        </w:rPr>
                        <w:t>冷粘</w:t>
                      </w:r>
                    </w:p>
                    <w:p w14:paraId="3C85D665">
                      <w:pPr>
                        <w:keepNext w:val="0"/>
                        <w:keepLines w:val="0"/>
                        <w:pageBreakBefore w:val="0"/>
                        <w:widowControl w:val="0"/>
                        <w:kinsoku/>
                        <w:wordWrap/>
                        <w:overflowPunct/>
                        <w:topLinePunct w:val="0"/>
                        <w:bidi w:val="0"/>
                        <w:adjustRightInd/>
                        <w:snapToGrid/>
                        <w:spacing w:line="240" w:lineRule="atLeast"/>
                        <w:textAlignment w:val="auto"/>
                        <w:rPr>
                          <w:rFonts w:hint="eastAsia"/>
                          <w:b w:val="0"/>
                          <w:bCs/>
                          <w:color w:val="D9D9D9" w:themeColor="background1" w:themeShade="D9"/>
                          <w:sz w:val="15"/>
                          <w:szCs w:val="15"/>
                          <w:lang w:val="en-US" w:eastAsia="zh-CN"/>
                        </w:rPr>
                      </w:pPr>
                      <w:r>
                        <w:rPr>
                          <w:rFonts w:hint="eastAsia"/>
                          <w:b w:val="0"/>
                          <w:bCs/>
                          <w:color w:val="D9D9D9" w:themeColor="background1" w:themeShade="D9"/>
                          <w:sz w:val="15"/>
                          <w:szCs w:val="15"/>
                          <w:lang w:val="en-US" w:eastAsia="zh-CN"/>
                        </w:rPr>
                        <w:t>过胶</w:t>
                      </w:r>
                    </w:p>
                    <w:p w14:paraId="1A8BDC5B">
                      <w:pPr>
                        <w:keepNext w:val="0"/>
                        <w:keepLines w:val="0"/>
                        <w:pageBreakBefore w:val="0"/>
                        <w:widowControl w:val="0"/>
                        <w:kinsoku/>
                        <w:wordWrap/>
                        <w:overflowPunct/>
                        <w:topLinePunct w:val="0"/>
                        <w:bidi w:val="0"/>
                        <w:adjustRightInd/>
                        <w:snapToGrid/>
                        <w:spacing w:line="240" w:lineRule="atLeast"/>
                        <w:textAlignment w:val="auto"/>
                        <w:rPr>
                          <w:rFonts w:hint="eastAsia"/>
                          <w:b w:val="0"/>
                          <w:bCs/>
                          <w:color w:val="D9D9D9" w:themeColor="background1" w:themeShade="D9"/>
                          <w:sz w:val="15"/>
                          <w:szCs w:val="15"/>
                          <w:lang w:val="en-US" w:eastAsia="zh-CN"/>
                        </w:rPr>
                      </w:pPr>
                      <w:r>
                        <w:rPr>
                          <w:rFonts w:hint="eastAsia"/>
                          <w:b w:val="0"/>
                          <w:bCs/>
                          <w:color w:val="D9D9D9" w:themeColor="background1" w:themeShade="D9"/>
                          <w:sz w:val="15"/>
                          <w:szCs w:val="15"/>
                          <w:lang w:val="en-US" w:eastAsia="zh-CN"/>
                        </w:rPr>
                        <w:t>烘干机</w:t>
                      </w:r>
                    </w:p>
                    <w:p w14:paraId="5B70BAE5">
                      <w:pPr>
                        <w:keepNext w:val="0"/>
                        <w:keepLines w:val="0"/>
                        <w:pageBreakBefore w:val="0"/>
                        <w:widowControl w:val="0"/>
                        <w:kinsoku/>
                        <w:wordWrap/>
                        <w:overflowPunct/>
                        <w:topLinePunct w:val="0"/>
                        <w:bidi w:val="0"/>
                        <w:adjustRightInd/>
                        <w:snapToGrid/>
                        <w:spacing w:line="240" w:lineRule="atLeast"/>
                        <w:textAlignment w:val="auto"/>
                        <w:rPr>
                          <w:rFonts w:hint="eastAsia"/>
                          <w:b w:val="0"/>
                          <w:bCs/>
                          <w:color w:val="D9D9D9" w:themeColor="background1" w:themeShade="D9"/>
                          <w:sz w:val="15"/>
                          <w:szCs w:val="15"/>
                          <w:lang w:val="en-US" w:eastAsia="zh-CN"/>
                        </w:rPr>
                      </w:pPr>
                      <w:r>
                        <w:rPr>
                          <w:rFonts w:hint="eastAsia"/>
                          <w:b w:val="0"/>
                          <w:bCs/>
                          <w:color w:val="D9D9D9" w:themeColor="background1" w:themeShade="D9"/>
                          <w:sz w:val="15"/>
                          <w:szCs w:val="15"/>
                          <w:lang w:val="en-US" w:eastAsia="zh-CN"/>
                        </w:rPr>
                        <w:t>冷冻机</w:t>
                      </w:r>
                    </w:p>
                    <w:p w14:paraId="6FB90D50">
                      <w:pPr>
                        <w:keepNext w:val="0"/>
                        <w:keepLines w:val="0"/>
                        <w:pageBreakBefore w:val="0"/>
                        <w:widowControl w:val="0"/>
                        <w:kinsoku/>
                        <w:wordWrap/>
                        <w:overflowPunct/>
                        <w:topLinePunct w:val="0"/>
                        <w:bidi w:val="0"/>
                        <w:adjustRightInd/>
                        <w:snapToGrid/>
                        <w:spacing w:line="240" w:lineRule="atLeast"/>
                        <w:textAlignment w:val="auto"/>
                        <w:rPr>
                          <w:rFonts w:hint="default"/>
                          <w:b w:val="0"/>
                          <w:bCs/>
                          <w:color w:val="D9D9D9" w:themeColor="background1" w:themeShade="D9"/>
                          <w:sz w:val="15"/>
                          <w:szCs w:val="15"/>
                          <w:lang w:val="en-US" w:eastAsia="zh-CN"/>
                        </w:rPr>
                      </w:pPr>
                      <w:r>
                        <w:rPr>
                          <w:rFonts w:hint="eastAsia"/>
                          <w:b w:val="0"/>
                          <w:bCs/>
                          <w:color w:val="D9D9D9" w:themeColor="background1" w:themeShade="D9"/>
                          <w:sz w:val="15"/>
                          <w:szCs w:val="15"/>
                          <w:lang w:val="en-US" w:eastAsia="zh-CN"/>
                        </w:rPr>
                        <w:t>压机</w:t>
                      </w:r>
                    </w:p>
                  </w:txbxContent>
                </v:textbox>
              </v:rect>
            </w:pict>
          </mc:Fallback>
        </mc:AlternateContent>
      </w:r>
      <w:r>
        <w:rPr>
          <w:color w:val="auto"/>
        </w:rPr>
        <mc:AlternateContent>
          <mc:Choice Requires="wps">
            <w:drawing>
              <wp:anchor distT="0" distB="0" distL="114300" distR="114300" simplePos="0" relativeHeight="251907072" behindDoc="0" locked="0" layoutInCell="1" allowOverlap="1">
                <wp:simplePos x="0" y="0"/>
                <wp:positionH relativeFrom="column">
                  <wp:posOffset>4852035</wp:posOffset>
                </wp:positionH>
                <wp:positionV relativeFrom="paragraph">
                  <wp:posOffset>1750695</wp:posOffset>
                </wp:positionV>
                <wp:extent cx="537210" cy="313055"/>
                <wp:effectExtent l="0" t="0" r="0" b="0"/>
                <wp:wrapNone/>
                <wp:docPr id="333" name="矩形 333"/>
                <wp:cNvGraphicFramePr/>
                <a:graphic xmlns:a="http://schemas.openxmlformats.org/drawingml/2006/main">
                  <a:graphicData uri="http://schemas.microsoft.com/office/word/2010/wordprocessingShape">
                    <wps:wsp>
                      <wps:cNvSpPr/>
                      <wps:spPr>
                        <a:xfrm>
                          <a:off x="0" y="0"/>
                          <a:ext cx="537210" cy="313055"/>
                        </a:xfrm>
                        <a:prstGeom prst="rect">
                          <a:avLst/>
                        </a:prstGeom>
                        <a:noFill/>
                        <a:ln w="15875">
                          <a:noFill/>
                        </a:ln>
                      </wps:spPr>
                      <wps:txbx>
                        <w:txbxContent>
                          <w:p w14:paraId="4CF0DFFB">
                            <w:pPr>
                              <w:keepNext w:val="0"/>
                              <w:keepLines w:val="0"/>
                              <w:pageBreakBefore w:val="0"/>
                              <w:widowControl w:val="0"/>
                              <w:kinsoku/>
                              <w:wordWrap/>
                              <w:overflowPunct/>
                              <w:topLinePunct w:val="0"/>
                              <w:bidi w:val="0"/>
                              <w:adjustRightInd/>
                              <w:snapToGrid/>
                              <w:spacing w:line="240" w:lineRule="atLeast"/>
                              <w:textAlignment w:val="auto"/>
                              <w:rPr>
                                <w:rFonts w:hint="default"/>
                                <w:b w:val="0"/>
                                <w:bCs/>
                                <w:color w:val="D9D9D9" w:themeColor="background1" w:themeShade="D9"/>
                                <w:sz w:val="15"/>
                                <w:szCs w:val="15"/>
                                <w:lang w:val="en-US" w:eastAsia="zh-CN"/>
                              </w:rPr>
                            </w:pPr>
                            <w:r>
                              <w:rPr>
                                <w:rFonts w:hint="eastAsia"/>
                                <w:b w:val="0"/>
                                <w:bCs/>
                                <w:color w:val="D9D9D9" w:themeColor="background1" w:themeShade="D9"/>
                                <w:sz w:val="15"/>
                                <w:szCs w:val="15"/>
                                <w:lang w:val="en-US" w:eastAsia="zh-CN"/>
                              </w:rPr>
                              <w:t>花样机</w:t>
                            </w:r>
                          </w:p>
                        </w:txbxContent>
                      </wps:txbx>
                      <wps:bodyPr upright="1"/>
                    </wps:wsp>
                  </a:graphicData>
                </a:graphic>
              </wp:anchor>
            </w:drawing>
          </mc:Choice>
          <mc:Fallback>
            <w:pict>
              <v:rect id="_x0000_s1026" o:spid="_x0000_s1026" o:spt="1" style="position:absolute;left:0pt;margin-left:382.05pt;margin-top:137.85pt;height:24.65pt;width:42.3pt;z-index:251907072;mso-width-relative:page;mso-height-relative:page;" filled="f" stroked="f" coordsize="21600,21600" o:gfxdata="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P/M&#10;Wi/cAAAACwEAAA8AAAAAAAAAAQAgAAAAIgAAAGRycy9kb3ducmV2LnhtbFBLAQIUABQAAAAIAIdO&#10;4kCZyDhNrQEAAE4DAAAOAAAAAAAAAAEAIAAAACsBAABkcnMvZTJvRG9jLnhtbFBLBQYAAAAABgAG&#10;AFkBAABKBQAAAAA=&#10;">
                <v:fill on="f" focussize="0,0"/>
                <v:stroke on="f" weight="1.25pt"/>
                <v:imagedata o:title=""/>
                <o:lock v:ext="edit" aspectratio="f"/>
                <v:textbox>
                  <w:txbxContent>
                    <w:p w14:paraId="4CF0DFFB">
                      <w:pPr>
                        <w:keepNext w:val="0"/>
                        <w:keepLines w:val="0"/>
                        <w:pageBreakBefore w:val="0"/>
                        <w:widowControl w:val="0"/>
                        <w:kinsoku/>
                        <w:wordWrap/>
                        <w:overflowPunct/>
                        <w:topLinePunct w:val="0"/>
                        <w:bidi w:val="0"/>
                        <w:adjustRightInd/>
                        <w:snapToGrid/>
                        <w:spacing w:line="240" w:lineRule="atLeast"/>
                        <w:textAlignment w:val="auto"/>
                        <w:rPr>
                          <w:rFonts w:hint="default"/>
                          <w:b w:val="0"/>
                          <w:bCs/>
                          <w:color w:val="D9D9D9" w:themeColor="background1" w:themeShade="D9"/>
                          <w:sz w:val="15"/>
                          <w:szCs w:val="15"/>
                          <w:lang w:val="en-US" w:eastAsia="zh-CN"/>
                        </w:rPr>
                      </w:pPr>
                      <w:r>
                        <w:rPr>
                          <w:rFonts w:hint="eastAsia"/>
                          <w:b w:val="0"/>
                          <w:bCs/>
                          <w:color w:val="D9D9D9" w:themeColor="background1" w:themeShade="D9"/>
                          <w:sz w:val="15"/>
                          <w:szCs w:val="15"/>
                          <w:lang w:val="en-US" w:eastAsia="zh-CN"/>
                        </w:rPr>
                        <w:t>花样机</w:t>
                      </w:r>
                    </w:p>
                  </w:txbxContent>
                </v:textbox>
              </v:rect>
            </w:pict>
          </mc:Fallback>
        </mc:AlternateContent>
      </w:r>
      <w:r>
        <w:rPr>
          <w:color w:val="auto"/>
        </w:rPr>
        <mc:AlternateContent>
          <mc:Choice Requires="wps">
            <w:drawing>
              <wp:anchor distT="0" distB="0" distL="114300" distR="114300" simplePos="0" relativeHeight="251905024" behindDoc="0" locked="0" layoutInCell="1" allowOverlap="1">
                <wp:simplePos x="0" y="0"/>
                <wp:positionH relativeFrom="column">
                  <wp:posOffset>4864100</wp:posOffset>
                </wp:positionH>
                <wp:positionV relativeFrom="paragraph">
                  <wp:posOffset>1641475</wp:posOffset>
                </wp:positionV>
                <wp:extent cx="537210" cy="313055"/>
                <wp:effectExtent l="0" t="0" r="0" b="0"/>
                <wp:wrapNone/>
                <wp:docPr id="332" name="矩形 332"/>
                <wp:cNvGraphicFramePr/>
                <a:graphic xmlns:a="http://schemas.openxmlformats.org/drawingml/2006/main">
                  <a:graphicData uri="http://schemas.microsoft.com/office/word/2010/wordprocessingShape">
                    <wps:wsp>
                      <wps:cNvSpPr/>
                      <wps:spPr>
                        <a:xfrm>
                          <a:off x="0" y="0"/>
                          <a:ext cx="537210" cy="313055"/>
                        </a:xfrm>
                        <a:prstGeom prst="rect">
                          <a:avLst/>
                        </a:prstGeom>
                        <a:noFill/>
                        <a:ln w="15875">
                          <a:noFill/>
                        </a:ln>
                      </wps:spPr>
                      <wps:txbx>
                        <w:txbxContent>
                          <w:p w14:paraId="6C9E09CC">
                            <w:pPr>
                              <w:keepNext w:val="0"/>
                              <w:keepLines w:val="0"/>
                              <w:pageBreakBefore w:val="0"/>
                              <w:widowControl w:val="0"/>
                              <w:kinsoku/>
                              <w:wordWrap/>
                              <w:overflowPunct/>
                              <w:topLinePunct w:val="0"/>
                              <w:bidi w:val="0"/>
                              <w:adjustRightInd/>
                              <w:snapToGrid/>
                              <w:spacing w:line="240" w:lineRule="atLeast"/>
                              <w:textAlignment w:val="auto"/>
                              <w:rPr>
                                <w:rFonts w:hint="default"/>
                                <w:b w:val="0"/>
                                <w:bCs/>
                                <w:color w:val="D9D9D9" w:themeColor="background1" w:themeShade="D9"/>
                                <w:sz w:val="15"/>
                                <w:szCs w:val="15"/>
                                <w:lang w:val="en-US" w:eastAsia="zh-CN"/>
                              </w:rPr>
                            </w:pPr>
                            <w:r>
                              <w:rPr>
                                <w:rFonts w:hint="eastAsia"/>
                                <w:b w:val="0"/>
                                <w:bCs/>
                                <w:color w:val="D9D9D9" w:themeColor="background1" w:themeShade="D9"/>
                                <w:sz w:val="15"/>
                                <w:szCs w:val="15"/>
                                <w:lang w:val="en-US" w:eastAsia="zh-CN"/>
                              </w:rPr>
                              <w:t>针车</w:t>
                            </w:r>
                          </w:p>
                        </w:txbxContent>
                      </wps:txbx>
                      <wps:bodyPr upright="1"/>
                    </wps:wsp>
                  </a:graphicData>
                </a:graphic>
              </wp:anchor>
            </w:drawing>
          </mc:Choice>
          <mc:Fallback>
            <w:pict>
              <v:rect id="_x0000_s1026" o:spid="_x0000_s1026" o:spt="1" style="position:absolute;left:0pt;margin-left:383pt;margin-top:129.25pt;height:24.65pt;width:42.3pt;z-index:251905024;mso-width-relative:page;mso-height-relative:page;" filled="f" stroked="f" coordsize="21600,21600" o:gfxdata="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Hc1&#10;GRDcAAAACwEAAA8AAAAAAAAAAQAgAAAAIgAAAGRycy9kb3ducmV2LnhtbFBLAQIUABQAAAAIAIdO&#10;4kBolhPwrQEAAE4DAAAOAAAAAAAAAAEAIAAAACsBAABkcnMvZTJvRG9jLnhtbFBLBQYAAAAABgAG&#10;AFkBAABKBQAAAAA=&#10;">
                <v:fill on="f" focussize="0,0"/>
                <v:stroke on="f" weight="1.25pt"/>
                <v:imagedata o:title=""/>
                <o:lock v:ext="edit" aspectratio="f"/>
                <v:textbox>
                  <w:txbxContent>
                    <w:p w14:paraId="6C9E09CC">
                      <w:pPr>
                        <w:keepNext w:val="0"/>
                        <w:keepLines w:val="0"/>
                        <w:pageBreakBefore w:val="0"/>
                        <w:widowControl w:val="0"/>
                        <w:kinsoku/>
                        <w:wordWrap/>
                        <w:overflowPunct/>
                        <w:topLinePunct w:val="0"/>
                        <w:bidi w:val="0"/>
                        <w:adjustRightInd/>
                        <w:snapToGrid/>
                        <w:spacing w:line="240" w:lineRule="atLeast"/>
                        <w:textAlignment w:val="auto"/>
                        <w:rPr>
                          <w:rFonts w:hint="default"/>
                          <w:b w:val="0"/>
                          <w:bCs/>
                          <w:color w:val="D9D9D9" w:themeColor="background1" w:themeShade="D9"/>
                          <w:sz w:val="15"/>
                          <w:szCs w:val="15"/>
                          <w:lang w:val="en-US" w:eastAsia="zh-CN"/>
                        </w:rPr>
                      </w:pPr>
                      <w:r>
                        <w:rPr>
                          <w:rFonts w:hint="eastAsia"/>
                          <w:b w:val="0"/>
                          <w:bCs/>
                          <w:color w:val="D9D9D9" w:themeColor="background1" w:themeShade="D9"/>
                          <w:sz w:val="15"/>
                          <w:szCs w:val="15"/>
                          <w:lang w:val="en-US" w:eastAsia="zh-CN"/>
                        </w:rPr>
                        <w:t>针车</w:t>
                      </w:r>
                    </w:p>
                  </w:txbxContent>
                </v:textbox>
              </v:rect>
            </w:pict>
          </mc:Fallback>
        </mc:AlternateContent>
      </w:r>
      <w:r>
        <w:rPr>
          <w:color w:val="auto"/>
        </w:rPr>
        <mc:AlternateContent>
          <mc:Choice Requires="wps">
            <w:drawing>
              <wp:anchor distT="0" distB="0" distL="114300" distR="114300" simplePos="0" relativeHeight="251902976" behindDoc="0" locked="0" layoutInCell="1" allowOverlap="1">
                <wp:simplePos x="0" y="0"/>
                <wp:positionH relativeFrom="column">
                  <wp:posOffset>4549775</wp:posOffset>
                </wp:positionH>
                <wp:positionV relativeFrom="paragraph">
                  <wp:posOffset>1198245</wp:posOffset>
                </wp:positionV>
                <wp:extent cx="1134110" cy="337820"/>
                <wp:effectExtent l="0" t="0" r="0" b="0"/>
                <wp:wrapNone/>
                <wp:docPr id="331" name="矩形 331"/>
                <wp:cNvGraphicFramePr/>
                <a:graphic xmlns:a="http://schemas.openxmlformats.org/drawingml/2006/main">
                  <a:graphicData uri="http://schemas.microsoft.com/office/word/2010/wordprocessingShape">
                    <wps:wsp>
                      <wps:cNvSpPr/>
                      <wps:spPr>
                        <a:xfrm>
                          <a:off x="0" y="0"/>
                          <a:ext cx="1134110" cy="337820"/>
                        </a:xfrm>
                        <a:prstGeom prst="rect">
                          <a:avLst/>
                        </a:prstGeom>
                        <a:noFill/>
                        <a:ln w="15875">
                          <a:noFill/>
                        </a:ln>
                      </wps:spPr>
                      <wps:txbx>
                        <w:txbxContent>
                          <w:p w14:paraId="5FE0551C">
                            <w:pPr>
                              <w:keepNext w:val="0"/>
                              <w:keepLines w:val="0"/>
                              <w:pageBreakBefore w:val="0"/>
                              <w:widowControl w:val="0"/>
                              <w:kinsoku/>
                              <w:wordWrap/>
                              <w:overflowPunct/>
                              <w:topLinePunct w:val="0"/>
                              <w:bidi w:val="0"/>
                              <w:adjustRightInd/>
                              <w:snapToGrid/>
                              <w:spacing w:line="240" w:lineRule="atLeast"/>
                              <w:textAlignment w:val="auto"/>
                              <w:rPr>
                                <w:rFonts w:hint="default"/>
                                <w:b w:val="0"/>
                                <w:bCs/>
                                <w:color w:val="D9D9D9" w:themeColor="background1" w:themeShade="D9"/>
                                <w:sz w:val="15"/>
                                <w:szCs w:val="15"/>
                                <w:lang w:val="en-US" w:eastAsia="zh-CN"/>
                              </w:rPr>
                            </w:pPr>
                            <w:r>
                              <w:rPr>
                                <w:rFonts w:hint="eastAsia"/>
                                <w:b w:val="0"/>
                                <w:bCs/>
                                <w:color w:val="D9D9D9" w:themeColor="background1" w:themeShade="D9"/>
                                <w:sz w:val="15"/>
                                <w:szCs w:val="15"/>
                                <w:lang w:val="en-US" w:eastAsia="zh-CN"/>
                              </w:rPr>
                              <w:t>冷粘、过胶、烘干机</w:t>
                            </w:r>
                          </w:p>
                        </w:txbxContent>
                      </wps:txbx>
                      <wps:bodyPr upright="1"/>
                    </wps:wsp>
                  </a:graphicData>
                </a:graphic>
              </wp:anchor>
            </w:drawing>
          </mc:Choice>
          <mc:Fallback>
            <w:pict>
              <v:rect id="_x0000_s1026" o:spid="_x0000_s1026" o:spt="1" style="position:absolute;left:0pt;margin-left:358.25pt;margin-top:94.35pt;height:26.6pt;width:89.3pt;z-index:251902976;mso-width-relative:page;mso-height-relative:page;" filled="f" stroked="f" coordsize="21600,21600" o:gfxdata="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vAs9&#10;EtsAAAALAQAADwAAAAAAAAABACAAAAAiAAAAZHJzL2Rvd25yZXYueG1sUEsBAhQAFAAAAAgAh07i&#10;QFht7YutAQAATwMAAA4AAAAAAAAAAQAgAAAAKgEAAGRycy9lMm9Eb2MueG1sUEsFBgAAAAAGAAYA&#10;WQEAAEkFAAAAAA==&#10;">
                <v:fill on="f" focussize="0,0"/>
                <v:stroke on="f" weight="1.25pt"/>
                <v:imagedata o:title=""/>
                <o:lock v:ext="edit" aspectratio="f"/>
                <v:textbox>
                  <w:txbxContent>
                    <w:p w14:paraId="5FE0551C">
                      <w:pPr>
                        <w:keepNext w:val="0"/>
                        <w:keepLines w:val="0"/>
                        <w:pageBreakBefore w:val="0"/>
                        <w:widowControl w:val="0"/>
                        <w:kinsoku/>
                        <w:wordWrap/>
                        <w:overflowPunct/>
                        <w:topLinePunct w:val="0"/>
                        <w:bidi w:val="0"/>
                        <w:adjustRightInd/>
                        <w:snapToGrid/>
                        <w:spacing w:line="240" w:lineRule="atLeast"/>
                        <w:textAlignment w:val="auto"/>
                        <w:rPr>
                          <w:rFonts w:hint="default"/>
                          <w:b w:val="0"/>
                          <w:bCs/>
                          <w:color w:val="D9D9D9" w:themeColor="background1" w:themeShade="D9"/>
                          <w:sz w:val="15"/>
                          <w:szCs w:val="15"/>
                          <w:lang w:val="en-US" w:eastAsia="zh-CN"/>
                        </w:rPr>
                      </w:pPr>
                      <w:r>
                        <w:rPr>
                          <w:rFonts w:hint="eastAsia"/>
                          <w:b w:val="0"/>
                          <w:bCs/>
                          <w:color w:val="D9D9D9" w:themeColor="background1" w:themeShade="D9"/>
                          <w:sz w:val="15"/>
                          <w:szCs w:val="15"/>
                          <w:lang w:val="en-US" w:eastAsia="zh-CN"/>
                        </w:rPr>
                        <w:t>冷粘、过胶、烘干机</w:t>
                      </w:r>
                    </w:p>
                  </w:txbxContent>
                </v:textbox>
              </v:rect>
            </w:pict>
          </mc:Fallback>
        </mc:AlternateContent>
      </w:r>
      <w:r>
        <w:rPr>
          <w:color w:val="auto"/>
        </w:rPr>
        <mc:AlternateContent>
          <mc:Choice Requires="wps">
            <w:drawing>
              <wp:anchor distT="0" distB="0" distL="114300" distR="114300" simplePos="0" relativeHeight="251901952" behindDoc="0" locked="0" layoutInCell="1" allowOverlap="1">
                <wp:simplePos x="0" y="0"/>
                <wp:positionH relativeFrom="column">
                  <wp:posOffset>4361815</wp:posOffset>
                </wp:positionH>
                <wp:positionV relativeFrom="paragraph">
                  <wp:posOffset>1417955</wp:posOffset>
                </wp:positionV>
                <wp:extent cx="831850" cy="337820"/>
                <wp:effectExtent l="0" t="0" r="0" b="0"/>
                <wp:wrapNone/>
                <wp:docPr id="330" name="矩形 330"/>
                <wp:cNvGraphicFramePr/>
                <a:graphic xmlns:a="http://schemas.openxmlformats.org/drawingml/2006/main">
                  <a:graphicData uri="http://schemas.microsoft.com/office/word/2010/wordprocessingShape">
                    <wps:wsp>
                      <wps:cNvSpPr/>
                      <wps:spPr>
                        <a:xfrm>
                          <a:off x="0" y="0"/>
                          <a:ext cx="831850" cy="337820"/>
                        </a:xfrm>
                        <a:prstGeom prst="rect">
                          <a:avLst/>
                        </a:prstGeom>
                        <a:noFill/>
                        <a:ln w="15875">
                          <a:noFill/>
                        </a:ln>
                      </wps:spPr>
                      <wps:txbx>
                        <w:txbxContent>
                          <w:p w14:paraId="5C4CD180">
                            <w:pPr>
                              <w:keepNext w:val="0"/>
                              <w:keepLines w:val="0"/>
                              <w:pageBreakBefore w:val="0"/>
                              <w:widowControl w:val="0"/>
                              <w:kinsoku/>
                              <w:wordWrap/>
                              <w:overflowPunct/>
                              <w:topLinePunct w:val="0"/>
                              <w:bidi w:val="0"/>
                              <w:adjustRightInd/>
                              <w:snapToGrid/>
                              <w:spacing w:line="240" w:lineRule="atLeast"/>
                              <w:textAlignment w:val="auto"/>
                              <w:rPr>
                                <w:rFonts w:hint="default"/>
                                <w:b w:val="0"/>
                                <w:bCs/>
                                <w:color w:val="D9D9D9" w:themeColor="background1" w:themeShade="D9"/>
                                <w:sz w:val="15"/>
                                <w:szCs w:val="15"/>
                                <w:lang w:val="en-US" w:eastAsia="zh-CN"/>
                              </w:rPr>
                            </w:pPr>
                            <w:r>
                              <w:rPr>
                                <w:rFonts w:hint="eastAsia"/>
                                <w:b w:val="0"/>
                                <w:bCs/>
                                <w:color w:val="D9D9D9" w:themeColor="background1" w:themeShade="D9"/>
                                <w:sz w:val="15"/>
                                <w:szCs w:val="15"/>
                                <w:lang w:val="en-US" w:eastAsia="zh-CN"/>
                              </w:rPr>
                              <w:t>打磨、定型机等</w:t>
                            </w:r>
                          </w:p>
                        </w:txbxContent>
                      </wps:txbx>
                      <wps:bodyPr upright="1"/>
                    </wps:wsp>
                  </a:graphicData>
                </a:graphic>
              </wp:anchor>
            </w:drawing>
          </mc:Choice>
          <mc:Fallback>
            <w:pict>
              <v:rect id="_x0000_s1026" o:spid="_x0000_s1026" o:spt="1" style="position:absolute;left:0pt;margin-left:343.45pt;margin-top:111.65pt;height:26.6pt;width:65.5pt;z-index:251901952;mso-width-relative:page;mso-height-relative:page;" filled="f" stroked="f" coordsize="21600,21600" o:gfxdata="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">
                <v:fill on="f" focussize="0,0"/>
                <v:stroke on="f" weight="1.25pt"/>
                <v:imagedata o:title=""/>
                <o:lock v:ext="edit" aspectratio="f"/>
                <v:textbox>
                  <w:txbxContent>
                    <w:p w14:paraId="5C4CD180">
                      <w:pPr>
                        <w:keepNext w:val="0"/>
                        <w:keepLines w:val="0"/>
                        <w:pageBreakBefore w:val="0"/>
                        <w:widowControl w:val="0"/>
                        <w:kinsoku/>
                        <w:wordWrap/>
                        <w:overflowPunct/>
                        <w:topLinePunct w:val="0"/>
                        <w:bidi w:val="0"/>
                        <w:adjustRightInd/>
                        <w:snapToGrid/>
                        <w:spacing w:line="240" w:lineRule="atLeast"/>
                        <w:textAlignment w:val="auto"/>
                        <w:rPr>
                          <w:rFonts w:hint="default"/>
                          <w:b w:val="0"/>
                          <w:bCs/>
                          <w:color w:val="D9D9D9" w:themeColor="background1" w:themeShade="D9"/>
                          <w:sz w:val="15"/>
                          <w:szCs w:val="15"/>
                          <w:lang w:val="en-US" w:eastAsia="zh-CN"/>
                        </w:rPr>
                      </w:pPr>
                      <w:r>
                        <w:rPr>
                          <w:rFonts w:hint="eastAsia"/>
                          <w:b w:val="0"/>
                          <w:bCs/>
                          <w:color w:val="D9D9D9" w:themeColor="background1" w:themeShade="D9"/>
                          <w:sz w:val="15"/>
                          <w:szCs w:val="15"/>
                          <w:lang w:val="en-US" w:eastAsia="zh-CN"/>
                        </w:rPr>
                        <w:t>打磨、定型机等</w:t>
                      </w:r>
                    </w:p>
                  </w:txbxContent>
                </v:textbox>
              </v:rect>
            </w:pict>
          </mc:Fallback>
        </mc:AlternateContent>
      </w:r>
      <w:r>
        <w:rPr>
          <w:color w:val="auto"/>
        </w:rPr>
        <mc:AlternateContent>
          <mc:Choice Requires="wps">
            <w:drawing>
              <wp:anchor distT="0" distB="0" distL="114300" distR="114300" simplePos="0" relativeHeight="251900928" behindDoc="0" locked="0" layoutInCell="1" allowOverlap="1">
                <wp:simplePos x="0" y="0"/>
                <wp:positionH relativeFrom="column">
                  <wp:posOffset>4157345</wp:posOffset>
                </wp:positionH>
                <wp:positionV relativeFrom="paragraph">
                  <wp:posOffset>1212850</wp:posOffset>
                </wp:positionV>
                <wp:extent cx="390525" cy="615315"/>
                <wp:effectExtent l="0" t="0" r="0" b="0"/>
                <wp:wrapNone/>
                <wp:docPr id="329" name="矩形 329"/>
                <wp:cNvGraphicFramePr/>
                <a:graphic xmlns:a="http://schemas.openxmlformats.org/drawingml/2006/main">
                  <a:graphicData uri="http://schemas.microsoft.com/office/word/2010/wordprocessingShape">
                    <wps:wsp>
                      <wps:cNvSpPr/>
                      <wps:spPr>
                        <a:xfrm>
                          <a:off x="0" y="0"/>
                          <a:ext cx="390525" cy="615315"/>
                        </a:xfrm>
                        <a:prstGeom prst="rect">
                          <a:avLst/>
                        </a:prstGeom>
                        <a:noFill/>
                        <a:ln w="15875">
                          <a:noFill/>
                        </a:ln>
                      </wps:spPr>
                      <wps:txbx>
                        <w:txbxContent>
                          <w:p w14:paraId="3E3D0D9B">
                            <w:pPr>
                              <w:keepNext w:val="0"/>
                              <w:keepLines w:val="0"/>
                              <w:pageBreakBefore w:val="0"/>
                              <w:widowControl w:val="0"/>
                              <w:kinsoku/>
                              <w:wordWrap/>
                              <w:overflowPunct/>
                              <w:topLinePunct w:val="0"/>
                              <w:bidi w:val="0"/>
                              <w:adjustRightInd/>
                              <w:snapToGrid/>
                              <w:spacing w:line="240" w:lineRule="atLeast"/>
                              <w:textAlignment w:val="auto"/>
                              <w:rPr>
                                <w:rFonts w:hint="eastAsia"/>
                                <w:b w:val="0"/>
                                <w:bCs/>
                                <w:color w:val="D9D9D9" w:themeColor="background1" w:themeShade="D9"/>
                                <w:sz w:val="15"/>
                                <w:szCs w:val="15"/>
                                <w:lang w:val="en-US" w:eastAsia="zh-CN"/>
                              </w:rPr>
                            </w:pPr>
                            <w:r>
                              <w:rPr>
                                <w:rFonts w:hint="eastAsia"/>
                                <w:b w:val="0"/>
                                <w:bCs/>
                                <w:color w:val="D9D9D9" w:themeColor="background1" w:themeShade="D9"/>
                                <w:sz w:val="15"/>
                                <w:szCs w:val="15"/>
                                <w:lang w:val="en-US" w:eastAsia="zh-CN"/>
                              </w:rPr>
                              <w:t>花样</w:t>
                            </w:r>
                          </w:p>
                          <w:p w14:paraId="65FBC6B1">
                            <w:pPr>
                              <w:keepNext w:val="0"/>
                              <w:keepLines w:val="0"/>
                              <w:pageBreakBefore w:val="0"/>
                              <w:widowControl w:val="0"/>
                              <w:kinsoku/>
                              <w:wordWrap/>
                              <w:overflowPunct/>
                              <w:topLinePunct w:val="0"/>
                              <w:bidi w:val="0"/>
                              <w:adjustRightInd/>
                              <w:snapToGrid/>
                              <w:spacing w:line="240" w:lineRule="atLeast"/>
                              <w:textAlignment w:val="auto"/>
                              <w:rPr>
                                <w:rFonts w:hint="default"/>
                                <w:b w:val="0"/>
                                <w:bCs/>
                                <w:color w:val="D9D9D9" w:themeColor="background1" w:themeShade="D9"/>
                                <w:sz w:val="15"/>
                                <w:szCs w:val="15"/>
                                <w:lang w:val="en-US" w:eastAsia="zh-CN"/>
                              </w:rPr>
                            </w:pPr>
                            <w:r>
                              <w:rPr>
                                <w:rFonts w:hint="eastAsia"/>
                                <w:b w:val="0"/>
                                <w:bCs/>
                                <w:color w:val="D9D9D9" w:themeColor="background1" w:themeShade="D9"/>
                                <w:sz w:val="15"/>
                                <w:szCs w:val="15"/>
                                <w:lang w:val="en-US" w:eastAsia="zh-CN"/>
                              </w:rPr>
                              <w:t>机</w:t>
                            </w:r>
                          </w:p>
                        </w:txbxContent>
                      </wps:txbx>
                      <wps:bodyPr upright="1"/>
                    </wps:wsp>
                  </a:graphicData>
                </a:graphic>
              </wp:anchor>
            </w:drawing>
          </mc:Choice>
          <mc:Fallback>
            <w:pict>
              <v:rect id="_x0000_s1026" o:spid="_x0000_s1026" o:spt="1" style="position:absolute;left:0pt;margin-left:327.35pt;margin-top:95.5pt;height:48.45pt;width:30.75pt;z-index:251900928;mso-width-relative:page;mso-height-relative:page;" filled="f" stroked="f" coordsize="21600,21600" o:gfxdata="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Nzt&#10;kXXbAAAACwEAAA8AAAAAAAAAAQAgAAAAIgAAAGRycy9kb3ducmV2LnhtbFBLAQIUABQAAAAIAIdO&#10;4kBPPhjBrgEAAE4DAAAOAAAAAAAAAAEAIAAAACoBAABkcnMvZTJvRG9jLnhtbFBLBQYAAAAABgAG&#10;AFkBAABKBQAAAAA=&#10;">
                <v:fill on="f" focussize="0,0"/>
                <v:stroke on="f" weight="1.25pt"/>
                <v:imagedata o:title=""/>
                <o:lock v:ext="edit" aspectratio="f"/>
                <v:textbox>
                  <w:txbxContent>
                    <w:p w14:paraId="3E3D0D9B">
                      <w:pPr>
                        <w:keepNext w:val="0"/>
                        <w:keepLines w:val="0"/>
                        <w:pageBreakBefore w:val="0"/>
                        <w:widowControl w:val="0"/>
                        <w:kinsoku/>
                        <w:wordWrap/>
                        <w:overflowPunct/>
                        <w:topLinePunct w:val="0"/>
                        <w:bidi w:val="0"/>
                        <w:adjustRightInd/>
                        <w:snapToGrid/>
                        <w:spacing w:line="240" w:lineRule="atLeast"/>
                        <w:textAlignment w:val="auto"/>
                        <w:rPr>
                          <w:rFonts w:hint="eastAsia"/>
                          <w:b w:val="0"/>
                          <w:bCs/>
                          <w:color w:val="D9D9D9" w:themeColor="background1" w:themeShade="D9"/>
                          <w:sz w:val="15"/>
                          <w:szCs w:val="15"/>
                          <w:lang w:val="en-US" w:eastAsia="zh-CN"/>
                        </w:rPr>
                      </w:pPr>
                      <w:r>
                        <w:rPr>
                          <w:rFonts w:hint="eastAsia"/>
                          <w:b w:val="0"/>
                          <w:bCs/>
                          <w:color w:val="D9D9D9" w:themeColor="background1" w:themeShade="D9"/>
                          <w:sz w:val="15"/>
                          <w:szCs w:val="15"/>
                          <w:lang w:val="en-US" w:eastAsia="zh-CN"/>
                        </w:rPr>
                        <w:t>花样</w:t>
                      </w:r>
                    </w:p>
                    <w:p w14:paraId="65FBC6B1">
                      <w:pPr>
                        <w:keepNext w:val="0"/>
                        <w:keepLines w:val="0"/>
                        <w:pageBreakBefore w:val="0"/>
                        <w:widowControl w:val="0"/>
                        <w:kinsoku/>
                        <w:wordWrap/>
                        <w:overflowPunct/>
                        <w:topLinePunct w:val="0"/>
                        <w:bidi w:val="0"/>
                        <w:adjustRightInd/>
                        <w:snapToGrid/>
                        <w:spacing w:line="240" w:lineRule="atLeast"/>
                        <w:textAlignment w:val="auto"/>
                        <w:rPr>
                          <w:rFonts w:hint="default"/>
                          <w:b w:val="0"/>
                          <w:bCs/>
                          <w:color w:val="D9D9D9" w:themeColor="background1" w:themeShade="D9"/>
                          <w:sz w:val="15"/>
                          <w:szCs w:val="15"/>
                          <w:lang w:val="en-US" w:eastAsia="zh-CN"/>
                        </w:rPr>
                      </w:pPr>
                      <w:r>
                        <w:rPr>
                          <w:rFonts w:hint="eastAsia"/>
                          <w:b w:val="0"/>
                          <w:bCs/>
                          <w:color w:val="D9D9D9" w:themeColor="background1" w:themeShade="D9"/>
                          <w:sz w:val="15"/>
                          <w:szCs w:val="15"/>
                          <w:lang w:val="en-US" w:eastAsia="zh-CN"/>
                        </w:rPr>
                        <w:t>机</w:t>
                      </w:r>
                    </w:p>
                  </w:txbxContent>
                </v:textbox>
              </v:rect>
            </w:pict>
          </mc:Fallback>
        </mc:AlternateContent>
      </w:r>
      <w:r>
        <w:rPr>
          <w:color w:val="auto"/>
        </w:rPr>
        <mc:AlternateContent>
          <mc:Choice Requires="wps">
            <w:drawing>
              <wp:anchor distT="0" distB="0" distL="114300" distR="114300" simplePos="0" relativeHeight="251899904" behindDoc="0" locked="0" layoutInCell="1" allowOverlap="1">
                <wp:simplePos x="0" y="0"/>
                <wp:positionH relativeFrom="column">
                  <wp:posOffset>4049395</wp:posOffset>
                </wp:positionH>
                <wp:positionV relativeFrom="paragraph">
                  <wp:posOffset>1206500</wp:posOffset>
                </wp:positionV>
                <wp:extent cx="338455" cy="581660"/>
                <wp:effectExtent l="0" t="0" r="0" b="0"/>
                <wp:wrapNone/>
                <wp:docPr id="328" name="矩形 328"/>
                <wp:cNvGraphicFramePr/>
                <a:graphic xmlns:a="http://schemas.openxmlformats.org/drawingml/2006/main">
                  <a:graphicData uri="http://schemas.microsoft.com/office/word/2010/wordprocessingShape">
                    <wps:wsp>
                      <wps:cNvSpPr/>
                      <wps:spPr>
                        <a:xfrm>
                          <a:off x="0" y="0"/>
                          <a:ext cx="338455" cy="581660"/>
                        </a:xfrm>
                        <a:prstGeom prst="rect">
                          <a:avLst/>
                        </a:prstGeom>
                        <a:noFill/>
                        <a:ln w="15875">
                          <a:noFill/>
                        </a:ln>
                      </wps:spPr>
                      <wps:txbx>
                        <w:txbxContent>
                          <w:p w14:paraId="45ECD9C7">
                            <w:pPr>
                              <w:keepNext w:val="0"/>
                              <w:keepLines w:val="0"/>
                              <w:pageBreakBefore w:val="0"/>
                              <w:widowControl w:val="0"/>
                              <w:kinsoku/>
                              <w:wordWrap/>
                              <w:overflowPunct/>
                              <w:topLinePunct w:val="0"/>
                              <w:bidi w:val="0"/>
                              <w:adjustRightInd/>
                              <w:snapToGrid/>
                              <w:spacing w:line="240" w:lineRule="atLeast"/>
                              <w:textAlignment w:val="auto"/>
                              <w:rPr>
                                <w:rFonts w:hint="eastAsia"/>
                                <w:b w:val="0"/>
                                <w:bCs/>
                                <w:color w:val="D9D9D9" w:themeColor="background1" w:themeShade="D9"/>
                                <w:sz w:val="15"/>
                                <w:szCs w:val="15"/>
                                <w:lang w:val="en-US" w:eastAsia="zh-CN"/>
                              </w:rPr>
                            </w:pPr>
                            <w:r>
                              <w:rPr>
                                <w:rFonts w:hint="eastAsia"/>
                                <w:b w:val="0"/>
                                <w:bCs/>
                                <w:color w:val="D9D9D9" w:themeColor="background1" w:themeShade="D9"/>
                                <w:sz w:val="15"/>
                                <w:szCs w:val="15"/>
                                <w:lang w:val="en-US" w:eastAsia="zh-CN"/>
                              </w:rPr>
                              <w:t>针</w:t>
                            </w:r>
                          </w:p>
                          <w:p w14:paraId="14658E7C">
                            <w:pPr>
                              <w:keepNext w:val="0"/>
                              <w:keepLines w:val="0"/>
                              <w:pageBreakBefore w:val="0"/>
                              <w:widowControl w:val="0"/>
                              <w:kinsoku/>
                              <w:wordWrap/>
                              <w:overflowPunct/>
                              <w:topLinePunct w:val="0"/>
                              <w:bidi w:val="0"/>
                              <w:adjustRightInd/>
                              <w:snapToGrid/>
                              <w:spacing w:line="240" w:lineRule="atLeast"/>
                              <w:textAlignment w:val="auto"/>
                              <w:rPr>
                                <w:rFonts w:hint="default"/>
                                <w:color w:val="D9D9D9" w:themeColor="background1" w:themeShade="D9"/>
                                <w:sz w:val="15"/>
                                <w:szCs w:val="18"/>
                                <w:lang w:val="en-US" w:eastAsia="zh-CN"/>
                              </w:rPr>
                            </w:pPr>
                            <w:r>
                              <w:rPr>
                                <w:rFonts w:hint="eastAsia"/>
                                <w:b w:val="0"/>
                                <w:bCs/>
                                <w:color w:val="D9D9D9" w:themeColor="background1" w:themeShade="D9"/>
                                <w:sz w:val="15"/>
                                <w:szCs w:val="15"/>
                                <w:lang w:val="en-US" w:eastAsia="zh-CN"/>
                              </w:rPr>
                              <w:t>车</w:t>
                            </w:r>
                          </w:p>
                        </w:txbxContent>
                      </wps:txbx>
                      <wps:bodyPr upright="1"/>
                    </wps:wsp>
                  </a:graphicData>
                </a:graphic>
              </wp:anchor>
            </w:drawing>
          </mc:Choice>
          <mc:Fallback>
            <w:pict>
              <v:rect id="_x0000_s1026" o:spid="_x0000_s1026" o:spt="1" style="position:absolute;left:0pt;margin-left:318.85pt;margin-top:95pt;height:45.8pt;width:26.65pt;z-index:251899904;mso-width-relative:page;mso-height-relative:page;" filled="f" stroked="f" coordsize="21600,21600" o:gfxdata="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FWkW&#10;ztsAAAALAQAADwAAAAAAAAABACAAAAAiAAAAZHJzL2Rvd25yZXYueG1sUEsBAhQAFAAAAAgAh07i&#10;QGuVkEetAQAATgMAAA4AAAAAAAAAAQAgAAAAKgEAAGRycy9lMm9Eb2MueG1sUEsFBgAAAAAGAAYA&#10;WQEAAEkFAAAAAA==&#10;">
                <v:fill on="f" focussize="0,0"/>
                <v:stroke on="f" weight="1.25pt"/>
                <v:imagedata o:title=""/>
                <o:lock v:ext="edit" aspectratio="f"/>
                <v:textbox>
                  <w:txbxContent>
                    <w:p w14:paraId="45ECD9C7">
                      <w:pPr>
                        <w:keepNext w:val="0"/>
                        <w:keepLines w:val="0"/>
                        <w:pageBreakBefore w:val="0"/>
                        <w:widowControl w:val="0"/>
                        <w:kinsoku/>
                        <w:wordWrap/>
                        <w:overflowPunct/>
                        <w:topLinePunct w:val="0"/>
                        <w:bidi w:val="0"/>
                        <w:adjustRightInd/>
                        <w:snapToGrid/>
                        <w:spacing w:line="240" w:lineRule="atLeast"/>
                        <w:textAlignment w:val="auto"/>
                        <w:rPr>
                          <w:rFonts w:hint="eastAsia"/>
                          <w:b w:val="0"/>
                          <w:bCs/>
                          <w:color w:val="D9D9D9" w:themeColor="background1" w:themeShade="D9"/>
                          <w:sz w:val="15"/>
                          <w:szCs w:val="15"/>
                          <w:lang w:val="en-US" w:eastAsia="zh-CN"/>
                        </w:rPr>
                      </w:pPr>
                      <w:r>
                        <w:rPr>
                          <w:rFonts w:hint="eastAsia"/>
                          <w:b w:val="0"/>
                          <w:bCs/>
                          <w:color w:val="D9D9D9" w:themeColor="background1" w:themeShade="D9"/>
                          <w:sz w:val="15"/>
                          <w:szCs w:val="15"/>
                          <w:lang w:val="en-US" w:eastAsia="zh-CN"/>
                        </w:rPr>
                        <w:t>针</w:t>
                      </w:r>
                    </w:p>
                    <w:p w14:paraId="14658E7C">
                      <w:pPr>
                        <w:keepNext w:val="0"/>
                        <w:keepLines w:val="0"/>
                        <w:pageBreakBefore w:val="0"/>
                        <w:widowControl w:val="0"/>
                        <w:kinsoku/>
                        <w:wordWrap/>
                        <w:overflowPunct/>
                        <w:topLinePunct w:val="0"/>
                        <w:bidi w:val="0"/>
                        <w:adjustRightInd/>
                        <w:snapToGrid/>
                        <w:spacing w:line="240" w:lineRule="atLeast"/>
                        <w:textAlignment w:val="auto"/>
                        <w:rPr>
                          <w:rFonts w:hint="default"/>
                          <w:color w:val="D9D9D9" w:themeColor="background1" w:themeShade="D9"/>
                          <w:sz w:val="15"/>
                          <w:szCs w:val="18"/>
                          <w:lang w:val="en-US" w:eastAsia="zh-CN"/>
                        </w:rPr>
                      </w:pPr>
                      <w:r>
                        <w:rPr>
                          <w:rFonts w:hint="eastAsia"/>
                          <w:b w:val="0"/>
                          <w:bCs/>
                          <w:color w:val="D9D9D9" w:themeColor="background1" w:themeShade="D9"/>
                          <w:sz w:val="15"/>
                          <w:szCs w:val="15"/>
                          <w:lang w:val="en-US" w:eastAsia="zh-CN"/>
                        </w:rPr>
                        <w:t>车</w:t>
                      </w:r>
                    </w:p>
                  </w:txbxContent>
                </v:textbox>
              </v:rect>
            </w:pict>
          </mc:Fallback>
        </mc:AlternateContent>
      </w:r>
      <w:r>
        <w:rPr>
          <w:color w:val="auto"/>
          <w:sz w:val="21"/>
        </w:rPr>
        <mc:AlternateContent>
          <mc:Choice Requires="wps">
            <w:drawing>
              <wp:anchor distT="0" distB="0" distL="114300" distR="114300" simplePos="0" relativeHeight="251898880" behindDoc="0" locked="0" layoutInCell="1" allowOverlap="1">
                <wp:simplePos x="0" y="0"/>
                <wp:positionH relativeFrom="column">
                  <wp:posOffset>4140835</wp:posOffset>
                </wp:positionH>
                <wp:positionV relativeFrom="paragraph">
                  <wp:posOffset>1289050</wp:posOffset>
                </wp:positionV>
                <wp:extent cx="1470025" cy="362585"/>
                <wp:effectExtent l="6350" t="6350" r="17145" b="12065"/>
                <wp:wrapNone/>
                <wp:docPr id="327" name="矩形 327"/>
                <wp:cNvGraphicFramePr/>
                <a:graphic xmlns:a="http://schemas.openxmlformats.org/drawingml/2006/main">
                  <a:graphicData uri="http://schemas.microsoft.com/office/word/2010/wordprocessingShape">
                    <wps:wsp>
                      <wps:cNvSpPr/>
                      <wps:spPr>
                        <a:xfrm>
                          <a:off x="0" y="0"/>
                          <a:ext cx="1470025" cy="362585"/>
                        </a:xfrm>
                        <a:prstGeom prst="rect">
                          <a:avLst/>
                        </a:prstGeom>
                        <a:noFill/>
                        <a:ln w="12700">
                          <a:solidFill>
                            <a:schemeClr val="bg1">
                              <a:lumMod val="85000"/>
                            </a:schemeClr>
                          </a:solidFill>
                          <a:prstDash val="dash"/>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26.05pt;margin-top:101.5pt;height:28.55pt;width:115.75pt;z-index:251898880;v-text-anchor:middle;mso-width-relative:page;mso-height-relative:page;" filled="f" stroked="t" coordsize="21600,21600" o:gfxdata="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K4NnfbaAAAACwEAAA8AAAAAAAAAAQAgAAAAIgAAAGRycy9kb3du&#10;cmV2LnhtbFBLAQIUABQAAAAIAIdO4kCiQRQFbwIAANkEAAAOAAAAAAAAAAEAIAAAACkBAABkcnMv&#10;ZTJvRG9jLnhtbFBLBQYAAAAABgAGAFkBAAAKBgAAAAA=&#10;">
                <v:fill on="f" focussize="0,0"/>
                <v:stroke weight="1pt" color="#D9D9D9 [2732]" joinstyle="round" dashstyle="dash"/>
                <v:imagedata o:title=""/>
                <o:lock v:ext="edit" aspectratio="f"/>
              </v:rect>
            </w:pict>
          </mc:Fallback>
        </mc:AlternateContent>
      </w:r>
      <w:r>
        <w:rPr>
          <w:color w:val="auto"/>
          <w:sz w:val="21"/>
        </w:rPr>
        <mc:AlternateContent>
          <mc:Choice Requires="wps">
            <w:drawing>
              <wp:anchor distT="0" distB="0" distL="114300" distR="114300" simplePos="0" relativeHeight="251886592" behindDoc="0" locked="0" layoutInCell="1" allowOverlap="1">
                <wp:simplePos x="0" y="0"/>
                <wp:positionH relativeFrom="column">
                  <wp:posOffset>4152900</wp:posOffset>
                </wp:positionH>
                <wp:positionV relativeFrom="paragraph">
                  <wp:posOffset>911860</wp:posOffset>
                </wp:positionV>
                <wp:extent cx="1661160" cy="93980"/>
                <wp:effectExtent l="6350" t="6350" r="8890" b="6350"/>
                <wp:wrapNone/>
                <wp:docPr id="274" name="矩形 274"/>
                <wp:cNvGraphicFramePr/>
                <a:graphic xmlns:a="http://schemas.openxmlformats.org/drawingml/2006/main">
                  <a:graphicData uri="http://schemas.microsoft.com/office/word/2010/wordprocessingShape">
                    <wps:wsp>
                      <wps:cNvSpPr/>
                      <wps:spPr>
                        <a:xfrm>
                          <a:off x="0" y="0"/>
                          <a:ext cx="1661160" cy="93980"/>
                        </a:xfrm>
                        <a:prstGeom prst="rect">
                          <a:avLst/>
                        </a:prstGeom>
                        <a:noFill/>
                        <a:ln w="12700">
                          <a:solidFill>
                            <a:schemeClr val="bg1">
                              <a:lumMod val="85000"/>
                            </a:schemeClr>
                          </a:solidFill>
                          <a:prstDash val="dash"/>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27pt;margin-top:71.8pt;height:7.4pt;width:130.8pt;z-index:251886592;v-text-anchor:middle;mso-width-relative:page;mso-height-relative:page;" filled="f" stroked="t" coordsize="21600,21600" o:gfxdata="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AAAAA&#10;ZHJzL1BLAQIUABQAAAAIAIdO4kBl/L8g2wAAAAsBAAAPAAAAAAAAAAEAIAAAACIAAABkcnMvZG93&#10;bnJldi54bWxQSwECFAAUAAAACACHTuJAOY7LO28CAADYBAAADgAAAAAAAAABACAAAAAqAQAAZHJz&#10;L2Uyb0RvYy54bWxQSwUGAAAAAAYABgBZAQAACwYAAAAA&#10;">
                <v:fill on="f" focussize="0,0"/>
                <v:stroke weight="1pt" color="#D9D9D9 [2732]" joinstyle="round" dashstyle="dash"/>
                <v:imagedata o:title=""/>
                <o:lock v:ext="edit" aspectratio="f"/>
              </v:rect>
            </w:pict>
          </mc:Fallback>
        </mc:AlternateContent>
      </w:r>
      <w:r>
        <w:rPr>
          <w:color w:val="auto"/>
        </w:rPr>
        <mc:AlternateContent>
          <mc:Choice Requires="wps">
            <w:drawing>
              <wp:anchor distT="0" distB="0" distL="114300" distR="114300" simplePos="0" relativeHeight="251897856" behindDoc="0" locked="0" layoutInCell="1" allowOverlap="1">
                <wp:simplePos x="0" y="0"/>
                <wp:positionH relativeFrom="column">
                  <wp:posOffset>4373245</wp:posOffset>
                </wp:positionH>
                <wp:positionV relativeFrom="paragraph">
                  <wp:posOffset>2759710</wp:posOffset>
                </wp:positionV>
                <wp:extent cx="520065" cy="269875"/>
                <wp:effectExtent l="0" t="0" r="0" b="0"/>
                <wp:wrapNone/>
                <wp:docPr id="326" name="矩形 326"/>
                <wp:cNvGraphicFramePr/>
                <a:graphic xmlns:a="http://schemas.openxmlformats.org/drawingml/2006/main">
                  <a:graphicData uri="http://schemas.microsoft.com/office/word/2010/wordprocessingShape">
                    <wps:wsp>
                      <wps:cNvSpPr/>
                      <wps:spPr>
                        <a:xfrm>
                          <a:off x="0" y="0"/>
                          <a:ext cx="520065" cy="269875"/>
                        </a:xfrm>
                        <a:prstGeom prst="rect">
                          <a:avLst/>
                        </a:prstGeom>
                        <a:noFill/>
                        <a:ln w="15875">
                          <a:noFill/>
                        </a:ln>
                      </wps:spPr>
                      <wps:txbx>
                        <w:txbxContent>
                          <w:p w14:paraId="0672CC07">
                            <w:pPr>
                              <w:rPr>
                                <w:rFonts w:hint="default"/>
                                <w:color w:val="D9D9D9" w:themeColor="background1" w:themeShade="D9"/>
                                <w:sz w:val="15"/>
                                <w:szCs w:val="18"/>
                                <w:lang w:val="en-US" w:eastAsia="zh-CN"/>
                              </w:rPr>
                            </w:pPr>
                            <w:r>
                              <w:rPr>
                                <w:rFonts w:hint="eastAsia"/>
                                <w:b w:val="0"/>
                                <w:bCs/>
                                <w:color w:val="D9D9D9" w:themeColor="background1" w:themeShade="D9"/>
                                <w:sz w:val="15"/>
                                <w:szCs w:val="15"/>
                                <w:lang w:val="en-US" w:eastAsia="zh-CN"/>
                              </w:rPr>
                              <w:t>压烫</w:t>
                            </w:r>
                            <w:r>
                              <w:rPr>
                                <w:rFonts w:hint="eastAsia" w:ascii="Times New Roman" w:hAnsi="Times New Roman" w:eastAsia="宋体"/>
                                <w:b w:val="0"/>
                                <w:bCs/>
                                <w:color w:val="D9D9D9" w:themeColor="background1" w:themeShade="D9"/>
                                <w:sz w:val="15"/>
                                <w:szCs w:val="15"/>
                                <w:lang w:val="en-US" w:eastAsia="zh-CN"/>
                              </w:rPr>
                              <w:t>机</w:t>
                            </w:r>
                          </w:p>
                        </w:txbxContent>
                      </wps:txbx>
                      <wps:bodyPr upright="1"/>
                    </wps:wsp>
                  </a:graphicData>
                </a:graphic>
              </wp:anchor>
            </w:drawing>
          </mc:Choice>
          <mc:Fallback>
            <w:pict>
              <v:rect id="_x0000_s1026" o:spid="_x0000_s1026" o:spt="1" style="position:absolute;left:0pt;margin-left:344.35pt;margin-top:217.3pt;height:21.25pt;width:40.95pt;z-index:251897856;mso-width-relative:page;mso-height-relative:page;" filled="f" stroked="f" coordsize="21600,21600" o:gfxdata="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">
                <v:fill on="f" focussize="0,0"/>
                <v:stroke on="f" weight="1.25pt"/>
                <v:imagedata o:title=""/>
                <o:lock v:ext="edit" aspectratio="f"/>
                <v:textbox>
                  <w:txbxContent>
                    <w:p w14:paraId="0672CC07">
                      <w:pPr>
                        <w:rPr>
                          <w:rFonts w:hint="default"/>
                          <w:color w:val="D9D9D9" w:themeColor="background1" w:themeShade="D9"/>
                          <w:sz w:val="15"/>
                          <w:szCs w:val="18"/>
                          <w:lang w:val="en-US" w:eastAsia="zh-CN"/>
                        </w:rPr>
                      </w:pPr>
                      <w:r>
                        <w:rPr>
                          <w:rFonts w:hint="eastAsia"/>
                          <w:b w:val="0"/>
                          <w:bCs/>
                          <w:color w:val="D9D9D9" w:themeColor="background1" w:themeShade="D9"/>
                          <w:sz w:val="15"/>
                          <w:szCs w:val="15"/>
                          <w:lang w:val="en-US" w:eastAsia="zh-CN"/>
                        </w:rPr>
                        <w:t>压烫</w:t>
                      </w:r>
                      <w:r>
                        <w:rPr>
                          <w:rFonts w:hint="eastAsia" w:ascii="Times New Roman" w:hAnsi="Times New Roman" w:eastAsia="宋体"/>
                          <w:b w:val="0"/>
                          <w:bCs/>
                          <w:color w:val="D9D9D9" w:themeColor="background1" w:themeShade="D9"/>
                          <w:sz w:val="15"/>
                          <w:szCs w:val="15"/>
                          <w:lang w:val="en-US" w:eastAsia="zh-CN"/>
                        </w:rPr>
                        <w:t>机</w:t>
                      </w:r>
                    </w:p>
                  </w:txbxContent>
                </v:textbox>
              </v:rect>
            </w:pict>
          </mc:Fallback>
        </mc:AlternateContent>
      </w:r>
      <w:r>
        <w:rPr>
          <w:color w:val="auto"/>
        </w:rPr>
        <mc:AlternateContent>
          <mc:Choice Requires="wps">
            <w:drawing>
              <wp:anchor distT="0" distB="0" distL="114300" distR="114300" simplePos="0" relativeHeight="251842560" behindDoc="0" locked="0" layoutInCell="1" allowOverlap="1">
                <wp:simplePos x="0" y="0"/>
                <wp:positionH relativeFrom="column">
                  <wp:posOffset>4127500</wp:posOffset>
                </wp:positionH>
                <wp:positionV relativeFrom="paragraph">
                  <wp:posOffset>2908935</wp:posOffset>
                </wp:positionV>
                <wp:extent cx="814070" cy="298450"/>
                <wp:effectExtent l="0" t="0" r="0" b="0"/>
                <wp:wrapNone/>
                <wp:docPr id="89" name="矩形 89"/>
                <wp:cNvGraphicFramePr/>
                <a:graphic xmlns:a="http://schemas.openxmlformats.org/drawingml/2006/main">
                  <a:graphicData uri="http://schemas.microsoft.com/office/word/2010/wordprocessingShape">
                    <wps:wsp>
                      <wps:cNvSpPr/>
                      <wps:spPr>
                        <a:xfrm>
                          <a:off x="0" y="0"/>
                          <a:ext cx="814070" cy="298450"/>
                        </a:xfrm>
                        <a:prstGeom prst="rect">
                          <a:avLst/>
                        </a:prstGeom>
                        <a:noFill/>
                        <a:ln w="15875">
                          <a:noFill/>
                        </a:ln>
                      </wps:spPr>
                      <wps:txbx>
                        <w:txbxContent>
                          <w:p w14:paraId="30F5EF5B">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丝网印花区</w:t>
                            </w:r>
                          </w:p>
                        </w:txbxContent>
                      </wps:txbx>
                      <wps:bodyPr upright="1"/>
                    </wps:wsp>
                  </a:graphicData>
                </a:graphic>
              </wp:anchor>
            </w:drawing>
          </mc:Choice>
          <mc:Fallback>
            <w:pict>
              <v:rect id="_x0000_s1026" o:spid="_x0000_s1026" o:spt="1" style="position:absolute;left:0pt;margin-left:325pt;margin-top:229.05pt;height:23.5pt;width:64.1pt;z-index:251842560;mso-width-relative:page;mso-height-relative:page;" filled="f" stroked="f" coordsize="21600,21600" o:gfxdata="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Bi/&#10;4KfcAAAACwEAAA8AAAAAAAAAAQAgAAAAIgAAAGRycy9kb3ducmV2LnhtbFBLAQIUABQAAAAIAIdO&#10;4kDT8QNvrQEAAEwDAAAOAAAAAAAAAAEAIAAAACsBAABkcnMvZTJvRG9jLnhtbFBLBQYAAAAABgAG&#10;AFkBAABKBQAAAAA=&#10;">
                <v:fill on="f" focussize="0,0"/>
                <v:stroke on="f" weight="1.25pt"/>
                <v:imagedata o:title=""/>
                <o:lock v:ext="edit" aspectratio="f"/>
                <v:textbox>
                  <w:txbxContent>
                    <w:p w14:paraId="30F5EF5B">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丝网印花区</w:t>
                      </w:r>
                    </w:p>
                  </w:txbxContent>
                </v:textbox>
              </v:rect>
            </w:pict>
          </mc:Fallback>
        </mc:AlternateContent>
      </w:r>
      <w:r>
        <w:rPr>
          <w:color w:val="auto"/>
          <w:sz w:val="21"/>
        </w:rPr>
        <mc:AlternateContent>
          <mc:Choice Requires="wps">
            <w:drawing>
              <wp:anchor distT="0" distB="0" distL="114300" distR="114300" simplePos="0" relativeHeight="251896832" behindDoc="0" locked="0" layoutInCell="1" allowOverlap="1">
                <wp:simplePos x="0" y="0"/>
                <wp:positionH relativeFrom="column">
                  <wp:posOffset>4648835</wp:posOffset>
                </wp:positionH>
                <wp:positionV relativeFrom="paragraph">
                  <wp:posOffset>2839085</wp:posOffset>
                </wp:positionV>
                <wp:extent cx="116205" cy="165100"/>
                <wp:effectExtent l="6350" t="6350" r="14605" b="11430"/>
                <wp:wrapNone/>
                <wp:docPr id="325" name="矩形 325"/>
                <wp:cNvGraphicFramePr/>
                <a:graphic xmlns:a="http://schemas.openxmlformats.org/drawingml/2006/main">
                  <a:graphicData uri="http://schemas.microsoft.com/office/word/2010/wordprocessingShape">
                    <wps:wsp>
                      <wps:cNvSpPr/>
                      <wps:spPr>
                        <a:xfrm>
                          <a:off x="0" y="0"/>
                          <a:ext cx="116205" cy="165100"/>
                        </a:xfrm>
                        <a:prstGeom prst="rect">
                          <a:avLst/>
                        </a:prstGeom>
                        <a:noFill/>
                        <a:ln w="12700">
                          <a:solidFill>
                            <a:schemeClr val="bg1">
                              <a:lumMod val="85000"/>
                            </a:schemeClr>
                          </a:solidFill>
                          <a:prstDash val="dash"/>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66.05pt;margin-top:223.55pt;height:13pt;width:9.15pt;z-index:251896832;v-text-anchor:middle;mso-width-relative:page;mso-height-relative:page;" filled="f" stroked="t" coordsize="21600,21600" o:gfxdata="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AAAAA&#10;ZHJzL1BLAQIUABQAAAAIAIdO4kDAQ/HV2wAAAAsBAAAPAAAAAAAAAAEAIAAAACIAAABkcnMvZG93&#10;bnJldi54bWxQSwECFAAUAAAACACHTuJAlCReZG8CAADYBAAADgAAAAAAAAABACAAAAAqAQAAZHJz&#10;L2Uyb0RvYy54bWxQSwUGAAAAAAYABgBZAQAACwYAAAAA&#10;">
                <v:fill on="f" focussize="0,0"/>
                <v:stroke weight="1pt" color="#D9D9D9 [2732]" joinstyle="round" dashstyle="dash"/>
                <v:imagedata o:title=""/>
                <o:lock v:ext="edit" aspectratio="f"/>
              </v:rect>
            </w:pict>
          </mc:Fallback>
        </mc:AlternateContent>
      </w:r>
      <w:r>
        <w:rPr>
          <w:color w:val="auto"/>
        </w:rPr>
        <mc:AlternateContent>
          <mc:Choice Requires="wps">
            <w:drawing>
              <wp:anchor distT="0" distB="0" distL="114300" distR="114300" simplePos="0" relativeHeight="251895808" behindDoc="0" locked="0" layoutInCell="1" allowOverlap="1">
                <wp:simplePos x="0" y="0"/>
                <wp:positionH relativeFrom="column">
                  <wp:posOffset>5030470</wp:posOffset>
                </wp:positionH>
                <wp:positionV relativeFrom="paragraph">
                  <wp:posOffset>3182620</wp:posOffset>
                </wp:positionV>
                <wp:extent cx="900430" cy="269875"/>
                <wp:effectExtent l="0" t="0" r="0" b="0"/>
                <wp:wrapNone/>
                <wp:docPr id="324" name="矩形 324"/>
                <wp:cNvGraphicFramePr/>
                <a:graphic xmlns:a="http://schemas.openxmlformats.org/drawingml/2006/main">
                  <a:graphicData uri="http://schemas.microsoft.com/office/word/2010/wordprocessingShape">
                    <wps:wsp>
                      <wps:cNvSpPr/>
                      <wps:spPr>
                        <a:xfrm>
                          <a:off x="0" y="0"/>
                          <a:ext cx="900430" cy="269875"/>
                        </a:xfrm>
                        <a:prstGeom prst="rect">
                          <a:avLst/>
                        </a:prstGeom>
                        <a:noFill/>
                        <a:ln w="15875">
                          <a:noFill/>
                        </a:ln>
                      </wps:spPr>
                      <wps:txbx>
                        <w:txbxContent>
                          <w:p w14:paraId="012E0405">
                            <w:pPr>
                              <w:rPr>
                                <w:rFonts w:hint="default"/>
                                <w:color w:val="D9D9D9" w:themeColor="background1" w:themeShade="D9"/>
                                <w:sz w:val="15"/>
                                <w:szCs w:val="18"/>
                                <w:lang w:val="en-US" w:eastAsia="zh-CN"/>
                              </w:rPr>
                            </w:pPr>
                            <w:r>
                              <w:rPr>
                                <w:rFonts w:hint="eastAsia" w:ascii="Times New Roman" w:hAnsi="Times New Roman" w:eastAsia="宋体" w:cs="Times New Roman"/>
                                <w:color w:val="D9D9D9" w:themeColor="background1" w:themeShade="D9"/>
                                <w:kern w:val="2"/>
                                <w:sz w:val="15"/>
                                <w:szCs w:val="15"/>
                                <w:lang w:val="en-US" w:eastAsia="zh-CN" w:bidi="ar-SA"/>
                              </w:rPr>
                              <w:t>精雕CNC裁断机</w:t>
                            </w:r>
                          </w:p>
                        </w:txbxContent>
                      </wps:txbx>
                      <wps:bodyPr upright="1"/>
                    </wps:wsp>
                  </a:graphicData>
                </a:graphic>
              </wp:anchor>
            </w:drawing>
          </mc:Choice>
          <mc:Fallback>
            <w:pict>
              <v:rect id="_x0000_s1026" o:spid="_x0000_s1026" o:spt="1" style="position:absolute;left:0pt;margin-left:396.1pt;margin-top:250.6pt;height:21.25pt;width:70.9pt;z-index:251895808;mso-width-relative:page;mso-height-relative:page;" filled="f" stroked="f" coordsize="21600,21600" o:gfxdata="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">
                <v:fill on="f" focussize="0,0"/>
                <v:stroke on="f" weight="1.25pt"/>
                <v:imagedata o:title=""/>
                <o:lock v:ext="edit" aspectratio="f"/>
                <v:textbox>
                  <w:txbxContent>
                    <w:p w14:paraId="012E0405">
                      <w:pPr>
                        <w:rPr>
                          <w:rFonts w:hint="default"/>
                          <w:color w:val="D9D9D9" w:themeColor="background1" w:themeShade="D9"/>
                          <w:sz w:val="15"/>
                          <w:szCs w:val="18"/>
                          <w:lang w:val="en-US" w:eastAsia="zh-CN"/>
                        </w:rPr>
                      </w:pPr>
                      <w:r>
                        <w:rPr>
                          <w:rFonts w:hint="eastAsia" w:ascii="Times New Roman" w:hAnsi="Times New Roman" w:eastAsia="宋体" w:cs="Times New Roman"/>
                          <w:color w:val="D9D9D9" w:themeColor="background1" w:themeShade="D9"/>
                          <w:kern w:val="2"/>
                          <w:sz w:val="15"/>
                          <w:szCs w:val="15"/>
                          <w:lang w:val="en-US" w:eastAsia="zh-CN" w:bidi="ar-SA"/>
                        </w:rPr>
                        <w:t>精雕CNC裁断机</w:t>
                      </w:r>
                    </w:p>
                  </w:txbxContent>
                </v:textbox>
              </v:rect>
            </w:pict>
          </mc:Fallback>
        </mc:AlternateContent>
      </w:r>
      <w:r>
        <w:rPr>
          <w:color w:val="auto"/>
        </w:rPr>
        <mc:AlternateContent>
          <mc:Choice Requires="wps">
            <w:drawing>
              <wp:anchor distT="0" distB="0" distL="114300" distR="114300" simplePos="0" relativeHeight="251894784" behindDoc="0" locked="0" layoutInCell="1" allowOverlap="1">
                <wp:simplePos x="0" y="0"/>
                <wp:positionH relativeFrom="column">
                  <wp:posOffset>5153025</wp:posOffset>
                </wp:positionH>
                <wp:positionV relativeFrom="paragraph">
                  <wp:posOffset>3397250</wp:posOffset>
                </wp:positionV>
                <wp:extent cx="520065" cy="269875"/>
                <wp:effectExtent l="0" t="0" r="0" b="0"/>
                <wp:wrapNone/>
                <wp:docPr id="323" name="矩形 323"/>
                <wp:cNvGraphicFramePr/>
                <a:graphic xmlns:a="http://schemas.openxmlformats.org/drawingml/2006/main">
                  <a:graphicData uri="http://schemas.microsoft.com/office/word/2010/wordprocessingShape">
                    <wps:wsp>
                      <wps:cNvSpPr/>
                      <wps:spPr>
                        <a:xfrm>
                          <a:off x="0" y="0"/>
                          <a:ext cx="520065" cy="269875"/>
                        </a:xfrm>
                        <a:prstGeom prst="rect">
                          <a:avLst/>
                        </a:prstGeom>
                        <a:noFill/>
                        <a:ln w="15875">
                          <a:noFill/>
                        </a:ln>
                      </wps:spPr>
                      <wps:txbx>
                        <w:txbxContent>
                          <w:p w14:paraId="0B856875">
                            <w:pPr>
                              <w:rPr>
                                <w:rFonts w:hint="default"/>
                                <w:color w:val="D9D9D9" w:themeColor="background1" w:themeShade="D9"/>
                                <w:sz w:val="15"/>
                                <w:szCs w:val="18"/>
                                <w:lang w:val="en-US" w:eastAsia="zh-CN"/>
                              </w:rPr>
                            </w:pPr>
                            <w:r>
                              <w:rPr>
                                <w:rFonts w:hint="eastAsia"/>
                                <w:b w:val="0"/>
                                <w:bCs/>
                                <w:color w:val="D9D9D9" w:themeColor="background1" w:themeShade="D9"/>
                                <w:sz w:val="15"/>
                                <w:szCs w:val="15"/>
                                <w:lang w:val="en-US" w:eastAsia="zh-CN"/>
                              </w:rPr>
                              <w:t>下料</w:t>
                            </w:r>
                            <w:r>
                              <w:rPr>
                                <w:rFonts w:hint="eastAsia" w:ascii="Times New Roman" w:hAnsi="Times New Roman" w:eastAsia="宋体"/>
                                <w:b w:val="0"/>
                                <w:bCs/>
                                <w:color w:val="D9D9D9" w:themeColor="background1" w:themeShade="D9"/>
                                <w:sz w:val="15"/>
                                <w:szCs w:val="15"/>
                                <w:lang w:val="en-US" w:eastAsia="zh-CN"/>
                              </w:rPr>
                              <w:t>机</w:t>
                            </w:r>
                          </w:p>
                        </w:txbxContent>
                      </wps:txbx>
                      <wps:bodyPr upright="1"/>
                    </wps:wsp>
                  </a:graphicData>
                </a:graphic>
              </wp:anchor>
            </w:drawing>
          </mc:Choice>
          <mc:Fallback>
            <w:pict>
              <v:rect id="_x0000_s1026" o:spid="_x0000_s1026" o:spt="1" style="position:absolute;left:0pt;margin-left:405.75pt;margin-top:267.5pt;height:21.25pt;width:40.95pt;z-index:251894784;mso-width-relative:page;mso-height-relative:page;" filled="f" stroked="f" coordsize="21600,21600" o:gfxdata="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">
                <v:fill on="f" focussize="0,0"/>
                <v:stroke on="f" weight="1.25pt"/>
                <v:imagedata o:title=""/>
                <o:lock v:ext="edit" aspectratio="f"/>
                <v:textbox>
                  <w:txbxContent>
                    <w:p w14:paraId="0B856875">
                      <w:pPr>
                        <w:rPr>
                          <w:rFonts w:hint="default"/>
                          <w:color w:val="D9D9D9" w:themeColor="background1" w:themeShade="D9"/>
                          <w:sz w:val="15"/>
                          <w:szCs w:val="18"/>
                          <w:lang w:val="en-US" w:eastAsia="zh-CN"/>
                        </w:rPr>
                      </w:pPr>
                      <w:r>
                        <w:rPr>
                          <w:rFonts w:hint="eastAsia"/>
                          <w:b w:val="0"/>
                          <w:bCs/>
                          <w:color w:val="D9D9D9" w:themeColor="background1" w:themeShade="D9"/>
                          <w:sz w:val="15"/>
                          <w:szCs w:val="15"/>
                          <w:lang w:val="en-US" w:eastAsia="zh-CN"/>
                        </w:rPr>
                        <w:t>下料</w:t>
                      </w:r>
                      <w:r>
                        <w:rPr>
                          <w:rFonts w:hint="eastAsia" w:ascii="Times New Roman" w:hAnsi="Times New Roman" w:eastAsia="宋体"/>
                          <w:b w:val="0"/>
                          <w:bCs/>
                          <w:color w:val="D9D9D9" w:themeColor="background1" w:themeShade="D9"/>
                          <w:sz w:val="15"/>
                          <w:szCs w:val="15"/>
                          <w:lang w:val="en-US" w:eastAsia="zh-CN"/>
                        </w:rPr>
                        <w:t>机</w:t>
                      </w:r>
                    </w:p>
                  </w:txbxContent>
                </v:textbox>
              </v:rect>
            </w:pict>
          </mc:Fallback>
        </mc:AlternateContent>
      </w:r>
      <w:r>
        <w:rPr>
          <w:color w:val="auto"/>
          <w:sz w:val="21"/>
        </w:rPr>
        <mc:AlternateContent>
          <mc:Choice Requires="wps">
            <w:drawing>
              <wp:anchor distT="0" distB="0" distL="114300" distR="114300" simplePos="0" relativeHeight="251893760" behindDoc="0" locked="0" layoutInCell="1" allowOverlap="1">
                <wp:simplePos x="0" y="0"/>
                <wp:positionH relativeFrom="column">
                  <wp:posOffset>5125085</wp:posOffset>
                </wp:positionH>
                <wp:positionV relativeFrom="paragraph">
                  <wp:posOffset>3448685</wp:posOffset>
                </wp:positionV>
                <wp:extent cx="588010" cy="165100"/>
                <wp:effectExtent l="6350" t="6350" r="15240" b="11430"/>
                <wp:wrapNone/>
                <wp:docPr id="322" name="矩形 322"/>
                <wp:cNvGraphicFramePr/>
                <a:graphic xmlns:a="http://schemas.openxmlformats.org/drawingml/2006/main">
                  <a:graphicData uri="http://schemas.microsoft.com/office/word/2010/wordprocessingShape">
                    <wps:wsp>
                      <wps:cNvSpPr/>
                      <wps:spPr>
                        <a:xfrm>
                          <a:off x="0" y="0"/>
                          <a:ext cx="588010" cy="165100"/>
                        </a:xfrm>
                        <a:prstGeom prst="rect">
                          <a:avLst/>
                        </a:prstGeom>
                        <a:noFill/>
                        <a:ln w="12700">
                          <a:solidFill>
                            <a:schemeClr val="bg1">
                              <a:lumMod val="85000"/>
                            </a:schemeClr>
                          </a:solidFill>
                          <a:prstDash val="dash"/>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03.55pt;margin-top:271.55pt;height:13pt;width:46.3pt;z-index:251893760;v-text-anchor:middle;mso-width-relative:page;mso-height-relative:page;" filled="f" stroked="t" coordsize="21600,21600" o:gfxdata="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AAAAA&#10;ZHJzL1BLAQIUABQAAAAIAIdO4kCihylN2wAAAAsBAAAPAAAAAAAAAAEAIAAAACIAAABkcnMvZG93&#10;bnJldi54bWxQSwECFAAUAAAACACHTuJAWKBR7G8CAADYBAAADgAAAAAAAAABACAAAAAqAQAAZHJz&#10;L2Uyb0RvYy54bWxQSwUGAAAAAAYABgBZAQAACwYAAAAA&#10;">
                <v:fill on="f" focussize="0,0"/>
                <v:stroke weight="1pt" color="#D9D9D9 [2732]" joinstyle="round" dashstyle="dash"/>
                <v:imagedata o:title=""/>
                <o:lock v:ext="edit" aspectratio="f"/>
              </v:rect>
            </w:pict>
          </mc:Fallback>
        </mc:AlternateContent>
      </w:r>
      <w:r>
        <w:rPr>
          <w:color w:val="auto"/>
          <w:sz w:val="21"/>
        </w:rPr>
        <mc:AlternateContent>
          <mc:Choice Requires="wps">
            <w:drawing>
              <wp:anchor distT="0" distB="0" distL="114300" distR="114300" simplePos="0" relativeHeight="251892736" behindDoc="0" locked="0" layoutInCell="1" allowOverlap="1">
                <wp:simplePos x="0" y="0"/>
                <wp:positionH relativeFrom="column">
                  <wp:posOffset>5142230</wp:posOffset>
                </wp:positionH>
                <wp:positionV relativeFrom="paragraph">
                  <wp:posOffset>3289935</wp:posOffset>
                </wp:positionV>
                <wp:extent cx="567690" cy="171450"/>
                <wp:effectExtent l="6350" t="6350" r="20320" b="20320"/>
                <wp:wrapNone/>
                <wp:docPr id="321" name="矩形 321"/>
                <wp:cNvGraphicFramePr/>
                <a:graphic xmlns:a="http://schemas.openxmlformats.org/drawingml/2006/main">
                  <a:graphicData uri="http://schemas.microsoft.com/office/word/2010/wordprocessingShape">
                    <wps:wsp>
                      <wps:cNvSpPr/>
                      <wps:spPr>
                        <a:xfrm>
                          <a:off x="0" y="0"/>
                          <a:ext cx="567690" cy="171450"/>
                        </a:xfrm>
                        <a:prstGeom prst="rect">
                          <a:avLst/>
                        </a:prstGeom>
                        <a:noFill/>
                        <a:ln w="12700">
                          <a:solidFill>
                            <a:schemeClr val="bg1">
                              <a:lumMod val="85000"/>
                            </a:schemeClr>
                          </a:solidFill>
                          <a:prstDash val="dash"/>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04.9pt;margin-top:259.05pt;height:13.5pt;width:44.7pt;z-index:251892736;v-text-anchor:middle;mso-width-relative:page;mso-height-relative:page;" filled="f" stroked="t" coordsize="21600,21600" o:gfxdata="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AAAAA&#10;ZHJzL1BLAQIUABQAAAAIAIdO4kDcSsZO3AAAAAsBAAAPAAAAAAAAAAEAIAAAACIAAABkcnMvZG93&#10;bnJldi54bWxQSwECFAAUAAAACACHTuJAlJQbh24CAADYBAAADgAAAAAAAAABACAAAAArAQAAZHJz&#10;L2Uyb0RvYy54bWxQSwUGAAAAAAYABgBZAQAACwYAAAAA&#10;">
                <v:fill on="f" focussize="0,0"/>
                <v:stroke weight="1pt" color="#D9D9D9 [2732]" joinstyle="round" dashstyle="dash"/>
                <v:imagedata o:title=""/>
                <o:lock v:ext="edit" aspectratio="f"/>
              </v:rect>
            </w:pict>
          </mc:Fallback>
        </mc:AlternateContent>
      </w:r>
      <w:r>
        <w:rPr>
          <w:color w:val="auto"/>
        </w:rPr>
        <mc:AlternateContent>
          <mc:Choice Requires="wps">
            <w:drawing>
              <wp:anchor distT="0" distB="0" distL="114300" distR="114300" simplePos="0" relativeHeight="251891712" behindDoc="0" locked="0" layoutInCell="1" allowOverlap="1">
                <wp:simplePos x="0" y="0"/>
                <wp:positionH relativeFrom="column">
                  <wp:posOffset>5600065</wp:posOffset>
                </wp:positionH>
                <wp:positionV relativeFrom="paragraph">
                  <wp:posOffset>1240790</wp:posOffset>
                </wp:positionV>
                <wp:extent cx="1162685" cy="269875"/>
                <wp:effectExtent l="0" t="0" r="0" b="0"/>
                <wp:wrapNone/>
                <wp:docPr id="317" name="矩形 317"/>
                <wp:cNvGraphicFramePr/>
                <a:graphic xmlns:a="http://schemas.openxmlformats.org/drawingml/2006/main">
                  <a:graphicData uri="http://schemas.microsoft.com/office/word/2010/wordprocessingShape">
                    <wps:wsp>
                      <wps:cNvSpPr/>
                      <wps:spPr>
                        <a:xfrm>
                          <a:off x="0" y="0"/>
                          <a:ext cx="1162685" cy="269875"/>
                        </a:xfrm>
                        <a:prstGeom prst="rect">
                          <a:avLst/>
                        </a:prstGeom>
                        <a:noFill/>
                        <a:ln w="15875">
                          <a:noFill/>
                        </a:ln>
                      </wps:spPr>
                      <wps:txbx>
                        <w:txbxContent>
                          <w:p w14:paraId="695F3971">
                            <w:pPr>
                              <w:rPr>
                                <w:rFonts w:hint="default"/>
                                <w:color w:val="D9D9D9" w:themeColor="background1" w:themeShade="D9"/>
                                <w:sz w:val="15"/>
                                <w:szCs w:val="18"/>
                                <w:lang w:val="en-US" w:eastAsia="zh-CN"/>
                              </w:rPr>
                            </w:pPr>
                            <w:r>
                              <w:rPr>
                                <w:rFonts w:hint="eastAsia" w:ascii="Times New Roman" w:hAnsi="Times New Roman" w:eastAsia="宋体"/>
                                <w:b w:val="0"/>
                                <w:bCs/>
                                <w:color w:val="D9D9D9" w:themeColor="background1" w:themeShade="D9"/>
                                <w:sz w:val="15"/>
                                <w:szCs w:val="15"/>
                                <w:lang w:val="en-US" w:eastAsia="zh-CN"/>
                              </w:rPr>
                              <w:t>自动化聚氨酯机发泡机</w:t>
                            </w:r>
                          </w:p>
                        </w:txbxContent>
                      </wps:txbx>
                      <wps:bodyPr upright="1"/>
                    </wps:wsp>
                  </a:graphicData>
                </a:graphic>
              </wp:anchor>
            </w:drawing>
          </mc:Choice>
          <mc:Fallback>
            <w:pict>
              <v:rect id="_x0000_s1026" o:spid="_x0000_s1026" o:spt="1" style="position:absolute;left:0pt;margin-left:440.95pt;margin-top:97.7pt;height:21.25pt;width:91.55pt;z-index:251891712;mso-width-relative:page;mso-height-relative:page;" filled="f" stroked="f" coordsize="21600,21600" o:gfxdata="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">
                <v:fill on="f" focussize="0,0"/>
                <v:stroke on="f" weight="1.25pt"/>
                <v:imagedata o:title=""/>
                <o:lock v:ext="edit" aspectratio="f"/>
                <v:textbox>
                  <w:txbxContent>
                    <w:p w14:paraId="695F3971">
                      <w:pPr>
                        <w:rPr>
                          <w:rFonts w:hint="default"/>
                          <w:color w:val="D9D9D9" w:themeColor="background1" w:themeShade="D9"/>
                          <w:sz w:val="15"/>
                          <w:szCs w:val="18"/>
                          <w:lang w:val="en-US" w:eastAsia="zh-CN"/>
                        </w:rPr>
                      </w:pPr>
                      <w:r>
                        <w:rPr>
                          <w:rFonts w:hint="eastAsia" w:ascii="Times New Roman" w:hAnsi="Times New Roman" w:eastAsia="宋体"/>
                          <w:b w:val="0"/>
                          <w:bCs/>
                          <w:color w:val="D9D9D9" w:themeColor="background1" w:themeShade="D9"/>
                          <w:sz w:val="15"/>
                          <w:szCs w:val="15"/>
                          <w:lang w:val="en-US" w:eastAsia="zh-CN"/>
                        </w:rPr>
                        <w:t>自动化聚氨酯机发泡机</w:t>
                      </w:r>
                    </w:p>
                  </w:txbxContent>
                </v:textbox>
              </v:rect>
            </w:pict>
          </mc:Fallback>
        </mc:AlternateContent>
      </w:r>
      <w:r>
        <w:rPr>
          <w:color w:val="auto"/>
        </w:rPr>
        <mc:AlternateContent>
          <mc:Choice Requires="wps">
            <w:drawing>
              <wp:anchor distT="0" distB="0" distL="114300" distR="114300" simplePos="0" relativeHeight="251783168" behindDoc="0" locked="0" layoutInCell="1" allowOverlap="1">
                <wp:simplePos x="0" y="0"/>
                <wp:positionH relativeFrom="column">
                  <wp:posOffset>5876925</wp:posOffset>
                </wp:positionH>
                <wp:positionV relativeFrom="paragraph">
                  <wp:posOffset>1054100</wp:posOffset>
                </wp:positionV>
                <wp:extent cx="631190" cy="351790"/>
                <wp:effectExtent l="0" t="0" r="0" b="0"/>
                <wp:wrapNone/>
                <wp:docPr id="290" name="矩形 290"/>
                <wp:cNvGraphicFramePr/>
                <a:graphic xmlns:a="http://schemas.openxmlformats.org/drawingml/2006/main">
                  <a:graphicData uri="http://schemas.microsoft.com/office/word/2010/wordprocessingShape">
                    <wps:wsp>
                      <wps:cNvSpPr/>
                      <wps:spPr>
                        <a:xfrm>
                          <a:off x="0" y="0"/>
                          <a:ext cx="631190" cy="351790"/>
                        </a:xfrm>
                        <a:prstGeom prst="rect">
                          <a:avLst/>
                        </a:prstGeom>
                        <a:noFill/>
                        <a:ln w="15875">
                          <a:noFill/>
                        </a:ln>
                      </wps:spPr>
                      <wps:txbx>
                        <w:txbxContent>
                          <w:p w14:paraId="4835B1A1">
                            <w:pPr>
                              <w:rPr>
                                <w:rFonts w:hint="default"/>
                                <w:b w:val="0"/>
                                <w:bCs w:val="0"/>
                                <w:color w:val="FF0000"/>
                                <w:lang w:val="en-US" w:eastAsia="zh-CN"/>
                              </w:rPr>
                            </w:pPr>
                            <w:r>
                              <w:rPr>
                                <w:rFonts w:hint="eastAsia"/>
                                <w:b w:val="0"/>
                                <w:bCs w:val="0"/>
                                <w:color w:val="FF0000"/>
                                <w:sz w:val="18"/>
                                <w:szCs w:val="21"/>
                                <w:lang w:val="en-US" w:eastAsia="zh-CN"/>
                              </w:rPr>
                              <w:t>DA002</w:t>
                            </w:r>
                          </w:p>
                        </w:txbxContent>
                      </wps:txbx>
                      <wps:bodyPr upright="1"/>
                    </wps:wsp>
                  </a:graphicData>
                </a:graphic>
              </wp:anchor>
            </w:drawing>
          </mc:Choice>
          <mc:Fallback>
            <w:pict>
              <v:rect id="_x0000_s1026" o:spid="_x0000_s1026" o:spt="1" style="position:absolute;left:0pt;margin-left:462.75pt;margin-top:83pt;height:27.7pt;width:49.7pt;z-index:251783168;mso-width-relative:page;mso-height-relative:page;" filled="f" stroked="f" coordsize="21600,21600" o:gfxdata="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">
                <v:fill on="f" focussize="0,0"/>
                <v:stroke on="f" weight="1.25pt"/>
                <v:imagedata o:title=""/>
                <o:lock v:ext="edit" aspectratio="f"/>
                <v:textbox>
                  <w:txbxContent>
                    <w:p w14:paraId="4835B1A1">
                      <w:pPr>
                        <w:rPr>
                          <w:rFonts w:hint="default"/>
                          <w:b w:val="0"/>
                          <w:bCs w:val="0"/>
                          <w:color w:val="FF0000"/>
                          <w:lang w:val="en-US" w:eastAsia="zh-CN"/>
                        </w:rPr>
                      </w:pPr>
                      <w:r>
                        <w:rPr>
                          <w:rFonts w:hint="eastAsia"/>
                          <w:b w:val="0"/>
                          <w:bCs w:val="0"/>
                          <w:color w:val="FF0000"/>
                          <w:sz w:val="18"/>
                          <w:szCs w:val="21"/>
                          <w:lang w:val="en-US" w:eastAsia="zh-CN"/>
                        </w:rPr>
                        <w:t>DA002</w:t>
                      </w:r>
                    </w:p>
                  </w:txbxContent>
                </v:textbox>
              </v:rect>
            </w:pict>
          </mc:Fallback>
        </mc:AlternateContent>
      </w:r>
      <w:r>
        <w:rPr>
          <w:color w:val="auto"/>
          <w:sz w:val="21"/>
        </w:rPr>
        <mc:AlternateContent>
          <mc:Choice Requires="wps">
            <w:drawing>
              <wp:anchor distT="0" distB="0" distL="114300" distR="114300" simplePos="0" relativeHeight="251890688" behindDoc="0" locked="0" layoutInCell="1" allowOverlap="1">
                <wp:simplePos x="0" y="0"/>
                <wp:positionH relativeFrom="column">
                  <wp:posOffset>5673725</wp:posOffset>
                </wp:positionH>
                <wp:positionV relativeFrom="paragraph">
                  <wp:posOffset>1290320</wp:posOffset>
                </wp:positionV>
                <wp:extent cx="250190" cy="234950"/>
                <wp:effectExtent l="6350" t="6350" r="17780" b="17780"/>
                <wp:wrapNone/>
                <wp:docPr id="308" name="矩形 308"/>
                <wp:cNvGraphicFramePr/>
                <a:graphic xmlns:a="http://schemas.openxmlformats.org/drawingml/2006/main">
                  <a:graphicData uri="http://schemas.microsoft.com/office/word/2010/wordprocessingShape">
                    <wps:wsp>
                      <wps:cNvSpPr/>
                      <wps:spPr>
                        <a:xfrm>
                          <a:off x="0" y="0"/>
                          <a:ext cx="250190" cy="234950"/>
                        </a:xfrm>
                        <a:prstGeom prst="rect">
                          <a:avLst/>
                        </a:prstGeom>
                        <a:noFill/>
                        <a:ln w="12700">
                          <a:solidFill>
                            <a:schemeClr val="bg1">
                              <a:lumMod val="85000"/>
                            </a:schemeClr>
                          </a:solidFill>
                          <a:prstDash val="dash"/>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46.75pt;margin-top:101.6pt;height:18.5pt;width:19.7pt;z-index:251890688;v-text-anchor:middle;mso-width-relative:page;mso-height-relative:page;" filled="f" stroked="t" coordsize="21600,21600" o:gfxdata="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AAAAA&#10;ZHJzL1BLAQIUABQAAAAIAIdO4kAdgM3K2wAAAAsBAAAPAAAAAAAAAAEAIAAAACIAAABkcnMvZG93&#10;bnJldi54bWxQSwECFAAUAAAACACHTuJA1SJy+W8CAADYBAAADgAAAAAAAAABACAAAAAqAQAAZHJz&#10;L2Uyb0RvYy54bWxQSwUGAAAAAAYABgBZAQAACwYAAAAA&#10;">
                <v:fill on="f" focussize="0,0"/>
                <v:stroke weight="1pt" color="#D9D9D9 [2732]" joinstyle="round" dashstyle="dash"/>
                <v:imagedata o:title=""/>
                <o:lock v:ext="edit" aspectratio="f"/>
              </v:rect>
            </w:pict>
          </mc:Fallback>
        </mc:AlternateContent>
      </w:r>
      <w:r>
        <w:rPr>
          <w:color w:val="auto"/>
        </w:rPr>
        <mc:AlternateContent>
          <mc:Choice Requires="wps">
            <w:drawing>
              <wp:anchor distT="0" distB="0" distL="114300" distR="114300" simplePos="0" relativeHeight="251889664" behindDoc="0" locked="0" layoutInCell="1" allowOverlap="1">
                <wp:simplePos x="0" y="0"/>
                <wp:positionH relativeFrom="column">
                  <wp:posOffset>5313680</wp:posOffset>
                </wp:positionH>
                <wp:positionV relativeFrom="paragraph">
                  <wp:posOffset>940435</wp:posOffset>
                </wp:positionV>
                <wp:extent cx="838835" cy="269875"/>
                <wp:effectExtent l="0" t="0" r="0" b="0"/>
                <wp:wrapNone/>
                <wp:docPr id="305" name="矩形 305"/>
                <wp:cNvGraphicFramePr/>
                <a:graphic xmlns:a="http://schemas.openxmlformats.org/drawingml/2006/main">
                  <a:graphicData uri="http://schemas.microsoft.com/office/word/2010/wordprocessingShape">
                    <wps:wsp>
                      <wps:cNvSpPr/>
                      <wps:spPr>
                        <a:xfrm>
                          <a:off x="0" y="0"/>
                          <a:ext cx="838835" cy="269875"/>
                        </a:xfrm>
                        <a:prstGeom prst="rect">
                          <a:avLst/>
                        </a:prstGeom>
                        <a:noFill/>
                        <a:ln w="15875">
                          <a:noFill/>
                        </a:ln>
                      </wps:spPr>
                      <wps:txbx>
                        <w:txbxContent>
                          <w:p w14:paraId="3670EDE9">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D9D9D9" w:themeColor="background1" w:themeShade="D9"/>
                                <w:sz w:val="15"/>
                                <w:szCs w:val="18"/>
                                <w:lang w:val="en-US" w:eastAsia="zh-CN"/>
                              </w:rPr>
                            </w:pPr>
                            <w:r>
                              <w:rPr>
                                <w:rFonts w:hint="eastAsia"/>
                                <w:b w:val="0"/>
                                <w:bCs w:val="0"/>
                                <w:color w:val="D9D9D9" w:themeColor="background1" w:themeShade="D9"/>
                                <w:sz w:val="15"/>
                                <w:szCs w:val="18"/>
                                <w:lang w:val="en-US" w:eastAsia="zh-CN"/>
                              </w:rPr>
                              <w:t>圆盘注塑机</w:t>
                            </w:r>
                          </w:p>
                        </w:txbxContent>
                      </wps:txbx>
                      <wps:bodyPr upright="1"/>
                    </wps:wsp>
                  </a:graphicData>
                </a:graphic>
              </wp:anchor>
            </w:drawing>
          </mc:Choice>
          <mc:Fallback>
            <w:pict>
              <v:rect id="_x0000_s1026" o:spid="_x0000_s1026" o:spt="1" style="position:absolute;left:0pt;margin-left:418.4pt;margin-top:74.05pt;height:21.25pt;width:66.05pt;z-index:251889664;mso-width-relative:page;mso-height-relative:page;" filled="f" stroked="f" coordsize="21600,21600" o:gfxdata="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BxtXLtoA&#10;AAALAQAADwAAAAAAAAABACAAAAAiAAAAZHJzL2Rvd25yZXYueG1sUEsBAhQAFAAAAAgAh07iQECU&#10;4burAQAATgMAAA4AAAAAAAAAAQAgAAAAKQEAAGRycy9lMm9Eb2MueG1sUEsFBgAAAAAGAAYAWQEA&#10;AEYFAAAAAA==&#10;">
                <v:fill on="f" focussize="0,0"/>
                <v:stroke on="f" weight="1.25pt"/>
                <v:imagedata o:title=""/>
                <o:lock v:ext="edit" aspectratio="f"/>
                <v:textbox>
                  <w:txbxContent>
                    <w:p w14:paraId="3670EDE9">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D9D9D9" w:themeColor="background1" w:themeShade="D9"/>
                          <w:sz w:val="15"/>
                          <w:szCs w:val="18"/>
                          <w:lang w:val="en-US" w:eastAsia="zh-CN"/>
                        </w:rPr>
                      </w:pPr>
                      <w:r>
                        <w:rPr>
                          <w:rFonts w:hint="eastAsia"/>
                          <w:b w:val="0"/>
                          <w:bCs w:val="0"/>
                          <w:color w:val="D9D9D9" w:themeColor="background1" w:themeShade="D9"/>
                          <w:sz w:val="15"/>
                          <w:szCs w:val="18"/>
                          <w:lang w:val="en-US" w:eastAsia="zh-CN"/>
                        </w:rPr>
                        <w:t>圆盘注塑机</w:t>
                      </w:r>
                    </w:p>
                  </w:txbxContent>
                </v:textbox>
              </v:rect>
            </w:pict>
          </mc:Fallback>
        </mc:AlternateContent>
      </w:r>
      <w:r>
        <w:rPr>
          <w:color w:val="auto"/>
        </w:rPr>
        <mc:AlternateContent>
          <mc:Choice Requires="wps">
            <w:drawing>
              <wp:anchor distT="0" distB="0" distL="114300" distR="114300" simplePos="0" relativeHeight="251888640" behindDoc="0" locked="0" layoutInCell="1" allowOverlap="1">
                <wp:simplePos x="0" y="0"/>
                <wp:positionH relativeFrom="column">
                  <wp:posOffset>5316220</wp:posOffset>
                </wp:positionH>
                <wp:positionV relativeFrom="paragraph">
                  <wp:posOffset>808990</wp:posOffset>
                </wp:positionV>
                <wp:extent cx="838835" cy="269875"/>
                <wp:effectExtent l="0" t="0" r="0" b="0"/>
                <wp:wrapNone/>
                <wp:docPr id="304" name="矩形 304"/>
                <wp:cNvGraphicFramePr/>
                <a:graphic xmlns:a="http://schemas.openxmlformats.org/drawingml/2006/main">
                  <a:graphicData uri="http://schemas.microsoft.com/office/word/2010/wordprocessingShape">
                    <wps:wsp>
                      <wps:cNvSpPr/>
                      <wps:spPr>
                        <a:xfrm>
                          <a:off x="0" y="0"/>
                          <a:ext cx="838835" cy="269875"/>
                        </a:xfrm>
                        <a:prstGeom prst="rect">
                          <a:avLst/>
                        </a:prstGeom>
                        <a:noFill/>
                        <a:ln w="15875">
                          <a:noFill/>
                        </a:ln>
                      </wps:spPr>
                      <wps:txbx>
                        <w:txbxContent>
                          <w:p w14:paraId="5BCAF939">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D9D9D9" w:themeColor="background1" w:themeShade="D9"/>
                                <w:sz w:val="15"/>
                                <w:szCs w:val="18"/>
                                <w:lang w:val="en-US" w:eastAsia="zh-CN"/>
                              </w:rPr>
                            </w:pPr>
                            <w:r>
                              <w:rPr>
                                <w:rFonts w:hint="eastAsia"/>
                                <w:b w:val="0"/>
                                <w:bCs w:val="0"/>
                                <w:color w:val="D9D9D9" w:themeColor="background1" w:themeShade="D9"/>
                                <w:sz w:val="15"/>
                                <w:szCs w:val="18"/>
                                <w:lang w:val="en-US" w:eastAsia="zh-CN"/>
                              </w:rPr>
                              <w:t>立式注塑机</w:t>
                            </w:r>
                          </w:p>
                        </w:txbxContent>
                      </wps:txbx>
                      <wps:bodyPr upright="1"/>
                    </wps:wsp>
                  </a:graphicData>
                </a:graphic>
              </wp:anchor>
            </w:drawing>
          </mc:Choice>
          <mc:Fallback>
            <w:pict>
              <v:rect id="_x0000_s1026" o:spid="_x0000_s1026" o:spt="1" style="position:absolute;left:0pt;margin-left:418.6pt;margin-top:63.7pt;height:21.25pt;width:66.05pt;z-index:251888640;mso-width-relative:page;mso-height-relative:page;" filled="f" stroked="f" coordsize="21600,21600" o:gfxdata="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">
                <v:fill on="f" focussize="0,0"/>
                <v:stroke on="f" weight="1.25pt"/>
                <v:imagedata o:title=""/>
                <o:lock v:ext="edit" aspectratio="f"/>
                <v:textbox>
                  <w:txbxContent>
                    <w:p w14:paraId="5BCAF939">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D9D9D9" w:themeColor="background1" w:themeShade="D9"/>
                          <w:sz w:val="15"/>
                          <w:szCs w:val="18"/>
                          <w:lang w:val="en-US" w:eastAsia="zh-CN"/>
                        </w:rPr>
                      </w:pPr>
                      <w:r>
                        <w:rPr>
                          <w:rFonts w:hint="eastAsia"/>
                          <w:b w:val="0"/>
                          <w:bCs w:val="0"/>
                          <w:color w:val="D9D9D9" w:themeColor="background1" w:themeShade="D9"/>
                          <w:sz w:val="15"/>
                          <w:szCs w:val="18"/>
                          <w:lang w:val="en-US" w:eastAsia="zh-CN"/>
                        </w:rPr>
                        <w:t>立式注塑机</w:t>
                      </w:r>
                    </w:p>
                  </w:txbxContent>
                </v:textbox>
              </v:rect>
            </w:pict>
          </mc:Fallback>
        </mc:AlternateContent>
      </w:r>
      <w:r>
        <w:rPr>
          <w:color w:val="auto"/>
          <w:sz w:val="21"/>
        </w:rPr>
        <mc:AlternateContent>
          <mc:Choice Requires="wps">
            <w:drawing>
              <wp:anchor distT="0" distB="0" distL="114300" distR="114300" simplePos="0" relativeHeight="251887616" behindDoc="0" locked="0" layoutInCell="1" allowOverlap="1">
                <wp:simplePos x="0" y="0"/>
                <wp:positionH relativeFrom="column">
                  <wp:posOffset>4178300</wp:posOffset>
                </wp:positionH>
                <wp:positionV relativeFrom="paragraph">
                  <wp:posOffset>1042670</wp:posOffset>
                </wp:positionV>
                <wp:extent cx="1661160" cy="93980"/>
                <wp:effectExtent l="6350" t="6350" r="8890" b="6350"/>
                <wp:wrapNone/>
                <wp:docPr id="288" name="矩形 288"/>
                <wp:cNvGraphicFramePr/>
                <a:graphic xmlns:a="http://schemas.openxmlformats.org/drawingml/2006/main">
                  <a:graphicData uri="http://schemas.microsoft.com/office/word/2010/wordprocessingShape">
                    <wps:wsp>
                      <wps:cNvSpPr/>
                      <wps:spPr>
                        <a:xfrm>
                          <a:off x="0" y="0"/>
                          <a:ext cx="1661160" cy="93980"/>
                        </a:xfrm>
                        <a:prstGeom prst="rect">
                          <a:avLst/>
                        </a:prstGeom>
                        <a:noFill/>
                        <a:ln w="12700">
                          <a:solidFill>
                            <a:schemeClr val="bg1">
                              <a:lumMod val="85000"/>
                            </a:schemeClr>
                          </a:solidFill>
                          <a:prstDash val="dash"/>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29pt;margin-top:82.1pt;height:7.4pt;width:130.8pt;z-index:251887616;v-text-anchor:middle;mso-width-relative:page;mso-height-relative:page;" filled="f" stroked="t" coordsize="21600,21600" o:gfxdata="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AAAAA&#10;ZHJzL1BLAQIUABQAAAAIAIdO4kBxrGDX2wAAAAsBAAAPAAAAAAAAAAEAIAAAACIAAABkcnMvZG93&#10;bnJldi54bWxQSwECFAAUAAAACACHTuJATaodE28CAADYBAAADgAAAAAAAAABACAAAAAqAQAAZHJz&#10;L2Uyb0RvYy54bWxQSwUGAAAAAAYABgBZAQAACwYAAAAA&#10;">
                <v:fill on="f" focussize="0,0"/>
                <v:stroke weight="1pt" color="#D9D9D9 [2732]" joinstyle="round" dashstyle="dash"/>
                <v:imagedata o:title=""/>
                <o:lock v:ext="edit" aspectratio="f"/>
              </v:rect>
            </w:pict>
          </mc:Fallback>
        </mc:AlternateContent>
      </w:r>
      <w:r>
        <w:rPr>
          <w:color w:val="auto"/>
        </w:rPr>
        <mc:AlternateContent>
          <mc:Choice Requires="wps">
            <w:drawing>
              <wp:anchor distT="0" distB="0" distL="114300" distR="114300" simplePos="0" relativeHeight="251759616" behindDoc="0" locked="0" layoutInCell="1" allowOverlap="1">
                <wp:simplePos x="0" y="0"/>
                <wp:positionH relativeFrom="column">
                  <wp:posOffset>4387850</wp:posOffset>
                </wp:positionH>
                <wp:positionV relativeFrom="paragraph">
                  <wp:posOffset>1318895</wp:posOffset>
                </wp:positionV>
                <wp:extent cx="1226185" cy="298450"/>
                <wp:effectExtent l="0" t="0" r="0" b="0"/>
                <wp:wrapNone/>
                <wp:docPr id="220" name="矩形 220"/>
                <wp:cNvGraphicFramePr/>
                <a:graphic xmlns:a="http://schemas.openxmlformats.org/drawingml/2006/main">
                  <a:graphicData uri="http://schemas.microsoft.com/office/word/2010/wordprocessingShape">
                    <wps:wsp>
                      <wps:cNvSpPr/>
                      <wps:spPr>
                        <a:xfrm>
                          <a:off x="0" y="0"/>
                          <a:ext cx="1226185" cy="298450"/>
                        </a:xfrm>
                        <a:prstGeom prst="rect">
                          <a:avLst/>
                        </a:prstGeom>
                        <a:noFill/>
                        <a:ln w="15875">
                          <a:noFill/>
                        </a:ln>
                      </wps:spPr>
                      <wps:txbx>
                        <w:txbxContent>
                          <w:p w14:paraId="60BFEB76">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PVC注塑鞋生产线</w:t>
                            </w:r>
                          </w:p>
                        </w:txbxContent>
                      </wps:txbx>
                      <wps:bodyPr upright="1"/>
                    </wps:wsp>
                  </a:graphicData>
                </a:graphic>
              </wp:anchor>
            </w:drawing>
          </mc:Choice>
          <mc:Fallback>
            <w:pict>
              <v:rect id="_x0000_s1026" o:spid="_x0000_s1026" o:spt="1" style="position:absolute;left:0pt;margin-left:345.5pt;margin-top:103.85pt;height:23.5pt;width:96.55pt;z-index:251759616;mso-width-relative:page;mso-height-relative:page;" filled="f" stroked="f" coordsize="21600,21600" o:gfxdata="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Gge&#10;D9jcAAAACwEAAA8AAAAAAAAAAQAgAAAAIgAAAGRycy9kb3ducmV2LnhtbFBLAQIUABQAAAAIAIdO&#10;4kDJ7xTFrQEAAE8DAAAOAAAAAAAAAAEAIAAAACsBAABkcnMvZTJvRG9jLnhtbFBLBQYAAAAABgAG&#10;AFkBAABKBQAAAAA=&#10;">
                <v:fill on="f" focussize="0,0"/>
                <v:stroke on="f" weight="1.25pt"/>
                <v:imagedata o:title=""/>
                <o:lock v:ext="edit" aspectratio="f"/>
                <v:textbox>
                  <w:txbxContent>
                    <w:p w14:paraId="60BFEB76">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PVC注塑鞋生产线</w:t>
                      </w:r>
                    </w:p>
                  </w:txbxContent>
                </v:textbox>
              </v:rect>
            </w:pict>
          </mc:Fallback>
        </mc:AlternateContent>
      </w:r>
      <w:r>
        <w:rPr>
          <w:color w:val="auto"/>
        </w:rPr>
        <mc:AlternateContent>
          <mc:Choice Requires="wps">
            <w:drawing>
              <wp:anchor distT="0" distB="0" distL="114300" distR="114300" simplePos="0" relativeHeight="251773952" behindDoc="0" locked="0" layoutInCell="1" allowOverlap="1">
                <wp:simplePos x="0" y="0"/>
                <wp:positionH relativeFrom="column">
                  <wp:posOffset>5832475</wp:posOffset>
                </wp:positionH>
                <wp:positionV relativeFrom="paragraph">
                  <wp:posOffset>3428365</wp:posOffset>
                </wp:positionV>
                <wp:extent cx="792480" cy="298450"/>
                <wp:effectExtent l="0" t="0" r="0" b="0"/>
                <wp:wrapNone/>
                <wp:docPr id="238" name="矩形 238"/>
                <wp:cNvGraphicFramePr/>
                <a:graphic xmlns:a="http://schemas.openxmlformats.org/drawingml/2006/main">
                  <a:graphicData uri="http://schemas.microsoft.com/office/word/2010/wordprocessingShape">
                    <wps:wsp>
                      <wps:cNvSpPr/>
                      <wps:spPr>
                        <a:xfrm>
                          <a:off x="0" y="0"/>
                          <a:ext cx="792480" cy="298450"/>
                        </a:xfrm>
                        <a:prstGeom prst="rect">
                          <a:avLst/>
                        </a:prstGeom>
                        <a:noFill/>
                        <a:ln w="15875">
                          <a:noFill/>
                        </a:ln>
                      </wps:spPr>
                      <wps:txbx>
                        <w:txbxContent>
                          <w:p w14:paraId="7E6EA65C">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危废暂存间</w:t>
                            </w:r>
                          </w:p>
                        </w:txbxContent>
                      </wps:txbx>
                      <wps:bodyPr upright="1"/>
                    </wps:wsp>
                  </a:graphicData>
                </a:graphic>
              </wp:anchor>
            </w:drawing>
          </mc:Choice>
          <mc:Fallback>
            <w:pict>
              <v:rect id="_x0000_s1026" o:spid="_x0000_s1026" o:spt="1" style="position:absolute;left:0pt;margin-left:459.25pt;margin-top:269.95pt;height:23.5pt;width:62.4pt;z-index:251773952;mso-width-relative:page;mso-height-relative:page;" filled="f" stroked="f" coordsize="21600,21600" o:gfxdata="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Bt&#10;7MsF3AAAAAwBAAAPAAAAAAAAAAEAIAAAACIAAABkcnMvZG93bnJldi54bWxQSwECFAAUAAAACACH&#10;TuJAXIaKJq4BAABOAwAADgAAAAAAAAABACAAAAArAQAAZHJzL2Uyb0RvYy54bWxQSwUGAAAAAAYA&#10;BgBZAQAASwUAAAAA&#10;">
                <v:fill on="f" focussize="0,0"/>
                <v:stroke on="f" weight="1.25pt"/>
                <v:imagedata o:title=""/>
                <o:lock v:ext="edit" aspectratio="f"/>
                <v:textbox>
                  <w:txbxContent>
                    <w:p w14:paraId="7E6EA65C">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危废暂存间</w:t>
                      </w:r>
                    </w:p>
                  </w:txbxContent>
                </v:textbox>
              </v:rect>
            </w:pict>
          </mc:Fallback>
        </mc:AlternateContent>
      </w:r>
      <w:r>
        <w:rPr>
          <w:color w:val="auto"/>
          <w:sz w:val="21"/>
        </w:rPr>
        <mc:AlternateContent>
          <mc:Choice Requires="wps">
            <w:drawing>
              <wp:anchor distT="0" distB="0" distL="114300" distR="114300" simplePos="0" relativeHeight="251742208" behindDoc="0" locked="0" layoutInCell="1" allowOverlap="1">
                <wp:simplePos x="0" y="0"/>
                <wp:positionH relativeFrom="column">
                  <wp:posOffset>5781040</wp:posOffset>
                </wp:positionH>
                <wp:positionV relativeFrom="paragraph">
                  <wp:posOffset>3530600</wp:posOffset>
                </wp:positionV>
                <wp:extent cx="118745" cy="102235"/>
                <wp:effectExtent l="6350" t="6350" r="12065" b="13335"/>
                <wp:wrapNone/>
                <wp:docPr id="199" name="矩形 199"/>
                <wp:cNvGraphicFramePr/>
                <a:graphic xmlns:a="http://schemas.openxmlformats.org/drawingml/2006/main">
                  <a:graphicData uri="http://schemas.microsoft.com/office/word/2010/wordprocessingShape">
                    <wps:wsp>
                      <wps:cNvSpPr/>
                      <wps:spPr>
                        <a:xfrm>
                          <a:off x="0" y="0"/>
                          <a:ext cx="118745" cy="102235"/>
                        </a:xfrm>
                        <a:prstGeom prst="rect">
                          <a:avLst/>
                        </a:prstGeom>
                        <a:noFill/>
                        <a:ln w="12700">
                          <a:solidFill>
                            <a:schemeClr val="bg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55.2pt;margin-top:278pt;height:8.05pt;width:9.35pt;z-index:251742208;v-text-anchor:middle;mso-width-relative:page;mso-height-relative:page;" filled="f" stroked="t" coordsize="21600,21600" o:gfxdata="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BWCuNK2wAAAAsBAAAPAAAAAAAAAAEAIAAAACIAAABkcnMvZG93bnJldi54bWxQSwECFAAUAAAA&#10;CACHTuJAShKvC10CAAC3BAAADgAAAAAAAAABACAAAAAqAQAAZHJzL2Uyb0RvYy54bWxQSwUGAAAA&#10;AAYABgBZAQAA+QUAAAAA&#10;">
                <v:fill on="f" focussize="0,0"/>
                <v:stroke weight="1pt" color="#FFFFFF [3212]" joinstyle="round"/>
                <v:imagedata o:title=""/>
                <o:lock v:ext="edit" aspectratio="f"/>
              </v:rect>
            </w:pict>
          </mc:Fallback>
        </mc:AlternateContent>
      </w:r>
      <w:r>
        <w:rPr>
          <w:color w:val="auto"/>
        </w:rPr>
        <mc:AlternateContent>
          <mc:Choice Requires="wps">
            <w:drawing>
              <wp:anchor distT="0" distB="0" distL="114300" distR="114300" simplePos="0" relativeHeight="251765760" behindDoc="0" locked="0" layoutInCell="1" allowOverlap="1">
                <wp:simplePos x="0" y="0"/>
                <wp:positionH relativeFrom="column">
                  <wp:posOffset>5112385</wp:posOffset>
                </wp:positionH>
                <wp:positionV relativeFrom="paragraph">
                  <wp:posOffset>3289300</wp:posOffset>
                </wp:positionV>
                <wp:extent cx="581660" cy="314960"/>
                <wp:effectExtent l="0" t="0" r="0" b="0"/>
                <wp:wrapNone/>
                <wp:docPr id="226" name="矩形 226"/>
                <wp:cNvGraphicFramePr/>
                <a:graphic xmlns:a="http://schemas.openxmlformats.org/drawingml/2006/main">
                  <a:graphicData uri="http://schemas.microsoft.com/office/word/2010/wordprocessingShape">
                    <wps:wsp>
                      <wps:cNvSpPr/>
                      <wps:spPr>
                        <a:xfrm>
                          <a:off x="0" y="0"/>
                          <a:ext cx="581660" cy="314960"/>
                        </a:xfrm>
                        <a:prstGeom prst="rect">
                          <a:avLst/>
                        </a:prstGeom>
                        <a:noFill/>
                        <a:ln w="15875">
                          <a:noFill/>
                        </a:ln>
                      </wps:spPr>
                      <wps:txbx>
                        <w:txbxContent>
                          <w:p w14:paraId="7BCA7219">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裁断区</w:t>
                            </w:r>
                          </w:p>
                        </w:txbxContent>
                      </wps:txbx>
                      <wps:bodyPr upright="1"/>
                    </wps:wsp>
                  </a:graphicData>
                </a:graphic>
              </wp:anchor>
            </w:drawing>
          </mc:Choice>
          <mc:Fallback>
            <w:pict>
              <v:rect id="_x0000_s1026" o:spid="_x0000_s1026" o:spt="1" style="position:absolute;left:0pt;margin-left:402.55pt;margin-top:259pt;height:24.8pt;width:45.8pt;z-index:251765760;mso-width-relative:page;mso-height-relative:page;" filled="f" stroked="f" coordsize="21600,21600" o:gfxdata="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AEZ&#10;KV7bAAAACwEAAA8AAAAAAAAAAQAgAAAAIgAAAGRycy9kb3ducmV2LnhtbFBLAQIUABQAAAAIAIdO&#10;4kC5qWVArgEAAE4DAAAOAAAAAAAAAAEAIAAAACoBAABkcnMvZTJvRG9jLnhtbFBLBQYAAAAABgAG&#10;AFkBAABKBQAAAAA=&#10;">
                <v:fill on="f" focussize="0,0"/>
                <v:stroke on="f" weight="1.25pt"/>
                <v:imagedata o:title=""/>
                <o:lock v:ext="edit" aspectratio="f"/>
                <v:textbox>
                  <w:txbxContent>
                    <w:p w14:paraId="7BCA7219">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裁断区</w:t>
                      </w:r>
                    </w:p>
                  </w:txbxContent>
                </v:textbox>
              </v:rect>
            </w:pict>
          </mc:Fallback>
        </mc:AlternateContent>
      </w:r>
      <w:r>
        <w:rPr>
          <w:color w:val="auto"/>
          <w:sz w:val="21"/>
        </w:rPr>
        <mc:AlternateContent>
          <mc:Choice Requires="wps">
            <w:drawing>
              <wp:anchor distT="0" distB="0" distL="114300" distR="114300" simplePos="0" relativeHeight="251741184" behindDoc="0" locked="0" layoutInCell="1" allowOverlap="1">
                <wp:simplePos x="0" y="0"/>
                <wp:positionH relativeFrom="column">
                  <wp:posOffset>5678805</wp:posOffset>
                </wp:positionH>
                <wp:positionV relativeFrom="paragraph">
                  <wp:posOffset>3642360</wp:posOffset>
                </wp:positionV>
                <wp:extent cx="228600" cy="106045"/>
                <wp:effectExtent l="6350" t="6350" r="8890" b="9525"/>
                <wp:wrapNone/>
                <wp:docPr id="198" name="矩形 198"/>
                <wp:cNvGraphicFramePr/>
                <a:graphic xmlns:a="http://schemas.openxmlformats.org/drawingml/2006/main">
                  <a:graphicData uri="http://schemas.microsoft.com/office/word/2010/wordprocessingShape">
                    <wps:wsp>
                      <wps:cNvSpPr/>
                      <wps:spPr>
                        <a:xfrm>
                          <a:off x="0" y="0"/>
                          <a:ext cx="228600" cy="106045"/>
                        </a:xfrm>
                        <a:prstGeom prst="rect">
                          <a:avLst/>
                        </a:prstGeom>
                        <a:noFill/>
                        <a:ln w="12700">
                          <a:solidFill>
                            <a:schemeClr val="bg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47.15pt;margin-top:286.8pt;height:8.35pt;width:18pt;z-index:251741184;v-text-anchor:middle;mso-width-relative:page;mso-height-relative:page;" filled="f" stroked="t" coordsize="21600,21600" o:gfxdata="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DL&#10;ulBJ2gAAAAsBAAAPAAAAAAAAAAEAIAAAACIAAABkcnMvZG93bnJldi54bWxQSwECFAAUAAAACACH&#10;TuJA4zAE61sCAAC3BAAADgAAAAAAAAABACAAAAApAQAAZHJzL2Uyb0RvYy54bWxQSwUGAAAAAAYA&#10;BgBZAQAA9gUAAAAA&#10;">
                <v:fill on="f" focussize="0,0"/>
                <v:stroke weight="1pt" color="#FFFFFF [3212]" joinstyle="round"/>
                <v:imagedata o:title=""/>
                <o:lock v:ext="edit" aspectratio="f"/>
              </v:rect>
            </w:pict>
          </mc:Fallback>
        </mc:AlternateContent>
      </w:r>
      <w:r>
        <w:rPr>
          <w:color w:val="auto"/>
          <w:sz w:val="21"/>
        </w:rPr>
        <mc:AlternateContent>
          <mc:Choice Requires="wps">
            <w:drawing>
              <wp:anchor distT="0" distB="0" distL="114300" distR="114300" simplePos="0" relativeHeight="251790336" behindDoc="0" locked="0" layoutInCell="1" allowOverlap="1">
                <wp:simplePos x="0" y="0"/>
                <wp:positionH relativeFrom="column">
                  <wp:posOffset>3992880</wp:posOffset>
                </wp:positionH>
                <wp:positionV relativeFrom="paragraph">
                  <wp:posOffset>886460</wp:posOffset>
                </wp:positionV>
                <wp:extent cx="1901825" cy="940435"/>
                <wp:effectExtent l="6350" t="6350" r="12065" b="13335"/>
                <wp:wrapNone/>
                <wp:docPr id="350" name="矩形 350"/>
                <wp:cNvGraphicFramePr/>
                <a:graphic xmlns:a="http://schemas.openxmlformats.org/drawingml/2006/main">
                  <a:graphicData uri="http://schemas.microsoft.com/office/word/2010/wordprocessingShape">
                    <wps:wsp>
                      <wps:cNvSpPr/>
                      <wps:spPr>
                        <a:xfrm>
                          <a:off x="0" y="0"/>
                          <a:ext cx="1901825" cy="940435"/>
                        </a:xfrm>
                        <a:prstGeom prst="rect">
                          <a:avLst/>
                        </a:prstGeom>
                        <a:noFill/>
                        <a:ln w="12700">
                          <a:solidFill>
                            <a:srgbClr val="92D050"/>
                          </a:solidFill>
                          <a:prstDash val="dash"/>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14.4pt;margin-top:69.8pt;height:74.05pt;width:149.75pt;z-index:251790336;v-text-anchor:middle;mso-width-relative:page;mso-height-relative:page;" filled="f" stroked="t" coordsize="21600,21600" o:gfxdata="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NW48ofbAAAACwEAAA8AAAAAAAAAAQAgAAAAIgAAAGRycy9kb3ducmV2LnhtbFBLAQIU&#10;ABQAAAAIAIdO4kDKCwObYgIAALcEAAAOAAAAAAAAAAEAIAAAACoBAABkcnMvZTJvRG9jLnhtbFBL&#10;BQYAAAAABgAGAFkBAAD+BQAAAAA=&#10;">
                <v:fill on="f" focussize="0,0"/>
                <v:stroke weight="1pt" color="#92D050 [2404]" joinstyle="round" dashstyle="dash"/>
                <v:imagedata o:title=""/>
                <o:lock v:ext="edit" aspectratio="f"/>
              </v:rect>
            </w:pict>
          </mc:Fallback>
        </mc:AlternateContent>
      </w:r>
      <w:r>
        <w:rPr>
          <w:color w:val="auto"/>
          <w:sz w:val="21"/>
        </w:rPr>
        <mc:AlternateContent>
          <mc:Choice Requires="wps">
            <w:drawing>
              <wp:anchor distT="0" distB="0" distL="114300" distR="114300" simplePos="0" relativeHeight="251771904" behindDoc="0" locked="0" layoutInCell="1" allowOverlap="1">
                <wp:simplePos x="0" y="0"/>
                <wp:positionH relativeFrom="column">
                  <wp:posOffset>3978275</wp:posOffset>
                </wp:positionH>
                <wp:positionV relativeFrom="paragraph">
                  <wp:posOffset>1991360</wp:posOffset>
                </wp:positionV>
                <wp:extent cx="199390" cy="125730"/>
                <wp:effectExtent l="6350" t="6350" r="7620" b="20320"/>
                <wp:wrapNone/>
                <wp:docPr id="236" name="矩形 236"/>
                <wp:cNvGraphicFramePr/>
                <a:graphic xmlns:a="http://schemas.openxmlformats.org/drawingml/2006/main">
                  <a:graphicData uri="http://schemas.microsoft.com/office/word/2010/wordprocessingShape">
                    <wps:wsp>
                      <wps:cNvSpPr/>
                      <wps:spPr>
                        <a:xfrm>
                          <a:off x="0" y="0"/>
                          <a:ext cx="199390" cy="125730"/>
                        </a:xfrm>
                        <a:prstGeom prst="rect">
                          <a:avLst/>
                        </a:prstGeom>
                        <a:noFill/>
                        <a:ln w="12700">
                          <a:solidFill>
                            <a:schemeClr val="bg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13.25pt;margin-top:156.8pt;height:9.9pt;width:15.7pt;z-index:251771904;v-text-anchor:middle;mso-width-relative:page;mso-height-relative:page;" filled="f" stroked="t" coordsize="21600,21600" o:gfxdata="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BUYplR2wAAAAsBAAAPAAAAAAAAAAEAIAAAACIAAABkcnMvZG93bnJldi54bWxQSwECFAAUAAAA&#10;CACHTuJA9OqlNV0CAAC3BAAADgAAAAAAAAABACAAAAAqAQAAZHJzL2Uyb0RvYy54bWxQSwUGAAAA&#10;AAYABgBZAQAA+QUAAAAA&#10;">
                <v:fill on="f" focussize="0,0"/>
                <v:stroke weight="1pt" color="#FFFFFF [3212]" joinstyle="round"/>
                <v:imagedata o:title=""/>
                <o:lock v:ext="edit" aspectratio="f"/>
              </v:rect>
            </w:pict>
          </mc:Fallback>
        </mc:AlternateContent>
      </w:r>
      <w:r>
        <w:rPr>
          <w:color w:val="auto"/>
        </w:rPr>
        <mc:AlternateContent>
          <mc:Choice Requires="wps">
            <w:drawing>
              <wp:anchor distT="0" distB="0" distL="114300" distR="114300" simplePos="0" relativeHeight="251772928" behindDoc="0" locked="0" layoutInCell="1" allowOverlap="1">
                <wp:simplePos x="0" y="0"/>
                <wp:positionH relativeFrom="column">
                  <wp:posOffset>3726180</wp:posOffset>
                </wp:positionH>
                <wp:positionV relativeFrom="paragraph">
                  <wp:posOffset>1762760</wp:posOffset>
                </wp:positionV>
                <wp:extent cx="792480" cy="298450"/>
                <wp:effectExtent l="0" t="0" r="0" b="0"/>
                <wp:wrapNone/>
                <wp:docPr id="237" name="矩形 237"/>
                <wp:cNvGraphicFramePr/>
                <a:graphic xmlns:a="http://schemas.openxmlformats.org/drawingml/2006/main">
                  <a:graphicData uri="http://schemas.microsoft.com/office/word/2010/wordprocessingShape">
                    <wps:wsp>
                      <wps:cNvSpPr/>
                      <wps:spPr>
                        <a:xfrm>
                          <a:off x="0" y="0"/>
                          <a:ext cx="792480" cy="298450"/>
                        </a:xfrm>
                        <a:prstGeom prst="rect">
                          <a:avLst/>
                        </a:prstGeom>
                        <a:noFill/>
                        <a:ln w="15875">
                          <a:noFill/>
                        </a:ln>
                      </wps:spPr>
                      <wps:txbx>
                        <w:txbxContent>
                          <w:p w14:paraId="65DA99B8">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化学品仓库</w:t>
                            </w:r>
                          </w:p>
                        </w:txbxContent>
                      </wps:txbx>
                      <wps:bodyPr upright="1"/>
                    </wps:wsp>
                  </a:graphicData>
                </a:graphic>
              </wp:anchor>
            </w:drawing>
          </mc:Choice>
          <mc:Fallback>
            <w:pict>
              <v:rect id="_x0000_s1026" o:spid="_x0000_s1026" o:spt="1" style="position:absolute;left:0pt;margin-left:293.4pt;margin-top:138.8pt;height:23.5pt;width:62.4pt;z-index:251772928;mso-width-relative:page;mso-height-relative:page;" filled="f" stroked="f" coordsize="21600,21600" o:gfxdata="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Bx&#10;S3pS3AAAAAsBAAAPAAAAAAAAAAEAIAAAACIAAABkcnMvZG93bnJldi54bWxQSwECFAAUAAAACACH&#10;TuJARva1Sq4BAABOAwAADgAAAAAAAAABACAAAAArAQAAZHJzL2Uyb0RvYy54bWxQSwUGAAAAAAYA&#10;BgBZAQAASwUAAAAA&#10;">
                <v:fill on="f" focussize="0,0"/>
                <v:stroke on="f" weight="1.25pt"/>
                <v:imagedata o:title=""/>
                <o:lock v:ext="edit" aspectratio="f"/>
                <v:textbox>
                  <w:txbxContent>
                    <w:p w14:paraId="65DA99B8">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化学品仓库</w:t>
                      </w:r>
                    </w:p>
                  </w:txbxContent>
                </v:textbox>
              </v:rect>
            </w:pict>
          </mc:Fallback>
        </mc:AlternateContent>
      </w:r>
      <w:r>
        <w:rPr>
          <w:color w:val="auto"/>
        </w:rPr>
        <mc:AlternateContent>
          <mc:Choice Requires="wps">
            <w:drawing>
              <wp:anchor distT="0" distB="0" distL="114300" distR="114300" simplePos="0" relativeHeight="251820032" behindDoc="0" locked="0" layoutInCell="1" allowOverlap="1">
                <wp:simplePos x="0" y="0"/>
                <wp:positionH relativeFrom="column">
                  <wp:posOffset>4445000</wp:posOffset>
                </wp:positionH>
                <wp:positionV relativeFrom="paragraph">
                  <wp:posOffset>869315</wp:posOffset>
                </wp:positionV>
                <wp:extent cx="1319530" cy="298450"/>
                <wp:effectExtent l="0" t="0" r="0" b="0"/>
                <wp:wrapNone/>
                <wp:docPr id="382" name="矩形 382"/>
                <wp:cNvGraphicFramePr/>
                <a:graphic xmlns:a="http://schemas.openxmlformats.org/drawingml/2006/main">
                  <a:graphicData uri="http://schemas.microsoft.com/office/word/2010/wordprocessingShape">
                    <wps:wsp>
                      <wps:cNvSpPr/>
                      <wps:spPr>
                        <a:xfrm>
                          <a:off x="0" y="0"/>
                          <a:ext cx="1319530" cy="298450"/>
                        </a:xfrm>
                        <a:prstGeom prst="rect">
                          <a:avLst/>
                        </a:prstGeom>
                        <a:noFill/>
                        <a:ln w="15875">
                          <a:noFill/>
                        </a:ln>
                      </wps:spPr>
                      <wps:txbx>
                        <w:txbxContent>
                          <w:p w14:paraId="6173A416">
                            <w:pPr>
                              <w:keepNext w:val="0"/>
                              <w:keepLines w:val="0"/>
                              <w:pageBreakBefore w:val="0"/>
                              <w:widowControl w:val="0"/>
                              <w:kinsoku/>
                              <w:wordWrap/>
                              <w:overflowPunct/>
                              <w:topLinePunct w:val="0"/>
                              <w:bidi w:val="0"/>
                              <w:adjustRightInd/>
                              <w:snapToGrid/>
                              <w:spacing w:line="240" w:lineRule="atLeast"/>
                              <w:textAlignment w:val="auto"/>
                              <w:rPr>
                                <w:rFonts w:hint="default" w:ascii="Times New Roman" w:hAnsi="Times New Roman" w:eastAsia="宋体" w:cs="Times New Roman"/>
                                <w:b w:val="0"/>
                                <w:bCs w:val="0"/>
                                <w:color w:val="FF0000"/>
                                <w:sz w:val="18"/>
                                <w:szCs w:val="21"/>
                                <w:lang w:val="en-US" w:eastAsia="zh-CN"/>
                              </w:rPr>
                            </w:pPr>
                            <w:r>
                              <w:rPr>
                                <w:rFonts w:hint="eastAsia" w:ascii="Times New Roman" w:hAnsi="Times New Roman" w:eastAsia="宋体" w:cs="Times New Roman"/>
                                <w:b w:val="0"/>
                                <w:bCs w:val="0"/>
                                <w:color w:val="FF0000"/>
                                <w:sz w:val="18"/>
                                <w:szCs w:val="21"/>
                                <w:lang w:val="en-US" w:eastAsia="zh-CN"/>
                              </w:rPr>
                              <w:t>注塑鞋底制造</w:t>
                            </w:r>
                            <w:r>
                              <w:rPr>
                                <w:rFonts w:hint="eastAsia" w:cs="Times New Roman"/>
                                <w:b w:val="0"/>
                                <w:bCs w:val="0"/>
                                <w:color w:val="FF0000"/>
                                <w:sz w:val="18"/>
                                <w:szCs w:val="21"/>
                                <w:lang w:val="en-US" w:eastAsia="zh-CN"/>
                              </w:rPr>
                              <w:t>线</w:t>
                            </w:r>
                          </w:p>
                        </w:txbxContent>
                      </wps:txbx>
                      <wps:bodyPr upright="1"/>
                    </wps:wsp>
                  </a:graphicData>
                </a:graphic>
              </wp:anchor>
            </w:drawing>
          </mc:Choice>
          <mc:Fallback>
            <w:pict>
              <v:rect id="_x0000_s1026" o:spid="_x0000_s1026" o:spt="1" style="position:absolute;left:0pt;margin-left:350pt;margin-top:68.45pt;height:23.5pt;width:103.9pt;z-index:251820032;mso-width-relative:page;mso-height-relative:page;" filled="f" stroked="f" coordsize="21600,21600" o:gfxdata="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BMv&#10;uVLbAAAACwEAAA8AAAAAAAAAAQAgAAAAIgAAAGRycy9kb3ducmV2LnhtbFBLAQIUABQAAAAIAIdO&#10;4kCtjxHLrgEAAE8DAAAOAAAAAAAAAAEAIAAAACoBAABkcnMvZTJvRG9jLnhtbFBLBQYAAAAABgAG&#10;AFkBAABKBQAAAAA=&#10;">
                <v:fill on="f" focussize="0,0"/>
                <v:stroke on="f" weight="1.25pt"/>
                <v:imagedata o:title=""/>
                <o:lock v:ext="edit" aspectratio="f"/>
                <v:textbox>
                  <w:txbxContent>
                    <w:p w14:paraId="6173A416">
                      <w:pPr>
                        <w:keepNext w:val="0"/>
                        <w:keepLines w:val="0"/>
                        <w:pageBreakBefore w:val="0"/>
                        <w:widowControl w:val="0"/>
                        <w:kinsoku/>
                        <w:wordWrap/>
                        <w:overflowPunct/>
                        <w:topLinePunct w:val="0"/>
                        <w:bidi w:val="0"/>
                        <w:adjustRightInd/>
                        <w:snapToGrid/>
                        <w:spacing w:line="240" w:lineRule="atLeast"/>
                        <w:textAlignment w:val="auto"/>
                        <w:rPr>
                          <w:rFonts w:hint="default" w:ascii="Times New Roman" w:hAnsi="Times New Roman" w:eastAsia="宋体" w:cs="Times New Roman"/>
                          <w:b w:val="0"/>
                          <w:bCs w:val="0"/>
                          <w:color w:val="FF0000"/>
                          <w:sz w:val="18"/>
                          <w:szCs w:val="21"/>
                          <w:lang w:val="en-US" w:eastAsia="zh-CN"/>
                        </w:rPr>
                      </w:pPr>
                      <w:r>
                        <w:rPr>
                          <w:rFonts w:hint="eastAsia" w:ascii="Times New Roman" w:hAnsi="Times New Roman" w:eastAsia="宋体" w:cs="Times New Roman"/>
                          <w:b w:val="0"/>
                          <w:bCs w:val="0"/>
                          <w:color w:val="FF0000"/>
                          <w:sz w:val="18"/>
                          <w:szCs w:val="21"/>
                          <w:lang w:val="en-US" w:eastAsia="zh-CN"/>
                        </w:rPr>
                        <w:t>注塑鞋底制造</w:t>
                      </w:r>
                      <w:r>
                        <w:rPr>
                          <w:rFonts w:hint="eastAsia" w:cs="Times New Roman"/>
                          <w:b w:val="0"/>
                          <w:bCs w:val="0"/>
                          <w:color w:val="FF0000"/>
                          <w:sz w:val="18"/>
                          <w:szCs w:val="21"/>
                          <w:lang w:val="en-US" w:eastAsia="zh-CN"/>
                        </w:rPr>
                        <w:t>线</w:t>
                      </w:r>
                    </w:p>
                  </w:txbxContent>
                </v:textbox>
              </v:rect>
            </w:pict>
          </mc:Fallback>
        </mc:AlternateContent>
      </w:r>
      <w:r>
        <w:rPr>
          <w:color w:val="auto"/>
          <w:sz w:val="21"/>
        </w:rPr>
        <mc:AlternateContent>
          <mc:Choice Requires="wps">
            <w:drawing>
              <wp:anchor distT="0" distB="0" distL="114300" distR="114300" simplePos="0" relativeHeight="251739136" behindDoc="0" locked="0" layoutInCell="1" allowOverlap="1">
                <wp:simplePos x="0" y="0"/>
                <wp:positionH relativeFrom="column">
                  <wp:posOffset>5606415</wp:posOffset>
                </wp:positionH>
                <wp:positionV relativeFrom="paragraph">
                  <wp:posOffset>4849495</wp:posOffset>
                </wp:positionV>
                <wp:extent cx="75565" cy="75565"/>
                <wp:effectExtent l="12700" t="12700" r="26035" b="26035"/>
                <wp:wrapNone/>
                <wp:docPr id="196" name="椭圆 196"/>
                <wp:cNvGraphicFramePr/>
                <a:graphic xmlns:a="http://schemas.openxmlformats.org/drawingml/2006/main">
                  <a:graphicData uri="http://schemas.microsoft.com/office/word/2010/wordprocessingShape">
                    <wps:wsp>
                      <wps:cNvSpPr/>
                      <wps:spPr>
                        <a:xfrm>
                          <a:off x="0" y="0"/>
                          <a:ext cx="75565" cy="75565"/>
                        </a:xfrm>
                        <a:prstGeom prst="ellipse">
                          <a:avLst/>
                        </a:prstGeom>
                        <a:solidFill>
                          <a:schemeClr val="accent2">
                            <a:lumMod val="75000"/>
                          </a:schemeClr>
                        </a:solidFill>
                        <a:ln>
                          <a:solidFill>
                            <a:schemeClr val="accent2">
                              <a:lumMod val="75000"/>
                            </a:schemeClr>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441.45pt;margin-top:381.85pt;height:5.95pt;width:5.95pt;z-index:251739136;v-text-anchor:middle;mso-width-relative:page;mso-height-relative:page;" fillcolor="#953735 [2405]" filled="t" stroked="t" coordsize="21600,21600" o:gfxdata="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&#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OQ1BCTaAAAACwEAAA8AAAAAAAAAAQAgAAAAIgAAAGRy&#10;cy9kb3ducmV2LnhtbFBLAQIUABQAAAAIAIdO4kDVVHKWdQIAACUFAAAOAAAAAAAAAAEAIAAAACkB&#10;AABkcnMvZTJvRG9jLnhtbFBLBQYAAAAABgAGAFkBAAAQBgAAAAA=&#10;">
                <v:fill on="t" focussize="0,0"/>
                <v:stroke weight="2pt" color="#953735 [2405]" joinstyle="round"/>
                <v:imagedata o:title=""/>
                <o:lock v:ext="edit" aspectratio="f"/>
              </v:shape>
            </w:pict>
          </mc:Fallback>
        </mc:AlternateContent>
      </w:r>
      <w:r>
        <w:rPr>
          <w:color w:val="auto"/>
        </w:rPr>
        <mc:AlternateContent>
          <mc:Choice Requires="wps">
            <w:drawing>
              <wp:anchor distT="0" distB="0" distL="114300" distR="114300" simplePos="0" relativeHeight="251740160" behindDoc="0" locked="0" layoutInCell="1" allowOverlap="1">
                <wp:simplePos x="0" y="0"/>
                <wp:positionH relativeFrom="column">
                  <wp:posOffset>4750435</wp:posOffset>
                </wp:positionH>
                <wp:positionV relativeFrom="paragraph">
                  <wp:posOffset>4747260</wp:posOffset>
                </wp:positionV>
                <wp:extent cx="1120140" cy="351790"/>
                <wp:effectExtent l="0" t="0" r="0" b="0"/>
                <wp:wrapNone/>
                <wp:docPr id="197" name="矩形 197"/>
                <wp:cNvGraphicFramePr/>
                <a:graphic xmlns:a="http://schemas.openxmlformats.org/drawingml/2006/main">
                  <a:graphicData uri="http://schemas.microsoft.com/office/word/2010/wordprocessingShape">
                    <wps:wsp>
                      <wps:cNvSpPr/>
                      <wps:spPr>
                        <a:xfrm>
                          <a:off x="0" y="0"/>
                          <a:ext cx="1120140" cy="351790"/>
                        </a:xfrm>
                        <a:prstGeom prst="rect">
                          <a:avLst/>
                        </a:prstGeom>
                        <a:noFill/>
                        <a:ln w="15875">
                          <a:noFill/>
                        </a:ln>
                      </wps:spPr>
                      <wps:txbx>
                        <w:txbxContent>
                          <w:p w14:paraId="5E6A5D25">
                            <w:pPr>
                              <w:rPr>
                                <w:rFonts w:hint="default"/>
                                <w:b/>
                                <w:bCs/>
                                <w:color w:val="FF0000"/>
                                <w:sz w:val="18"/>
                                <w:szCs w:val="21"/>
                                <w:lang w:val="en-US" w:eastAsia="zh-CN"/>
                              </w:rPr>
                            </w:pPr>
                            <w:r>
                              <w:rPr>
                                <w:rFonts w:hint="eastAsia"/>
                                <w:b/>
                                <w:bCs/>
                                <w:color w:val="FF0000"/>
                                <w:sz w:val="18"/>
                                <w:szCs w:val="21"/>
                                <w:lang w:val="en-US" w:eastAsia="zh-CN"/>
                              </w:rPr>
                              <w:t>污水总排口</w:t>
                            </w:r>
                          </w:p>
                        </w:txbxContent>
                      </wps:txbx>
                      <wps:bodyPr upright="1"/>
                    </wps:wsp>
                  </a:graphicData>
                </a:graphic>
              </wp:anchor>
            </w:drawing>
          </mc:Choice>
          <mc:Fallback>
            <w:pict>
              <v:rect id="_x0000_s1026" o:spid="_x0000_s1026" o:spt="1" style="position:absolute;left:0pt;margin-left:374.05pt;margin-top:373.8pt;height:27.7pt;width:88.2pt;z-index:251740160;mso-width-relative:page;mso-height-relative:page;" filled="f" stroked="f" coordsize="21600,21600" o:gfxdata="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gabo&#10;ptsAAAALAQAADwAAAAAAAAABACAAAAAiAAAAZHJzL2Rvd25yZXYueG1sUEsBAhQAFAAAAAgAh07i&#10;QInjMRGtAQAATwMAAA4AAAAAAAAAAQAgAAAAKgEAAGRycy9lMm9Eb2MueG1sUEsFBgAAAAAGAAYA&#10;WQEAAEkFAAAAAA==&#10;">
                <v:fill on="f" focussize="0,0"/>
                <v:stroke on="f" weight="1.25pt"/>
                <v:imagedata o:title=""/>
                <o:lock v:ext="edit" aspectratio="f"/>
                <v:textbox>
                  <w:txbxContent>
                    <w:p w14:paraId="5E6A5D25">
                      <w:pPr>
                        <w:rPr>
                          <w:rFonts w:hint="default"/>
                          <w:b/>
                          <w:bCs/>
                          <w:color w:val="FF0000"/>
                          <w:sz w:val="18"/>
                          <w:szCs w:val="21"/>
                          <w:lang w:val="en-US" w:eastAsia="zh-CN"/>
                        </w:rPr>
                      </w:pPr>
                      <w:r>
                        <w:rPr>
                          <w:rFonts w:hint="eastAsia"/>
                          <w:b/>
                          <w:bCs/>
                          <w:color w:val="FF0000"/>
                          <w:sz w:val="18"/>
                          <w:szCs w:val="21"/>
                          <w:lang w:val="en-US" w:eastAsia="zh-CN"/>
                        </w:rPr>
                        <w:t>污水总排口</w:t>
                      </w:r>
                    </w:p>
                  </w:txbxContent>
                </v:textbox>
              </v:rect>
            </w:pict>
          </mc:Fallback>
        </mc:AlternateContent>
      </w:r>
      <w:r>
        <w:rPr>
          <w:color w:val="auto"/>
        </w:rPr>
        <mc:AlternateContent>
          <mc:Choice Requires="wps">
            <w:drawing>
              <wp:anchor distT="0" distB="0" distL="114300" distR="114300" simplePos="0" relativeHeight="251834368" behindDoc="0" locked="0" layoutInCell="1" allowOverlap="1">
                <wp:simplePos x="0" y="0"/>
                <wp:positionH relativeFrom="column">
                  <wp:posOffset>4041775</wp:posOffset>
                </wp:positionH>
                <wp:positionV relativeFrom="paragraph">
                  <wp:posOffset>1610995</wp:posOffset>
                </wp:positionV>
                <wp:extent cx="372110" cy="266065"/>
                <wp:effectExtent l="0" t="0" r="0" b="0"/>
                <wp:wrapNone/>
                <wp:docPr id="397" name="矩形 397"/>
                <wp:cNvGraphicFramePr/>
                <a:graphic xmlns:a="http://schemas.openxmlformats.org/drawingml/2006/main">
                  <a:graphicData uri="http://schemas.microsoft.com/office/word/2010/wordprocessingShape">
                    <wps:wsp>
                      <wps:cNvSpPr/>
                      <wps:spPr>
                        <a:xfrm>
                          <a:off x="0" y="0"/>
                          <a:ext cx="372110" cy="266065"/>
                        </a:xfrm>
                        <a:prstGeom prst="rect">
                          <a:avLst/>
                        </a:prstGeom>
                        <a:noFill/>
                        <a:ln w="15875">
                          <a:noFill/>
                        </a:ln>
                      </wps:spPr>
                      <wps:txbx>
                        <w:txbxContent>
                          <w:p w14:paraId="2C223C9D">
                            <w:pPr>
                              <w:rPr>
                                <w:rFonts w:hint="default"/>
                                <w:b w:val="0"/>
                                <w:bCs w:val="0"/>
                                <w:color w:val="FF0000"/>
                                <w:lang w:val="en-US" w:eastAsia="zh-CN"/>
                              </w:rPr>
                            </w:pPr>
                            <w:r>
                              <w:rPr>
                                <w:rFonts w:hint="eastAsia"/>
                                <w:b w:val="0"/>
                                <w:bCs w:val="0"/>
                                <w:color w:val="FF0000"/>
                                <w:sz w:val="18"/>
                                <w:szCs w:val="21"/>
                                <w:lang w:val="en-US" w:eastAsia="zh-CN"/>
                              </w:rPr>
                              <w:t>2F</w:t>
                            </w:r>
                          </w:p>
                        </w:txbxContent>
                      </wps:txbx>
                      <wps:bodyPr upright="1"/>
                    </wps:wsp>
                  </a:graphicData>
                </a:graphic>
              </wp:anchor>
            </w:drawing>
          </mc:Choice>
          <mc:Fallback>
            <w:pict>
              <v:rect id="_x0000_s1026" o:spid="_x0000_s1026" o:spt="1" style="position:absolute;left:0pt;margin-left:318.25pt;margin-top:126.85pt;height:20.95pt;width:29.3pt;z-index:251834368;mso-width-relative:page;mso-height-relative:page;" filled="f" stroked="f" coordsize="21600,21600" o:gfxdata="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AD&#10;BPh03AAAAAsBAAAPAAAAAAAAAAEAIAAAACIAAABkcnMvZG93bnJldi54bWxQSwECFAAUAAAACACH&#10;TuJAyWO4cK4BAABOAwAADgAAAAAAAAABACAAAAArAQAAZHJzL2Uyb0RvYy54bWxQSwUGAAAAAAYA&#10;BgBZAQAASwUAAAAA&#10;">
                <v:fill on="f" focussize="0,0"/>
                <v:stroke on="f" weight="1.25pt"/>
                <v:imagedata o:title=""/>
                <o:lock v:ext="edit" aspectratio="f"/>
                <v:textbox>
                  <w:txbxContent>
                    <w:p w14:paraId="2C223C9D">
                      <w:pPr>
                        <w:rPr>
                          <w:rFonts w:hint="default"/>
                          <w:b w:val="0"/>
                          <w:bCs w:val="0"/>
                          <w:color w:val="FF0000"/>
                          <w:lang w:val="en-US" w:eastAsia="zh-CN"/>
                        </w:rPr>
                      </w:pPr>
                      <w:r>
                        <w:rPr>
                          <w:rFonts w:hint="eastAsia"/>
                          <w:b w:val="0"/>
                          <w:bCs w:val="0"/>
                          <w:color w:val="FF0000"/>
                          <w:sz w:val="18"/>
                          <w:szCs w:val="21"/>
                          <w:lang w:val="en-US" w:eastAsia="zh-CN"/>
                        </w:rPr>
                        <w:t>2F</w:t>
                      </w:r>
                    </w:p>
                  </w:txbxContent>
                </v:textbox>
              </v:rect>
            </w:pict>
          </mc:Fallback>
        </mc:AlternateContent>
      </w:r>
      <w:r>
        <w:rPr>
          <w:color w:val="auto"/>
        </w:rPr>
        <mc:AlternateContent>
          <mc:Choice Requires="wps">
            <w:drawing>
              <wp:anchor distT="0" distB="0" distL="114300" distR="114300" simplePos="0" relativeHeight="251833344" behindDoc="0" locked="0" layoutInCell="1" allowOverlap="1">
                <wp:simplePos x="0" y="0"/>
                <wp:positionH relativeFrom="column">
                  <wp:posOffset>5110480</wp:posOffset>
                </wp:positionH>
                <wp:positionV relativeFrom="paragraph">
                  <wp:posOffset>3536950</wp:posOffset>
                </wp:positionV>
                <wp:extent cx="372110" cy="266065"/>
                <wp:effectExtent l="0" t="0" r="0" b="0"/>
                <wp:wrapNone/>
                <wp:docPr id="396" name="矩形 396"/>
                <wp:cNvGraphicFramePr/>
                <a:graphic xmlns:a="http://schemas.openxmlformats.org/drawingml/2006/main">
                  <a:graphicData uri="http://schemas.microsoft.com/office/word/2010/wordprocessingShape">
                    <wps:wsp>
                      <wps:cNvSpPr/>
                      <wps:spPr>
                        <a:xfrm>
                          <a:off x="0" y="0"/>
                          <a:ext cx="372110" cy="266065"/>
                        </a:xfrm>
                        <a:prstGeom prst="rect">
                          <a:avLst/>
                        </a:prstGeom>
                        <a:noFill/>
                        <a:ln w="15875">
                          <a:noFill/>
                        </a:ln>
                      </wps:spPr>
                      <wps:txbx>
                        <w:txbxContent>
                          <w:p w14:paraId="29F4C11E">
                            <w:pPr>
                              <w:rPr>
                                <w:rFonts w:hint="default"/>
                                <w:b w:val="0"/>
                                <w:bCs w:val="0"/>
                                <w:color w:val="FF0000"/>
                                <w:lang w:val="en-US" w:eastAsia="zh-CN"/>
                              </w:rPr>
                            </w:pPr>
                            <w:r>
                              <w:rPr>
                                <w:rFonts w:hint="eastAsia"/>
                                <w:b w:val="0"/>
                                <w:bCs w:val="0"/>
                                <w:color w:val="FF0000"/>
                                <w:sz w:val="18"/>
                                <w:szCs w:val="21"/>
                                <w:lang w:val="en-US" w:eastAsia="zh-CN"/>
                              </w:rPr>
                              <w:t>1F</w:t>
                            </w:r>
                          </w:p>
                        </w:txbxContent>
                      </wps:txbx>
                      <wps:bodyPr upright="1"/>
                    </wps:wsp>
                  </a:graphicData>
                </a:graphic>
              </wp:anchor>
            </w:drawing>
          </mc:Choice>
          <mc:Fallback>
            <w:pict>
              <v:rect id="_x0000_s1026" o:spid="_x0000_s1026" o:spt="1" style="position:absolute;left:0pt;margin-left:402.4pt;margin-top:278.5pt;height:20.95pt;width:29.3pt;z-index:251833344;mso-width-relative:page;mso-height-relative:page;" filled="f" stroked="f" coordsize="21600,21600" o:gfxdata="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CY&#10;FK2I3AAAAAsBAAAPAAAAAAAAAAEAIAAAACIAAABkcnMvZG93bnJldi54bWxQSwECFAAUAAAACACH&#10;TuJAOD2Tza4BAABOAwAADgAAAAAAAAABACAAAAArAQAAZHJzL2Uyb0RvYy54bWxQSwUGAAAAAAYA&#10;BgBZAQAASwUAAAAA&#10;">
                <v:fill on="f" focussize="0,0"/>
                <v:stroke on="f" weight="1.25pt"/>
                <v:imagedata o:title=""/>
                <o:lock v:ext="edit" aspectratio="f"/>
                <v:textbox>
                  <w:txbxContent>
                    <w:p w14:paraId="29F4C11E">
                      <w:pPr>
                        <w:rPr>
                          <w:rFonts w:hint="default"/>
                          <w:b w:val="0"/>
                          <w:bCs w:val="0"/>
                          <w:color w:val="FF0000"/>
                          <w:lang w:val="en-US" w:eastAsia="zh-CN"/>
                        </w:rPr>
                      </w:pPr>
                      <w:r>
                        <w:rPr>
                          <w:rFonts w:hint="eastAsia"/>
                          <w:b w:val="0"/>
                          <w:bCs w:val="0"/>
                          <w:color w:val="FF0000"/>
                          <w:sz w:val="18"/>
                          <w:szCs w:val="21"/>
                          <w:lang w:val="en-US" w:eastAsia="zh-CN"/>
                        </w:rPr>
                        <w:t>1F</w:t>
                      </w:r>
                    </w:p>
                  </w:txbxContent>
                </v:textbox>
              </v:rect>
            </w:pict>
          </mc:Fallback>
        </mc:AlternateContent>
      </w:r>
      <w:r>
        <w:rPr>
          <w:color w:val="auto"/>
        </w:rPr>
        <mc:AlternateContent>
          <mc:Choice Requires="wps">
            <w:drawing>
              <wp:anchor distT="0" distB="0" distL="114300" distR="114300" simplePos="0" relativeHeight="251768832" behindDoc="0" locked="0" layoutInCell="1" allowOverlap="1">
                <wp:simplePos x="0" y="0"/>
                <wp:positionH relativeFrom="column">
                  <wp:posOffset>3937635</wp:posOffset>
                </wp:positionH>
                <wp:positionV relativeFrom="paragraph">
                  <wp:posOffset>2179955</wp:posOffset>
                </wp:positionV>
                <wp:extent cx="1010920" cy="515620"/>
                <wp:effectExtent l="0" t="0" r="0" b="0"/>
                <wp:wrapNone/>
                <wp:docPr id="232" name="矩形 232"/>
                <wp:cNvGraphicFramePr/>
                <a:graphic xmlns:a="http://schemas.openxmlformats.org/drawingml/2006/main">
                  <a:graphicData uri="http://schemas.microsoft.com/office/word/2010/wordprocessingShape">
                    <wps:wsp>
                      <wps:cNvSpPr/>
                      <wps:spPr>
                        <a:xfrm>
                          <a:off x="0" y="0"/>
                          <a:ext cx="1010920" cy="515620"/>
                        </a:xfrm>
                        <a:prstGeom prst="rect">
                          <a:avLst/>
                        </a:prstGeom>
                        <a:noFill/>
                        <a:ln w="15875">
                          <a:noFill/>
                        </a:ln>
                      </wps:spPr>
                      <wps:txbx>
                        <w:txbxContent>
                          <w:p w14:paraId="65C722E7">
                            <w:pPr>
                              <w:jc w:val="center"/>
                              <w:rPr>
                                <w:rFonts w:hint="eastAsia" w:eastAsia="宋体"/>
                                <w:color w:val="FF0000"/>
                                <w:sz w:val="18"/>
                                <w:szCs w:val="21"/>
                                <w:lang w:val="en-US" w:eastAsia="zh-CN"/>
                              </w:rPr>
                            </w:pPr>
                            <w:r>
                              <w:rPr>
                                <w:rFonts w:hint="eastAsia" w:eastAsia="宋体"/>
                                <w:color w:val="FF0000"/>
                                <w:sz w:val="18"/>
                                <w:szCs w:val="21"/>
                                <w:lang w:val="en-US" w:eastAsia="zh-CN"/>
                              </w:rPr>
                              <w:t>原材料及半</w:t>
                            </w:r>
                          </w:p>
                          <w:p w14:paraId="584AC265">
                            <w:pPr>
                              <w:jc w:val="center"/>
                              <w:rPr>
                                <w:rFonts w:hint="default"/>
                                <w:color w:val="FF0000"/>
                                <w:sz w:val="18"/>
                                <w:szCs w:val="21"/>
                                <w:lang w:val="en-US" w:eastAsia="zh-CN"/>
                              </w:rPr>
                            </w:pPr>
                            <w:r>
                              <w:rPr>
                                <w:rFonts w:hint="eastAsia" w:eastAsia="宋体"/>
                                <w:color w:val="FF0000"/>
                                <w:sz w:val="18"/>
                                <w:szCs w:val="21"/>
                                <w:lang w:val="en-US" w:eastAsia="zh-CN"/>
                              </w:rPr>
                              <w:t>成品堆放区</w:t>
                            </w:r>
                          </w:p>
                        </w:txbxContent>
                      </wps:txbx>
                      <wps:bodyPr upright="1"/>
                    </wps:wsp>
                  </a:graphicData>
                </a:graphic>
              </wp:anchor>
            </w:drawing>
          </mc:Choice>
          <mc:Fallback>
            <w:pict>
              <v:rect id="_x0000_s1026" o:spid="_x0000_s1026" o:spt="1" style="position:absolute;left:0pt;margin-left:310.05pt;margin-top:171.65pt;height:40.6pt;width:79.6pt;z-index:251768832;mso-width-relative:page;mso-height-relative:page;" filled="f" stroked="f" coordsize="21600,21600" o:gfxdata="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z//B&#10;4dwAAAALAQAADwAAAAAAAAABACAAAAAiAAAAZHJzL2Rvd25yZXYueG1sUEsBAhQAFAAAAAgAh07i&#10;QFUJymSsAQAATwMAAA4AAAAAAAAAAQAgAAAAKwEAAGRycy9lMm9Eb2MueG1sUEsFBgAAAAAGAAYA&#10;WQEAAEkFAAAAAA==&#10;">
                <v:fill on="f" focussize="0,0"/>
                <v:stroke on="f" weight="1.25pt"/>
                <v:imagedata o:title=""/>
                <o:lock v:ext="edit" aspectratio="f"/>
                <v:textbox>
                  <w:txbxContent>
                    <w:p w14:paraId="65C722E7">
                      <w:pPr>
                        <w:jc w:val="center"/>
                        <w:rPr>
                          <w:rFonts w:hint="eastAsia" w:eastAsia="宋体"/>
                          <w:color w:val="FF0000"/>
                          <w:sz w:val="18"/>
                          <w:szCs w:val="21"/>
                          <w:lang w:val="en-US" w:eastAsia="zh-CN"/>
                        </w:rPr>
                      </w:pPr>
                      <w:r>
                        <w:rPr>
                          <w:rFonts w:hint="eastAsia" w:eastAsia="宋体"/>
                          <w:color w:val="FF0000"/>
                          <w:sz w:val="18"/>
                          <w:szCs w:val="21"/>
                          <w:lang w:val="en-US" w:eastAsia="zh-CN"/>
                        </w:rPr>
                        <w:t>原材料及半</w:t>
                      </w:r>
                    </w:p>
                    <w:p w14:paraId="584AC265">
                      <w:pPr>
                        <w:jc w:val="center"/>
                        <w:rPr>
                          <w:rFonts w:hint="default"/>
                          <w:color w:val="FF0000"/>
                          <w:sz w:val="18"/>
                          <w:szCs w:val="21"/>
                          <w:lang w:val="en-US" w:eastAsia="zh-CN"/>
                        </w:rPr>
                      </w:pPr>
                      <w:r>
                        <w:rPr>
                          <w:rFonts w:hint="eastAsia" w:eastAsia="宋体"/>
                          <w:color w:val="FF0000"/>
                          <w:sz w:val="18"/>
                          <w:szCs w:val="21"/>
                          <w:lang w:val="en-US" w:eastAsia="zh-CN"/>
                        </w:rPr>
                        <w:t>成品堆放区</w:t>
                      </w:r>
                    </w:p>
                  </w:txbxContent>
                </v:textbox>
              </v:rect>
            </w:pict>
          </mc:Fallback>
        </mc:AlternateContent>
      </w:r>
      <w:r>
        <w:rPr>
          <w:color w:val="auto"/>
          <w:sz w:val="21"/>
        </w:rPr>
        <mc:AlternateContent>
          <mc:Choice Requires="wps">
            <w:drawing>
              <wp:anchor distT="0" distB="0" distL="114300" distR="114300" simplePos="0" relativeHeight="251789312" behindDoc="0" locked="0" layoutInCell="1" allowOverlap="1">
                <wp:simplePos x="0" y="0"/>
                <wp:positionH relativeFrom="column">
                  <wp:posOffset>207010</wp:posOffset>
                </wp:positionH>
                <wp:positionV relativeFrom="paragraph">
                  <wp:posOffset>5152390</wp:posOffset>
                </wp:positionV>
                <wp:extent cx="236220" cy="128905"/>
                <wp:effectExtent l="6350" t="6350" r="16510" b="17145"/>
                <wp:wrapNone/>
                <wp:docPr id="349" name="矩形 349"/>
                <wp:cNvGraphicFramePr/>
                <a:graphic xmlns:a="http://schemas.openxmlformats.org/drawingml/2006/main">
                  <a:graphicData uri="http://schemas.microsoft.com/office/word/2010/wordprocessingShape">
                    <wps:wsp>
                      <wps:cNvSpPr/>
                      <wps:spPr>
                        <a:xfrm>
                          <a:off x="0" y="0"/>
                          <a:ext cx="236220" cy="128905"/>
                        </a:xfrm>
                        <a:prstGeom prst="rect">
                          <a:avLst/>
                        </a:prstGeom>
                        <a:noFill/>
                        <a:ln w="12700">
                          <a:solidFill>
                            <a:srgbClr val="92D050"/>
                          </a:solidFill>
                          <a:prstDash val="dash"/>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6.3pt;margin-top:405.7pt;height:10.15pt;width:18.6pt;z-index:251789312;v-text-anchor:middle;mso-width-relative:page;mso-height-relative:page;" filled="f" stroked="t" coordsize="21600,21600" o:gfxdata="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D/irttkAAAAJAQAADwAAAAAAAAABACAAAAAiAAAAZHJzL2Rvd25yZXYueG1sUEsBAhQAFAAA&#10;AAgAh07iQM1JI8FgAgAAtgQAAA4AAAAAAAAAAQAgAAAAKAEAAGRycy9lMm9Eb2MueG1sUEsFBgAA&#10;AAAGAAYAWQEAAPoFAAAAAA==&#10;">
                <v:fill on="f" focussize="0,0"/>
                <v:stroke weight="1pt" color="#92D050 [2404]" joinstyle="round" dashstyle="dash"/>
                <v:imagedata o:title=""/>
                <o:lock v:ext="edit" aspectratio="f"/>
              </v:rect>
            </w:pict>
          </mc:Fallback>
        </mc:AlternateContent>
      </w:r>
      <w:r>
        <w:rPr>
          <w:color w:val="auto"/>
          <w:sz w:val="21"/>
        </w:rPr>
        <mc:AlternateContent>
          <mc:Choice Requires="wps">
            <w:drawing>
              <wp:anchor distT="0" distB="0" distL="114300" distR="114300" simplePos="0" relativeHeight="251776000" behindDoc="0" locked="0" layoutInCell="1" allowOverlap="1">
                <wp:simplePos x="0" y="0"/>
                <wp:positionH relativeFrom="column">
                  <wp:posOffset>215900</wp:posOffset>
                </wp:positionH>
                <wp:positionV relativeFrom="paragraph">
                  <wp:posOffset>4911090</wp:posOffset>
                </wp:positionV>
                <wp:extent cx="236220" cy="128905"/>
                <wp:effectExtent l="6350" t="6350" r="16510" b="17145"/>
                <wp:wrapNone/>
                <wp:docPr id="240" name="矩形 240"/>
                <wp:cNvGraphicFramePr/>
                <a:graphic xmlns:a="http://schemas.openxmlformats.org/drawingml/2006/main">
                  <a:graphicData uri="http://schemas.microsoft.com/office/word/2010/wordprocessingShape">
                    <wps:wsp>
                      <wps:cNvSpPr/>
                      <wps:spPr>
                        <a:xfrm>
                          <a:off x="0" y="0"/>
                          <a:ext cx="236220" cy="128905"/>
                        </a:xfrm>
                        <a:prstGeom prst="rect">
                          <a:avLst/>
                        </a:prstGeom>
                        <a:noFill/>
                        <a:ln w="12700">
                          <a:solidFill>
                            <a:srgbClr val="00B0F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7pt;margin-top:386.7pt;height:10.15pt;width:18.6pt;z-index:251776000;v-text-anchor:middle;mso-width-relative:page;mso-height-relative:page;" filled="f" stroked="t" coordsize="21600,21600" o:gfxdata="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Ay&#10;w0pf2AAAAAkBAAAPAAAAAAAAAAEAIAAAACIAAABkcnMvZG93bnJldi54bWxQSwECFAAUAAAACACH&#10;TuJAZgVGEV0CAAC3BAAADgAAAAAAAAABACAAAAAnAQAAZHJzL2Uyb0RvYy54bWxQSwUGAAAAAAYA&#10;BgBZAQAA9gUAAAAA&#10;">
                <v:fill on="f" focussize="0,0"/>
                <v:stroke weight="1pt" color="#00B0F0 [2404]" joinstyle="round"/>
                <v:imagedata o:title=""/>
                <o:lock v:ext="edit" aspectratio="f"/>
              </v:rect>
            </w:pict>
          </mc:Fallback>
        </mc:AlternateContent>
      </w:r>
      <w:r>
        <w:rPr>
          <w:color w:val="auto"/>
          <w:sz w:val="21"/>
        </w:rPr>
        <mc:AlternateContent>
          <mc:Choice Requires="wps">
            <w:drawing>
              <wp:anchor distT="0" distB="0" distL="114300" distR="114300" simplePos="0" relativeHeight="251745280" behindDoc="0" locked="0" layoutInCell="1" allowOverlap="1">
                <wp:simplePos x="0" y="0"/>
                <wp:positionH relativeFrom="column">
                  <wp:posOffset>226060</wp:posOffset>
                </wp:positionH>
                <wp:positionV relativeFrom="paragraph">
                  <wp:posOffset>4699000</wp:posOffset>
                </wp:positionV>
                <wp:extent cx="236220" cy="128905"/>
                <wp:effectExtent l="6350" t="6350" r="24130" b="17145"/>
                <wp:wrapNone/>
                <wp:docPr id="208" name="矩形 208"/>
                <wp:cNvGraphicFramePr/>
                <a:graphic xmlns:a="http://schemas.openxmlformats.org/drawingml/2006/main">
                  <a:graphicData uri="http://schemas.microsoft.com/office/word/2010/wordprocessingShape">
                    <wps:wsp>
                      <wps:cNvSpPr/>
                      <wps:spPr>
                        <a:xfrm>
                          <a:off x="0" y="0"/>
                          <a:ext cx="236220" cy="128905"/>
                        </a:xfrm>
                        <a:prstGeom prst="rect">
                          <a:avLst/>
                        </a:prstGeom>
                        <a:noFill/>
                        <a:ln w="1270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7.8pt;margin-top:370pt;height:10.15pt;width:18.6pt;z-index:251745280;v-text-anchor:middle;mso-width-relative:page;mso-height-relative:page;" filled="f" stroked="t" coordsize="21600,21600" o:gfxdata="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ocZ6&#10;VtYAAAAJAQAADwAAAAAAAAABACAAAAAiAAAAZHJzL2Rvd25yZXYueG1sUEsBAhQAFAAAAAgAh07i&#10;QBb20mhdAgAAtwQAAA4AAAAAAAAAAQAgAAAAJQEAAGRycy9lMm9Eb2MueG1sUEsFBgAAAAAGAAYA&#10;WQEAAPQFAAAAAA==&#10;">
                <v:fill on="f" focussize="0,0"/>
                <v:stroke weight="1pt" color="#FF0000 [2404]" joinstyle="round"/>
                <v:imagedata o:title=""/>
                <o:lock v:ext="edit" aspectratio="f"/>
              </v:rect>
            </w:pict>
          </mc:Fallback>
        </mc:AlternateContent>
      </w:r>
      <w:r>
        <w:rPr>
          <w:color w:val="auto"/>
          <w:sz w:val="21"/>
        </w:rPr>
        <mc:AlternateContent>
          <mc:Choice Requires="wps">
            <w:drawing>
              <wp:anchor distT="0" distB="0" distL="114300" distR="114300" simplePos="0" relativeHeight="251757568" behindDoc="0" locked="0" layoutInCell="1" allowOverlap="1">
                <wp:simplePos x="0" y="0"/>
                <wp:positionH relativeFrom="column">
                  <wp:posOffset>216535</wp:posOffset>
                </wp:positionH>
                <wp:positionV relativeFrom="paragraph">
                  <wp:posOffset>4493895</wp:posOffset>
                </wp:positionV>
                <wp:extent cx="212725" cy="128905"/>
                <wp:effectExtent l="6350" t="6350" r="9525" b="17145"/>
                <wp:wrapNone/>
                <wp:docPr id="218" name="矩形 218"/>
                <wp:cNvGraphicFramePr/>
                <a:graphic xmlns:a="http://schemas.openxmlformats.org/drawingml/2006/main">
                  <a:graphicData uri="http://schemas.microsoft.com/office/word/2010/wordprocessingShape">
                    <wps:wsp>
                      <wps:cNvSpPr/>
                      <wps:spPr>
                        <a:xfrm>
                          <a:off x="0" y="0"/>
                          <a:ext cx="212725" cy="128905"/>
                        </a:xfrm>
                        <a:prstGeom prst="rect">
                          <a:avLst/>
                        </a:prstGeom>
                        <a:noFill/>
                        <a:ln w="12700">
                          <a:solidFill>
                            <a:srgbClr val="FFFF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7.05pt;margin-top:353.85pt;height:10.15pt;width:16.75pt;z-index:251757568;v-text-anchor:middle;mso-width-relative:page;mso-height-relative:page;" filled="f" stroked="t" coordsize="21600,21600" o:gfxdata="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6ltPQtgAAAAJAQAADwAAAAAAAAABACAAAAAiAAAAZHJzL2Rvd25yZXYueG1sUEsBAhQAFAAAAAgA&#10;h07iQGV+62BeAgAAtwQAAA4AAAAAAAAAAQAgAAAAJwEAAGRycy9lMm9Eb2MueG1sUEsFBgAAAAAG&#10;AAYAWQEAAPcFAAAAAA==&#10;">
                <v:fill on="f" focussize="0,0"/>
                <v:stroke weight="1pt" color="#FFFF00 [2404]" joinstyle="round"/>
                <v:imagedata o:title=""/>
                <o:lock v:ext="edit" aspectratio="f"/>
              </v:rect>
            </w:pict>
          </mc:Fallback>
        </mc:AlternateContent>
      </w:r>
      <w:r>
        <w:rPr>
          <w:color w:val="auto"/>
          <w:sz w:val="28"/>
          <w:highlight w:val="none"/>
        </w:rPr>
        <mc:AlternateContent>
          <mc:Choice Requires="wps">
            <w:drawing>
              <wp:anchor distT="0" distB="0" distL="114300" distR="114300" simplePos="0" relativeHeight="251743232" behindDoc="0" locked="0" layoutInCell="1" allowOverlap="1">
                <wp:simplePos x="0" y="0"/>
                <wp:positionH relativeFrom="column">
                  <wp:posOffset>107950</wp:posOffset>
                </wp:positionH>
                <wp:positionV relativeFrom="paragraph">
                  <wp:posOffset>4210685</wp:posOffset>
                </wp:positionV>
                <wp:extent cx="1606550" cy="1192530"/>
                <wp:effectExtent l="5080" t="4445" r="19050" b="6985"/>
                <wp:wrapNone/>
                <wp:docPr id="202" name="矩形 202"/>
                <wp:cNvGraphicFramePr/>
                <a:graphic xmlns:a="http://schemas.openxmlformats.org/drawingml/2006/main">
                  <a:graphicData uri="http://schemas.microsoft.com/office/word/2010/wordprocessingShape">
                    <wps:wsp>
                      <wps:cNvSpPr/>
                      <wps:spPr>
                        <a:xfrm>
                          <a:off x="0" y="0"/>
                          <a:ext cx="1606550" cy="1192530"/>
                        </a:xfrm>
                        <a:prstGeom prst="rect">
                          <a:avLst/>
                        </a:prstGeom>
                        <a:solidFill>
                          <a:schemeClr val="bg1"/>
                        </a:solidFill>
                        <a:ln w="9525" cap="flat" cmpd="sng">
                          <a:solidFill>
                            <a:srgbClr val="000000"/>
                          </a:solidFill>
                          <a:prstDash val="solid"/>
                          <a:miter/>
                          <a:headEnd type="none" w="med" len="med"/>
                          <a:tailEnd type="none" w="med" len="med"/>
                        </a:ln>
                      </wps:spPr>
                      <wps:txbx>
                        <w:txbxContent>
                          <w:p w14:paraId="0271911F">
                            <w:pPr>
                              <w:jc w:val="center"/>
                              <w:rPr>
                                <w:rFonts w:hint="eastAsia" w:ascii="宋体" w:hAnsi="宋体" w:eastAsia="宋体" w:cs="宋体"/>
                                <w:b/>
                                <w:bCs/>
                                <w:sz w:val="21"/>
                                <w:szCs w:val="21"/>
                                <w:lang w:val="en-US" w:eastAsia="zh-CN"/>
                              </w:rPr>
                            </w:pPr>
                            <w:r>
                              <w:rPr>
                                <w:rFonts w:hint="eastAsia" w:ascii="宋体" w:hAnsi="宋体" w:eastAsia="宋体" w:cs="宋体"/>
                                <w:b/>
                                <w:bCs/>
                                <w:sz w:val="21"/>
                                <w:szCs w:val="21"/>
                                <w:lang w:val="en-US" w:eastAsia="zh-CN"/>
                              </w:rPr>
                              <w:t>图例</w:t>
                            </w:r>
                          </w:p>
                          <w:p w14:paraId="03B71EFF">
                            <w:pPr>
                              <w:pStyle w:val="25"/>
                              <w:keepNext w:val="0"/>
                              <w:keepLines w:val="0"/>
                              <w:pageBreakBefore w:val="0"/>
                              <w:widowControl w:val="0"/>
                              <w:kinsoku/>
                              <w:wordWrap/>
                              <w:overflowPunct/>
                              <w:topLinePunct w:val="0"/>
                              <w:bidi w:val="0"/>
                              <w:adjustRightInd w:val="0"/>
                              <w:snapToGrid/>
                              <w:spacing w:before="0" w:after="0" w:line="240" w:lineRule="atLeast"/>
                              <w:ind w:left="0" w:leftChars="0" w:right="0" w:firstLine="422" w:firstLineChars="200"/>
                              <w:textAlignment w:val="auto"/>
                              <w:rPr>
                                <w:rFonts w:hint="eastAsia" w:ascii="宋体" w:hAnsi="宋体" w:cs="宋体"/>
                                <w:b/>
                                <w:bCs/>
                                <w:color w:val="auto"/>
                                <w:sz w:val="21"/>
                                <w:szCs w:val="21"/>
                                <w:lang w:val="en-US" w:eastAsia="zh-CN"/>
                              </w:rPr>
                            </w:pPr>
                            <w:r>
                              <w:rPr>
                                <w:rFonts w:hint="eastAsia" w:ascii="宋体" w:hAnsi="宋体" w:eastAsia="宋体" w:cs="宋体"/>
                                <w:b/>
                                <w:bCs/>
                                <w:color w:val="000000" w:themeColor="text1"/>
                                <w:sz w:val="21"/>
                                <w:szCs w:val="21"/>
                                <w:lang w:val="en-US" w:eastAsia="zh-CN"/>
                                <w14:textFill>
                                  <w14:solidFill>
                                    <w14:schemeClr w14:val="tx1"/>
                                  </w14:solidFill>
                                </w14:textFill>
                              </w:rPr>
                              <w:t>：</w:t>
                            </w:r>
                            <w:r>
                              <w:rPr>
                                <w:rFonts w:hint="eastAsia" w:ascii="宋体" w:hAnsi="宋体" w:cs="宋体"/>
                                <w:b/>
                                <w:bCs/>
                                <w:color w:val="000000" w:themeColor="text1"/>
                                <w:sz w:val="21"/>
                                <w:szCs w:val="21"/>
                                <w:lang w:val="en-US" w:eastAsia="zh-CN"/>
                                <w14:textFill>
                                  <w14:solidFill>
                                    <w14:schemeClr w14:val="tx1"/>
                                  </w14:solidFill>
                                </w14:textFill>
                              </w:rPr>
                              <w:t>化</w:t>
                            </w:r>
                            <w:r>
                              <w:rPr>
                                <w:rFonts w:hint="eastAsia" w:ascii="宋体" w:hAnsi="宋体" w:cs="宋体"/>
                                <w:b/>
                                <w:bCs/>
                                <w:color w:val="auto"/>
                                <w:sz w:val="21"/>
                                <w:szCs w:val="21"/>
                                <w:lang w:val="en-US" w:eastAsia="zh-CN"/>
                              </w:rPr>
                              <w:t>粪池+隔油池</w:t>
                            </w:r>
                          </w:p>
                          <w:p w14:paraId="5B1D0282">
                            <w:pPr>
                              <w:keepNext w:val="0"/>
                              <w:keepLines w:val="0"/>
                              <w:pageBreakBefore w:val="0"/>
                              <w:widowControl w:val="0"/>
                              <w:kinsoku/>
                              <w:wordWrap/>
                              <w:overflowPunct/>
                              <w:topLinePunct w:val="0"/>
                              <w:bidi w:val="0"/>
                              <w:adjustRightInd/>
                              <w:snapToGrid/>
                              <w:spacing w:line="240" w:lineRule="atLeast"/>
                              <w:ind w:firstLine="422" w:firstLineChars="200"/>
                              <w:textAlignment w:val="auto"/>
                              <w:rPr>
                                <w:rFonts w:hint="eastAsia" w:ascii="宋体" w:hAnsi="宋体" w:eastAsia="宋体" w:cs="宋体"/>
                                <w:b/>
                                <w:bCs/>
                                <w:color w:val="auto"/>
                                <w:kern w:val="2"/>
                                <w:sz w:val="21"/>
                                <w:szCs w:val="21"/>
                                <w:lang w:val="en-US" w:eastAsia="zh-CN" w:bidi="ar-SA"/>
                              </w:rPr>
                            </w:pPr>
                            <w:r>
                              <w:rPr>
                                <w:rFonts w:hint="eastAsia" w:ascii="宋体" w:hAnsi="宋体" w:eastAsia="宋体" w:cs="宋体"/>
                                <w:b/>
                                <w:bCs/>
                                <w:color w:val="auto"/>
                                <w:kern w:val="2"/>
                                <w:sz w:val="21"/>
                                <w:szCs w:val="21"/>
                                <w:lang w:val="en-US" w:eastAsia="zh-CN" w:bidi="ar-SA"/>
                              </w:rPr>
                              <w:t>：厂界</w:t>
                            </w:r>
                          </w:p>
                          <w:p w14:paraId="421B0626">
                            <w:pPr>
                              <w:pStyle w:val="16"/>
                              <w:keepNext w:val="0"/>
                              <w:keepLines w:val="0"/>
                              <w:pageBreakBefore w:val="0"/>
                              <w:widowControl w:val="0"/>
                              <w:kinsoku/>
                              <w:wordWrap/>
                              <w:overflowPunct/>
                              <w:topLinePunct w:val="0"/>
                              <w:bidi w:val="0"/>
                              <w:snapToGrid/>
                              <w:spacing w:line="240" w:lineRule="atLeast"/>
                              <w:ind w:left="0" w:leftChars="0" w:firstLine="422" w:firstLineChars="200"/>
                              <w:textAlignment w:val="auto"/>
                              <w:rPr>
                                <w:rFonts w:hint="default"/>
                                <w:lang w:val="en-US" w:eastAsia="zh-CN"/>
                              </w:rPr>
                            </w:pPr>
                            <w:r>
                              <w:rPr>
                                <w:rFonts w:hint="eastAsia" w:ascii="宋体" w:hAnsi="宋体" w:eastAsia="宋体" w:cs="宋体"/>
                                <w:b/>
                                <w:bCs/>
                                <w:color w:val="auto"/>
                                <w:kern w:val="2"/>
                                <w:sz w:val="21"/>
                                <w:szCs w:val="21"/>
                                <w:lang w:val="en-US" w:eastAsia="zh-CN" w:bidi="ar-SA"/>
                              </w:rPr>
                              <w:t>：生产车间</w:t>
                            </w:r>
                          </w:p>
                          <w:p w14:paraId="6E7A81BA">
                            <w:pPr>
                              <w:pStyle w:val="16"/>
                              <w:keepNext w:val="0"/>
                              <w:keepLines w:val="0"/>
                              <w:pageBreakBefore w:val="0"/>
                              <w:widowControl w:val="0"/>
                              <w:kinsoku/>
                              <w:wordWrap/>
                              <w:overflowPunct/>
                              <w:topLinePunct w:val="0"/>
                              <w:bidi w:val="0"/>
                              <w:snapToGrid/>
                              <w:spacing w:line="240" w:lineRule="atLeast"/>
                              <w:ind w:left="0" w:leftChars="0" w:firstLine="422" w:firstLineChars="200"/>
                              <w:textAlignment w:val="auto"/>
                              <w:rPr>
                                <w:rFonts w:hint="default" w:ascii="宋体" w:hAnsi="宋体" w:eastAsia="宋体" w:cs="宋体"/>
                                <w:b/>
                                <w:bCs/>
                                <w:color w:val="auto"/>
                                <w:kern w:val="2"/>
                                <w:sz w:val="21"/>
                                <w:szCs w:val="21"/>
                                <w:lang w:val="en-US" w:eastAsia="zh-CN" w:bidi="ar-SA"/>
                              </w:rPr>
                            </w:pPr>
                            <w:r>
                              <w:rPr>
                                <w:rFonts w:hint="eastAsia" w:ascii="宋体" w:hAnsi="宋体" w:eastAsia="宋体" w:cs="宋体"/>
                                <w:b/>
                                <w:bCs/>
                                <w:color w:val="auto"/>
                                <w:kern w:val="2"/>
                                <w:sz w:val="21"/>
                                <w:szCs w:val="21"/>
                                <w:lang w:val="en-US" w:eastAsia="zh-CN" w:bidi="ar-SA"/>
                              </w:rPr>
                              <w:t>：</w:t>
                            </w:r>
                            <w:r>
                              <w:rPr>
                                <w:rFonts w:hint="eastAsia" w:cs="宋体"/>
                                <w:b/>
                                <w:bCs/>
                                <w:color w:val="auto"/>
                                <w:kern w:val="2"/>
                                <w:sz w:val="21"/>
                                <w:szCs w:val="21"/>
                                <w:lang w:val="en-US" w:eastAsia="zh-CN" w:bidi="ar-SA"/>
                              </w:rPr>
                              <w:t>成品堆放区</w:t>
                            </w:r>
                          </w:p>
                          <w:p w14:paraId="495D5EF2">
                            <w:pPr>
                              <w:pStyle w:val="16"/>
                              <w:ind w:left="0" w:leftChars="0" w:firstLine="422" w:firstLineChars="200"/>
                              <w:rPr>
                                <w:rFonts w:hint="default" w:ascii="宋体" w:hAnsi="宋体" w:eastAsia="宋体" w:cs="宋体"/>
                                <w:b/>
                                <w:bCs/>
                                <w:color w:val="auto"/>
                                <w:kern w:val="2"/>
                                <w:sz w:val="21"/>
                                <w:szCs w:val="21"/>
                                <w:lang w:val="en-US" w:eastAsia="zh-CN" w:bidi="ar-SA"/>
                              </w:rPr>
                            </w:pPr>
                          </w:p>
                        </w:txbxContent>
                      </wps:txbx>
                      <wps:bodyPr upright="1"/>
                    </wps:wsp>
                  </a:graphicData>
                </a:graphic>
              </wp:anchor>
            </w:drawing>
          </mc:Choice>
          <mc:Fallback>
            <w:pict>
              <v:rect id="_x0000_s1026" o:spid="_x0000_s1026" o:spt="1" style="position:absolute;left:0pt;margin-left:8.5pt;margin-top:331.55pt;height:93.9pt;width:126.5pt;z-index:251743232;mso-width-relative:page;mso-height-relative:page;" fillcolor="#FFFFFF [3212]" filled="t" stroked="t" coordsize="21600,21600" o:gfxdata="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O+IvJDYAAAACgEAAA8AAAAAAAAAAQAgAAAAIgAAAGRy&#10;cy9kb3ducmV2LnhtbFBLAQIUABQAAAAIAIdO4kBAEmTyBQIAAC4EAAAOAAAAAAAAAAEAIAAAACcB&#10;AABkcnMvZTJvRG9jLnhtbFBLBQYAAAAABgAGAFkBAACeBQAAAAA=&#10;">
                <v:fill on="t" focussize="0,0"/>
                <v:stroke color="#000000" joinstyle="miter"/>
                <v:imagedata o:title=""/>
                <o:lock v:ext="edit" aspectratio="f"/>
                <v:textbox>
                  <w:txbxContent>
                    <w:p w14:paraId="0271911F">
                      <w:pPr>
                        <w:jc w:val="center"/>
                        <w:rPr>
                          <w:rFonts w:hint="eastAsia" w:ascii="宋体" w:hAnsi="宋体" w:eastAsia="宋体" w:cs="宋体"/>
                          <w:b/>
                          <w:bCs/>
                          <w:sz w:val="21"/>
                          <w:szCs w:val="21"/>
                          <w:lang w:val="en-US" w:eastAsia="zh-CN"/>
                        </w:rPr>
                      </w:pPr>
                      <w:r>
                        <w:rPr>
                          <w:rFonts w:hint="eastAsia" w:ascii="宋体" w:hAnsi="宋体" w:eastAsia="宋体" w:cs="宋体"/>
                          <w:b/>
                          <w:bCs/>
                          <w:sz w:val="21"/>
                          <w:szCs w:val="21"/>
                          <w:lang w:val="en-US" w:eastAsia="zh-CN"/>
                        </w:rPr>
                        <w:t>图例</w:t>
                      </w:r>
                    </w:p>
                    <w:p w14:paraId="03B71EFF">
                      <w:pPr>
                        <w:pStyle w:val="25"/>
                        <w:keepNext w:val="0"/>
                        <w:keepLines w:val="0"/>
                        <w:pageBreakBefore w:val="0"/>
                        <w:widowControl w:val="0"/>
                        <w:kinsoku/>
                        <w:wordWrap/>
                        <w:overflowPunct/>
                        <w:topLinePunct w:val="0"/>
                        <w:bidi w:val="0"/>
                        <w:adjustRightInd w:val="0"/>
                        <w:snapToGrid/>
                        <w:spacing w:before="0" w:after="0" w:line="240" w:lineRule="atLeast"/>
                        <w:ind w:left="0" w:leftChars="0" w:right="0" w:firstLine="422" w:firstLineChars="200"/>
                        <w:textAlignment w:val="auto"/>
                        <w:rPr>
                          <w:rFonts w:hint="eastAsia" w:ascii="宋体" w:hAnsi="宋体" w:cs="宋体"/>
                          <w:b/>
                          <w:bCs/>
                          <w:color w:val="auto"/>
                          <w:sz w:val="21"/>
                          <w:szCs w:val="21"/>
                          <w:lang w:val="en-US" w:eastAsia="zh-CN"/>
                        </w:rPr>
                      </w:pPr>
                      <w:r>
                        <w:rPr>
                          <w:rFonts w:hint="eastAsia" w:ascii="宋体" w:hAnsi="宋体" w:eastAsia="宋体" w:cs="宋体"/>
                          <w:b/>
                          <w:bCs/>
                          <w:color w:val="000000" w:themeColor="text1"/>
                          <w:sz w:val="21"/>
                          <w:szCs w:val="21"/>
                          <w:lang w:val="en-US" w:eastAsia="zh-CN"/>
                          <w14:textFill>
                            <w14:solidFill>
                              <w14:schemeClr w14:val="tx1"/>
                            </w14:solidFill>
                          </w14:textFill>
                        </w:rPr>
                        <w:t>：</w:t>
                      </w:r>
                      <w:r>
                        <w:rPr>
                          <w:rFonts w:hint="eastAsia" w:ascii="宋体" w:hAnsi="宋体" w:cs="宋体"/>
                          <w:b/>
                          <w:bCs/>
                          <w:color w:val="000000" w:themeColor="text1"/>
                          <w:sz w:val="21"/>
                          <w:szCs w:val="21"/>
                          <w:lang w:val="en-US" w:eastAsia="zh-CN"/>
                          <w14:textFill>
                            <w14:solidFill>
                              <w14:schemeClr w14:val="tx1"/>
                            </w14:solidFill>
                          </w14:textFill>
                        </w:rPr>
                        <w:t>化</w:t>
                      </w:r>
                      <w:r>
                        <w:rPr>
                          <w:rFonts w:hint="eastAsia" w:ascii="宋体" w:hAnsi="宋体" w:cs="宋体"/>
                          <w:b/>
                          <w:bCs/>
                          <w:color w:val="auto"/>
                          <w:sz w:val="21"/>
                          <w:szCs w:val="21"/>
                          <w:lang w:val="en-US" w:eastAsia="zh-CN"/>
                        </w:rPr>
                        <w:t>粪池+隔油池</w:t>
                      </w:r>
                    </w:p>
                    <w:p w14:paraId="5B1D0282">
                      <w:pPr>
                        <w:keepNext w:val="0"/>
                        <w:keepLines w:val="0"/>
                        <w:pageBreakBefore w:val="0"/>
                        <w:widowControl w:val="0"/>
                        <w:kinsoku/>
                        <w:wordWrap/>
                        <w:overflowPunct/>
                        <w:topLinePunct w:val="0"/>
                        <w:bidi w:val="0"/>
                        <w:adjustRightInd/>
                        <w:snapToGrid/>
                        <w:spacing w:line="240" w:lineRule="atLeast"/>
                        <w:ind w:firstLine="422" w:firstLineChars="200"/>
                        <w:textAlignment w:val="auto"/>
                        <w:rPr>
                          <w:rFonts w:hint="eastAsia" w:ascii="宋体" w:hAnsi="宋体" w:eastAsia="宋体" w:cs="宋体"/>
                          <w:b/>
                          <w:bCs/>
                          <w:color w:val="auto"/>
                          <w:kern w:val="2"/>
                          <w:sz w:val="21"/>
                          <w:szCs w:val="21"/>
                          <w:lang w:val="en-US" w:eastAsia="zh-CN" w:bidi="ar-SA"/>
                        </w:rPr>
                      </w:pPr>
                      <w:r>
                        <w:rPr>
                          <w:rFonts w:hint="eastAsia" w:ascii="宋体" w:hAnsi="宋体" w:eastAsia="宋体" w:cs="宋体"/>
                          <w:b/>
                          <w:bCs/>
                          <w:color w:val="auto"/>
                          <w:kern w:val="2"/>
                          <w:sz w:val="21"/>
                          <w:szCs w:val="21"/>
                          <w:lang w:val="en-US" w:eastAsia="zh-CN" w:bidi="ar-SA"/>
                        </w:rPr>
                        <w:t>：厂界</w:t>
                      </w:r>
                    </w:p>
                    <w:p w14:paraId="421B0626">
                      <w:pPr>
                        <w:pStyle w:val="16"/>
                        <w:keepNext w:val="0"/>
                        <w:keepLines w:val="0"/>
                        <w:pageBreakBefore w:val="0"/>
                        <w:widowControl w:val="0"/>
                        <w:kinsoku/>
                        <w:wordWrap/>
                        <w:overflowPunct/>
                        <w:topLinePunct w:val="0"/>
                        <w:bidi w:val="0"/>
                        <w:snapToGrid/>
                        <w:spacing w:line="240" w:lineRule="atLeast"/>
                        <w:ind w:left="0" w:leftChars="0" w:firstLine="422" w:firstLineChars="200"/>
                        <w:textAlignment w:val="auto"/>
                        <w:rPr>
                          <w:rFonts w:hint="default"/>
                          <w:lang w:val="en-US" w:eastAsia="zh-CN"/>
                        </w:rPr>
                      </w:pPr>
                      <w:r>
                        <w:rPr>
                          <w:rFonts w:hint="eastAsia" w:ascii="宋体" w:hAnsi="宋体" w:eastAsia="宋体" w:cs="宋体"/>
                          <w:b/>
                          <w:bCs/>
                          <w:color w:val="auto"/>
                          <w:kern w:val="2"/>
                          <w:sz w:val="21"/>
                          <w:szCs w:val="21"/>
                          <w:lang w:val="en-US" w:eastAsia="zh-CN" w:bidi="ar-SA"/>
                        </w:rPr>
                        <w:t>：生产车间</w:t>
                      </w:r>
                    </w:p>
                    <w:p w14:paraId="6E7A81BA">
                      <w:pPr>
                        <w:pStyle w:val="16"/>
                        <w:keepNext w:val="0"/>
                        <w:keepLines w:val="0"/>
                        <w:pageBreakBefore w:val="0"/>
                        <w:widowControl w:val="0"/>
                        <w:kinsoku/>
                        <w:wordWrap/>
                        <w:overflowPunct/>
                        <w:topLinePunct w:val="0"/>
                        <w:bidi w:val="0"/>
                        <w:snapToGrid/>
                        <w:spacing w:line="240" w:lineRule="atLeast"/>
                        <w:ind w:left="0" w:leftChars="0" w:firstLine="422" w:firstLineChars="200"/>
                        <w:textAlignment w:val="auto"/>
                        <w:rPr>
                          <w:rFonts w:hint="default" w:ascii="宋体" w:hAnsi="宋体" w:eastAsia="宋体" w:cs="宋体"/>
                          <w:b/>
                          <w:bCs/>
                          <w:color w:val="auto"/>
                          <w:kern w:val="2"/>
                          <w:sz w:val="21"/>
                          <w:szCs w:val="21"/>
                          <w:lang w:val="en-US" w:eastAsia="zh-CN" w:bidi="ar-SA"/>
                        </w:rPr>
                      </w:pPr>
                      <w:r>
                        <w:rPr>
                          <w:rFonts w:hint="eastAsia" w:ascii="宋体" w:hAnsi="宋体" w:eastAsia="宋体" w:cs="宋体"/>
                          <w:b/>
                          <w:bCs/>
                          <w:color w:val="auto"/>
                          <w:kern w:val="2"/>
                          <w:sz w:val="21"/>
                          <w:szCs w:val="21"/>
                          <w:lang w:val="en-US" w:eastAsia="zh-CN" w:bidi="ar-SA"/>
                        </w:rPr>
                        <w:t>：</w:t>
                      </w:r>
                      <w:r>
                        <w:rPr>
                          <w:rFonts w:hint="eastAsia" w:cs="宋体"/>
                          <w:b/>
                          <w:bCs/>
                          <w:color w:val="auto"/>
                          <w:kern w:val="2"/>
                          <w:sz w:val="21"/>
                          <w:szCs w:val="21"/>
                          <w:lang w:val="en-US" w:eastAsia="zh-CN" w:bidi="ar-SA"/>
                        </w:rPr>
                        <w:t>成品堆放区</w:t>
                      </w:r>
                    </w:p>
                    <w:p w14:paraId="495D5EF2">
                      <w:pPr>
                        <w:pStyle w:val="16"/>
                        <w:ind w:left="0" w:leftChars="0" w:firstLine="422" w:firstLineChars="200"/>
                        <w:rPr>
                          <w:rFonts w:hint="default" w:ascii="宋体" w:hAnsi="宋体" w:eastAsia="宋体" w:cs="宋体"/>
                          <w:b/>
                          <w:bCs/>
                          <w:color w:val="auto"/>
                          <w:kern w:val="2"/>
                          <w:sz w:val="21"/>
                          <w:szCs w:val="21"/>
                          <w:lang w:val="en-US" w:eastAsia="zh-CN" w:bidi="ar-SA"/>
                        </w:rPr>
                      </w:pPr>
                    </w:p>
                  </w:txbxContent>
                </v:textbox>
              </v:rect>
            </w:pict>
          </mc:Fallback>
        </mc:AlternateContent>
      </w:r>
      <w:r>
        <w:rPr>
          <w:color w:val="auto"/>
        </w:rPr>
        <mc:AlternateContent>
          <mc:Choice Requires="wps">
            <w:drawing>
              <wp:anchor distT="0" distB="0" distL="114300" distR="114300" simplePos="0" relativeHeight="251785216" behindDoc="0" locked="0" layoutInCell="1" allowOverlap="1">
                <wp:simplePos x="0" y="0"/>
                <wp:positionH relativeFrom="column">
                  <wp:posOffset>4065905</wp:posOffset>
                </wp:positionH>
                <wp:positionV relativeFrom="paragraph">
                  <wp:posOffset>479425</wp:posOffset>
                </wp:positionV>
                <wp:extent cx="631190" cy="351790"/>
                <wp:effectExtent l="0" t="0" r="0" b="0"/>
                <wp:wrapNone/>
                <wp:docPr id="292" name="矩形 292"/>
                <wp:cNvGraphicFramePr/>
                <a:graphic xmlns:a="http://schemas.openxmlformats.org/drawingml/2006/main">
                  <a:graphicData uri="http://schemas.microsoft.com/office/word/2010/wordprocessingShape">
                    <wps:wsp>
                      <wps:cNvSpPr/>
                      <wps:spPr>
                        <a:xfrm>
                          <a:off x="0" y="0"/>
                          <a:ext cx="631190" cy="351790"/>
                        </a:xfrm>
                        <a:prstGeom prst="rect">
                          <a:avLst/>
                        </a:prstGeom>
                        <a:noFill/>
                        <a:ln w="15875">
                          <a:noFill/>
                        </a:ln>
                      </wps:spPr>
                      <wps:txbx>
                        <w:txbxContent>
                          <w:p w14:paraId="2DC1F19A">
                            <w:pPr>
                              <w:rPr>
                                <w:rFonts w:hint="default"/>
                                <w:b w:val="0"/>
                                <w:bCs w:val="0"/>
                                <w:color w:val="FF0000"/>
                                <w:lang w:val="en-US" w:eastAsia="zh-CN"/>
                              </w:rPr>
                            </w:pPr>
                            <w:r>
                              <w:rPr>
                                <w:rFonts w:hint="eastAsia"/>
                                <w:b w:val="0"/>
                                <w:bCs w:val="0"/>
                                <w:color w:val="FF0000"/>
                                <w:sz w:val="18"/>
                                <w:szCs w:val="21"/>
                                <w:lang w:val="en-US" w:eastAsia="zh-CN"/>
                              </w:rPr>
                              <w:t>DA004</w:t>
                            </w:r>
                            <w:r>
                              <w:rPr>
                                <w:rFonts w:hint="default" w:ascii="Calibri" w:hAnsi="Calibri" w:eastAsia="宋体" w:cs="Calibri"/>
                                <w:b/>
                                <w:bCs/>
                                <w:sz w:val="21"/>
                                <w:szCs w:val="21"/>
                                <w:lang w:val="en-US" w:eastAsia="zh-CN"/>
                              </w:rPr>
                              <w:t>①</w:t>
                            </w:r>
                          </w:p>
                        </w:txbxContent>
                      </wps:txbx>
                      <wps:bodyPr upright="1"/>
                    </wps:wsp>
                  </a:graphicData>
                </a:graphic>
              </wp:anchor>
            </w:drawing>
          </mc:Choice>
          <mc:Fallback>
            <w:pict>
              <v:rect id="_x0000_s1026" o:spid="_x0000_s1026" o:spt="1" style="position:absolute;left:0pt;margin-left:320.15pt;margin-top:37.75pt;height:27.7pt;width:49.7pt;z-index:251785216;mso-width-relative:page;mso-height-relative:page;" filled="f" stroked="f" coordsize="21600,21600" o:gfxdata="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y1O6&#10;QNsAAAAKAQAADwAAAAAAAAABACAAAAAiAAAAZHJzL2Rvd25yZXYueG1sUEsBAhQAFAAAAAgAh07i&#10;QMiC9X2tAQAATgMAAA4AAAAAAAAAAQAgAAAAKgEAAGRycy9lMm9Eb2MueG1sUEsFBgAAAAAGAAYA&#10;WQEAAEkFAAAAAA==&#10;">
                <v:fill on="f" focussize="0,0"/>
                <v:stroke on="f" weight="1.25pt"/>
                <v:imagedata o:title=""/>
                <o:lock v:ext="edit" aspectratio="f"/>
                <v:textbox>
                  <w:txbxContent>
                    <w:p w14:paraId="2DC1F19A">
                      <w:pPr>
                        <w:rPr>
                          <w:rFonts w:hint="default"/>
                          <w:b w:val="0"/>
                          <w:bCs w:val="0"/>
                          <w:color w:val="FF0000"/>
                          <w:lang w:val="en-US" w:eastAsia="zh-CN"/>
                        </w:rPr>
                      </w:pPr>
                      <w:r>
                        <w:rPr>
                          <w:rFonts w:hint="eastAsia"/>
                          <w:b w:val="0"/>
                          <w:bCs w:val="0"/>
                          <w:color w:val="FF0000"/>
                          <w:sz w:val="18"/>
                          <w:szCs w:val="21"/>
                          <w:lang w:val="en-US" w:eastAsia="zh-CN"/>
                        </w:rPr>
                        <w:t>DA004</w:t>
                      </w:r>
                      <w:r>
                        <w:rPr>
                          <w:rFonts w:hint="default" w:ascii="Calibri" w:hAnsi="Calibri" w:eastAsia="宋体" w:cs="Calibri"/>
                          <w:b/>
                          <w:bCs/>
                          <w:sz w:val="21"/>
                          <w:szCs w:val="21"/>
                          <w:lang w:val="en-US" w:eastAsia="zh-CN"/>
                        </w:rPr>
                        <w:t>①</w:t>
                      </w:r>
                    </w:p>
                  </w:txbxContent>
                </v:textbox>
              </v:rect>
            </w:pict>
          </mc:Fallback>
        </mc:AlternateContent>
      </w:r>
      <w:r>
        <w:rPr>
          <w:color w:val="auto"/>
          <w:sz w:val="21"/>
        </w:rPr>
        <mc:AlternateContent>
          <mc:Choice Requires="wps">
            <w:drawing>
              <wp:anchor distT="0" distB="0" distL="114300" distR="114300" simplePos="0" relativeHeight="251788288" behindDoc="0" locked="0" layoutInCell="1" allowOverlap="1">
                <wp:simplePos x="0" y="0"/>
                <wp:positionH relativeFrom="column">
                  <wp:posOffset>4193540</wp:posOffset>
                </wp:positionH>
                <wp:positionV relativeFrom="paragraph">
                  <wp:posOffset>798830</wp:posOffset>
                </wp:positionV>
                <wp:extent cx="85090" cy="103505"/>
                <wp:effectExtent l="6350" t="6350" r="15240" b="12065"/>
                <wp:wrapNone/>
                <wp:docPr id="296" name="同心圆 296"/>
                <wp:cNvGraphicFramePr/>
                <a:graphic xmlns:a="http://schemas.openxmlformats.org/drawingml/2006/main">
                  <a:graphicData uri="http://schemas.microsoft.com/office/word/2010/wordprocessingShape">
                    <wps:wsp>
                      <wps:cNvSpPr/>
                      <wps:spPr>
                        <a:xfrm>
                          <a:off x="0" y="0"/>
                          <a:ext cx="85090" cy="103505"/>
                        </a:xfrm>
                        <a:prstGeom prst="donut">
                          <a:avLst/>
                        </a:prstGeom>
                        <a:noFill/>
                        <a:ln w="1270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23" type="#_x0000_t23" style="position:absolute;left:0pt;margin-left:330.2pt;margin-top:62.9pt;height:8.15pt;width:6.7pt;z-index:251788288;v-text-anchor:middle;mso-width-relative:page;mso-height-relative:page;" filled="f" stroked="t" coordsize="21600,21600" o:gfxdata="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bP0uGtsAAAALAQAADwAAAAAAAAABACAAAAAiAAAAZHJzL2Rvd25yZXYueG1sUEsB&#10;AhQAFAAAAAgAh07iQPFbC9ZkAgAAugQAAA4AAAAAAAAAAQAgAAAAKgEAAGRycy9lMm9Eb2MueG1s&#10;UEsFBgAAAAAGAAYAWQEAAAAGAAAAAA==&#10;" adj="5400">
                <v:fill on="f" focussize="0,0"/>
                <v:stroke weight="1pt" color="#FF0000 [2404]" joinstyle="round"/>
                <v:imagedata o:title=""/>
                <o:lock v:ext="edit" aspectratio="f"/>
              </v:shape>
            </w:pict>
          </mc:Fallback>
        </mc:AlternateContent>
      </w:r>
      <w:r>
        <w:rPr>
          <w:color w:val="auto"/>
        </w:rPr>
        <mc:AlternateContent>
          <mc:Choice Requires="wps">
            <w:drawing>
              <wp:anchor distT="0" distB="0" distL="114300" distR="114300" simplePos="0" relativeHeight="251736064" behindDoc="0" locked="0" layoutInCell="1" allowOverlap="1">
                <wp:simplePos x="0" y="0"/>
                <wp:positionH relativeFrom="column">
                  <wp:posOffset>6057900</wp:posOffset>
                </wp:positionH>
                <wp:positionV relativeFrom="paragraph">
                  <wp:posOffset>744855</wp:posOffset>
                </wp:positionV>
                <wp:extent cx="631190" cy="360680"/>
                <wp:effectExtent l="0" t="0" r="0" b="0"/>
                <wp:wrapNone/>
                <wp:docPr id="192" name="矩形 192"/>
                <wp:cNvGraphicFramePr/>
                <a:graphic xmlns:a="http://schemas.openxmlformats.org/drawingml/2006/main">
                  <a:graphicData uri="http://schemas.microsoft.com/office/word/2010/wordprocessingShape">
                    <wps:wsp>
                      <wps:cNvSpPr/>
                      <wps:spPr>
                        <a:xfrm>
                          <a:off x="0" y="0"/>
                          <a:ext cx="631190" cy="360680"/>
                        </a:xfrm>
                        <a:prstGeom prst="rect">
                          <a:avLst/>
                        </a:prstGeom>
                        <a:noFill/>
                        <a:ln w="15875">
                          <a:noFill/>
                        </a:ln>
                      </wps:spPr>
                      <wps:txbx>
                        <w:txbxContent>
                          <w:p w14:paraId="69B0EF1C">
                            <w:pPr>
                              <w:rPr>
                                <w:rFonts w:hint="default"/>
                                <w:b w:val="0"/>
                                <w:bCs w:val="0"/>
                                <w:color w:val="FF0000"/>
                                <w:lang w:val="en-US" w:eastAsia="zh-CN"/>
                              </w:rPr>
                            </w:pPr>
                            <w:r>
                              <w:rPr>
                                <w:rFonts w:hint="eastAsia"/>
                                <w:b w:val="0"/>
                                <w:bCs w:val="0"/>
                                <w:color w:val="FF0000"/>
                                <w:sz w:val="18"/>
                                <w:szCs w:val="21"/>
                                <w:lang w:val="en-US" w:eastAsia="zh-CN"/>
                              </w:rPr>
                              <w:t>DA001</w:t>
                            </w:r>
                          </w:p>
                        </w:txbxContent>
                      </wps:txbx>
                      <wps:bodyPr upright="1"/>
                    </wps:wsp>
                  </a:graphicData>
                </a:graphic>
              </wp:anchor>
            </w:drawing>
          </mc:Choice>
          <mc:Fallback>
            <w:pict>
              <v:rect id="_x0000_s1026" o:spid="_x0000_s1026" o:spt="1" style="position:absolute;left:0pt;margin-left:477pt;margin-top:58.65pt;height:28.4pt;width:49.7pt;z-index:251736064;mso-width-relative:page;mso-height-relative:page;" filled="f" stroked="f" coordsize="21600,21600" o:gfxdata="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BnN&#10;hujcAAAADAEAAA8AAAAAAAAAAQAgAAAAIgAAAGRycy9kb3ducmV2LnhtbFBLAQIUABQAAAAIAIdO&#10;4kCIyqCdrQEAAE4DAAAOAAAAAAAAAAEAIAAAACsBAABkcnMvZTJvRG9jLnhtbFBLBQYAAAAABgAG&#10;AFkBAABKBQAAAAA=&#10;">
                <v:fill on="f" focussize="0,0"/>
                <v:stroke on="f" weight="1.25pt"/>
                <v:imagedata o:title=""/>
                <o:lock v:ext="edit" aspectratio="f"/>
                <v:textbox>
                  <w:txbxContent>
                    <w:p w14:paraId="69B0EF1C">
                      <w:pPr>
                        <w:rPr>
                          <w:rFonts w:hint="default"/>
                          <w:b w:val="0"/>
                          <w:bCs w:val="0"/>
                          <w:color w:val="FF0000"/>
                          <w:lang w:val="en-US" w:eastAsia="zh-CN"/>
                        </w:rPr>
                      </w:pPr>
                      <w:r>
                        <w:rPr>
                          <w:rFonts w:hint="eastAsia"/>
                          <w:b w:val="0"/>
                          <w:bCs w:val="0"/>
                          <w:color w:val="FF0000"/>
                          <w:sz w:val="18"/>
                          <w:szCs w:val="21"/>
                          <w:lang w:val="en-US" w:eastAsia="zh-CN"/>
                        </w:rPr>
                        <w:t>DA001</w:t>
                      </w:r>
                    </w:p>
                  </w:txbxContent>
                </v:textbox>
              </v:rect>
            </w:pict>
          </mc:Fallback>
        </mc:AlternateContent>
      </w:r>
      <w:r>
        <w:rPr>
          <w:color w:val="auto"/>
          <w:sz w:val="21"/>
        </w:rPr>
        <mc:AlternateContent>
          <mc:Choice Requires="wps">
            <w:drawing>
              <wp:anchor distT="0" distB="0" distL="114300" distR="114300" simplePos="0" relativeHeight="251735040" behindDoc="0" locked="0" layoutInCell="1" allowOverlap="1">
                <wp:simplePos x="0" y="0"/>
                <wp:positionH relativeFrom="column">
                  <wp:posOffset>5930900</wp:posOffset>
                </wp:positionH>
                <wp:positionV relativeFrom="paragraph">
                  <wp:posOffset>895350</wp:posOffset>
                </wp:positionV>
                <wp:extent cx="85090" cy="103505"/>
                <wp:effectExtent l="6350" t="6350" r="22860" b="23495"/>
                <wp:wrapNone/>
                <wp:docPr id="193" name="同心圆 193"/>
                <wp:cNvGraphicFramePr/>
                <a:graphic xmlns:a="http://schemas.openxmlformats.org/drawingml/2006/main">
                  <a:graphicData uri="http://schemas.microsoft.com/office/word/2010/wordprocessingShape">
                    <wps:wsp>
                      <wps:cNvSpPr/>
                      <wps:spPr>
                        <a:xfrm>
                          <a:off x="0" y="0"/>
                          <a:ext cx="85090" cy="103505"/>
                        </a:xfrm>
                        <a:prstGeom prst="donut">
                          <a:avLst/>
                        </a:prstGeom>
                        <a:noFill/>
                        <a:ln w="1270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23" type="#_x0000_t23" style="position:absolute;left:0pt;margin-left:467pt;margin-top:70.5pt;height:8.15pt;width:6.7pt;z-index:251735040;v-text-anchor:middle;mso-width-relative:page;mso-height-relative:page;" filled="f" stroked="t" coordsize="21600,21600" o:gfxdata="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Dl8J1M2wAAAAsBAAAPAAAAAAAAAAEAIAAAACIAAABkcnMvZG93bnJldi54bWxQSwEC&#10;FAAUAAAACACHTuJA7qlPmWMCAAC6BAAADgAAAAAAAAABACAAAAAqAQAAZHJzL2Uyb0RvYy54bWxQ&#10;SwUGAAAAAAYABgBZAQAA/wUAAAAA&#10;" adj="5400">
                <v:fill on="f" focussize="0,0"/>
                <v:stroke weight="1pt" color="#FF0000 [2404]" joinstyle="round"/>
                <v:imagedata o:title=""/>
                <o:lock v:ext="edit" aspectratio="f"/>
              </v:shape>
            </w:pict>
          </mc:Fallback>
        </mc:AlternateContent>
      </w:r>
      <w:r>
        <w:rPr>
          <w:color w:val="auto"/>
        </w:rPr>
        <mc:AlternateContent>
          <mc:Choice Requires="wps">
            <w:drawing>
              <wp:anchor distT="0" distB="0" distL="114300" distR="114300" simplePos="0" relativeHeight="251784192" behindDoc="0" locked="0" layoutInCell="1" allowOverlap="1">
                <wp:simplePos x="0" y="0"/>
                <wp:positionH relativeFrom="column">
                  <wp:posOffset>6028690</wp:posOffset>
                </wp:positionH>
                <wp:positionV relativeFrom="paragraph">
                  <wp:posOffset>1958975</wp:posOffset>
                </wp:positionV>
                <wp:extent cx="631190" cy="351790"/>
                <wp:effectExtent l="0" t="0" r="0" b="0"/>
                <wp:wrapNone/>
                <wp:docPr id="291" name="矩形 291"/>
                <wp:cNvGraphicFramePr/>
                <a:graphic xmlns:a="http://schemas.openxmlformats.org/drawingml/2006/main">
                  <a:graphicData uri="http://schemas.microsoft.com/office/word/2010/wordprocessingShape">
                    <wps:wsp>
                      <wps:cNvSpPr/>
                      <wps:spPr>
                        <a:xfrm>
                          <a:off x="0" y="0"/>
                          <a:ext cx="631190" cy="351790"/>
                        </a:xfrm>
                        <a:prstGeom prst="rect">
                          <a:avLst/>
                        </a:prstGeom>
                        <a:noFill/>
                        <a:ln w="15875">
                          <a:noFill/>
                        </a:ln>
                      </wps:spPr>
                      <wps:txbx>
                        <w:txbxContent>
                          <w:p w14:paraId="11B6E9B9">
                            <w:pPr>
                              <w:rPr>
                                <w:rFonts w:hint="default"/>
                                <w:b w:val="0"/>
                                <w:bCs w:val="0"/>
                                <w:color w:val="FF0000"/>
                                <w:lang w:val="en-US" w:eastAsia="zh-CN"/>
                              </w:rPr>
                            </w:pPr>
                            <w:r>
                              <w:rPr>
                                <w:rFonts w:hint="eastAsia"/>
                                <w:b w:val="0"/>
                                <w:bCs w:val="0"/>
                                <w:color w:val="FF0000"/>
                                <w:sz w:val="18"/>
                                <w:szCs w:val="21"/>
                                <w:lang w:val="en-US" w:eastAsia="zh-CN"/>
                              </w:rPr>
                              <w:t>DA003</w:t>
                            </w:r>
                          </w:p>
                        </w:txbxContent>
                      </wps:txbx>
                      <wps:bodyPr upright="1"/>
                    </wps:wsp>
                  </a:graphicData>
                </a:graphic>
              </wp:anchor>
            </w:drawing>
          </mc:Choice>
          <mc:Fallback>
            <w:pict>
              <v:rect id="_x0000_s1026" o:spid="_x0000_s1026" o:spt="1" style="position:absolute;left:0pt;margin-left:474.7pt;margin-top:154.25pt;height:27.7pt;width:49.7pt;z-index:251784192;mso-width-relative:page;mso-height-relative:page;" filled="f" stroked="f" coordsize="21600,21600" o:gfxdata="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">
                <v:fill on="f" focussize="0,0"/>
                <v:stroke on="f" weight="1.25pt"/>
                <v:imagedata o:title=""/>
                <o:lock v:ext="edit" aspectratio="f"/>
                <v:textbox>
                  <w:txbxContent>
                    <w:p w14:paraId="11B6E9B9">
                      <w:pPr>
                        <w:rPr>
                          <w:rFonts w:hint="default"/>
                          <w:b w:val="0"/>
                          <w:bCs w:val="0"/>
                          <w:color w:val="FF0000"/>
                          <w:lang w:val="en-US" w:eastAsia="zh-CN"/>
                        </w:rPr>
                      </w:pPr>
                      <w:r>
                        <w:rPr>
                          <w:rFonts w:hint="eastAsia"/>
                          <w:b w:val="0"/>
                          <w:bCs w:val="0"/>
                          <w:color w:val="FF0000"/>
                          <w:sz w:val="18"/>
                          <w:szCs w:val="21"/>
                          <w:lang w:val="en-US" w:eastAsia="zh-CN"/>
                        </w:rPr>
                        <w:t>DA003</w:t>
                      </w:r>
                    </w:p>
                  </w:txbxContent>
                </v:textbox>
              </v:rect>
            </w:pict>
          </mc:Fallback>
        </mc:AlternateContent>
      </w:r>
      <w:r>
        <w:rPr>
          <w:color w:val="auto"/>
          <w:sz w:val="21"/>
        </w:rPr>
        <mc:AlternateContent>
          <mc:Choice Requires="wps">
            <w:drawing>
              <wp:anchor distT="0" distB="0" distL="114300" distR="114300" simplePos="0" relativeHeight="251787264" behindDoc="0" locked="0" layoutInCell="1" allowOverlap="1">
                <wp:simplePos x="0" y="0"/>
                <wp:positionH relativeFrom="column">
                  <wp:posOffset>5935345</wp:posOffset>
                </wp:positionH>
                <wp:positionV relativeFrom="paragraph">
                  <wp:posOffset>2066290</wp:posOffset>
                </wp:positionV>
                <wp:extent cx="85090" cy="103505"/>
                <wp:effectExtent l="6350" t="6350" r="15240" b="12065"/>
                <wp:wrapNone/>
                <wp:docPr id="295" name="同心圆 295"/>
                <wp:cNvGraphicFramePr/>
                <a:graphic xmlns:a="http://schemas.openxmlformats.org/drawingml/2006/main">
                  <a:graphicData uri="http://schemas.microsoft.com/office/word/2010/wordprocessingShape">
                    <wps:wsp>
                      <wps:cNvSpPr/>
                      <wps:spPr>
                        <a:xfrm>
                          <a:off x="0" y="0"/>
                          <a:ext cx="85090" cy="103505"/>
                        </a:xfrm>
                        <a:prstGeom prst="donut">
                          <a:avLst/>
                        </a:prstGeom>
                        <a:noFill/>
                        <a:ln w="1270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23" type="#_x0000_t23" style="position:absolute;left:0pt;margin-left:467.35pt;margin-top:162.7pt;height:8.15pt;width:6.7pt;z-index:251787264;v-text-anchor:middle;mso-width-relative:page;mso-height-relative:page;" filled="f" stroked="t" coordsize="21600,21600" o:gfxdata="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I6d1aPcAAAACwEAAA8AAAAAAAAAAQAgAAAAIgAAAGRycy9kb3ducmV2LnhtbFBL&#10;AQIUABQAAAAIAIdO4kAYBO/AZAIAALoEAAAOAAAAAAAAAAEAIAAAACsBAABkcnMvZTJvRG9jLnht&#10;bFBLBQYAAAAABgAGAFkBAAABBgAAAAA=&#10;" adj="5400">
                <v:fill on="f" focussize="0,0"/>
                <v:stroke weight="1pt" color="#FF0000 [2404]" joinstyle="round"/>
                <v:imagedata o:title=""/>
                <o:lock v:ext="edit" aspectratio="f"/>
              </v:shape>
            </w:pict>
          </mc:Fallback>
        </mc:AlternateContent>
      </w:r>
      <w:r>
        <w:rPr>
          <w:color w:val="auto"/>
          <w:sz w:val="21"/>
        </w:rPr>
        <mc:AlternateContent>
          <mc:Choice Requires="wps">
            <w:drawing>
              <wp:anchor distT="0" distB="0" distL="114300" distR="114300" simplePos="0" relativeHeight="251786240" behindDoc="0" locked="0" layoutInCell="1" allowOverlap="1">
                <wp:simplePos x="0" y="0"/>
                <wp:positionH relativeFrom="column">
                  <wp:posOffset>5942965</wp:posOffset>
                </wp:positionH>
                <wp:positionV relativeFrom="paragraph">
                  <wp:posOffset>1273175</wp:posOffset>
                </wp:positionV>
                <wp:extent cx="85090" cy="103505"/>
                <wp:effectExtent l="6350" t="6350" r="15240" b="12065"/>
                <wp:wrapNone/>
                <wp:docPr id="293" name="同心圆 293"/>
                <wp:cNvGraphicFramePr/>
                <a:graphic xmlns:a="http://schemas.openxmlformats.org/drawingml/2006/main">
                  <a:graphicData uri="http://schemas.microsoft.com/office/word/2010/wordprocessingShape">
                    <wps:wsp>
                      <wps:cNvSpPr/>
                      <wps:spPr>
                        <a:xfrm>
                          <a:off x="0" y="0"/>
                          <a:ext cx="85090" cy="103505"/>
                        </a:xfrm>
                        <a:prstGeom prst="donut">
                          <a:avLst/>
                        </a:prstGeom>
                        <a:noFill/>
                        <a:ln w="1270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23" type="#_x0000_t23" style="position:absolute;left:0pt;margin-left:467.95pt;margin-top:100.25pt;height:8.15pt;width:6.7pt;z-index:251786240;v-text-anchor:middle;mso-width-relative:page;mso-height-relative:page;" filled="f" stroked="t" coordsize="21600,21600" o:gfxdata="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33vkZdsAAAALAQAADwAAAAAAAAABACAAAAAiAAAAZHJzL2Rvd25yZXYueG1sUEsB&#10;AhQAFAAAAAgAh07iQMq7J+1kAgAAugQAAA4AAAAAAAAAAQAgAAAAKgEAAGRycy9lMm9Eb2MueG1s&#10;UEsFBgAAAAAGAAYAWQEAAAAGAAAAAA==&#10;" adj="5400">
                <v:fill on="f" focussize="0,0"/>
                <v:stroke weight="1pt" color="#FF0000 [2404]" joinstyle="round"/>
                <v:imagedata o:title=""/>
                <o:lock v:ext="edit" aspectratio="f"/>
              </v:shape>
            </w:pict>
          </mc:Fallback>
        </mc:AlternateContent>
      </w:r>
      <w:r>
        <w:rPr>
          <w:color w:val="auto"/>
        </w:rPr>
        <mc:AlternateContent>
          <mc:Choice Requires="wps">
            <w:drawing>
              <wp:anchor distT="0" distB="0" distL="114300" distR="114300" simplePos="0" relativeHeight="251778048" behindDoc="0" locked="0" layoutInCell="1" allowOverlap="1">
                <wp:simplePos x="0" y="0"/>
                <wp:positionH relativeFrom="column">
                  <wp:posOffset>5564505</wp:posOffset>
                </wp:positionH>
                <wp:positionV relativeFrom="paragraph">
                  <wp:posOffset>1139190</wp:posOffset>
                </wp:positionV>
                <wp:extent cx="466090" cy="701675"/>
                <wp:effectExtent l="0" t="0" r="0" b="0"/>
                <wp:wrapNone/>
                <wp:docPr id="241" name="矩形 241"/>
                <wp:cNvGraphicFramePr/>
                <a:graphic xmlns:a="http://schemas.openxmlformats.org/drawingml/2006/main">
                  <a:graphicData uri="http://schemas.microsoft.com/office/word/2010/wordprocessingShape">
                    <wps:wsp>
                      <wps:cNvSpPr/>
                      <wps:spPr>
                        <a:xfrm>
                          <a:off x="0" y="0"/>
                          <a:ext cx="466090" cy="701675"/>
                        </a:xfrm>
                        <a:prstGeom prst="rect">
                          <a:avLst/>
                        </a:prstGeom>
                        <a:noFill/>
                        <a:ln w="15875">
                          <a:noFill/>
                        </a:ln>
                      </wps:spPr>
                      <wps:txbx>
                        <w:txbxContent>
                          <w:p w14:paraId="4E46B1C9">
                            <w:pPr>
                              <w:keepNext w:val="0"/>
                              <w:keepLines w:val="0"/>
                              <w:pageBreakBefore w:val="0"/>
                              <w:widowControl w:val="0"/>
                              <w:kinsoku/>
                              <w:wordWrap/>
                              <w:overflowPunct/>
                              <w:topLinePunct w:val="0"/>
                              <w:bidi w:val="0"/>
                              <w:adjustRightInd/>
                              <w:snapToGrid/>
                              <w:spacing w:line="240" w:lineRule="atLeast"/>
                              <w:jc w:val="center"/>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鞋垫制造线</w:t>
                            </w:r>
                          </w:p>
                        </w:txbxContent>
                      </wps:txbx>
                      <wps:bodyPr upright="1"/>
                    </wps:wsp>
                  </a:graphicData>
                </a:graphic>
              </wp:anchor>
            </w:drawing>
          </mc:Choice>
          <mc:Fallback>
            <w:pict>
              <v:rect id="_x0000_s1026" o:spid="_x0000_s1026" o:spt="1" style="position:absolute;left:0pt;margin-left:438.15pt;margin-top:89.7pt;height:55.25pt;width:36.7pt;z-index:251778048;mso-width-relative:page;mso-height-relative:page;" filled="f" stroked="f" coordsize="21600,21600" o:gfxdata="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F9iArtsA&#10;AAALAQAADwAAAAAAAAABACAAAAAiAAAAZHJzL2Rvd25yZXYueG1sUEsBAhQAFAAAAAgAh07iQI7S&#10;UT2qAQAATgMAAA4AAAAAAAAAAQAgAAAAKgEAAGRycy9lMm9Eb2MueG1sUEsFBgAAAAAGAAYAWQEA&#10;AEYFAAAAAA==&#10;">
                <v:fill on="f" focussize="0,0"/>
                <v:stroke on="f" weight="1.25pt"/>
                <v:imagedata o:title=""/>
                <o:lock v:ext="edit" aspectratio="f"/>
                <v:textbox>
                  <w:txbxContent>
                    <w:p w14:paraId="4E46B1C9">
                      <w:pPr>
                        <w:keepNext w:val="0"/>
                        <w:keepLines w:val="0"/>
                        <w:pageBreakBefore w:val="0"/>
                        <w:widowControl w:val="0"/>
                        <w:kinsoku/>
                        <w:wordWrap/>
                        <w:overflowPunct/>
                        <w:topLinePunct w:val="0"/>
                        <w:bidi w:val="0"/>
                        <w:adjustRightInd/>
                        <w:snapToGrid/>
                        <w:spacing w:line="240" w:lineRule="atLeast"/>
                        <w:jc w:val="center"/>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鞋垫制造线</w:t>
                      </w:r>
                    </w:p>
                  </w:txbxContent>
                </v:textbox>
              </v:rect>
            </w:pict>
          </mc:Fallback>
        </mc:AlternateContent>
      </w:r>
      <w:r>
        <w:rPr>
          <w:color w:val="auto"/>
          <w:sz w:val="21"/>
        </w:rPr>
        <mc:AlternateContent>
          <mc:Choice Requires="wps">
            <w:drawing>
              <wp:anchor distT="0" distB="0" distL="114300" distR="114300" simplePos="0" relativeHeight="251777024" behindDoc="0" locked="0" layoutInCell="1" allowOverlap="1">
                <wp:simplePos x="0" y="0"/>
                <wp:positionH relativeFrom="column">
                  <wp:posOffset>5680710</wp:posOffset>
                </wp:positionH>
                <wp:positionV relativeFrom="paragraph">
                  <wp:posOffset>1262380</wp:posOffset>
                </wp:positionV>
                <wp:extent cx="204470" cy="420370"/>
                <wp:effectExtent l="6350" t="6350" r="17780" b="11430"/>
                <wp:wrapNone/>
                <wp:docPr id="242" name="矩形 242"/>
                <wp:cNvGraphicFramePr/>
                <a:graphic xmlns:a="http://schemas.openxmlformats.org/drawingml/2006/main">
                  <a:graphicData uri="http://schemas.microsoft.com/office/word/2010/wordprocessingShape">
                    <wps:wsp>
                      <wps:cNvSpPr/>
                      <wps:spPr>
                        <a:xfrm>
                          <a:off x="0" y="0"/>
                          <a:ext cx="204470" cy="420370"/>
                        </a:xfrm>
                        <a:prstGeom prst="rect">
                          <a:avLst/>
                        </a:prstGeom>
                        <a:noFill/>
                        <a:ln w="12700">
                          <a:solidFill>
                            <a:schemeClr val="bg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47.3pt;margin-top:99.4pt;height:33.1pt;width:16.1pt;z-index:251777024;v-text-anchor:middle;mso-width-relative:page;mso-height-relative:page;" filled="f" stroked="t" coordsize="21600,21600" o:gfxdata="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f3BeNtoAAAALAQAADwAAAAAAAAABACAAAAAiAAAAZHJzL2Rvd25yZXYueG1sUEsBAhQAFAAAAAgA&#10;h07iQMZwDG9cAgAAtwQAAA4AAAAAAAAAAQAgAAAAKQEAAGRycy9lMm9Eb2MueG1sUEsFBgAAAAAG&#10;AAYAWQEAAPcFAAAAAA==&#10;">
                <v:fill on="f" focussize="0,0"/>
                <v:stroke weight="1pt" color="#FFFFFF [3212]" joinstyle="round"/>
                <v:imagedata o:title=""/>
                <o:lock v:ext="edit" aspectratio="f"/>
              </v:rect>
            </w:pict>
          </mc:Fallback>
        </mc:AlternateContent>
      </w:r>
      <w:r>
        <w:rPr>
          <w:color w:val="auto"/>
        </w:rPr>
        <mc:AlternateContent>
          <mc:Choice Requires="wps">
            <w:drawing>
              <wp:anchor distT="0" distB="0" distL="114300" distR="114300" simplePos="0" relativeHeight="251755520" behindDoc="0" locked="0" layoutInCell="1" allowOverlap="1">
                <wp:simplePos x="0" y="0"/>
                <wp:positionH relativeFrom="column">
                  <wp:posOffset>3640455</wp:posOffset>
                </wp:positionH>
                <wp:positionV relativeFrom="paragraph">
                  <wp:posOffset>1355725</wp:posOffset>
                </wp:positionV>
                <wp:extent cx="466090" cy="551815"/>
                <wp:effectExtent l="0" t="0" r="0" b="0"/>
                <wp:wrapNone/>
                <wp:docPr id="215" name="矩形 215"/>
                <wp:cNvGraphicFramePr/>
                <a:graphic xmlns:a="http://schemas.openxmlformats.org/drawingml/2006/main">
                  <a:graphicData uri="http://schemas.microsoft.com/office/word/2010/wordprocessingShape">
                    <wps:wsp>
                      <wps:cNvSpPr/>
                      <wps:spPr>
                        <a:xfrm>
                          <a:off x="0" y="0"/>
                          <a:ext cx="466090" cy="551815"/>
                        </a:xfrm>
                        <a:prstGeom prst="rect">
                          <a:avLst/>
                        </a:prstGeom>
                        <a:noFill/>
                        <a:ln w="15875">
                          <a:noFill/>
                        </a:ln>
                      </wps:spPr>
                      <wps:txbx>
                        <w:txbxContent>
                          <w:p w14:paraId="285621F3">
                            <w:pPr>
                              <w:keepNext w:val="0"/>
                              <w:keepLines w:val="0"/>
                              <w:pageBreakBefore w:val="0"/>
                              <w:widowControl w:val="0"/>
                              <w:kinsoku/>
                              <w:wordWrap/>
                              <w:overflowPunct/>
                              <w:topLinePunct w:val="0"/>
                              <w:bidi w:val="0"/>
                              <w:adjustRightInd/>
                              <w:snapToGrid/>
                              <w:spacing w:line="240" w:lineRule="atLeast"/>
                              <w:jc w:val="center"/>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办公区</w:t>
                            </w:r>
                          </w:p>
                        </w:txbxContent>
                      </wps:txbx>
                      <wps:bodyPr upright="1"/>
                    </wps:wsp>
                  </a:graphicData>
                </a:graphic>
              </wp:anchor>
            </w:drawing>
          </mc:Choice>
          <mc:Fallback>
            <w:pict>
              <v:rect id="_x0000_s1026" o:spid="_x0000_s1026" o:spt="1" style="position:absolute;left:0pt;margin-left:286.65pt;margin-top:106.75pt;height:43.45pt;width:36.7pt;z-index:251755520;mso-width-relative:page;mso-height-relative:page;" filled="f" stroked="f" coordsize="21600,21600" o:gfxdata="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MuT&#10;VZjcAAAACwEAAA8AAAAAAAAAAQAgAAAAIgAAAGRycy9kb3ducmV2LnhtbFBLAQIUABQAAAAIAIdO&#10;4kB2S5TmrQEAAE4DAAAOAAAAAAAAAAEAIAAAACsBAABkcnMvZTJvRG9jLnhtbFBLBQYAAAAABgAG&#10;AFkBAABKBQAAAAA=&#10;">
                <v:fill on="f" focussize="0,0"/>
                <v:stroke on="f" weight="1.25pt"/>
                <v:imagedata o:title=""/>
                <o:lock v:ext="edit" aspectratio="f"/>
                <v:textbox>
                  <w:txbxContent>
                    <w:p w14:paraId="285621F3">
                      <w:pPr>
                        <w:keepNext w:val="0"/>
                        <w:keepLines w:val="0"/>
                        <w:pageBreakBefore w:val="0"/>
                        <w:widowControl w:val="0"/>
                        <w:kinsoku/>
                        <w:wordWrap/>
                        <w:overflowPunct/>
                        <w:topLinePunct w:val="0"/>
                        <w:bidi w:val="0"/>
                        <w:adjustRightInd/>
                        <w:snapToGrid/>
                        <w:spacing w:line="240" w:lineRule="atLeast"/>
                        <w:jc w:val="center"/>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办公区</w:t>
                      </w:r>
                    </w:p>
                  </w:txbxContent>
                </v:textbox>
              </v:rect>
            </w:pict>
          </mc:Fallback>
        </mc:AlternateContent>
      </w:r>
      <w:r>
        <w:rPr>
          <w:color w:val="auto"/>
          <w:sz w:val="21"/>
        </w:rPr>
        <mc:AlternateContent>
          <mc:Choice Requires="wps">
            <w:drawing>
              <wp:anchor distT="0" distB="0" distL="114300" distR="114300" simplePos="0" relativeHeight="251767808" behindDoc="0" locked="0" layoutInCell="1" allowOverlap="1">
                <wp:simplePos x="0" y="0"/>
                <wp:positionH relativeFrom="column">
                  <wp:posOffset>3982720</wp:posOffset>
                </wp:positionH>
                <wp:positionV relativeFrom="paragraph">
                  <wp:posOffset>2148205</wp:posOffset>
                </wp:positionV>
                <wp:extent cx="762635" cy="664210"/>
                <wp:effectExtent l="6350" t="6350" r="12065" b="15240"/>
                <wp:wrapNone/>
                <wp:docPr id="231" name="任意多边形 231"/>
                <wp:cNvGraphicFramePr/>
                <a:graphic xmlns:a="http://schemas.openxmlformats.org/drawingml/2006/main">
                  <a:graphicData uri="http://schemas.microsoft.com/office/word/2010/wordprocessingShape">
                    <wps:wsp>
                      <wps:cNvSpPr/>
                      <wps:spPr>
                        <a:xfrm>
                          <a:off x="4968240" y="2811780"/>
                          <a:ext cx="762635" cy="664210"/>
                        </a:xfrm>
                        <a:custGeom>
                          <a:avLst/>
                          <a:gdLst>
                            <a:gd name="connisteX0" fmla="*/ 24765 w 708660"/>
                            <a:gd name="connsiteY0" fmla="*/ 33655 h 617855"/>
                            <a:gd name="connisteX1" fmla="*/ 426720 w 708660"/>
                            <a:gd name="connsiteY1" fmla="*/ 605155 h 617855"/>
                            <a:gd name="connisteX2" fmla="*/ 708660 w 708660"/>
                            <a:gd name="connsiteY2" fmla="*/ 617855 h 617855"/>
                            <a:gd name="connisteX3" fmla="*/ 704215 w 708660"/>
                            <a:gd name="connsiteY3" fmla="*/ 3810 h 617855"/>
                            <a:gd name="connisteX4" fmla="*/ 0 w 708660"/>
                            <a:gd name="connsiteY4" fmla="*/ 0 h 617855"/>
                            <a:gd name="connisteX5" fmla="*/ 24765 w 708660"/>
                            <a:gd name="connsiteY5" fmla="*/ 33655 h 617855"/>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Lst>
                          <a:rect l="l" t="t" r="r" b="b"/>
                          <a:pathLst>
                            <a:path w="708660" h="617855">
                              <a:moveTo>
                                <a:pt x="24765" y="33655"/>
                              </a:moveTo>
                              <a:lnTo>
                                <a:pt x="426720" y="605155"/>
                              </a:lnTo>
                              <a:lnTo>
                                <a:pt x="708660" y="617855"/>
                              </a:lnTo>
                              <a:lnTo>
                                <a:pt x="704215" y="3810"/>
                              </a:lnTo>
                              <a:lnTo>
                                <a:pt x="0" y="0"/>
                              </a:lnTo>
                              <a:lnTo>
                                <a:pt x="24765" y="33655"/>
                              </a:lnTo>
                              <a:close/>
                            </a:path>
                          </a:pathLst>
                        </a:custGeom>
                        <a:noFill/>
                        <a:ln w="12700">
                          <a:solidFill>
                            <a:schemeClr val="bg1"/>
                          </a:solidFill>
                        </a:ln>
                      </wps:spPr>
                      <wps:style>
                        <a:lnRef idx="2">
                          <a:schemeClr val="accent1">
                            <a:lumMod val="75000"/>
                          </a:schemeClr>
                        </a:lnRef>
                        <a:fillRef idx="1">
                          <a:schemeClr val="accent1"/>
                        </a:fillRef>
                        <a:effectRef idx="0">
                          <a:srgbClr val="FFFFFF"/>
                        </a:effectRef>
                        <a:fontRef idx="minor">
                          <a:schemeClr val="lt1"/>
                        </a:fontRef>
                      </wps:style>
                      <wps:bodyPr/>
                    </wps:wsp>
                  </a:graphicData>
                </a:graphic>
              </wp:anchor>
            </w:drawing>
          </mc:Choice>
          <mc:Fallback>
            <w:pict>
              <v:shape id="_x0000_s1026" o:spid="_x0000_s1026" o:spt="100" style="position:absolute;left:0pt;margin-left:313.6pt;margin-top:169.15pt;height:52.3pt;width:60.05pt;z-index:251767808;mso-width-relative:page;mso-height-relative:page;" filled="f" stroked="t" coordsize="708660,617855" o:gfxdata="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" path="m24765,33655l426720,605155,708660,617855,704215,3810,0,0,24765,33655xe">
                <v:path o:connectlocs="26651,36179;459221,650557;762635,664210;757851,4095;0,0;26651,36179" o:connectangles="0,0,0,0,0,0"/>
                <v:fill on="f" focussize="0,0"/>
                <v:stroke weight="1pt" color="#FFFFFF [3212]" joinstyle="round"/>
                <v:imagedata o:title=""/>
                <o:lock v:ext="edit" aspectratio="f"/>
              </v:shape>
            </w:pict>
          </mc:Fallback>
        </mc:AlternateContent>
      </w:r>
      <w:r>
        <w:rPr>
          <w:color w:val="auto"/>
        </w:rPr>
        <mc:AlternateContent>
          <mc:Choice Requires="wps">
            <w:drawing>
              <wp:anchor distT="0" distB="0" distL="114300" distR="114300" simplePos="0" relativeHeight="251774976" behindDoc="0" locked="0" layoutInCell="1" allowOverlap="1">
                <wp:simplePos x="0" y="0"/>
                <wp:positionH relativeFrom="column">
                  <wp:posOffset>5821045</wp:posOffset>
                </wp:positionH>
                <wp:positionV relativeFrom="paragraph">
                  <wp:posOffset>3593465</wp:posOffset>
                </wp:positionV>
                <wp:extent cx="792480" cy="298450"/>
                <wp:effectExtent l="0" t="0" r="0" b="0"/>
                <wp:wrapNone/>
                <wp:docPr id="239" name="矩形 239"/>
                <wp:cNvGraphicFramePr/>
                <a:graphic xmlns:a="http://schemas.openxmlformats.org/drawingml/2006/main">
                  <a:graphicData uri="http://schemas.microsoft.com/office/word/2010/wordprocessingShape">
                    <wps:wsp>
                      <wps:cNvSpPr/>
                      <wps:spPr>
                        <a:xfrm>
                          <a:off x="0" y="0"/>
                          <a:ext cx="792480" cy="298450"/>
                        </a:xfrm>
                        <a:prstGeom prst="rect">
                          <a:avLst/>
                        </a:prstGeom>
                        <a:noFill/>
                        <a:ln w="15875">
                          <a:noFill/>
                        </a:ln>
                      </wps:spPr>
                      <wps:txbx>
                        <w:txbxContent>
                          <w:p w14:paraId="3C2842E8">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一般固废间</w:t>
                            </w:r>
                          </w:p>
                        </w:txbxContent>
                      </wps:txbx>
                      <wps:bodyPr upright="1"/>
                    </wps:wsp>
                  </a:graphicData>
                </a:graphic>
              </wp:anchor>
            </w:drawing>
          </mc:Choice>
          <mc:Fallback>
            <w:pict>
              <v:rect id="_x0000_s1026" o:spid="_x0000_s1026" o:spt="1" style="position:absolute;left:0pt;margin-left:458.35pt;margin-top:282.95pt;height:23.5pt;width:62.4pt;z-index:251774976;mso-width-relative:page;mso-height-relative:page;" filled="f" stroked="f" coordsize="21600,21600" o:gfxdata="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DP&#10;Libl3AAAAAwBAAAPAAAAAAAAAAEAIAAAACIAAABkcnMvZG93bnJldi54bWxQSwECFAAUAAAACACH&#10;TuJArdihm64BAABOAwAADgAAAAAAAAABACAAAAArAQAAZHJzL2Uyb0RvYy54bWxQSwUGAAAAAAYA&#10;BgBZAQAASwUAAAAA&#10;">
                <v:fill on="f" focussize="0,0"/>
                <v:stroke on="f" weight="1.25pt"/>
                <v:imagedata o:title=""/>
                <o:lock v:ext="edit" aspectratio="f"/>
                <v:textbox>
                  <w:txbxContent>
                    <w:p w14:paraId="3C2842E8">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一般固废间</w:t>
                      </w:r>
                    </w:p>
                  </w:txbxContent>
                </v:textbox>
              </v:rect>
            </w:pict>
          </mc:Fallback>
        </mc:AlternateContent>
      </w:r>
      <w:r>
        <w:rPr>
          <w:color w:val="auto"/>
        </w:rPr>
        <mc:AlternateContent>
          <mc:Choice Requires="wps">
            <w:drawing>
              <wp:anchor distT="0" distB="0" distL="114300" distR="114300" simplePos="0" relativeHeight="251770880" behindDoc="0" locked="0" layoutInCell="1" allowOverlap="1">
                <wp:simplePos x="0" y="0"/>
                <wp:positionH relativeFrom="column">
                  <wp:posOffset>2587625</wp:posOffset>
                </wp:positionH>
                <wp:positionV relativeFrom="paragraph">
                  <wp:posOffset>407035</wp:posOffset>
                </wp:positionV>
                <wp:extent cx="823595" cy="467995"/>
                <wp:effectExtent l="0" t="0" r="0" b="0"/>
                <wp:wrapNone/>
                <wp:docPr id="235" name="矩形 235"/>
                <wp:cNvGraphicFramePr/>
                <a:graphic xmlns:a="http://schemas.openxmlformats.org/drawingml/2006/main">
                  <a:graphicData uri="http://schemas.microsoft.com/office/word/2010/wordprocessingShape">
                    <wps:wsp>
                      <wps:cNvSpPr/>
                      <wps:spPr>
                        <a:xfrm>
                          <a:off x="0" y="0"/>
                          <a:ext cx="823595" cy="467995"/>
                        </a:xfrm>
                        <a:prstGeom prst="rect">
                          <a:avLst/>
                        </a:prstGeom>
                        <a:noFill/>
                        <a:ln w="15875">
                          <a:noFill/>
                        </a:ln>
                      </wps:spPr>
                      <wps:txbx>
                        <w:txbxContent>
                          <w:p w14:paraId="2AA875DC">
                            <w:pPr>
                              <w:rPr>
                                <w:rFonts w:hint="default"/>
                                <w:b/>
                                <w:bCs/>
                                <w:color w:val="FF0000"/>
                                <w:sz w:val="18"/>
                                <w:szCs w:val="21"/>
                                <w:lang w:val="en-US" w:eastAsia="zh-CN"/>
                              </w:rPr>
                            </w:pPr>
                            <w:r>
                              <w:rPr>
                                <w:rFonts w:hint="eastAsia"/>
                                <w:b/>
                                <w:bCs/>
                                <w:color w:val="FF0000"/>
                                <w:sz w:val="18"/>
                                <w:szCs w:val="21"/>
                                <w:lang w:val="en-US" w:eastAsia="zh-CN"/>
                              </w:rPr>
                              <w:t>厂区后门</w:t>
                            </w:r>
                          </w:p>
                        </w:txbxContent>
                      </wps:txbx>
                      <wps:bodyPr upright="1"/>
                    </wps:wsp>
                  </a:graphicData>
                </a:graphic>
              </wp:anchor>
            </w:drawing>
          </mc:Choice>
          <mc:Fallback>
            <w:pict>
              <v:rect id="_x0000_s1026" o:spid="_x0000_s1026" o:spt="1" style="position:absolute;left:0pt;margin-left:203.75pt;margin-top:32.05pt;height:36.85pt;width:64.85pt;z-index:251770880;mso-width-relative:page;mso-height-relative:page;" filled="f" stroked="f" coordsize="21600,21600" o:gfxdata="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">
                <v:fill on="f" focussize="0,0"/>
                <v:stroke on="f" weight="1.25pt"/>
                <v:imagedata o:title=""/>
                <o:lock v:ext="edit" aspectratio="f"/>
                <v:textbox>
                  <w:txbxContent>
                    <w:p w14:paraId="2AA875DC">
                      <w:pPr>
                        <w:rPr>
                          <w:rFonts w:hint="default"/>
                          <w:b/>
                          <w:bCs/>
                          <w:color w:val="FF0000"/>
                          <w:sz w:val="18"/>
                          <w:szCs w:val="21"/>
                          <w:lang w:val="en-US" w:eastAsia="zh-CN"/>
                        </w:rPr>
                      </w:pPr>
                      <w:r>
                        <w:rPr>
                          <w:rFonts w:hint="eastAsia"/>
                          <w:b/>
                          <w:bCs/>
                          <w:color w:val="FF0000"/>
                          <w:sz w:val="18"/>
                          <w:szCs w:val="21"/>
                          <w:lang w:val="en-US" w:eastAsia="zh-CN"/>
                        </w:rPr>
                        <w:t>厂区后门</w:t>
                      </w:r>
                    </w:p>
                  </w:txbxContent>
                </v:textbox>
              </v:rect>
            </w:pict>
          </mc:Fallback>
        </mc:AlternateContent>
      </w:r>
      <w:r>
        <w:rPr>
          <w:color w:val="auto"/>
          <w:sz w:val="24"/>
        </w:rPr>
        <mc:AlternateContent>
          <mc:Choice Requires="wps">
            <w:drawing>
              <wp:anchor distT="0" distB="0" distL="114300" distR="114300" simplePos="0" relativeHeight="251769856" behindDoc="0" locked="0" layoutInCell="1" allowOverlap="1">
                <wp:simplePos x="0" y="0"/>
                <wp:positionH relativeFrom="column">
                  <wp:posOffset>3221990</wp:posOffset>
                </wp:positionH>
                <wp:positionV relativeFrom="paragraph">
                  <wp:posOffset>539115</wp:posOffset>
                </wp:positionV>
                <wp:extent cx="190500" cy="497205"/>
                <wp:effectExtent l="13970" t="13970" r="24130" b="22225"/>
                <wp:wrapNone/>
                <wp:docPr id="234" name="上下箭头 234"/>
                <wp:cNvGraphicFramePr/>
                <a:graphic xmlns:a="http://schemas.openxmlformats.org/drawingml/2006/main">
                  <a:graphicData uri="http://schemas.microsoft.com/office/word/2010/wordprocessingShape">
                    <wps:wsp>
                      <wps:cNvSpPr/>
                      <wps:spPr>
                        <a:xfrm rot="10800000">
                          <a:off x="0" y="0"/>
                          <a:ext cx="190500" cy="497205"/>
                        </a:xfrm>
                        <a:prstGeom prst="upDownArrow">
                          <a:avLst/>
                        </a:prstGeom>
                        <a:noFill/>
                        <a:ln w="28575">
                          <a:solidFill>
                            <a:srgbClr val="00B05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70" type="#_x0000_t70" style="position:absolute;left:0pt;margin-left:253.7pt;margin-top:42.45pt;height:39.15pt;width:15pt;rotation:11796480f;z-index:251769856;v-text-anchor:middle;mso-width-relative:page;mso-height-relative:page;" filled="f" stroked="t" coordsize="21600,21600" o:gfxdata="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AyvpCd1wAAAAoBAAAPAAAAAAAAAAEAIAAAACIAAABkcnMv&#10;ZG93bnJldi54bWxQSwECFAAUAAAACACHTuJAYRkQfnYCAADTBAAADgAAAAAAAAABACAAAAAmAQAA&#10;ZHJzL2Uyb0RvYy54bWxQSwUGAAAAAAYABgBZAQAADgYAAAAA&#10;" adj="5400,4137">
                <v:fill on="f" focussize="0,0"/>
                <v:stroke weight="2.25pt" color="#00B050 [2404]" joinstyle="round"/>
                <v:imagedata o:title=""/>
                <o:lock v:ext="edit" aspectratio="f"/>
              </v:shape>
            </w:pict>
          </mc:Fallback>
        </mc:AlternateContent>
      </w:r>
      <w:r>
        <w:rPr>
          <w:color w:val="auto"/>
          <w:sz w:val="21"/>
        </w:rPr>
        <mc:AlternateContent>
          <mc:Choice Requires="wps">
            <w:drawing>
              <wp:anchor distT="0" distB="0" distL="114300" distR="114300" simplePos="0" relativeHeight="251766784" behindDoc="0" locked="0" layoutInCell="1" allowOverlap="1">
                <wp:simplePos x="0" y="0"/>
                <wp:positionH relativeFrom="column">
                  <wp:posOffset>4489450</wp:posOffset>
                </wp:positionH>
                <wp:positionV relativeFrom="paragraph">
                  <wp:posOffset>2822575</wp:posOffset>
                </wp:positionV>
                <wp:extent cx="276225" cy="371475"/>
                <wp:effectExtent l="6350" t="6350" r="22225" b="22225"/>
                <wp:wrapNone/>
                <wp:docPr id="228" name="任意多边形 228"/>
                <wp:cNvGraphicFramePr/>
                <a:graphic xmlns:a="http://schemas.openxmlformats.org/drawingml/2006/main">
                  <a:graphicData uri="http://schemas.microsoft.com/office/word/2010/wordprocessingShape">
                    <wps:wsp>
                      <wps:cNvSpPr/>
                      <wps:spPr>
                        <a:xfrm>
                          <a:off x="5429250" y="3468370"/>
                          <a:ext cx="276225" cy="371475"/>
                        </a:xfrm>
                        <a:custGeom>
                          <a:avLst/>
                          <a:gdLst>
                            <a:gd name="connisteX0" fmla="*/ 240665 w 276225"/>
                            <a:gd name="connsiteY0" fmla="*/ 324485 h 371475"/>
                            <a:gd name="connisteX1" fmla="*/ 0 w 276225"/>
                            <a:gd name="connsiteY1" fmla="*/ 0 h 371475"/>
                            <a:gd name="connisteX2" fmla="*/ 276225 w 276225"/>
                            <a:gd name="connsiteY2" fmla="*/ 3175 h 371475"/>
                            <a:gd name="connisteX3" fmla="*/ 271780 w 276225"/>
                            <a:gd name="connsiteY3" fmla="*/ 371475 h 371475"/>
                            <a:gd name="connisteX4" fmla="*/ 240665 w 276225"/>
                            <a:gd name="connsiteY4" fmla="*/ 324485 h 371475"/>
                          </a:gdLst>
                          <a:ahLst/>
                          <a:cxnLst>
                            <a:cxn ang="0">
                              <a:pos x="connisteX0" y="connsiteY0"/>
                            </a:cxn>
                            <a:cxn ang="0">
                              <a:pos x="connisteX1" y="connsiteY1"/>
                            </a:cxn>
                            <a:cxn ang="0">
                              <a:pos x="connisteX2" y="connsiteY2"/>
                            </a:cxn>
                            <a:cxn ang="0">
                              <a:pos x="connisteX3" y="connsiteY3"/>
                            </a:cxn>
                            <a:cxn ang="0">
                              <a:pos x="connisteX4" y="connsiteY4"/>
                            </a:cxn>
                          </a:cxnLst>
                          <a:rect l="l" t="t" r="r" b="b"/>
                          <a:pathLst>
                            <a:path w="276225" h="371475">
                              <a:moveTo>
                                <a:pt x="240665" y="324485"/>
                              </a:moveTo>
                              <a:lnTo>
                                <a:pt x="0" y="0"/>
                              </a:lnTo>
                              <a:lnTo>
                                <a:pt x="276225" y="3175"/>
                              </a:lnTo>
                              <a:lnTo>
                                <a:pt x="271780" y="371475"/>
                              </a:lnTo>
                              <a:lnTo>
                                <a:pt x="240665" y="324485"/>
                              </a:lnTo>
                              <a:close/>
                            </a:path>
                          </a:pathLst>
                        </a:custGeom>
                        <a:noFill/>
                        <a:ln w="12700">
                          <a:solidFill>
                            <a:schemeClr val="bg1"/>
                          </a:solidFill>
                        </a:ln>
                      </wps:spPr>
                      <wps:style>
                        <a:lnRef idx="2">
                          <a:schemeClr val="accent1">
                            <a:lumMod val="75000"/>
                          </a:schemeClr>
                        </a:lnRef>
                        <a:fillRef idx="1">
                          <a:schemeClr val="accent1"/>
                        </a:fillRef>
                        <a:effectRef idx="0">
                          <a:srgbClr val="FFFFFF"/>
                        </a:effectRef>
                        <a:fontRef idx="minor">
                          <a:schemeClr val="lt1"/>
                        </a:fontRef>
                      </wps:style>
                      <wps:bodyPr/>
                    </wps:wsp>
                  </a:graphicData>
                </a:graphic>
              </wp:anchor>
            </w:drawing>
          </mc:Choice>
          <mc:Fallback>
            <w:pict>
              <v:shape id="_x0000_s1026" o:spid="_x0000_s1026" o:spt="100" style="position:absolute;left:0pt;margin-left:353.5pt;margin-top:222.25pt;height:29.25pt;width:21.75pt;z-index:251766784;mso-width-relative:page;mso-height-relative:page;" filled="f" stroked="t" coordsize="276225,371475" o:gfxdata="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" path="m240665,324485l0,0,276225,3175,271780,371475,240665,324485xe">
                <v:path o:connectlocs="240665,324485;0,0;276225,3175;271780,371475;240665,324485" o:connectangles="0,0,0,0,0"/>
                <v:fill on="f" focussize="0,0"/>
                <v:stroke weight="1pt" color="#FFFFFF [3212]" joinstyle="round"/>
                <v:imagedata o:title=""/>
                <o:lock v:ext="edit" aspectratio="f"/>
              </v:shape>
            </w:pict>
          </mc:Fallback>
        </mc:AlternateContent>
      </w:r>
      <w:r>
        <w:rPr>
          <w:color w:val="auto"/>
          <w:sz w:val="21"/>
        </w:rPr>
        <mc:AlternateContent>
          <mc:Choice Requires="wps">
            <w:drawing>
              <wp:anchor distT="0" distB="0" distL="114300" distR="114300" simplePos="0" relativeHeight="251764736" behindDoc="0" locked="0" layoutInCell="1" allowOverlap="1">
                <wp:simplePos x="0" y="0"/>
                <wp:positionH relativeFrom="column">
                  <wp:posOffset>5126355</wp:posOffset>
                </wp:positionH>
                <wp:positionV relativeFrom="paragraph">
                  <wp:posOffset>3281680</wp:posOffset>
                </wp:positionV>
                <wp:extent cx="603250" cy="335915"/>
                <wp:effectExtent l="6350" t="6350" r="15240" b="8255"/>
                <wp:wrapNone/>
                <wp:docPr id="225" name="矩形 225"/>
                <wp:cNvGraphicFramePr/>
                <a:graphic xmlns:a="http://schemas.openxmlformats.org/drawingml/2006/main">
                  <a:graphicData uri="http://schemas.microsoft.com/office/word/2010/wordprocessingShape">
                    <wps:wsp>
                      <wps:cNvSpPr/>
                      <wps:spPr>
                        <a:xfrm>
                          <a:off x="0" y="0"/>
                          <a:ext cx="603250" cy="335915"/>
                        </a:xfrm>
                        <a:prstGeom prst="rect">
                          <a:avLst/>
                        </a:prstGeom>
                        <a:noFill/>
                        <a:ln w="12700">
                          <a:solidFill>
                            <a:schemeClr val="bg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03.65pt;margin-top:258.4pt;height:26.45pt;width:47.5pt;z-index:251764736;v-text-anchor:middle;mso-width-relative:page;mso-height-relative:page;" filled="f" stroked="t" coordsize="21600,21600" o:gfxdata="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DRP+Dk2gAAAAsBAAAPAAAAAAAAAAEAIAAAACIAAABkcnMvZG93bnJldi54bWxQSwECFAAUAAAA&#10;CACHTuJAo9OqYV4CAAC3BAAADgAAAAAAAAABACAAAAApAQAAZHJzL2Uyb0RvYy54bWxQSwUGAAAA&#10;AAYABgBZAQAA+QUAAAAA&#10;">
                <v:fill on="f" focussize="0,0"/>
                <v:stroke weight="1pt" color="#FFFFFF [3212]" joinstyle="round"/>
                <v:imagedata o:title=""/>
                <o:lock v:ext="edit" aspectratio="f"/>
              </v:rect>
            </w:pict>
          </mc:Fallback>
        </mc:AlternateContent>
      </w:r>
      <w:r>
        <w:rPr>
          <w:color w:val="auto"/>
          <w:sz w:val="21"/>
        </w:rPr>
        <mc:AlternateContent>
          <mc:Choice Requires="wps">
            <w:drawing>
              <wp:anchor distT="0" distB="0" distL="114300" distR="114300" simplePos="0" relativeHeight="251762688" behindDoc="0" locked="0" layoutInCell="1" allowOverlap="1">
                <wp:simplePos x="0" y="0"/>
                <wp:positionH relativeFrom="column">
                  <wp:posOffset>4331335</wp:posOffset>
                </wp:positionH>
                <wp:positionV relativeFrom="paragraph">
                  <wp:posOffset>2275205</wp:posOffset>
                </wp:positionV>
                <wp:extent cx="1450340" cy="389255"/>
                <wp:effectExtent l="6350" t="6350" r="23495" b="10160"/>
                <wp:wrapNone/>
                <wp:docPr id="223" name="矩形 223"/>
                <wp:cNvGraphicFramePr/>
                <a:graphic xmlns:a="http://schemas.openxmlformats.org/drawingml/2006/main">
                  <a:graphicData uri="http://schemas.microsoft.com/office/word/2010/wordprocessingShape">
                    <wps:wsp>
                      <wps:cNvSpPr/>
                      <wps:spPr>
                        <a:xfrm rot="16200000">
                          <a:off x="0" y="0"/>
                          <a:ext cx="1450340" cy="389255"/>
                        </a:xfrm>
                        <a:prstGeom prst="rect">
                          <a:avLst/>
                        </a:prstGeom>
                        <a:noFill/>
                        <a:ln w="12700">
                          <a:solidFill>
                            <a:schemeClr val="bg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41.05pt;margin-top:179.15pt;height:30.65pt;width:114.2pt;rotation:-5898240f;z-index:251762688;v-text-anchor:middle;mso-width-relative:page;mso-height-relative:page;" filled="f" stroked="t" coordsize="21600,21600" o:gfxdata="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D8hLvf2AAAAAsBAAAPAAAAAAAAAAEAIAAAACIAAABkcnMvZG93bnJldi54bWxQSwEC&#10;FAAUAAAACACHTuJA+OPm52YCAADHBAAADgAAAAAAAAABACAAAAAnAQAAZHJzL2Uyb0RvYy54bWxQ&#10;SwUGAAAAAAYABgBZAQAA/wUAAAAA&#10;">
                <v:fill on="f" focussize="0,0"/>
                <v:stroke weight="1pt" color="#FFFFFF [3212]" joinstyle="round"/>
                <v:imagedata o:title=""/>
                <o:lock v:ext="edit" aspectratio="f"/>
              </v:rect>
            </w:pict>
          </mc:Fallback>
        </mc:AlternateContent>
      </w:r>
      <w:r>
        <w:rPr>
          <w:color w:val="auto"/>
        </w:rPr>
        <mc:AlternateContent>
          <mc:Choice Requires="wps">
            <w:drawing>
              <wp:anchor distT="0" distB="0" distL="114300" distR="114300" simplePos="0" relativeHeight="251761664" behindDoc="0" locked="0" layoutInCell="1" allowOverlap="1">
                <wp:simplePos x="0" y="0"/>
                <wp:positionH relativeFrom="column">
                  <wp:posOffset>5469255</wp:posOffset>
                </wp:positionH>
                <wp:positionV relativeFrom="paragraph">
                  <wp:posOffset>1906905</wp:posOffset>
                </wp:positionV>
                <wp:extent cx="440690" cy="1054100"/>
                <wp:effectExtent l="0" t="0" r="0" b="0"/>
                <wp:wrapNone/>
                <wp:docPr id="222" name="矩形 222"/>
                <wp:cNvGraphicFramePr/>
                <a:graphic xmlns:a="http://schemas.openxmlformats.org/drawingml/2006/main">
                  <a:graphicData uri="http://schemas.microsoft.com/office/word/2010/wordprocessingShape">
                    <wps:wsp>
                      <wps:cNvSpPr/>
                      <wps:spPr>
                        <a:xfrm>
                          <a:off x="0" y="0"/>
                          <a:ext cx="440690" cy="1054100"/>
                        </a:xfrm>
                        <a:prstGeom prst="rect">
                          <a:avLst/>
                        </a:prstGeom>
                        <a:noFill/>
                        <a:ln w="15875">
                          <a:noFill/>
                        </a:ln>
                      </wps:spPr>
                      <wps:txbx>
                        <w:txbxContent>
                          <w:p w14:paraId="52965AD8">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皮</w:t>
                            </w:r>
                          </w:p>
                          <w:p w14:paraId="6FCDF2BE">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鞋</w:t>
                            </w:r>
                          </w:p>
                          <w:p w14:paraId="4A961E67">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生</w:t>
                            </w:r>
                          </w:p>
                          <w:p w14:paraId="1FBD22E3">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产</w:t>
                            </w:r>
                          </w:p>
                          <w:p w14:paraId="4EB17F27">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线</w:t>
                            </w:r>
                          </w:p>
                        </w:txbxContent>
                      </wps:txbx>
                      <wps:bodyPr upright="1"/>
                    </wps:wsp>
                  </a:graphicData>
                </a:graphic>
              </wp:anchor>
            </w:drawing>
          </mc:Choice>
          <mc:Fallback>
            <w:pict>
              <v:rect id="_x0000_s1026" o:spid="_x0000_s1026" o:spt="1" style="position:absolute;left:0pt;margin-left:430.65pt;margin-top:150.15pt;height:83pt;width:34.7pt;z-index:251761664;mso-width-relative:page;mso-height-relative:page;" filled="f" stroked="f" coordsize="21600,21600" o:gfxdata="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EPKP&#10;N9sAAAALAQAADwAAAAAAAAABACAAAAAiAAAAZHJzL2Rvd25yZXYueG1sUEsBAhQAFAAAAAgAh07i&#10;QB9tMketAQAATwMAAA4AAAAAAAAAAQAgAAAAKgEAAGRycy9lMm9Eb2MueG1sUEsFBgAAAAAGAAYA&#10;WQEAAEkFAAAAAA==&#10;">
                <v:fill on="f" focussize="0,0"/>
                <v:stroke on="f" weight="1.25pt"/>
                <v:imagedata o:title=""/>
                <o:lock v:ext="edit" aspectratio="f"/>
                <v:textbox>
                  <w:txbxContent>
                    <w:p w14:paraId="52965AD8">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皮</w:t>
                      </w:r>
                    </w:p>
                    <w:p w14:paraId="6FCDF2BE">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鞋</w:t>
                      </w:r>
                    </w:p>
                    <w:p w14:paraId="4A961E67">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生</w:t>
                      </w:r>
                    </w:p>
                    <w:p w14:paraId="1FBD22E3">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产</w:t>
                      </w:r>
                    </w:p>
                    <w:p w14:paraId="4EB17F27">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线</w:t>
                      </w:r>
                    </w:p>
                  </w:txbxContent>
                </v:textbox>
              </v:rect>
            </w:pict>
          </mc:Fallback>
        </mc:AlternateContent>
      </w:r>
      <w:r>
        <w:rPr>
          <w:color w:val="auto"/>
          <w:sz w:val="21"/>
        </w:rPr>
        <mc:AlternateContent>
          <mc:Choice Requires="wps">
            <w:drawing>
              <wp:anchor distT="0" distB="0" distL="114300" distR="114300" simplePos="0" relativeHeight="251760640" behindDoc="0" locked="0" layoutInCell="1" allowOverlap="1">
                <wp:simplePos x="0" y="0"/>
                <wp:positionH relativeFrom="column">
                  <wp:posOffset>4906645</wp:posOffset>
                </wp:positionH>
                <wp:positionV relativeFrom="paragraph">
                  <wp:posOffset>2272030</wp:posOffset>
                </wp:positionV>
                <wp:extent cx="1450340" cy="389255"/>
                <wp:effectExtent l="6350" t="6350" r="23495" b="10160"/>
                <wp:wrapNone/>
                <wp:docPr id="221" name="矩形 221"/>
                <wp:cNvGraphicFramePr/>
                <a:graphic xmlns:a="http://schemas.openxmlformats.org/drawingml/2006/main">
                  <a:graphicData uri="http://schemas.microsoft.com/office/word/2010/wordprocessingShape">
                    <wps:wsp>
                      <wps:cNvSpPr/>
                      <wps:spPr>
                        <a:xfrm rot="16200000">
                          <a:off x="0" y="0"/>
                          <a:ext cx="1450340" cy="389255"/>
                        </a:xfrm>
                        <a:prstGeom prst="rect">
                          <a:avLst/>
                        </a:prstGeom>
                        <a:noFill/>
                        <a:ln w="12700">
                          <a:solidFill>
                            <a:schemeClr val="bg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86.35pt;margin-top:178.9pt;height:30.65pt;width:114.2pt;rotation:-5898240f;z-index:251760640;v-text-anchor:middle;mso-width-relative:page;mso-height-relative:page;" filled="f" stroked="t" coordsize="21600,21600" o:gfxdata="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LbJ+fXZAAAADAEAAA8AAAAAAAAAAQAgAAAAIgAAAGRycy9kb3ducmV2LnhtbFBL&#10;AQIUABQAAAAIAIdO4kB1hsWtZwIAAMcEAAAOAAAAAAAAAAEAIAAAACgBAABkcnMvZTJvRG9jLnht&#10;bFBLBQYAAAAABgAGAFkBAAABBgAAAAA=&#10;">
                <v:fill on="f" focussize="0,0"/>
                <v:stroke weight="1pt" color="#FFFFFF [3212]" joinstyle="round"/>
                <v:imagedata o:title=""/>
                <o:lock v:ext="edit" aspectratio="f"/>
              </v:rect>
            </w:pict>
          </mc:Fallback>
        </mc:AlternateContent>
      </w:r>
      <w:r>
        <w:rPr>
          <w:color w:val="auto"/>
          <w:sz w:val="21"/>
        </w:rPr>
        <mc:AlternateContent>
          <mc:Choice Requires="wps">
            <w:drawing>
              <wp:anchor distT="0" distB="0" distL="114300" distR="114300" simplePos="0" relativeHeight="251758592" behindDoc="0" locked="0" layoutInCell="1" allowOverlap="1">
                <wp:simplePos x="0" y="0"/>
                <wp:positionH relativeFrom="column">
                  <wp:posOffset>4137660</wp:posOffset>
                </wp:positionH>
                <wp:positionV relativeFrom="paragraph">
                  <wp:posOffset>1257935</wp:posOffset>
                </wp:positionV>
                <wp:extent cx="1494155" cy="424180"/>
                <wp:effectExtent l="6350" t="6350" r="23495" b="7620"/>
                <wp:wrapNone/>
                <wp:docPr id="219" name="矩形 219"/>
                <wp:cNvGraphicFramePr/>
                <a:graphic xmlns:a="http://schemas.openxmlformats.org/drawingml/2006/main">
                  <a:graphicData uri="http://schemas.microsoft.com/office/word/2010/wordprocessingShape">
                    <wps:wsp>
                      <wps:cNvSpPr/>
                      <wps:spPr>
                        <a:xfrm>
                          <a:off x="0" y="0"/>
                          <a:ext cx="1494155" cy="424180"/>
                        </a:xfrm>
                        <a:prstGeom prst="rect">
                          <a:avLst/>
                        </a:prstGeom>
                        <a:noFill/>
                        <a:ln w="12700">
                          <a:solidFill>
                            <a:schemeClr val="bg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25.8pt;margin-top:99.05pt;height:33.4pt;width:117.65pt;z-index:251758592;v-text-anchor:middle;mso-width-relative:page;mso-height-relative:page;" filled="f" stroked="t" coordsize="21600,21600" o:gfxdata="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DP0cl92wAAAAsBAAAPAAAAAAAAAAEAIAAAACIAAABkcnMvZG93bnJldi54bWxQSwECFAAU&#10;AAAACACHTuJAeMKiD2ACAAC4BAAADgAAAAAAAAABACAAAAAqAQAAZHJzL2Uyb0RvYy54bWxQSwUG&#10;AAAAAAYABgBZAQAA/AUAAAAA&#10;">
                <v:fill on="f" focussize="0,0"/>
                <v:stroke weight="1pt" color="#FFFFFF [3212]" joinstyle="round"/>
                <v:imagedata o:title=""/>
                <o:lock v:ext="edit" aspectratio="f"/>
              </v:rect>
            </w:pict>
          </mc:Fallback>
        </mc:AlternateContent>
      </w:r>
      <w:r>
        <w:rPr>
          <w:color w:val="auto"/>
          <w:sz w:val="21"/>
        </w:rPr>
        <mc:AlternateContent>
          <mc:Choice Requires="wps">
            <w:drawing>
              <wp:anchor distT="0" distB="0" distL="114300" distR="114300" simplePos="0" relativeHeight="251756544" behindDoc="0" locked="0" layoutInCell="1" allowOverlap="1">
                <wp:simplePos x="0" y="0"/>
                <wp:positionH relativeFrom="column">
                  <wp:posOffset>4149090</wp:posOffset>
                </wp:positionH>
                <wp:positionV relativeFrom="paragraph">
                  <wp:posOffset>887730</wp:posOffset>
                </wp:positionV>
                <wp:extent cx="1728470" cy="246380"/>
                <wp:effectExtent l="6350" t="6350" r="17780" b="13970"/>
                <wp:wrapNone/>
                <wp:docPr id="217" name="矩形 217"/>
                <wp:cNvGraphicFramePr/>
                <a:graphic xmlns:a="http://schemas.openxmlformats.org/drawingml/2006/main">
                  <a:graphicData uri="http://schemas.microsoft.com/office/word/2010/wordprocessingShape">
                    <wps:wsp>
                      <wps:cNvSpPr/>
                      <wps:spPr>
                        <a:xfrm>
                          <a:off x="0" y="0"/>
                          <a:ext cx="1728470" cy="246380"/>
                        </a:xfrm>
                        <a:prstGeom prst="rect">
                          <a:avLst/>
                        </a:prstGeom>
                        <a:noFill/>
                        <a:ln w="12700">
                          <a:solidFill>
                            <a:schemeClr val="bg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26.7pt;margin-top:69.9pt;height:19.4pt;width:136.1pt;z-index:251756544;v-text-anchor:middle;mso-width-relative:page;mso-height-relative:page;" filled="f" stroked="t" coordsize="21600,21600" o:gfxdata="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lTJK0dsAAAALAQAADwAAAAAAAAABACAAAAAiAAAAZHJzL2Rvd25yZXYueG1sUEsBAhQAFAAA&#10;AAgAh07iQMczkGdeAgAAuAQAAA4AAAAAAAAAAQAgAAAAKgEAAGRycy9lMm9Eb2MueG1sUEsFBgAA&#10;AAAGAAYAWQEAAPoFAAAAAA==&#10;">
                <v:fill on="f" focussize="0,0"/>
                <v:stroke weight="1pt" color="#FFFFFF [3212]" joinstyle="round"/>
                <v:imagedata o:title=""/>
                <o:lock v:ext="edit" aspectratio="f"/>
              </v:rect>
            </w:pict>
          </mc:Fallback>
        </mc:AlternateContent>
      </w:r>
      <w:r>
        <w:rPr>
          <w:color w:val="auto"/>
        </w:rPr>
        <mc:AlternateContent>
          <mc:Choice Requires="wps">
            <w:drawing>
              <wp:anchor distT="0" distB="0" distL="114300" distR="114300" simplePos="0" relativeHeight="251754496" behindDoc="0" locked="0" layoutInCell="1" allowOverlap="1">
                <wp:simplePos x="0" y="0"/>
                <wp:positionH relativeFrom="column">
                  <wp:posOffset>3698240</wp:posOffset>
                </wp:positionH>
                <wp:positionV relativeFrom="paragraph">
                  <wp:posOffset>867410</wp:posOffset>
                </wp:positionV>
                <wp:extent cx="367665" cy="551815"/>
                <wp:effectExtent l="0" t="0" r="0" b="0"/>
                <wp:wrapNone/>
                <wp:docPr id="214" name="矩形 214"/>
                <wp:cNvGraphicFramePr/>
                <a:graphic xmlns:a="http://schemas.openxmlformats.org/drawingml/2006/main">
                  <a:graphicData uri="http://schemas.microsoft.com/office/word/2010/wordprocessingShape">
                    <wps:wsp>
                      <wps:cNvSpPr/>
                      <wps:spPr>
                        <a:xfrm>
                          <a:off x="0" y="0"/>
                          <a:ext cx="367665" cy="551815"/>
                        </a:xfrm>
                        <a:prstGeom prst="rect">
                          <a:avLst/>
                        </a:prstGeom>
                        <a:noFill/>
                        <a:ln w="15875">
                          <a:noFill/>
                        </a:ln>
                      </wps:spPr>
                      <wps:txbx>
                        <w:txbxContent>
                          <w:p w14:paraId="78D9F6A4">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食</w:t>
                            </w:r>
                          </w:p>
                          <w:p w14:paraId="61D28F0D">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堂</w:t>
                            </w:r>
                          </w:p>
                        </w:txbxContent>
                      </wps:txbx>
                      <wps:bodyPr upright="1"/>
                    </wps:wsp>
                  </a:graphicData>
                </a:graphic>
              </wp:anchor>
            </w:drawing>
          </mc:Choice>
          <mc:Fallback>
            <w:pict>
              <v:rect id="_x0000_s1026" o:spid="_x0000_s1026" o:spt="1" style="position:absolute;left:0pt;margin-left:291.2pt;margin-top:68.3pt;height:43.45pt;width:28.95pt;z-index:251754496;mso-width-relative:page;mso-height-relative:page;" filled="f" stroked="f" coordsize="21600,21600" o:gfxdata="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HKu&#10;LPTbAAAACwEAAA8AAAAAAAAAAQAgAAAAIgAAAGRycy9kb3ducmV2LnhtbFBLAQIUABQAAAAIAIdO&#10;4kBlg+ADrgEAAE4DAAAOAAAAAAAAAAEAIAAAACoBAABkcnMvZTJvRG9jLnhtbFBLBQYAAAAABgAG&#10;AFkBAABKBQAAAAA=&#10;">
                <v:fill on="f" focussize="0,0"/>
                <v:stroke on="f" weight="1.25pt"/>
                <v:imagedata o:title=""/>
                <o:lock v:ext="edit" aspectratio="f"/>
                <v:textbox>
                  <w:txbxContent>
                    <w:p w14:paraId="78D9F6A4">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食</w:t>
                      </w:r>
                    </w:p>
                    <w:p w14:paraId="61D28F0D">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堂</w:t>
                      </w:r>
                    </w:p>
                  </w:txbxContent>
                </v:textbox>
              </v:rect>
            </w:pict>
          </mc:Fallback>
        </mc:AlternateContent>
      </w:r>
      <w:r>
        <w:rPr>
          <w:color w:val="auto"/>
          <w:sz w:val="21"/>
        </w:rPr>
        <mc:AlternateContent>
          <mc:Choice Requires="wps">
            <w:drawing>
              <wp:anchor distT="0" distB="0" distL="114300" distR="114300" simplePos="0" relativeHeight="251753472" behindDoc="0" locked="0" layoutInCell="1" allowOverlap="1">
                <wp:simplePos x="0" y="0"/>
                <wp:positionH relativeFrom="column">
                  <wp:posOffset>3736340</wp:posOffset>
                </wp:positionH>
                <wp:positionV relativeFrom="paragraph">
                  <wp:posOffset>1341120</wp:posOffset>
                </wp:positionV>
                <wp:extent cx="245110" cy="466090"/>
                <wp:effectExtent l="6350" t="6350" r="15240" b="22860"/>
                <wp:wrapNone/>
                <wp:docPr id="213" name="矩形 213"/>
                <wp:cNvGraphicFramePr/>
                <a:graphic xmlns:a="http://schemas.openxmlformats.org/drawingml/2006/main">
                  <a:graphicData uri="http://schemas.microsoft.com/office/word/2010/wordprocessingShape">
                    <wps:wsp>
                      <wps:cNvSpPr/>
                      <wps:spPr>
                        <a:xfrm>
                          <a:off x="0" y="0"/>
                          <a:ext cx="245110" cy="466090"/>
                        </a:xfrm>
                        <a:prstGeom prst="rect">
                          <a:avLst/>
                        </a:prstGeom>
                        <a:noFill/>
                        <a:ln w="12700">
                          <a:solidFill>
                            <a:schemeClr val="bg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94.2pt;margin-top:105.6pt;height:36.7pt;width:19.3pt;z-index:251753472;v-text-anchor:middle;mso-width-relative:page;mso-height-relative:page;" filled="f" stroked="t" coordsize="21600,21600" o:gfxdata="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mJdiHNsAAAALAQAADwAAAAAAAAABACAAAAAiAAAAZHJzL2Rvd25yZXYueG1sUEsBAhQAFAAA&#10;AAgAh07iQHNnhAJeAgAAtwQAAA4AAAAAAAAAAQAgAAAAKgEAAGRycy9lMm9Eb2MueG1sUEsFBgAA&#10;AAAGAAYAWQEAAPoFAAAAAA==&#10;">
                <v:fill on="f" focussize="0,0"/>
                <v:stroke weight="1pt" color="#FFFFFF [3212]" joinstyle="round"/>
                <v:imagedata o:title=""/>
                <o:lock v:ext="edit" aspectratio="f"/>
              </v:rect>
            </w:pict>
          </mc:Fallback>
        </mc:AlternateContent>
      </w:r>
      <w:r>
        <w:rPr>
          <w:color w:val="auto"/>
          <w:sz w:val="21"/>
        </w:rPr>
        <mc:AlternateContent>
          <mc:Choice Requires="wps">
            <w:drawing>
              <wp:anchor distT="0" distB="0" distL="114300" distR="114300" simplePos="0" relativeHeight="251752448" behindDoc="0" locked="0" layoutInCell="1" allowOverlap="1">
                <wp:simplePos x="0" y="0"/>
                <wp:positionH relativeFrom="column">
                  <wp:posOffset>3742055</wp:posOffset>
                </wp:positionH>
                <wp:positionV relativeFrom="paragraph">
                  <wp:posOffset>872490</wp:posOffset>
                </wp:positionV>
                <wp:extent cx="241935" cy="466090"/>
                <wp:effectExtent l="6350" t="6350" r="18415" b="22860"/>
                <wp:wrapNone/>
                <wp:docPr id="212" name="矩形 212"/>
                <wp:cNvGraphicFramePr/>
                <a:graphic xmlns:a="http://schemas.openxmlformats.org/drawingml/2006/main">
                  <a:graphicData uri="http://schemas.microsoft.com/office/word/2010/wordprocessingShape">
                    <wps:wsp>
                      <wps:cNvSpPr/>
                      <wps:spPr>
                        <a:xfrm>
                          <a:off x="0" y="0"/>
                          <a:ext cx="241935" cy="466090"/>
                        </a:xfrm>
                        <a:prstGeom prst="rect">
                          <a:avLst/>
                        </a:prstGeom>
                        <a:noFill/>
                        <a:ln w="12700">
                          <a:solidFill>
                            <a:schemeClr val="bg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94.65pt;margin-top:68.7pt;height:36.7pt;width:19.05pt;z-index:251752448;v-text-anchor:middle;mso-width-relative:page;mso-height-relative:page;" filled="f" stroked="t" coordsize="21600,21600" o:gfxdata="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MICxS/bAAAACwEAAA8AAAAAAAAAAQAgAAAAIgAAAGRycy9kb3ducmV2LnhtbFBLAQIUABQA&#10;AAAIAIdO4kCLjkcxXwIAALcEAAAOAAAAAAAAAAEAIAAAACoBAABkcnMvZTJvRG9jLnhtbFBLBQYA&#10;AAAABgAGAFkBAAD7BQAAAAA=&#10;">
                <v:fill on="f" focussize="0,0"/>
                <v:stroke weight="1pt" color="#FFFFFF [3212]" joinstyle="round"/>
                <v:imagedata o:title=""/>
                <o:lock v:ext="edit" aspectratio="f"/>
              </v:rect>
            </w:pict>
          </mc:Fallback>
        </mc:AlternateContent>
      </w:r>
      <w:r>
        <w:rPr>
          <w:color w:val="auto"/>
          <w:sz w:val="21"/>
        </w:rPr>
        <mc:AlternateContent>
          <mc:Choice Requires="wps">
            <w:drawing>
              <wp:anchor distT="0" distB="0" distL="114300" distR="114300" simplePos="0" relativeHeight="251744256" behindDoc="0" locked="0" layoutInCell="1" allowOverlap="1">
                <wp:simplePos x="0" y="0"/>
                <wp:positionH relativeFrom="column">
                  <wp:posOffset>3552190</wp:posOffset>
                </wp:positionH>
                <wp:positionV relativeFrom="paragraph">
                  <wp:posOffset>1117600</wp:posOffset>
                </wp:positionV>
                <wp:extent cx="109855" cy="95885"/>
                <wp:effectExtent l="6350" t="6350" r="17145" b="12065"/>
                <wp:wrapNone/>
                <wp:docPr id="203" name="矩形 203"/>
                <wp:cNvGraphicFramePr/>
                <a:graphic xmlns:a="http://schemas.openxmlformats.org/drawingml/2006/main">
                  <a:graphicData uri="http://schemas.microsoft.com/office/word/2010/wordprocessingShape">
                    <wps:wsp>
                      <wps:cNvSpPr/>
                      <wps:spPr>
                        <a:xfrm>
                          <a:off x="0" y="0"/>
                          <a:ext cx="109855" cy="95885"/>
                        </a:xfrm>
                        <a:prstGeom prst="rect">
                          <a:avLst/>
                        </a:prstGeom>
                        <a:noFill/>
                        <a:ln w="12700">
                          <a:solidFill>
                            <a:srgbClr val="FFFF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79.7pt;margin-top:88pt;height:7.55pt;width:8.65pt;z-index:251744256;v-text-anchor:middle;mso-width-relative:page;mso-height-relative:page;" filled="f" stroked="t" coordsize="21600,21600" o:gfxdata="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CjqJ+22QAAAAsBAAAPAAAAAAAAAAEAIAAAACIAAABkcnMvZG93bnJldi54bWxQSwECFAAUAAAA&#10;CACHTuJA3MIh+V8CAAC2BAAADgAAAAAAAAABACAAAAAoAQAAZHJzL2Uyb0RvYy54bWxQSwUGAAAA&#10;AAYABgBZAQAA+QUAAAAA&#10;">
                <v:fill on="f" focussize="0,0"/>
                <v:stroke weight="1pt" color="#FFFF00 [2404]" joinstyle="round"/>
                <v:imagedata o:title=""/>
                <o:lock v:ext="edit" aspectratio="f"/>
              </v:rect>
            </w:pict>
          </mc:Fallback>
        </mc:AlternateContent>
      </w:r>
      <w:r>
        <w:rPr>
          <w:color w:val="auto"/>
        </w:rPr>
        <mc:AlternateContent>
          <mc:Choice Requires="wps">
            <w:drawing>
              <wp:anchor distT="0" distB="0" distL="114300" distR="114300" simplePos="0" relativeHeight="251738112" behindDoc="0" locked="0" layoutInCell="1" allowOverlap="1">
                <wp:simplePos x="0" y="0"/>
                <wp:positionH relativeFrom="column">
                  <wp:posOffset>5929630</wp:posOffset>
                </wp:positionH>
                <wp:positionV relativeFrom="paragraph">
                  <wp:posOffset>5048250</wp:posOffset>
                </wp:positionV>
                <wp:extent cx="1120140" cy="351790"/>
                <wp:effectExtent l="0" t="0" r="0" b="0"/>
                <wp:wrapNone/>
                <wp:docPr id="195" name="矩形 195"/>
                <wp:cNvGraphicFramePr/>
                <a:graphic xmlns:a="http://schemas.openxmlformats.org/drawingml/2006/main">
                  <a:graphicData uri="http://schemas.microsoft.com/office/word/2010/wordprocessingShape">
                    <wps:wsp>
                      <wps:cNvSpPr/>
                      <wps:spPr>
                        <a:xfrm>
                          <a:off x="0" y="0"/>
                          <a:ext cx="1120140" cy="351790"/>
                        </a:xfrm>
                        <a:prstGeom prst="rect">
                          <a:avLst/>
                        </a:prstGeom>
                        <a:noFill/>
                        <a:ln w="15875">
                          <a:noFill/>
                        </a:ln>
                      </wps:spPr>
                      <wps:txbx>
                        <w:txbxContent>
                          <w:p w14:paraId="652CB687">
                            <w:pPr>
                              <w:rPr>
                                <w:rFonts w:hint="default"/>
                                <w:b/>
                                <w:bCs/>
                                <w:color w:val="FF0000"/>
                                <w:sz w:val="18"/>
                                <w:szCs w:val="21"/>
                                <w:lang w:val="en-US" w:eastAsia="zh-CN"/>
                              </w:rPr>
                            </w:pPr>
                            <w:r>
                              <w:rPr>
                                <w:rFonts w:hint="eastAsia"/>
                                <w:b/>
                                <w:bCs/>
                                <w:color w:val="FF0000"/>
                                <w:sz w:val="18"/>
                                <w:szCs w:val="21"/>
                                <w:lang w:val="en-US" w:eastAsia="zh-CN"/>
                              </w:rPr>
                              <w:t>雨水总排口</w:t>
                            </w:r>
                          </w:p>
                        </w:txbxContent>
                      </wps:txbx>
                      <wps:bodyPr upright="1"/>
                    </wps:wsp>
                  </a:graphicData>
                </a:graphic>
              </wp:anchor>
            </w:drawing>
          </mc:Choice>
          <mc:Fallback>
            <w:pict>
              <v:rect id="_x0000_s1026" o:spid="_x0000_s1026" o:spt="1" style="position:absolute;left:0pt;margin-left:466.9pt;margin-top:397.5pt;height:27.7pt;width:88.2pt;z-index:251738112;mso-width-relative:page;mso-height-relative:page;" filled="f" stroked="f" coordsize="21600,21600" o:gfxdata="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A0p&#10;+OLcAAAADAEAAA8AAAAAAAAAAQAgAAAAIgAAAGRycy9kb3ducmV2LnhtbFBLAQIUABQAAAAIAIdO&#10;4kBgNk9erQEAAE8DAAAOAAAAAAAAAAEAIAAAACsBAABkcnMvZTJvRG9jLnhtbFBLBQYAAAAABgAG&#10;AFkBAABKBQAAAAA=&#10;">
                <v:fill on="f" focussize="0,0"/>
                <v:stroke on="f" weight="1.25pt"/>
                <v:imagedata o:title=""/>
                <o:lock v:ext="edit" aspectratio="f"/>
                <v:textbox>
                  <w:txbxContent>
                    <w:p w14:paraId="652CB687">
                      <w:pPr>
                        <w:rPr>
                          <w:rFonts w:hint="default"/>
                          <w:b/>
                          <w:bCs/>
                          <w:color w:val="FF0000"/>
                          <w:sz w:val="18"/>
                          <w:szCs w:val="21"/>
                          <w:lang w:val="en-US" w:eastAsia="zh-CN"/>
                        </w:rPr>
                      </w:pPr>
                      <w:r>
                        <w:rPr>
                          <w:rFonts w:hint="eastAsia"/>
                          <w:b/>
                          <w:bCs/>
                          <w:color w:val="FF0000"/>
                          <w:sz w:val="18"/>
                          <w:szCs w:val="21"/>
                          <w:lang w:val="en-US" w:eastAsia="zh-CN"/>
                        </w:rPr>
                        <w:t>雨水总排口</w:t>
                      </w:r>
                    </w:p>
                  </w:txbxContent>
                </v:textbox>
              </v:rect>
            </w:pict>
          </mc:Fallback>
        </mc:AlternateContent>
      </w:r>
      <w:r>
        <w:rPr>
          <w:color w:val="auto"/>
          <w:sz w:val="21"/>
        </w:rPr>
        <mc:AlternateContent>
          <mc:Choice Requires="wps">
            <w:drawing>
              <wp:anchor distT="0" distB="0" distL="114300" distR="114300" simplePos="0" relativeHeight="251737088" behindDoc="0" locked="0" layoutInCell="1" allowOverlap="1">
                <wp:simplePos x="0" y="0"/>
                <wp:positionH relativeFrom="column">
                  <wp:posOffset>5904865</wp:posOffset>
                </wp:positionH>
                <wp:positionV relativeFrom="paragraph">
                  <wp:posOffset>5123180</wp:posOffset>
                </wp:positionV>
                <wp:extent cx="75565" cy="75565"/>
                <wp:effectExtent l="12700" t="12700" r="26035" b="26035"/>
                <wp:wrapNone/>
                <wp:docPr id="194" name="椭圆 194"/>
                <wp:cNvGraphicFramePr/>
                <a:graphic xmlns:a="http://schemas.openxmlformats.org/drawingml/2006/main">
                  <a:graphicData uri="http://schemas.microsoft.com/office/word/2010/wordprocessingShape">
                    <wps:wsp>
                      <wps:cNvSpPr/>
                      <wps:spPr>
                        <a:xfrm>
                          <a:off x="6819265" y="5735320"/>
                          <a:ext cx="75565" cy="75565"/>
                        </a:xfrm>
                        <a:prstGeom prst="ellipse">
                          <a:avLst/>
                        </a:prstGeom>
                        <a:solidFill>
                          <a:srgbClr val="92D050"/>
                        </a:solidFill>
                        <a:ln>
                          <a:solidFill>
                            <a:srgbClr val="92D05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464.95pt;margin-top:403.4pt;height:5.95pt;width:5.95pt;z-index:251737088;v-text-anchor:middle;mso-width-relative:page;mso-height-relative:page;" fillcolor="#92D050" filled="t" stroked="t" coordsize="21600,21600" o:gfxdata="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5dLtatoAAAALAQAADwAAAAAAAAABACAAAAAiAAAAZHJzL2Rvd25y&#10;ZXYueG1sUEsBAhQAFAAAAAgAh07iQG4vhG1uAgAA7QQAAA4AAAAAAAAAAQAgAAAAKQEAAGRycy9l&#10;Mm9Eb2MueG1sUEsFBgAAAAAGAAYAWQEAAAkGAAAAAA==&#10;">
                <v:fill on="t" focussize="0,0"/>
                <v:stroke weight="2pt" color="#92D050 [2404]" joinstyle="round"/>
                <v:imagedata o:title=""/>
                <o:lock v:ext="edit" aspectratio="f"/>
              </v:shape>
            </w:pict>
          </mc:Fallback>
        </mc:AlternateContent>
      </w:r>
      <w:r>
        <w:rPr>
          <w:color w:val="auto"/>
          <w:sz w:val="21"/>
        </w:rPr>
        <mc:AlternateContent>
          <mc:Choice Requires="wps">
            <w:drawing>
              <wp:anchor distT="0" distB="0" distL="114300" distR="114300" simplePos="0" relativeHeight="251734016" behindDoc="0" locked="0" layoutInCell="1" allowOverlap="1">
                <wp:simplePos x="0" y="0"/>
                <wp:positionH relativeFrom="column">
                  <wp:posOffset>3698240</wp:posOffset>
                </wp:positionH>
                <wp:positionV relativeFrom="paragraph">
                  <wp:posOffset>845185</wp:posOffset>
                </wp:positionV>
                <wp:extent cx="2230755" cy="2928620"/>
                <wp:effectExtent l="12700" t="12700" r="23495" b="30480"/>
                <wp:wrapNone/>
                <wp:docPr id="191" name="任意多边形 191"/>
                <wp:cNvGraphicFramePr/>
                <a:graphic xmlns:a="http://schemas.openxmlformats.org/drawingml/2006/main">
                  <a:graphicData uri="http://schemas.microsoft.com/office/word/2010/wordprocessingShape">
                    <wps:wsp>
                      <wps:cNvSpPr/>
                      <wps:spPr>
                        <a:xfrm>
                          <a:off x="4612640" y="1457325"/>
                          <a:ext cx="2230755" cy="2928620"/>
                        </a:xfrm>
                        <a:custGeom>
                          <a:avLst/>
                          <a:gdLst>
                            <a:gd name="connisteX0" fmla="*/ 8255 w 2230755"/>
                            <a:gd name="connsiteY0" fmla="*/ 0 h 2928620"/>
                            <a:gd name="connisteX1" fmla="*/ 0 w 2230755"/>
                            <a:gd name="connsiteY1" fmla="*/ 968375 h 2928620"/>
                            <a:gd name="connisteX2" fmla="*/ 1476375 w 2230755"/>
                            <a:gd name="connsiteY2" fmla="*/ 2928620 h 2928620"/>
                            <a:gd name="connisteX3" fmla="*/ 2222500 w 2230755"/>
                            <a:gd name="connsiteY3" fmla="*/ 2928620 h 2928620"/>
                            <a:gd name="connisteX4" fmla="*/ 2230755 w 2230755"/>
                            <a:gd name="connsiteY4" fmla="*/ 0 h 2928620"/>
                            <a:gd name="connisteX5" fmla="*/ 8255 w 2230755"/>
                            <a:gd name="connsiteY5" fmla="*/ 0 h 2928620"/>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Lst>
                          <a:rect l="l" t="t" r="r" b="b"/>
                          <a:pathLst>
                            <a:path w="2230755" h="2928620">
                              <a:moveTo>
                                <a:pt x="8255" y="0"/>
                              </a:moveTo>
                              <a:lnTo>
                                <a:pt x="0" y="968375"/>
                              </a:lnTo>
                              <a:lnTo>
                                <a:pt x="1476375" y="2928620"/>
                              </a:lnTo>
                              <a:lnTo>
                                <a:pt x="2222500" y="2928620"/>
                              </a:lnTo>
                              <a:lnTo>
                                <a:pt x="2230755" y="0"/>
                              </a:lnTo>
                              <a:lnTo>
                                <a:pt x="8255" y="0"/>
                              </a:lnTo>
                              <a:close/>
                            </a:path>
                          </a:pathLst>
                        </a:custGeom>
                        <a:noFill/>
                        <a:ln>
                          <a:solidFill>
                            <a:srgbClr val="00B0F0"/>
                          </a:solidFill>
                        </a:ln>
                      </wps:spPr>
                      <wps:style>
                        <a:lnRef idx="2">
                          <a:schemeClr val="accent1">
                            <a:lumMod val="75000"/>
                          </a:schemeClr>
                        </a:lnRef>
                        <a:fillRef idx="1">
                          <a:schemeClr val="accent1"/>
                        </a:fillRef>
                        <a:effectRef idx="0">
                          <a:srgbClr val="FFFFFF"/>
                        </a:effectRef>
                        <a:fontRef idx="minor">
                          <a:schemeClr val="lt1"/>
                        </a:fontRef>
                      </wps:style>
                      <wps:bodyPr/>
                    </wps:wsp>
                  </a:graphicData>
                </a:graphic>
              </wp:anchor>
            </w:drawing>
          </mc:Choice>
          <mc:Fallback>
            <w:pict>
              <v:shape id="_x0000_s1026" o:spid="_x0000_s1026" o:spt="100" style="position:absolute;left:0pt;margin-left:291.2pt;margin-top:66.55pt;height:230.6pt;width:175.65pt;z-index:251734016;mso-width-relative:page;mso-height-relative:page;" filled="f" stroked="t" coordsize="2230755,2928620" o:gfxdata="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" path="m8255,0l0,968375,1476375,2928620,2222500,2928620,2230755,0,8255,0xe">
                <v:path o:connectlocs="8255,0;0,968375;1476375,2928620;2222500,2928620;2230755,0;8255,0" o:connectangles="0,0,0,0,0,0"/>
                <v:fill on="f" focussize="0,0"/>
                <v:stroke weight="2pt" color="#00B0F0 [2404]" joinstyle="round"/>
                <v:imagedata o:title=""/>
                <o:lock v:ext="edit" aspectratio="f"/>
              </v:shape>
            </w:pict>
          </mc:Fallback>
        </mc:AlternateContent>
      </w:r>
      <w:r>
        <w:rPr>
          <w:color w:val="auto"/>
          <w:sz w:val="21"/>
        </w:rPr>
        <mc:AlternateContent>
          <mc:Choice Requires="wps">
            <w:drawing>
              <wp:anchor distT="0" distB="0" distL="114300" distR="114300" simplePos="0" relativeHeight="251732992" behindDoc="0" locked="0" layoutInCell="1" allowOverlap="1">
                <wp:simplePos x="0" y="0"/>
                <wp:positionH relativeFrom="column">
                  <wp:posOffset>2966085</wp:posOffset>
                </wp:positionH>
                <wp:positionV relativeFrom="paragraph">
                  <wp:posOffset>784860</wp:posOffset>
                </wp:positionV>
                <wp:extent cx="3107690" cy="4279900"/>
                <wp:effectExtent l="12700" t="12700" r="22860" b="12700"/>
                <wp:wrapNone/>
                <wp:docPr id="139" name="任意多边形 139"/>
                <wp:cNvGraphicFramePr/>
                <a:graphic xmlns:a="http://schemas.openxmlformats.org/drawingml/2006/main">
                  <a:graphicData uri="http://schemas.microsoft.com/office/word/2010/wordprocessingShape">
                    <wps:wsp>
                      <wps:cNvSpPr/>
                      <wps:spPr>
                        <a:xfrm>
                          <a:off x="3880485" y="1397000"/>
                          <a:ext cx="3107690" cy="4279900"/>
                        </a:xfrm>
                        <a:custGeom>
                          <a:avLst/>
                          <a:gdLst>
                            <a:gd name="connisteX0" fmla="*/ 0 w 3107690"/>
                            <a:gd name="connsiteY0" fmla="*/ 17780 h 4279900"/>
                            <a:gd name="connisteX1" fmla="*/ 0 w 3107690"/>
                            <a:gd name="connsiteY1" fmla="*/ 506095 h 4279900"/>
                            <a:gd name="connisteX2" fmla="*/ 2607945 w 3107690"/>
                            <a:gd name="connsiteY2" fmla="*/ 4154805 h 4279900"/>
                            <a:gd name="connisteX3" fmla="*/ 2649220 w 3107690"/>
                            <a:gd name="connsiteY3" fmla="*/ 4201795 h 4279900"/>
                            <a:gd name="connisteX4" fmla="*/ 3101975 w 3107690"/>
                            <a:gd name="connsiteY4" fmla="*/ 4279900 h 4279900"/>
                            <a:gd name="connisteX5" fmla="*/ 3107690 w 3107690"/>
                            <a:gd name="connsiteY5" fmla="*/ 0 h 4279900"/>
                            <a:gd name="connisteX6" fmla="*/ 0 w 3107690"/>
                            <a:gd name="connsiteY6" fmla="*/ 17780 h 4279900"/>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Lst>
                          <a:rect l="l" t="t" r="r" b="b"/>
                          <a:pathLst>
                            <a:path w="3107690" h="4279900">
                              <a:moveTo>
                                <a:pt x="0" y="17780"/>
                              </a:moveTo>
                              <a:lnTo>
                                <a:pt x="0" y="506095"/>
                              </a:lnTo>
                              <a:lnTo>
                                <a:pt x="2607945" y="4154805"/>
                              </a:lnTo>
                              <a:lnTo>
                                <a:pt x="2649220" y="4201795"/>
                              </a:lnTo>
                              <a:lnTo>
                                <a:pt x="3101975" y="4279900"/>
                              </a:lnTo>
                              <a:lnTo>
                                <a:pt x="3107690" y="0"/>
                              </a:lnTo>
                              <a:lnTo>
                                <a:pt x="0" y="17780"/>
                              </a:lnTo>
                              <a:close/>
                            </a:path>
                          </a:pathLst>
                        </a:cu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wps:wsp>
                  </a:graphicData>
                </a:graphic>
              </wp:anchor>
            </w:drawing>
          </mc:Choice>
          <mc:Fallback>
            <w:pict>
              <v:shape id="_x0000_s1026" o:spid="_x0000_s1026" o:spt="100" style="position:absolute;left:0pt;margin-left:233.55pt;margin-top:61.8pt;height:337pt;width:244.7pt;z-index:251732992;mso-width-relative:page;mso-height-relative:page;" filled="f" stroked="t" coordsize="3107690,4279900" o:gfxdata="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" path="m0,17780l0,506095,2607945,4154805,2649220,4201795,3101975,4279900,3107690,0,0,17780xe">
                <v:path o:connectlocs="0,17780;0,506095;2607945,4154805;2649220,4201795;3101975,4279900;3107690,0;0,17780" o:connectangles="0,0,0,0,0,0,0"/>
                <v:fill on="f" focussize="0,0"/>
                <v:stroke weight="2pt" color="#FF0000 [2404]" joinstyle="round"/>
                <v:imagedata o:title=""/>
                <o:lock v:ext="edit" aspectratio="f"/>
              </v:shape>
            </w:pict>
          </mc:Fallback>
        </mc:AlternateContent>
      </w:r>
      <w:r>
        <w:rPr>
          <w:color w:val="auto"/>
        </w:rPr>
        <mc:AlternateContent>
          <mc:Choice Requires="wps">
            <w:drawing>
              <wp:anchor distT="0" distB="0" distL="114300" distR="114300" simplePos="0" relativeHeight="251731968" behindDoc="0" locked="0" layoutInCell="1" allowOverlap="1">
                <wp:simplePos x="0" y="0"/>
                <wp:positionH relativeFrom="column">
                  <wp:posOffset>5292725</wp:posOffset>
                </wp:positionH>
                <wp:positionV relativeFrom="paragraph">
                  <wp:posOffset>4398010</wp:posOffset>
                </wp:positionV>
                <wp:extent cx="823595" cy="467995"/>
                <wp:effectExtent l="0" t="0" r="0" b="0"/>
                <wp:wrapNone/>
                <wp:docPr id="21" name="矩形 21"/>
                <wp:cNvGraphicFramePr/>
                <a:graphic xmlns:a="http://schemas.openxmlformats.org/drawingml/2006/main">
                  <a:graphicData uri="http://schemas.microsoft.com/office/word/2010/wordprocessingShape">
                    <wps:wsp>
                      <wps:cNvSpPr/>
                      <wps:spPr>
                        <a:xfrm>
                          <a:off x="0" y="0"/>
                          <a:ext cx="823595" cy="467995"/>
                        </a:xfrm>
                        <a:prstGeom prst="rect">
                          <a:avLst/>
                        </a:prstGeom>
                        <a:noFill/>
                        <a:ln w="15875">
                          <a:noFill/>
                        </a:ln>
                      </wps:spPr>
                      <wps:txbx>
                        <w:txbxContent>
                          <w:p w14:paraId="3BC55A58">
                            <w:pPr>
                              <w:rPr>
                                <w:rFonts w:hint="default"/>
                                <w:b/>
                                <w:bCs/>
                                <w:color w:val="FF0000"/>
                                <w:sz w:val="18"/>
                                <w:szCs w:val="21"/>
                                <w:lang w:val="en-US" w:eastAsia="zh-CN"/>
                              </w:rPr>
                            </w:pPr>
                            <w:r>
                              <w:rPr>
                                <w:rFonts w:hint="eastAsia"/>
                                <w:b/>
                                <w:bCs/>
                                <w:color w:val="FF0000"/>
                                <w:sz w:val="18"/>
                                <w:szCs w:val="21"/>
                                <w:lang w:val="en-US" w:eastAsia="zh-CN"/>
                              </w:rPr>
                              <w:t>厂区大门</w:t>
                            </w:r>
                          </w:p>
                        </w:txbxContent>
                      </wps:txbx>
                      <wps:bodyPr upright="1"/>
                    </wps:wsp>
                  </a:graphicData>
                </a:graphic>
              </wp:anchor>
            </w:drawing>
          </mc:Choice>
          <mc:Fallback>
            <w:pict>
              <v:rect id="_x0000_s1026" o:spid="_x0000_s1026" o:spt="1" style="position:absolute;left:0pt;margin-left:416.75pt;margin-top:346.3pt;height:36.85pt;width:64.85pt;z-index:251731968;mso-width-relative:page;mso-height-relative:page;" filled="f" stroked="f" coordsize="21600,21600" o:gfxdata="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">
                <v:fill on="f" focussize="0,0"/>
                <v:stroke on="f" weight="1.25pt"/>
                <v:imagedata o:title=""/>
                <o:lock v:ext="edit" aspectratio="f"/>
                <v:textbox>
                  <w:txbxContent>
                    <w:p w14:paraId="3BC55A58">
                      <w:pPr>
                        <w:rPr>
                          <w:rFonts w:hint="default"/>
                          <w:b/>
                          <w:bCs/>
                          <w:color w:val="FF0000"/>
                          <w:sz w:val="18"/>
                          <w:szCs w:val="21"/>
                          <w:lang w:val="en-US" w:eastAsia="zh-CN"/>
                        </w:rPr>
                      </w:pPr>
                      <w:r>
                        <w:rPr>
                          <w:rFonts w:hint="eastAsia"/>
                          <w:b/>
                          <w:bCs/>
                          <w:color w:val="FF0000"/>
                          <w:sz w:val="18"/>
                          <w:szCs w:val="21"/>
                          <w:lang w:val="en-US" w:eastAsia="zh-CN"/>
                        </w:rPr>
                        <w:t>厂区大门</w:t>
                      </w:r>
                    </w:p>
                  </w:txbxContent>
                </v:textbox>
              </v:rect>
            </w:pict>
          </mc:Fallback>
        </mc:AlternateContent>
      </w:r>
      <w:r>
        <w:rPr>
          <w:color w:val="auto"/>
          <w:sz w:val="24"/>
        </w:rPr>
        <mc:AlternateContent>
          <mc:Choice Requires="wps">
            <w:drawing>
              <wp:anchor distT="0" distB="0" distL="114300" distR="114300" simplePos="0" relativeHeight="251730944" behindDoc="0" locked="0" layoutInCell="1" allowOverlap="1">
                <wp:simplePos x="0" y="0"/>
                <wp:positionH relativeFrom="column">
                  <wp:posOffset>5710555</wp:posOffset>
                </wp:positionH>
                <wp:positionV relativeFrom="paragraph">
                  <wp:posOffset>4733925</wp:posOffset>
                </wp:positionV>
                <wp:extent cx="190500" cy="497205"/>
                <wp:effectExtent l="13970" t="13970" r="24130" b="22225"/>
                <wp:wrapNone/>
                <wp:docPr id="137" name="上下箭头 137"/>
                <wp:cNvGraphicFramePr/>
                <a:graphic xmlns:a="http://schemas.openxmlformats.org/drawingml/2006/main">
                  <a:graphicData uri="http://schemas.microsoft.com/office/word/2010/wordprocessingShape">
                    <wps:wsp>
                      <wps:cNvSpPr/>
                      <wps:spPr>
                        <a:xfrm rot="10800000">
                          <a:off x="0" y="0"/>
                          <a:ext cx="190500" cy="497205"/>
                        </a:xfrm>
                        <a:prstGeom prst="upDownArrow">
                          <a:avLst/>
                        </a:prstGeom>
                        <a:noFill/>
                        <a:ln w="28575">
                          <a:solidFill>
                            <a:srgbClr val="00B05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70" type="#_x0000_t70" style="position:absolute;left:0pt;margin-left:449.65pt;margin-top:372.75pt;height:39.15pt;width:15pt;rotation:11796480f;z-index:251730944;v-text-anchor:middle;mso-width-relative:page;mso-height-relative:page;" filled="f" stroked="t" coordsize="21600,21600" o:gfxdata="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clORi9cAAAALAQAADwAAAAAAAAABACAAAAAiAAAAZHJz&#10;L2Rvd25yZXYueG1sUEsBAhQAFAAAAAgAh07iQDkjpbx3AgAA0wQAAA4AAAAAAAAAAQAgAAAAJgEA&#10;AGRycy9lMm9Eb2MueG1sUEsFBgAAAAAGAAYAWQEAAA8GAAAAAA==&#10;" adj="5400,4137">
                <v:fill on="f" focussize="0,0"/>
                <v:stroke weight="2.25pt" color="#00B050 [2404]" joinstyle="round"/>
                <v:imagedata o:title=""/>
                <o:lock v:ext="edit" aspectratio="f"/>
              </v:shape>
            </w:pict>
          </mc:Fallback>
        </mc:AlternateContent>
      </w:r>
      <w:r>
        <w:rPr>
          <w:color w:val="auto"/>
        </w:rPr>
        <w:drawing>
          <wp:anchor distT="0" distB="0" distL="114300" distR="114300" simplePos="0" relativeHeight="251729920" behindDoc="0" locked="0" layoutInCell="1" allowOverlap="1">
            <wp:simplePos x="0" y="0"/>
            <wp:positionH relativeFrom="column">
              <wp:posOffset>7770495</wp:posOffset>
            </wp:positionH>
            <wp:positionV relativeFrom="paragraph">
              <wp:posOffset>187960</wp:posOffset>
            </wp:positionV>
            <wp:extent cx="768350" cy="662940"/>
            <wp:effectExtent l="0" t="0" r="12700" b="3810"/>
            <wp:wrapNone/>
            <wp:docPr id="13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2"/>
                    <pic:cNvPicPr>
                      <a:picLocks noChangeAspect="1"/>
                    </pic:cNvPicPr>
                  </pic:nvPicPr>
                  <pic:blipFill>
                    <a:blip r:embed="rId38"/>
                    <a:stretch>
                      <a:fillRect/>
                    </a:stretch>
                  </pic:blipFill>
                  <pic:spPr>
                    <a:xfrm>
                      <a:off x="0" y="0"/>
                      <a:ext cx="768350" cy="662940"/>
                    </a:xfrm>
                    <a:prstGeom prst="rect">
                      <a:avLst/>
                    </a:prstGeom>
                    <a:noFill/>
                    <a:ln>
                      <a:noFill/>
                    </a:ln>
                  </pic:spPr>
                </pic:pic>
              </a:graphicData>
            </a:graphic>
          </wp:anchor>
        </w:drawing>
      </w:r>
    </w:p>
    <w:p w14:paraId="59B3209C">
      <w:pPr>
        <w:pStyle w:val="18"/>
        <w:jc w:val="center"/>
        <w:outlineLvl w:val="0"/>
        <w:rPr>
          <w:rFonts w:hint="eastAsia" w:cs="宋体"/>
          <w:b/>
          <w:bCs/>
          <w:snapToGrid w:val="0"/>
          <w:color w:val="auto"/>
          <w:sz w:val="24"/>
          <w:szCs w:val="24"/>
          <w:highlight w:val="none"/>
          <w:lang w:val="en-US" w:eastAsia="zh-CN"/>
        </w:rPr>
        <w:sectPr>
          <w:pgSz w:w="16838" w:h="11906" w:orient="landscape"/>
          <w:pgMar w:top="964" w:right="1440" w:bottom="964" w:left="1440" w:header="851" w:footer="992" w:gutter="0"/>
          <w:pgBorders>
            <w:top w:val="none" w:sz="0" w:space="0"/>
            <w:left w:val="none" w:sz="0" w:space="0"/>
            <w:bottom w:val="none" w:sz="0" w:space="0"/>
            <w:right w:val="none" w:sz="0" w:space="0"/>
          </w:pgBorders>
          <w:pgNumType w:fmt="decimal"/>
          <w:cols w:space="425" w:num="1"/>
          <w:docGrid w:type="lines" w:linePitch="312" w:charSpace="0"/>
        </w:sectPr>
      </w:pPr>
      <w:bookmarkStart w:id="43" w:name="_Toc24452"/>
      <w:r>
        <w:rPr>
          <w:rFonts w:hint="eastAsia" w:ascii="宋体" w:hAnsi="宋体" w:eastAsia="宋体" w:cs="宋体"/>
          <w:b/>
          <w:bCs/>
          <w:snapToGrid w:val="0"/>
          <w:color w:val="auto"/>
          <w:sz w:val="24"/>
          <w:szCs w:val="24"/>
          <w:highlight w:val="none"/>
          <w:lang w:val="en-US" w:eastAsia="zh-CN"/>
        </w:rPr>
        <w:t>附图</w:t>
      </w:r>
      <w:r>
        <w:rPr>
          <w:rFonts w:hint="default" w:ascii="Times New Roman" w:hAnsi="Times New Roman" w:eastAsia="宋体" w:cs="Times New Roman"/>
          <w:b/>
          <w:bCs/>
          <w:snapToGrid w:val="0"/>
          <w:color w:val="auto"/>
          <w:sz w:val="24"/>
          <w:szCs w:val="24"/>
          <w:highlight w:val="none"/>
          <w:lang w:val="en-US" w:eastAsia="zh-CN"/>
        </w:rPr>
        <w:t>2</w:t>
      </w:r>
      <w:r>
        <w:rPr>
          <w:rFonts w:hint="eastAsia" w:ascii="宋体" w:hAnsi="宋体" w:eastAsia="宋体" w:cs="宋体"/>
          <w:b/>
          <w:bCs/>
          <w:snapToGrid w:val="0"/>
          <w:color w:val="auto"/>
          <w:sz w:val="24"/>
          <w:szCs w:val="24"/>
          <w:highlight w:val="none"/>
          <w:lang w:val="en-US" w:eastAsia="zh-CN"/>
        </w:rPr>
        <w:t xml:space="preserve"> 项目总平面布置图</w:t>
      </w:r>
      <w:bookmarkEnd w:id="43"/>
    </w:p>
    <w:p w14:paraId="0CEB0B76">
      <w:pPr>
        <w:pStyle w:val="23"/>
        <w:bidi w:val="0"/>
        <w:rPr>
          <w:rFonts w:hint="eastAsia"/>
          <w:color w:val="auto"/>
          <w:lang w:val="en-US" w:eastAsia="zh-CN"/>
        </w:rPr>
      </w:pPr>
      <w:r>
        <w:rPr>
          <w:color w:val="auto"/>
          <w:sz w:val="21"/>
        </w:rPr>
        <mc:AlternateContent>
          <mc:Choice Requires="wps">
            <w:drawing>
              <wp:anchor distT="0" distB="0" distL="114300" distR="114300" simplePos="0" relativeHeight="251800576" behindDoc="0" locked="0" layoutInCell="1" allowOverlap="1">
                <wp:simplePos x="0" y="0"/>
                <wp:positionH relativeFrom="column">
                  <wp:posOffset>5781040</wp:posOffset>
                </wp:positionH>
                <wp:positionV relativeFrom="paragraph">
                  <wp:posOffset>3540125</wp:posOffset>
                </wp:positionV>
                <wp:extent cx="118745" cy="92710"/>
                <wp:effectExtent l="6350" t="6350" r="12065" b="7620"/>
                <wp:wrapNone/>
                <wp:docPr id="361" name="矩形 361"/>
                <wp:cNvGraphicFramePr/>
                <a:graphic xmlns:a="http://schemas.openxmlformats.org/drawingml/2006/main">
                  <a:graphicData uri="http://schemas.microsoft.com/office/word/2010/wordprocessingShape">
                    <wps:wsp>
                      <wps:cNvSpPr/>
                      <wps:spPr>
                        <a:xfrm>
                          <a:off x="0" y="0"/>
                          <a:ext cx="118745" cy="92710"/>
                        </a:xfrm>
                        <a:prstGeom prst="rect">
                          <a:avLst/>
                        </a:prstGeom>
                        <a:solidFill>
                          <a:srgbClr val="FFFF00">
                            <a:alpha val="50000"/>
                          </a:srgbClr>
                        </a:solidFill>
                        <a:ln w="12700">
                          <a:solidFill>
                            <a:srgbClr val="FFFF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55.2pt;margin-top:278.75pt;height:7.3pt;width:9.35pt;z-index:251800576;v-text-anchor:middle;mso-width-relative:page;mso-height-relative:page;" fillcolor="#FFFF00" filled="t" stroked="t" coordsize="21600,21600" o:gfxdata="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LuIILTWAAAACwEAAA8AAAAAAAAAAQAgAAAAIgAAAGRycy9kb3ducmV2&#10;LnhtbFBLAQIUABQAAAAIAIdO4kCKa7a8cAIAAAAFAAAOAAAAAAAAAAEAIAAAACUBAABkcnMvZTJv&#10;RG9jLnhtbFBLBQYAAAAABgAGAFkBAAAHBgAAAAA=&#10;">
                <v:fill on="t" opacity="32768f" focussize="0,0"/>
                <v:stroke weight="1pt" color="#FFFF00 [2404]" joinstyle="round"/>
                <v:imagedata o:title=""/>
                <o:lock v:ext="edit" aspectratio="f"/>
              </v:rect>
            </w:pict>
          </mc:Fallback>
        </mc:AlternateContent>
      </w:r>
      <w:r>
        <w:rPr>
          <w:color w:val="auto"/>
          <w:sz w:val="21"/>
        </w:rPr>
        <mc:AlternateContent>
          <mc:Choice Requires="wps">
            <w:drawing>
              <wp:anchor distT="0" distB="0" distL="114300" distR="114300" simplePos="0" relativeHeight="251797504" behindDoc="0" locked="0" layoutInCell="1" allowOverlap="1">
                <wp:simplePos x="0" y="0"/>
                <wp:positionH relativeFrom="column">
                  <wp:posOffset>5678805</wp:posOffset>
                </wp:positionH>
                <wp:positionV relativeFrom="paragraph">
                  <wp:posOffset>3633470</wp:posOffset>
                </wp:positionV>
                <wp:extent cx="228600" cy="114935"/>
                <wp:effectExtent l="6350" t="6350" r="8890" b="15875"/>
                <wp:wrapNone/>
                <wp:docPr id="360" name="矩形 360"/>
                <wp:cNvGraphicFramePr/>
                <a:graphic xmlns:a="http://schemas.openxmlformats.org/drawingml/2006/main">
                  <a:graphicData uri="http://schemas.microsoft.com/office/word/2010/wordprocessingShape">
                    <wps:wsp>
                      <wps:cNvSpPr/>
                      <wps:spPr>
                        <a:xfrm>
                          <a:off x="0" y="0"/>
                          <a:ext cx="228600" cy="114935"/>
                        </a:xfrm>
                        <a:prstGeom prst="rect">
                          <a:avLst/>
                        </a:prstGeom>
                        <a:solidFill>
                          <a:srgbClr val="00B0F0">
                            <a:alpha val="40000"/>
                          </a:srgbClr>
                        </a:solidFill>
                        <a:ln w="12700">
                          <a:solidFill>
                            <a:srgbClr val="00B0F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47.15pt;margin-top:286.1pt;height:9.05pt;width:18pt;z-index:251797504;v-text-anchor:middle;mso-width-relative:page;mso-height-relative:page;" fillcolor="#00B0F0" filled="t" stroked="t" coordsize="21600,21600" o:gfxdata="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B6Ve0b2wAAAAsBAAAPAAAAAAAAAAEAIAAAACIAAABkcnMv&#10;ZG93bnJldi54bWxQSwECFAAUAAAACACHTuJAfSg6qXICAAABBQAADgAAAAAAAAABACAAAAAqAQAA&#10;ZHJzL2Uyb0RvYy54bWxQSwUGAAAAAAYABgBZAQAADgYAAAAA&#10;">
                <v:fill on="t" opacity="26214f" focussize="0,0"/>
                <v:stroke weight="1pt" color="#00B0F0 [2404]" joinstyle="round"/>
                <v:imagedata o:title=""/>
                <o:lock v:ext="edit" aspectratio="f"/>
              </v:rect>
            </w:pict>
          </mc:Fallback>
        </mc:AlternateContent>
      </w:r>
      <w:r>
        <w:rPr>
          <w:color w:val="auto"/>
        </w:rPr>
        <mc:AlternateContent>
          <mc:Choice Requires="wps">
            <w:drawing>
              <wp:anchor distT="0" distB="0" distL="114300" distR="114300" simplePos="0" relativeHeight="251808768" behindDoc="0" locked="0" layoutInCell="1" allowOverlap="1">
                <wp:simplePos x="0" y="0"/>
                <wp:positionH relativeFrom="column">
                  <wp:posOffset>3684270</wp:posOffset>
                </wp:positionH>
                <wp:positionV relativeFrom="paragraph">
                  <wp:posOffset>1800860</wp:posOffset>
                </wp:positionV>
                <wp:extent cx="792480" cy="298450"/>
                <wp:effectExtent l="0" t="0" r="0" b="0"/>
                <wp:wrapNone/>
                <wp:docPr id="362" name="矩形 362"/>
                <wp:cNvGraphicFramePr/>
                <a:graphic xmlns:a="http://schemas.openxmlformats.org/drawingml/2006/main">
                  <a:graphicData uri="http://schemas.microsoft.com/office/word/2010/wordprocessingShape">
                    <wps:wsp>
                      <wps:cNvSpPr/>
                      <wps:spPr>
                        <a:xfrm>
                          <a:off x="0" y="0"/>
                          <a:ext cx="792480" cy="298450"/>
                        </a:xfrm>
                        <a:prstGeom prst="rect">
                          <a:avLst/>
                        </a:prstGeom>
                        <a:noFill/>
                        <a:ln w="15875">
                          <a:noFill/>
                        </a:ln>
                      </wps:spPr>
                      <wps:txbx>
                        <w:txbxContent>
                          <w:p w14:paraId="0DCED066">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化学品仓库</w:t>
                            </w:r>
                          </w:p>
                        </w:txbxContent>
                      </wps:txbx>
                      <wps:bodyPr upright="1"/>
                    </wps:wsp>
                  </a:graphicData>
                </a:graphic>
              </wp:anchor>
            </w:drawing>
          </mc:Choice>
          <mc:Fallback>
            <w:pict>
              <v:rect id="_x0000_s1026" o:spid="_x0000_s1026" o:spt="1" style="position:absolute;left:0pt;margin-left:290.1pt;margin-top:141.8pt;height:23.5pt;width:62.4pt;z-index:251808768;mso-width-relative:page;mso-height-relative:page;" filled="f" stroked="f" coordsize="21600,21600" o:gfxdata="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Nzo&#10;AIbbAAAACwEAAA8AAAAAAAAAAQAgAAAAIgAAAGRycy9kb3ducmV2LnhtbFBLAQIUABQAAAAIAIdO&#10;4kCSii67rgEAAE4DAAAOAAAAAAAAAAEAIAAAACoBAABkcnMvZTJvRG9jLnhtbFBLBQYAAAAABgAG&#10;AFkBAABKBQAAAAA=&#10;">
                <v:fill on="f" focussize="0,0"/>
                <v:stroke on="f" weight="1.25pt"/>
                <v:imagedata o:title=""/>
                <o:lock v:ext="edit" aspectratio="f"/>
                <v:textbox>
                  <w:txbxContent>
                    <w:p w14:paraId="0DCED066">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化学品仓库</w:t>
                      </w:r>
                    </w:p>
                  </w:txbxContent>
                </v:textbox>
              </v:rect>
            </w:pict>
          </mc:Fallback>
        </mc:AlternateContent>
      </w:r>
      <w:r>
        <w:rPr>
          <w:color w:val="auto"/>
          <w:sz w:val="21"/>
        </w:rPr>
        <mc:AlternateContent>
          <mc:Choice Requires="wps">
            <w:drawing>
              <wp:anchor distT="0" distB="0" distL="114300" distR="114300" simplePos="0" relativeHeight="251819008" behindDoc="0" locked="0" layoutInCell="1" allowOverlap="1">
                <wp:simplePos x="0" y="0"/>
                <wp:positionH relativeFrom="column">
                  <wp:posOffset>3978275</wp:posOffset>
                </wp:positionH>
                <wp:positionV relativeFrom="paragraph">
                  <wp:posOffset>1998980</wp:posOffset>
                </wp:positionV>
                <wp:extent cx="184785" cy="118110"/>
                <wp:effectExtent l="6350" t="6350" r="6985" b="12700"/>
                <wp:wrapNone/>
                <wp:docPr id="380" name="矩形 380"/>
                <wp:cNvGraphicFramePr/>
                <a:graphic xmlns:a="http://schemas.openxmlformats.org/drawingml/2006/main">
                  <a:graphicData uri="http://schemas.microsoft.com/office/word/2010/wordprocessingShape">
                    <wps:wsp>
                      <wps:cNvSpPr/>
                      <wps:spPr>
                        <a:xfrm>
                          <a:off x="0" y="0"/>
                          <a:ext cx="184785" cy="118110"/>
                        </a:xfrm>
                        <a:prstGeom prst="rect">
                          <a:avLst/>
                        </a:prstGeom>
                        <a:solidFill>
                          <a:srgbClr val="FFFF00">
                            <a:alpha val="50000"/>
                          </a:srgbClr>
                        </a:solidFill>
                        <a:ln w="12700">
                          <a:solidFill>
                            <a:srgbClr val="FFFF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13.25pt;margin-top:157.4pt;height:9.3pt;width:14.55pt;z-index:251819008;v-text-anchor:middle;mso-width-relative:page;mso-height-relative:page;" fillcolor="#FFFF00" filled="t" stroked="t" coordsize="21600,21600" o:gfxdata="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Jrb5H3TAAAACwEAAA8AAAAAAAAAAQAgAAAAIgAAAGRycy9kb3ducmV2Lnht&#10;bFBLAQIUABQAAAAIAIdO4kDjTym0cAIAAAEFAAAOAAAAAAAAAAEAIAAAACIBAABkcnMvZTJvRG9j&#10;LnhtbFBLBQYAAAAABgAGAFkBAAAEBgAAAAA=&#10;">
                <v:fill on="t" opacity="32768f" focussize="0,0"/>
                <v:stroke weight="1pt" color="#FFFF00 [2404]" joinstyle="round"/>
                <v:imagedata o:title=""/>
                <o:lock v:ext="edit" aspectratio="f"/>
              </v:rect>
            </w:pict>
          </mc:Fallback>
        </mc:AlternateContent>
      </w:r>
      <w:r>
        <w:rPr>
          <w:color w:val="auto"/>
          <w:sz w:val="21"/>
        </w:rPr>
        <mc:AlternateContent>
          <mc:Choice Requires="wps">
            <w:drawing>
              <wp:anchor distT="0" distB="0" distL="114300" distR="114300" simplePos="0" relativeHeight="251809792" behindDoc="0" locked="0" layoutInCell="1" allowOverlap="1">
                <wp:simplePos x="0" y="0"/>
                <wp:positionH relativeFrom="column">
                  <wp:posOffset>5108575</wp:posOffset>
                </wp:positionH>
                <wp:positionV relativeFrom="paragraph">
                  <wp:posOffset>3264535</wp:posOffset>
                </wp:positionV>
                <wp:extent cx="625475" cy="335915"/>
                <wp:effectExtent l="6350" t="6350" r="8255" b="8255"/>
                <wp:wrapNone/>
                <wp:docPr id="370" name="矩形 370"/>
                <wp:cNvGraphicFramePr/>
                <a:graphic xmlns:a="http://schemas.openxmlformats.org/drawingml/2006/main">
                  <a:graphicData uri="http://schemas.microsoft.com/office/word/2010/wordprocessingShape">
                    <wps:wsp>
                      <wps:cNvSpPr/>
                      <wps:spPr>
                        <a:xfrm>
                          <a:off x="0" y="0"/>
                          <a:ext cx="625475" cy="335915"/>
                        </a:xfrm>
                        <a:prstGeom prst="rect">
                          <a:avLst/>
                        </a:prstGeom>
                        <a:solidFill>
                          <a:srgbClr val="00B0F0">
                            <a:alpha val="40000"/>
                          </a:srgbClr>
                        </a:solidFill>
                        <a:ln w="12700">
                          <a:solidFill>
                            <a:srgbClr val="00B0F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02.25pt;margin-top:257.05pt;height:26.45pt;width:49.25pt;z-index:251809792;v-text-anchor:middle;mso-width-relative:page;mso-height-relative:page;" fillcolor="#00B0F0" filled="t" stroked="t" coordsize="21600,21600" o:gfxdata="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&#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HJg4JvbAAAACwEAAA8AAAAAAAAAAQAgAAAAIgAAAGRy&#10;cy9kb3ducmV2LnhtbFBLAQIUABQAAAAIAIdO4kCcO5S9dAIAAAEFAAAOAAAAAAAAAAEAIAAAACoB&#10;AABkcnMvZTJvRG9jLnhtbFBLBQYAAAAABgAGAFkBAAAQBgAAAAA=&#10;">
                <v:fill on="t" opacity="26214f" focussize="0,0"/>
                <v:stroke weight="1pt" color="#00B0F0 [2404]" joinstyle="round"/>
                <v:imagedata o:title=""/>
                <o:lock v:ext="edit" aspectratio="f"/>
              </v:rect>
            </w:pict>
          </mc:Fallback>
        </mc:AlternateContent>
      </w:r>
      <w:r>
        <w:rPr>
          <w:color w:val="auto"/>
          <w:sz w:val="21"/>
        </w:rPr>
        <mc:AlternateContent>
          <mc:Choice Requires="wps">
            <w:drawing>
              <wp:anchor distT="0" distB="0" distL="114300" distR="114300" simplePos="0" relativeHeight="251825152" behindDoc="0" locked="0" layoutInCell="1" allowOverlap="1">
                <wp:simplePos x="0" y="0"/>
                <wp:positionH relativeFrom="column">
                  <wp:posOffset>4023995</wp:posOffset>
                </wp:positionH>
                <wp:positionV relativeFrom="paragraph">
                  <wp:posOffset>871220</wp:posOffset>
                </wp:positionV>
                <wp:extent cx="1896745" cy="963295"/>
                <wp:effectExtent l="6350" t="6350" r="17145" b="20955"/>
                <wp:wrapNone/>
                <wp:docPr id="388" name="矩形 388"/>
                <wp:cNvGraphicFramePr/>
                <a:graphic xmlns:a="http://schemas.openxmlformats.org/drawingml/2006/main">
                  <a:graphicData uri="http://schemas.microsoft.com/office/word/2010/wordprocessingShape">
                    <wps:wsp>
                      <wps:cNvSpPr/>
                      <wps:spPr>
                        <a:xfrm>
                          <a:off x="0" y="0"/>
                          <a:ext cx="1896745" cy="963295"/>
                        </a:xfrm>
                        <a:prstGeom prst="rect">
                          <a:avLst/>
                        </a:prstGeom>
                        <a:solidFill>
                          <a:srgbClr val="00B0F0">
                            <a:alpha val="30000"/>
                          </a:srgbClr>
                        </a:solidFill>
                        <a:ln w="12700">
                          <a:solidFill>
                            <a:srgbClr val="00B0F0"/>
                          </a:solidFill>
                          <a:prstDash val="dash"/>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16.85pt;margin-top:68.6pt;height:75.85pt;width:149.35pt;z-index:251825152;v-text-anchor:middle;mso-width-relative:page;mso-height-relative:page;" fillcolor="#00B0F0" filled="t" stroked="t" coordsize="21600,21600" o:gfxdata="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">
                <v:fill on="t" opacity="19660f" focussize="0,0"/>
                <v:stroke weight="1pt" color="#00B0F0 [2404]" joinstyle="round" dashstyle="dash"/>
                <v:imagedata o:title=""/>
                <o:lock v:ext="edit" aspectratio="f"/>
              </v:rect>
            </w:pict>
          </mc:Fallback>
        </mc:AlternateContent>
      </w:r>
      <w:r>
        <w:rPr>
          <w:color w:val="auto"/>
        </w:rPr>
        <mc:AlternateContent>
          <mc:Choice Requires="wps">
            <w:drawing>
              <wp:anchor distT="0" distB="0" distL="114300" distR="114300" simplePos="0" relativeHeight="251813888" behindDoc="0" locked="0" layoutInCell="1" allowOverlap="1">
                <wp:simplePos x="0" y="0"/>
                <wp:positionH relativeFrom="column">
                  <wp:posOffset>5556250</wp:posOffset>
                </wp:positionH>
                <wp:positionV relativeFrom="paragraph">
                  <wp:posOffset>1147445</wp:posOffset>
                </wp:positionV>
                <wp:extent cx="466090" cy="701675"/>
                <wp:effectExtent l="0" t="0" r="0" b="0"/>
                <wp:wrapNone/>
                <wp:docPr id="371" name="矩形 371"/>
                <wp:cNvGraphicFramePr/>
                <a:graphic xmlns:a="http://schemas.openxmlformats.org/drawingml/2006/main">
                  <a:graphicData uri="http://schemas.microsoft.com/office/word/2010/wordprocessingShape">
                    <wps:wsp>
                      <wps:cNvSpPr/>
                      <wps:spPr>
                        <a:xfrm>
                          <a:off x="0" y="0"/>
                          <a:ext cx="466090" cy="701675"/>
                        </a:xfrm>
                        <a:prstGeom prst="rect">
                          <a:avLst/>
                        </a:prstGeom>
                        <a:noFill/>
                        <a:ln w="15875">
                          <a:noFill/>
                        </a:ln>
                      </wps:spPr>
                      <wps:txbx>
                        <w:txbxContent>
                          <w:p w14:paraId="221334E2">
                            <w:pPr>
                              <w:keepNext w:val="0"/>
                              <w:keepLines w:val="0"/>
                              <w:pageBreakBefore w:val="0"/>
                              <w:widowControl w:val="0"/>
                              <w:kinsoku/>
                              <w:wordWrap/>
                              <w:overflowPunct/>
                              <w:topLinePunct w:val="0"/>
                              <w:bidi w:val="0"/>
                              <w:adjustRightInd/>
                              <w:snapToGrid/>
                              <w:spacing w:line="240" w:lineRule="atLeast"/>
                              <w:jc w:val="center"/>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鞋垫制造线</w:t>
                            </w:r>
                          </w:p>
                        </w:txbxContent>
                      </wps:txbx>
                      <wps:bodyPr upright="1"/>
                    </wps:wsp>
                  </a:graphicData>
                </a:graphic>
              </wp:anchor>
            </w:drawing>
          </mc:Choice>
          <mc:Fallback>
            <w:pict>
              <v:rect id="_x0000_s1026" o:spid="_x0000_s1026" o:spt="1" style="position:absolute;left:0pt;margin-left:437.5pt;margin-top:90.35pt;height:55.25pt;width:36.7pt;z-index:251813888;mso-width-relative:page;mso-height-relative:page;" filled="f" stroked="f" coordsize="21600,21600" o:gfxdata="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jyLjF9sA&#10;AAALAQAADwAAAAAAAAABACAAAAAiAAAAZHJzL2Rvd25yZXYueG1sUEsBAhQAFAAAAAgAh07iQJf/&#10;XDmqAQAATgMAAA4AAAAAAAAAAQAgAAAAKgEAAGRycy9lMm9Eb2MueG1sUEsFBgAAAAAGAAYAWQEA&#10;AEYFAAAAAA==&#10;">
                <v:fill on="f" focussize="0,0"/>
                <v:stroke on="f" weight="1.25pt"/>
                <v:imagedata o:title=""/>
                <o:lock v:ext="edit" aspectratio="f"/>
                <v:textbox>
                  <w:txbxContent>
                    <w:p w14:paraId="221334E2">
                      <w:pPr>
                        <w:keepNext w:val="0"/>
                        <w:keepLines w:val="0"/>
                        <w:pageBreakBefore w:val="0"/>
                        <w:widowControl w:val="0"/>
                        <w:kinsoku/>
                        <w:wordWrap/>
                        <w:overflowPunct/>
                        <w:topLinePunct w:val="0"/>
                        <w:bidi w:val="0"/>
                        <w:adjustRightInd/>
                        <w:snapToGrid/>
                        <w:spacing w:line="240" w:lineRule="atLeast"/>
                        <w:jc w:val="center"/>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鞋垫制造线</w:t>
                      </w:r>
                    </w:p>
                  </w:txbxContent>
                </v:textbox>
              </v:rect>
            </w:pict>
          </mc:Fallback>
        </mc:AlternateContent>
      </w:r>
      <w:r>
        <w:rPr>
          <w:color w:val="auto"/>
          <w:sz w:val="21"/>
        </w:rPr>
        <mc:AlternateContent>
          <mc:Choice Requires="wps">
            <w:drawing>
              <wp:anchor distT="0" distB="0" distL="114300" distR="114300" simplePos="0" relativeHeight="251821056" behindDoc="0" locked="0" layoutInCell="1" allowOverlap="1">
                <wp:simplePos x="0" y="0"/>
                <wp:positionH relativeFrom="column">
                  <wp:posOffset>5672455</wp:posOffset>
                </wp:positionH>
                <wp:positionV relativeFrom="paragraph">
                  <wp:posOffset>1262380</wp:posOffset>
                </wp:positionV>
                <wp:extent cx="204470" cy="420370"/>
                <wp:effectExtent l="6350" t="6350" r="17780" b="15240"/>
                <wp:wrapNone/>
                <wp:docPr id="383" name="矩形 383"/>
                <wp:cNvGraphicFramePr/>
                <a:graphic xmlns:a="http://schemas.openxmlformats.org/drawingml/2006/main">
                  <a:graphicData uri="http://schemas.microsoft.com/office/word/2010/wordprocessingShape">
                    <wps:wsp>
                      <wps:cNvSpPr/>
                      <wps:spPr>
                        <a:xfrm>
                          <a:off x="0" y="0"/>
                          <a:ext cx="204470" cy="420370"/>
                        </a:xfrm>
                        <a:prstGeom prst="rect">
                          <a:avLst/>
                        </a:prstGeom>
                        <a:solidFill>
                          <a:srgbClr val="00B0F0">
                            <a:alpha val="40000"/>
                          </a:srgbClr>
                        </a:solidFill>
                        <a:ln w="12700">
                          <a:solidFill>
                            <a:srgbClr val="00B0F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46.65pt;margin-top:99.4pt;height:33.1pt;width:16.1pt;z-index:251821056;v-text-anchor:middle;mso-width-relative:page;mso-height-relative:page;" fillcolor="#00B0F0" filled="t" stroked="t" coordsize="21600,21600" o:gfxdata="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mnt9ttwAAAALAQAADwAAAAAAAAABACAAAAAiAAAAZHJz&#10;L2Rvd25yZXYueG1sUEsBAhQAFAAAAAgAh07iQF5xxmVyAgAAAQUAAA4AAAAAAAAAAQAgAAAAKwEA&#10;AGRycy9lMm9Eb2MueG1sUEsFBgAAAAAGAAYAWQEAAA8GAAAAAA==&#10;">
                <v:fill on="t" opacity="26214f" focussize="0,0"/>
                <v:stroke weight="1pt" color="#00B0F0 [2404]" joinstyle="round"/>
                <v:imagedata o:title=""/>
                <o:lock v:ext="edit" aspectratio="f"/>
              </v:rect>
            </w:pict>
          </mc:Fallback>
        </mc:AlternateContent>
      </w:r>
      <w:r>
        <w:rPr>
          <w:color w:val="auto"/>
        </w:rPr>
        <mc:AlternateContent>
          <mc:Choice Requires="wps">
            <w:drawing>
              <wp:anchor distT="0" distB="0" distL="114300" distR="114300" simplePos="0" relativeHeight="251806720" behindDoc="0" locked="0" layoutInCell="1" allowOverlap="1">
                <wp:simplePos x="0" y="0"/>
                <wp:positionH relativeFrom="column">
                  <wp:posOffset>4127500</wp:posOffset>
                </wp:positionH>
                <wp:positionV relativeFrom="paragraph">
                  <wp:posOffset>2817495</wp:posOffset>
                </wp:positionV>
                <wp:extent cx="814070" cy="298450"/>
                <wp:effectExtent l="0" t="0" r="0" b="0"/>
                <wp:wrapNone/>
                <wp:docPr id="364" name="矩形 364"/>
                <wp:cNvGraphicFramePr/>
                <a:graphic xmlns:a="http://schemas.openxmlformats.org/drawingml/2006/main">
                  <a:graphicData uri="http://schemas.microsoft.com/office/word/2010/wordprocessingShape">
                    <wps:wsp>
                      <wps:cNvSpPr/>
                      <wps:spPr>
                        <a:xfrm>
                          <a:off x="0" y="0"/>
                          <a:ext cx="814070" cy="298450"/>
                        </a:xfrm>
                        <a:prstGeom prst="rect">
                          <a:avLst/>
                        </a:prstGeom>
                        <a:noFill/>
                        <a:ln w="15875">
                          <a:noFill/>
                        </a:ln>
                      </wps:spPr>
                      <wps:txbx>
                        <w:txbxContent>
                          <w:p w14:paraId="3FE33A6A">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丝网印花区</w:t>
                            </w:r>
                          </w:p>
                        </w:txbxContent>
                      </wps:txbx>
                      <wps:bodyPr upright="1"/>
                    </wps:wsp>
                  </a:graphicData>
                </a:graphic>
              </wp:anchor>
            </w:drawing>
          </mc:Choice>
          <mc:Fallback>
            <w:pict>
              <v:rect id="_x0000_s1026" o:spid="_x0000_s1026" o:spt="1" style="position:absolute;left:0pt;margin-left:325pt;margin-top:221.85pt;height:23.5pt;width:64.1pt;z-index:251806720;mso-width-relative:page;mso-height-relative:page;" filled="f" stroked="f" coordsize="21600,21600" o:gfxdata="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Ck&#10;BXS83AAAAAsBAAAPAAAAAAAAAAEAIAAAACIAAABkcnMvZG93bnJldi54bWxQSwECFAAUAAAACACH&#10;TuJA/rzg3q4BAABOAwAADgAAAAAAAAABACAAAAArAQAAZHJzL2Uyb0RvYy54bWxQSwUGAAAAAAYA&#10;BgBZAQAASwUAAAAA&#10;">
                <v:fill on="f" focussize="0,0"/>
                <v:stroke on="f" weight="1.25pt"/>
                <v:imagedata o:title=""/>
                <o:lock v:ext="edit" aspectratio="f"/>
                <v:textbox>
                  <w:txbxContent>
                    <w:p w14:paraId="3FE33A6A">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丝网印花区</w:t>
                      </w:r>
                    </w:p>
                  </w:txbxContent>
                </v:textbox>
              </v:rect>
            </w:pict>
          </mc:Fallback>
        </mc:AlternateContent>
      </w:r>
      <w:r>
        <w:rPr>
          <w:color w:val="auto"/>
        </w:rPr>
        <mc:AlternateContent>
          <mc:Choice Requires="wps">
            <w:drawing>
              <wp:anchor distT="0" distB="0" distL="114300" distR="114300" simplePos="0" relativeHeight="251841536" behindDoc="0" locked="0" layoutInCell="1" allowOverlap="1">
                <wp:simplePos x="0" y="0"/>
                <wp:positionH relativeFrom="column">
                  <wp:posOffset>2655570</wp:posOffset>
                </wp:positionH>
                <wp:positionV relativeFrom="paragraph">
                  <wp:posOffset>1022350</wp:posOffset>
                </wp:positionV>
                <wp:extent cx="1102360" cy="271145"/>
                <wp:effectExtent l="0" t="0" r="0" b="0"/>
                <wp:wrapNone/>
                <wp:docPr id="88" name="矩形 88"/>
                <wp:cNvGraphicFramePr/>
                <a:graphic xmlns:a="http://schemas.openxmlformats.org/drawingml/2006/main">
                  <a:graphicData uri="http://schemas.microsoft.com/office/word/2010/wordprocessingShape">
                    <wps:wsp>
                      <wps:cNvSpPr/>
                      <wps:spPr>
                        <a:xfrm>
                          <a:off x="0" y="0"/>
                          <a:ext cx="1102360" cy="271145"/>
                        </a:xfrm>
                        <a:prstGeom prst="rect">
                          <a:avLst/>
                        </a:prstGeom>
                        <a:noFill/>
                        <a:ln w="15875">
                          <a:noFill/>
                        </a:ln>
                      </wps:spPr>
                      <wps:txbx>
                        <w:txbxContent>
                          <w:p w14:paraId="5658EF9F">
                            <w:pPr>
                              <w:rPr>
                                <w:rFonts w:hint="default"/>
                                <w:color w:val="FF0000"/>
                                <w:sz w:val="18"/>
                                <w:szCs w:val="21"/>
                                <w:lang w:val="en-US" w:eastAsia="zh-CN"/>
                              </w:rPr>
                            </w:pPr>
                            <w:r>
                              <w:rPr>
                                <w:rFonts w:hint="default"/>
                                <w:color w:val="FF0000"/>
                                <w:sz w:val="18"/>
                                <w:szCs w:val="21"/>
                                <w:lang w:val="en-US" w:eastAsia="zh-CN"/>
                              </w:rPr>
                              <w:t>化粪池+隔油池</w:t>
                            </w:r>
                          </w:p>
                        </w:txbxContent>
                      </wps:txbx>
                      <wps:bodyPr upright="1"/>
                    </wps:wsp>
                  </a:graphicData>
                </a:graphic>
              </wp:anchor>
            </w:drawing>
          </mc:Choice>
          <mc:Fallback>
            <w:pict>
              <v:rect id="_x0000_s1026" o:spid="_x0000_s1026" o:spt="1" style="position:absolute;left:0pt;margin-left:209.1pt;margin-top:80.5pt;height:21.35pt;width:86.8pt;z-index:251841536;mso-width-relative:page;mso-height-relative:page;" filled="f" stroked="f" coordsize="21600,21600" o:gfxdata="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">
                <v:fill on="f" focussize="0,0"/>
                <v:stroke on="f" weight="1.25pt"/>
                <v:imagedata o:title=""/>
                <o:lock v:ext="edit" aspectratio="f"/>
                <v:textbox>
                  <w:txbxContent>
                    <w:p w14:paraId="5658EF9F">
                      <w:pPr>
                        <w:rPr>
                          <w:rFonts w:hint="default"/>
                          <w:color w:val="FF0000"/>
                          <w:sz w:val="18"/>
                          <w:szCs w:val="21"/>
                          <w:lang w:val="en-US" w:eastAsia="zh-CN"/>
                        </w:rPr>
                      </w:pPr>
                      <w:r>
                        <w:rPr>
                          <w:rFonts w:hint="default"/>
                          <w:color w:val="FF0000"/>
                          <w:sz w:val="18"/>
                          <w:szCs w:val="21"/>
                          <w:lang w:val="en-US" w:eastAsia="zh-CN"/>
                        </w:rPr>
                        <w:t>化粪池+隔油池</w:t>
                      </w:r>
                    </w:p>
                  </w:txbxContent>
                </v:textbox>
              </v:rect>
            </w:pict>
          </mc:Fallback>
        </mc:AlternateContent>
      </w:r>
      <w:r>
        <w:rPr>
          <w:color w:val="auto"/>
          <w:sz w:val="21"/>
        </w:rPr>
        <mc:AlternateContent>
          <mc:Choice Requires="wps">
            <w:drawing>
              <wp:anchor distT="0" distB="0" distL="114300" distR="114300" simplePos="0" relativeHeight="251810816" behindDoc="0" locked="0" layoutInCell="1" allowOverlap="1">
                <wp:simplePos x="0" y="0"/>
                <wp:positionH relativeFrom="column">
                  <wp:posOffset>4140200</wp:posOffset>
                </wp:positionH>
                <wp:positionV relativeFrom="paragraph">
                  <wp:posOffset>905510</wp:posOffset>
                </wp:positionV>
                <wp:extent cx="1728470" cy="246380"/>
                <wp:effectExtent l="6350" t="6350" r="17780" b="6350"/>
                <wp:wrapNone/>
                <wp:docPr id="374" name="矩形 374"/>
                <wp:cNvGraphicFramePr/>
                <a:graphic xmlns:a="http://schemas.openxmlformats.org/drawingml/2006/main">
                  <a:graphicData uri="http://schemas.microsoft.com/office/word/2010/wordprocessingShape">
                    <wps:wsp>
                      <wps:cNvSpPr/>
                      <wps:spPr>
                        <a:xfrm>
                          <a:off x="0" y="0"/>
                          <a:ext cx="1728470" cy="246380"/>
                        </a:xfrm>
                        <a:prstGeom prst="rect">
                          <a:avLst/>
                        </a:prstGeom>
                        <a:solidFill>
                          <a:srgbClr val="00B0F0">
                            <a:alpha val="40000"/>
                          </a:srgbClr>
                        </a:solidFill>
                        <a:ln w="12700">
                          <a:solidFill>
                            <a:srgbClr val="00B0F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26pt;margin-top:71.3pt;height:19.4pt;width:136.1pt;z-index:251810816;v-text-anchor:middle;mso-width-relative:page;mso-height-relative:page;" fillcolor="#00B0F0" filled="t" stroked="t" coordsize="21600,21600" o:gfxdata="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O0HsKNsAAAALAQAADwAAAAAAAAABACAAAAAiAAAAZHJz&#10;L2Rvd25yZXYueG1sUEsBAhQAFAAAAAgAh07iQF9lrnlzAgAAAgUAAA4AAAAAAAAAAQAgAAAAKgEA&#10;AGRycy9lMm9Eb2MueG1sUEsFBgAAAAAGAAYAWQEAAA8GAAAAAA==&#10;">
                <v:fill on="t" opacity="26214f" focussize="0,0"/>
                <v:stroke weight="1pt" color="#00B0F0 [2404]" joinstyle="round"/>
                <v:imagedata o:title=""/>
                <o:lock v:ext="edit" aspectratio="f"/>
              </v:rect>
            </w:pict>
          </mc:Fallback>
        </mc:AlternateContent>
      </w:r>
      <w:r>
        <w:rPr>
          <w:color w:val="auto"/>
          <w:sz w:val="21"/>
        </w:rPr>
        <mc:AlternateContent>
          <mc:Choice Requires="wps">
            <w:drawing>
              <wp:anchor distT="0" distB="0" distL="114300" distR="114300" simplePos="0" relativeHeight="251832320" behindDoc="0" locked="0" layoutInCell="1" allowOverlap="1">
                <wp:simplePos x="0" y="0"/>
                <wp:positionH relativeFrom="column">
                  <wp:posOffset>229235</wp:posOffset>
                </wp:positionH>
                <wp:positionV relativeFrom="paragraph">
                  <wp:posOffset>5164455</wp:posOffset>
                </wp:positionV>
                <wp:extent cx="212725" cy="184785"/>
                <wp:effectExtent l="6350" t="6350" r="9525" b="6985"/>
                <wp:wrapNone/>
                <wp:docPr id="395" name="矩形 395"/>
                <wp:cNvGraphicFramePr/>
                <a:graphic xmlns:a="http://schemas.openxmlformats.org/drawingml/2006/main">
                  <a:graphicData uri="http://schemas.microsoft.com/office/word/2010/wordprocessingShape">
                    <wps:wsp>
                      <wps:cNvSpPr/>
                      <wps:spPr>
                        <a:xfrm>
                          <a:off x="0" y="0"/>
                          <a:ext cx="212725" cy="184785"/>
                        </a:xfrm>
                        <a:prstGeom prst="rect">
                          <a:avLst/>
                        </a:prstGeom>
                        <a:solidFill>
                          <a:srgbClr val="00B050">
                            <a:alpha val="50000"/>
                          </a:srgbClr>
                        </a:solidFill>
                        <a:ln w="12700">
                          <a:solidFill>
                            <a:srgbClr val="00B05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8.05pt;margin-top:406.65pt;height:14.55pt;width:16.75pt;z-index:251832320;v-text-anchor:middle;mso-width-relative:page;mso-height-relative:page;" fillcolor="#00B050" filled="t" stroked="t" coordsize="21600,21600" o:gfxdata="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AQyn9y2wAAAAkBAAAPAAAAAAAAAAEAIAAAACIAAABkcnMv&#10;ZG93bnJldi54bWxQSwECFAAUAAAACACHTuJAcVRRj3ICAAABBQAADgAAAAAAAAABACAAAAAqAQAA&#10;ZHJzL2Uyb0RvYy54bWxQSwUGAAAAAAYABgBZAQAADgYAAAAA&#10;">
                <v:fill on="t" opacity="32768f" focussize="0,0"/>
                <v:stroke weight="1pt" color="#00B050 [2404]" joinstyle="round"/>
                <v:imagedata o:title=""/>
                <o:lock v:ext="edit" aspectratio="f"/>
              </v:rect>
            </w:pict>
          </mc:Fallback>
        </mc:AlternateContent>
      </w:r>
      <w:r>
        <w:rPr>
          <w:color w:val="auto"/>
          <w:sz w:val="21"/>
        </w:rPr>
        <mc:AlternateContent>
          <mc:Choice Requires="wps">
            <w:drawing>
              <wp:anchor distT="0" distB="0" distL="114300" distR="114300" simplePos="0" relativeHeight="251831296" behindDoc="0" locked="0" layoutInCell="1" allowOverlap="1">
                <wp:simplePos x="0" y="0"/>
                <wp:positionH relativeFrom="column">
                  <wp:posOffset>226060</wp:posOffset>
                </wp:positionH>
                <wp:positionV relativeFrom="paragraph">
                  <wp:posOffset>4925060</wp:posOffset>
                </wp:positionV>
                <wp:extent cx="212725" cy="184785"/>
                <wp:effectExtent l="6350" t="6350" r="9525" b="6985"/>
                <wp:wrapNone/>
                <wp:docPr id="394" name="矩形 394"/>
                <wp:cNvGraphicFramePr/>
                <a:graphic xmlns:a="http://schemas.openxmlformats.org/drawingml/2006/main">
                  <a:graphicData uri="http://schemas.microsoft.com/office/word/2010/wordprocessingShape">
                    <wps:wsp>
                      <wps:cNvSpPr/>
                      <wps:spPr>
                        <a:xfrm>
                          <a:off x="0" y="0"/>
                          <a:ext cx="212725" cy="184785"/>
                        </a:xfrm>
                        <a:prstGeom prst="rect">
                          <a:avLst/>
                        </a:prstGeom>
                        <a:solidFill>
                          <a:srgbClr val="00B0F0">
                            <a:alpha val="40000"/>
                          </a:srgbClr>
                        </a:solidFill>
                        <a:ln w="12700">
                          <a:solidFill>
                            <a:srgbClr val="00B0F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7.8pt;margin-top:387.8pt;height:14.55pt;width:16.75pt;z-index:251831296;v-text-anchor:middle;mso-width-relative:page;mso-height-relative:page;" fillcolor="#00B0F0" filled="t" stroked="t" coordsize="21600,21600" o:gfxdata="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&#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JhO1utoAAAAJAQAADwAAAAAAAAABACAAAAAiAAAAZHJz&#10;L2Rvd25yZXYueG1sUEsBAhQAFAAAAAgAh07iQEl47gl0AgAAAQUAAA4AAAAAAAAAAQAgAAAAKQEA&#10;AGRycy9lMm9Eb2MueG1sUEsFBgAAAAAGAAYAWQEAAA8GAAAAAA==&#10;">
                <v:fill on="t" opacity="26214f" focussize="0,0"/>
                <v:stroke weight="1pt" color="#00B0F0 [2404]" joinstyle="round"/>
                <v:imagedata o:title=""/>
                <o:lock v:ext="edit" aspectratio="f"/>
              </v:rect>
            </w:pict>
          </mc:Fallback>
        </mc:AlternateContent>
      </w:r>
      <w:r>
        <w:rPr>
          <w:color w:val="auto"/>
        </w:rPr>
        <mc:AlternateContent>
          <mc:Choice Requires="wps">
            <w:drawing>
              <wp:anchor distT="0" distB="0" distL="114300" distR="114300" simplePos="0" relativeHeight="251838464" behindDoc="0" locked="0" layoutInCell="1" allowOverlap="1">
                <wp:simplePos x="0" y="0"/>
                <wp:positionH relativeFrom="column">
                  <wp:posOffset>4445000</wp:posOffset>
                </wp:positionH>
                <wp:positionV relativeFrom="paragraph">
                  <wp:posOffset>869315</wp:posOffset>
                </wp:positionV>
                <wp:extent cx="1319530" cy="298450"/>
                <wp:effectExtent l="0" t="0" r="0" b="0"/>
                <wp:wrapNone/>
                <wp:docPr id="84" name="矩形 84"/>
                <wp:cNvGraphicFramePr/>
                <a:graphic xmlns:a="http://schemas.openxmlformats.org/drawingml/2006/main">
                  <a:graphicData uri="http://schemas.microsoft.com/office/word/2010/wordprocessingShape">
                    <wps:wsp>
                      <wps:cNvSpPr/>
                      <wps:spPr>
                        <a:xfrm>
                          <a:off x="0" y="0"/>
                          <a:ext cx="1319530" cy="298450"/>
                        </a:xfrm>
                        <a:prstGeom prst="rect">
                          <a:avLst/>
                        </a:prstGeom>
                        <a:noFill/>
                        <a:ln w="15875">
                          <a:noFill/>
                        </a:ln>
                      </wps:spPr>
                      <wps:txbx>
                        <w:txbxContent>
                          <w:p w14:paraId="5C1072D3">
                            <w:pPr>
                              <w:keepNext w:val="0"/>
                              <w:keepLines w:val="0"/>
                              <w:pageBreakBefore w:val="0"/>
                              <w:widowControl w:val="0"/>
                              <w:kinsoku/>
                              <w:wordWrap/>
                              <w:overflowPunct/>
                              <w:topLinePunct w:val="0"/>
                              <w:bidi w:val="0"/>
                              <w:adjustRightInd/>
                              <w:snapToGrid/>
                              <w:spacing w:line="240" w:lineRule="atLeast"/>
                              <w:textAlignment w:val="auto"/>
                              <w:rPr>
                                <w:rFonts w:hint="default" w:ascii="Times New Roman" w:hAnsi="Times New Roman" w:eastAsia="宋体" w:cs="Times New Roman"/>
                                <w:b w:val="0"/>
                                <w:bCs w:val="0"/>
                                <w:color w:val="FF0000"/>
                                <w:sz w:val="18"/>
                                <w:szCs w:val="21"/>
                                <w:lang w:val="en-US" w:eastAsia="zh-CN"/>
                              </w:rPr>
                            </w:pPr>
                            <w:r>
                              <w:rPr>
                                <w:rFonts w:hint="eastAsia" w:ascii="Times New Roman" w:hAnsi="Times New Roman" w:eastAsia="宋体" w:cs="Times New Roman"/>
                                <w:b w:val="0"/>
                                <w:bCs w:val="0"/>
                                <w:color w:val="FF0000"/>
                                <w:sz w:val="18"/>
                                <w:szCs w:val="21"/>
                                <w:lang w:val="en-US" w:eastAsia="zh-CN"/>
                              </w:rPr>
                              <w:t>注塑鞋底制造</w:t>
                            </w:r>
                            <w:r>
                              <w:rPr>
                                <w:rFonts w:hint="eastAsia" w:cs="Times New Roman"/>
                                <w:b w:val="0"/>
                                <w:bCs w:val="0"/>
                                <w:color w:val="FF0000"/>
                                <w:sz w:val="18"/>
                                <w:szCs w:val="21"/>
                                <w:lang w:val="en-US" w:eastAsia="zh-CN"/>
                              </w:rPr>
                              <w:t>线</w:t>
                            </w:r>
                          </w:p>
                        </w:txbxContent>
                      </wps:txbx>
                      <wps:bodyPr upright="1"/>
                    </wps:wsp>
                  </a:graphicData>
                </a:graphic>
              </wp:anchor>
            </w:drawing>
          </mc:Choice>
          <mc:Fallback>
            <w:pict>
              <v:rect id="_x0000_s1026" o:spid="_x0000_s1026" o:spt="1" style="position:absolute;left:0pt;margin-left:350pt;margin-top:68.45pt;height:23.5pt;width:103.9pt;z-index:251838464;mso-width-relative:page;mso-height-relative:page;" filled="f" stroked="f" coordsize="21600,21600" o:gfxdata="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BMv&#10;uVLbAAAACwEAAA8AAAAAAAAAAQAgAAAAIgAAAGRycy9kb3ducmV2LnhtbFBLAQIUABQAAAAIAIdO&#10;4kBDsUfurgEAAE0DAAAOAAAAAAAAAAEAIAAAACoBAABkcnMvZTJvRG9jLnhtbFBLBQYAAAAABgAG&#10;AFkBAABKBQAAAAA=&#10;">
                <v:fill on="f" focussize="0,0"/>
                <v:stroke on="f" weight="1.25pt"/>
                <v:imagedata o:title=""/>
                <o:lock v:ext="edit" aspectratio="f"/>
                <v:textbox>
                  <w:txbxContent>
                    <w:p w14:paraId="5C1072D3">
                      <w:pPr>
                        <w:keepNext w:val="0"/>
                        <w:keepLines w:val="0"/>
                        <w:pageBreakBefore w:val="0"/>
                        <w:widowControl w:val="0"/>
                        <w:kinsoku/>
                        <w:wordWrap/>
                        <w:overflowPunct/>
                        <w:topLinePunct w:val="0"/>
                        <w:bidi w:val="0"/>
                        <w:adjustRightInd/>
                        <w:snapToGrid/>
                        <w:spacing w:line="240" w:lineRule="atLeast"/>
                        <w:textAlignment w:val="auto"/>
                        <w:rPr>
                          <w:rFonts w:hint="default" w:ascii="Times New Roman" w:hAnsi="Times New Roman" w:eastAsia="宋体" w:cs="Times New Roman"/>
                          <w:b w:val="0"/>
                          <w:bCs w:val="0"/>
                          <w:color w:val="FF0000"/>
                          <w:sz w:val="18"/>
                          <w:szCs w:val="21"/>
                          <w:lang w:val="en-US" w:eastAsia="zh-CN"/>
                        </w:rPr>
                      </w:pPr>
                      <w:r>
                        <w:rPr>
                          <w:rFonts w:hint="eastAsia" w:ascii="Times New Roman" w:hAnsi="Times New Roman" w:eastAsia="宋体" w:cs="Times New Roman"/>
                          <w:b w:val="0"/>
                          <w:bCs w:val="0"/>
                          <w:color w:val="FF0000"/>
                          <w:sz w:val="18"/>
                          <w:szCs w:val="21"/>
                          <w:lang w:val="en-US" w:eastAsia="zh-CN"/>
                        </w:rPr>
                        <w:t>注塑鞋底制造</w:t>
                      </w:r>
                      <w:r>
                        <w:rPr>
                          <w:rFonts w:hint="eastAsia" w:cs="Times New Roman"/>
                          <w:b w:val="0"/>
                          <w:bCs w:val="0"/>
                          <w:color w:val="FF0000"/>
                          <w:sz w:val="18"/>
                          <w:szCs w:val="21"/>
                          <w:lang w:val="en-US" w:eastAsia="zh-CN"/>
                        </w:rPr>
                        <w:t>线</w:t>
                      </w:r>
                    </w:p>
                  </w:txbxContent>
                </v:textbox>
              </v:rect>
            </w:pict>
          </mc:Fallback>
        </mc:AlternateContent>
      </w:r>
      <w:r>
        <w:rPr>
          <w:color w:val="auto"/>
        </w:rPr>
        <mc:AlternateContent>
          <mc:Choice Requires="wps">
            <w:drawing>
              <wp:anchor distT="0" distB="0" distL="114300" distR="114300" simplePos="0" relativeHeight="251840512" behindDoc="0" locked="0" layoutInCell="1" allowOverlap="1">
                <wp:simplePos x="0" y="0"/>
                <wp:positionH relativeFrom="column">
                  <wp:posOffset>4041775</wp:posOffset>
                </wp:positionH>
                <wp:positionV relativeFrom="paragraph">
                  <wp:posOffset>1610995</wp:posOffset>
                </wp:positionV>
                <wp:extent cx="372110" cy="266065"/>
                <wp:effectExtent l="0" t="0" r="0" b="0"/>
                <wp:wrapNone/>
                <wp:docPr id="85" name="矩形 85"/>
                <wp:cNvGraphicFramePr/>
                <a:graphic xmlns:a="http://schemas.openxmlformats.org/drawingml/2006/main">
                  <a:graphicData uri="http://schemas.microsoft.com/office/word/2010/wordprocessingShape">
                    <wps:wsp>
                      <wps:cNvSpPr/>
                      <wps:spPr>
                        <a:xfrm>
                          <a:off x="0" y="0"/>
                          <a:ext cx="372110" cy="266065"/>
                        </a:xfrm>
                        <a:prstGeom prst="rect">
                          <a:avLst/>
                        </a:prstGeom>
                        <a:noFill/>
                        <a:ln w="15875">
                          <a:noFill/>
                        </a:ln>
                      </wps:spPr>
                      <wps:txbx>
                        <w:txbxContent>
                          <w:p w14:paraId="7E1836A7">
                            <w:pPr>
                              <w:rPr>
                                <w:rFonts w:hint="default"/>
                                <w:b w:val="0"/>
                                <w:bCs w:val="0"/>
                                <w:color w:val="FF0000"/>
                                <w:lang w:val="en-US" w:eastAsia="zh-CN"/>
                              </w:rPr>
                            </w:pPr>
                            <w:r>
                              <w:rPr>
                                <w:rFonts w:hint="eastAsia"/>
                                <w:b w:val="0"/>
                                <w:bCs w:val="0"/>
                                <w:color w:val="FF0000"/>
                                <w:sz w:val="18"/>
                                <w:szCs w:val="21"/>
                                <w:lang w:val="en-US" w:eastAsia="zh-CN"/>
                              </w:rPr>
                              <w:t>2F</w:t>
                            </w:r>
                          </w:p>
                        </w:txbxContent>
                      </wps:txbx>
                      <wps:bodyPr upright="1"/>
                    </wps:wsp>
                  </a:graphicData>
                </a:graphic>
              </wp:anchor>
            </w:drawing>
          </mc:Choice>
          <mc:Fallback>
            <w:pict>
              <v:rect id="_x0000_s1026" o:spid="_x0000_s1026" o:spt="1" style="position:absolute;left:0pt;margin-left:318.25pt;margin-top:126.85pt;height:20.95pt;width:29.3pt;z-index:251840512;mso-width-relative:page;mso-height-relative:page;" filled="f" stroked="f" coordsize="21600,21600" o:gfxdata="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AwT4&#10;dNwAAAALAQAADwAAAAAAAAABACAAAAAiAAAAZHJzL2Rvd25yZXYueG1sUEsBAhQAFAAAAAgAh07i&#10;QB5bkEKsAQAATAMAAA4AAAAAAAAAAQAgAAAAKwEAAGRycy9lMm9Eb2MueG1sUEsFBgAAAAAGAAYA&#10;WQEAAEkFAAAAAA==&#10;">
                <v:fill on="f" focussize="0,0"/>
                <v:stroke on="f" weight="1.25pt"/>
                <v:imagedata o:title=""/>
                <o:lock v:ext="edit" aspectratio="f"/>
                <v:textbox>
                  <w:txbxContent>
                    <w:p w14:paraId="7E1836A7">
                      <w:pPr>
                        <w:rPr>
                          <w:rFonts w:hint="default"/>
                          <w:b w:val="0"/>
                          <w:bCs w:val="0"/>
                          <w:color w:val="FF0000"/>
                          <w:lang w:val="en-US" w:eastAsia="zh-CN"/>
                        </w:rPr>
                      </w:pPr>
                      <w:r>
                        <w:rPr>
                          <w:rFonts w:hint="eastAsia"/>
                          <w:b w:val="0"/>
                          <w:bCs w:val="0"/>
                          <w:color w:val="FF0000"/>
                          <w:sz w:val="18"/>
                          <w:szCs w:val="21"/>
                          <w:lang w:val="en-US" w:eastAsia="zh-CN"/>
                        </w:rPr>
                        <w:t>2F</w:t>
                      </w:r>
                    </w:p>
                  </w:txbxContent>
                </v:textbox>
              </v:rect>
            </w:pict>
          </mc:Fallback>
        </mc:AlternateContent>
      </w:r>
      <w:r>
        <w:rPr>
          <w:color w:val="auto"/>
        </w:rPr>
        <mc:AlternateContent>
          <mc:Choice Requires="wps">
            <w:drawing>
              <wp:anchor distT="0" distB="0" distL="114300" distR="114300" simplePos="0" relativeHeight="251839488" behindDoc="0" locked="0" layoutInCell="1" allowOverlap="1">
                <wp:simplePos x="0" y="0"/>
                <wp:positionH relativeFrom="column">
                  <wp:posOffset>5110480</wp:posOffset>
                </wp:positionH>
                <wp:positionV relativeFrom="paragraph">
                  <wp:posOffset>3536950</wp:posOffset>
                </wp:positionV>
                <wp:extent cx="372110" cy="266065"/>
                <wp:effectExtent l="0" t="0" r="0" b="0"/>
                <wp:wrapNone/>
                <wp:docPr id="86" name="矩形 86"/>
                <wp:cNvGraphicFramePr/>
                <a:graphic xmlns:a="http://schemas.openxmlformats.org/drawingml/2006/main">
                  <a:graphicData uri="http://schemas.microsoft.com/office/word/2010/wordprocessingShape">
                    <wps:wsp>
                      <wps:cNvSpPr/>
                      <wps:spPr>
                        <a:xfrm>
                          <a:off x="0" y="0"/>
                          <a:ext cx="372110" cy="266065"/>
                        </a:xfrm>
                        <a:prstGeom prst="rect">
                          <a:avLst/>
                        </a:prstGeom>
                        <a:noFill/>
                        <a:ln w="15875">
                          <a:noFill/>
                        </a:ln>
                      </wps:spPr>
                      <wps:txbx>
                        <w:txbxContent>
                          <w:p w14:paraId="29492C45">
                            <w:pPr>
                              <w:rPr>
                                <w:rFonts w:hint="default"/>
                                <w:b w:val="0"/>
                                <w:bCs w:val="0"/>
                                <w:color w:val="FF0000"/>
                                <w:lang w:val="en-US" w:eastAsia="zh-CN"/>
                              </w:rPr>
                            </w:pPr>
                            <w:r>
                              <w:rPr>
                                <w:rFonts w:hint="eastAsia"/>
                                <w:b w:val="0"/>
                                <w:bCs w:val="0"/>
                                <w:color w:val="FF0000"/>
                                <w:sz w:val="18"/>
                                <w:szCs w:val="21"/>
                                <w:lang w:val="en-US" w:eastAsia="zh-CN"/>
                              </w:rPr>
                              <w:t>1F</w:t>
                            </w:r>
                          </w:p>
                        </w:txbxContent>
                      </wps:txbx>
                      <wps:bodyPr upright="1"/>
                    </wps:wsp>
                  </a:graphicData>
                </a:graphic>
              </wp:anchor>
            </w:drawing>
          </mc:Choice>
          <mc:Fallback>
            <w:pict>
              <v:rect id="_x0000_s1026" o:spid="_x0000_s1026" o:spt="1" style="position:absolute;left:0pt;margin-left:402.4pt;margin-top:278.5pt;height:20.95pt;width:29.3pt;z-index:251839488;mso-width-relative:page;mso-height-relative:page;" filled="f" stroked="f" coordsize="21600,21600" o:gfxdata="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mBSt&#10;iNwAAAALAQAADwAAAAAAAAABACAAAAAiAAAAZHJzL2Rvd25yZXYueG1sUEsBAhQAFAAAAAgAh07i&#10;QJaNmresAQAATAMAAA4AAAAAAAAAAQAgAAAAKwEAAGRycy9lMm9Eb2MueG1sUEsFBgAAAAAGAAYA&#10;WQEAAEkFAAAAAA==&#10;">
                <v:fill on="f" focussize="0,0"/>
                <v:stroke on="f" weight="1.25pt"/>
                <v:imagedata o:title=""/>
                <o:lock v:ext="edit" aspectratio="f"/>
                <v:textbox>
                  <w:txbxContent>
                    <w:p w14:paraId="29492C45">
                      <w:pPr>
                        <w:rPr>
                          <w:rFonts w:hint="default"/>
                          <w:b w:val="0"/>
                          <w:bCs w:val="0"/>
                          <w:color w:val="FF0000"/>
                          <w:lang w:val="en-US" w:eastAsia="zh-CN"/>
                        </w:rPr>
                      </w:pPr>
                      <w:r>
                        <w:rPr>
                          <w:rFonts w:hint="eastAsia"/>
                          <w:b w:val="0"/>
                          <w:bCs w:val="0"/>
                          <w:color w:val="FF0000"/>
                          <w:sz w:val="18"/>
                          <w:szCs w:val="21"/>
                          <w:lang w:val="en-US" w:eastAsia="zh-CN"/>
                        </w:rPr>
                        <w:t>1F</w:t>
                      </w:r>
                    </w:p>
                  </w:txbxContent>
                </v:textbox>
              </v:rect>
            </w:pict>
          </mc:Fallback>
        </mc:AlternateContent>
      </w:r>
      <w:r>
        <w:rPr>
          <w:rFonts w:hint="eastAsia"/>
          <w:color w:val="auto"/>
          <w:lang w:val="en-US" w:eastAsia="zh-CN"/>
        </w:rPr>
        <w:drawing>
          <wp:inline distT="0" distB="0" distL="114300" distR="114300">
            <wp:extent cx="8853805" cy="5545455"/>
            <wp:effectExtent l="9525" t="9525" r="21590" b="22860"/>
            <wp:docPr id="351" name="图片 351" descr="局部截取_20260126_14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图片 351" descr="局部截取_20260126_141754"/>
                    <pic:cNvPicPr>
                      <a:picLocks noChangeAspect="1"/>
                    </pic:cNvPicPr>
                  </pic:nvPicPr>
                  <pic:blipFill>
                    <a:blip r:embed="rId40"/>
                    <a:stretch>
                      <a:fillRect/>
                    </a:stretch>
                  </pic:blipFill>
                  <pic:spPr>
                    <a:xfrm>
                      <a:off x="0" y="0"/>
                      <a:ext cx="8853805" cy="5545455"/>
                    </a:xfrm>
                    <a:prstGeom prst="rect">
                      <a:avLst/>
                    </a:prstGeom>
                    <a:ln>
                      <a:solidFill>
                        <a:schemeClr val="tx1"/>
                      </a:solidFill>
                    </a:ln>
                  </pic:spPr>
                </pic:pic>
              </a:graphicData>
            </a:graphic>
          </wp:inline>
        </w:drawing>
      </w:r>
      <w:r>
        <w:rPr>
          <w:color w:val="auto"/>
          <w:sz w:val="21"/>
        </w:rPr>
        <mc:AlternateContent>
          <mc:Choice Requires="wps">
            <w:drawing>
              <wp:anchor distT="0" distB="0" distL="114300" distR="114300" simplePos="0" relativeHeight="251828224" behindDoc="0" locked="0" layoutInCell="1" allowOverlap="1">
                <wp:simplePos x="0" y="0"/>
                <wp:positionH relativeFrom="column">
                  <wp:posOffset>224790</wp:posOffset>
                </wp:positionH>
                <wp:positionV relativeFrom="paragraph">
                  <wp:posOffset>4677410</wp:posOffset>
                </wp:positionV>
                <wp:extent cx="212725" cy="184785"/>
                <wp:effectExtent l="6350" t="6350" r="9525" b="6985"/>
                <wp:wrapNone/>
                <wp:docPr id="392" name="矩形 392"/>
                <wp:cNvGraphicFramePr/>
                <a:graphic xmlns:a="http://schemas.openxmlformats.org/drawingml/2006/main">
                  <a:graphicData uri="http://schemas.microsoft.com/office/word/2010/wordprocessingShape">
                    <wps:wsp>
                      <wps:cNvSpPr/>
                      <wps:spPr>
                        <a:xfrm>
                          <a:off x="0" y="0"/>
                          <a:ext cx="212725" cy="184785"/>
                        </a:xfrm>
                        <a:prstGeom prst="rect">
                          <a:avLst/>
                        </a:prstGeom>
                        <a:solidFill>
                          <a:srgbClr val="FFFF00">
                            <a:alpha val="50000"/>
                          </a:srgbClr>
                        </a:solidFill>
                        <a:ln w="12700">
                          <a:solidFill>
                            <a:srgbClr val="FFFF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7.7pt;margin-top:368.3pt;height:14.55pt;width:16.75pt;z-index:251828224;v-text-anchor:middle;mso-width-relative:page;mso-height-relative:page;" fillcolor="#FFFF00" filled="t" stroked="t" coordsize="21600,21600" o:gfxdata="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rAssitUAAAAJAQAADwAAAAAAAAABACAAAAAiAAAAZHJzL2Rvd25y&#10;ZXYueG1sUEsBAhQAFAAAAAgAh07iQF6+h4pzAgAAAQUAAA4AAAAAAAAAAQAgAAAAJAEAAGRycy9l&#10;Mm9Eb2MueG1sUEsFBgAAAAAGAAYAWQEAAAkGAAAAAA==&#10;">
                <v:fill on="t" opacity="32768f" focussize="0,0"/>
                <v:stroke weight="1pt" color="#FFFF00 [2404]" joinstyle="round"/>
                <v:imagedata o:title=""/>
                <o:lock v:ext="edit" aspectratio="f"/>
              </v:rect>
            </w:pict>
          </mc:Fallback>
        </mc:AlternateContent>
      </w:r>
      <w:r>
        <w:rPr>
          <w:color w:val="auto"/>
          <w:sz w:val="21"/>
        </w:rPr>
        <mc:AlternateContent>
          <mc:Choice Requires="wps">
            <w:drawing>
              <wp:anchor distT="0" distB="0" distL="114300" distR="114300" simplePos="0" relativeHeight="251830272" behindDoc="0" locked="0" layoutInCell="1" allowOverlap="1">
                <wp:simplePos x="0" y="0"/>
                <wp:positionH relativeFrom="column">
                  <wp:posOffset>207010</wp:posOffset>
                </wp:positionH>
                <wp:positionV relativeFrom="paragraph">
                  <wp:posOffset>4425950</wp:posOffset>
                </wp:positionV>
                <wp:extent cx="236220" cy="184785"/>
                <wp:effectExtent l="6350" t="6350" r="16510" b="6985"/>
                <wp:wrapNone/>
                <wp:docPr id="389" name="矩形 389"/>
                <wp:cNvGraphicFramePr/>
                <a:graphic xmlns:a="http://schemas.openxmlformats.org/drawingml/2006/main">
                  <a:graphicData uri="http://schemas.microsoft.com/office/word/2010/wordprocessingShape">
                    <wps:wsp>
                      <wps:cNvSpPr/>
                      <wps:spPr>
                        <a:xfrm>
                          <a:off x="0" y="0"/>
                          <a:ext cx="236220" cy="184785"/>
                        </a:xfrm>
                        <a:prstGeom prst="rect">
                          <a:avLst/>
                        </a:prstGeom>
                        <a:noFill/>
                        <a:ln w="12700">
                          <a:solidFill>
                            <a:srgbClr val="00B0F0"/>
                          </a:solidFill>
                          <a:prstDash val="dash"/>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6.3pt;margin-top:348.5pt;height:14.55pt;width:18.6pt;z-index:251830272;v-text-anchor:middle;mso-width-relative:page;mso-height-relative:page;" filled="f" stroked="t" coordsize="21600,21600" o:gfxdata="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9EAvA9gAAAAJAQAADwAAAAAAAAABACAAAAAiAAAAZHJzL2Rvd25yZXYueG1sUEsBAhQAFAAA&#10;AAgAh07iQIMzrY5hAgAAtgQAAA4AAAAAAAAAAQAgAAAAJwEAAGRycy9lMm9Eb2MueG1sUEsFBgAA&#10;AAAGAAYAWQEAAPoFAAAAAA==&#10;">
                <v:fill on="f" focussize="0,0"/>
                <v:stroke weight="1pt" color="#00B0F0 [2404]" joinstyle="round" dashstyle="dash"/>
                <v:imagedata o:title=""/>
                <o:lock v:ext="edit" aspectratio="f"/>
              </v:rect>
            </w:pict>
          </mc:Fallback>
        </mc:AlternateContent>
      </w:r>
      <w:r>
        <w:rPr>
          <w:color w:val="auto"/>
          <w:sz w:val="21"/>
        </w:rPr>
        <mc:AlternateContent>
          <mc:Choice Requires="wps">
            <w:drawing>
              <wp:anchor distT="0" distB="0" distL="114300" distR="114300" simplePos="0" relativeHeight="251829248" behindDoc="0" locked="0" layoutInCell="1" allowOverlap="1">
                <wp:simplePos x="0" y="0"/>
                <wp:positionH relativeFrom="column">
                  <wp:posOffset>215900</wp:posOffset>
                </wp:positionH>
                <wp:positionV relativeFrom="paragraph">
                  <wp:posOffset>4179570</wp:posOffset>
                </wp:positionV>
                <wp:extent cx="236220" cy="184785"/>
                <wp:effectExtent l="6350" t="6350" r="16510" b="6985"/>
                <wp:wrapNone/>
                <wp:docPr id="390" name="矩形 390"/>
                <wp:cNvGraphicFramePr/>
                <a:graphic xmlns:a="http://schemas.openxmlformats.org/drawingml/2006/main">
                  <a:graphicData uri="http://schemas.microsoft.com/office/word/2010/wordprocessingShape">
                    <wps:wsp>
                      <wps:cNvSpPr/>
                      <wps:spPr>
                        <a:xfrm>
                          <a:off x="0" y="0"/>
                          <a:ext cx="236220" cy="184785"/>
                        </a:xfrm>
                        <a:prstGeom prst="rect">
                          <a:avLst/>
                        </a:prstGeom>
                        <a:noFill/>
                        <a:ln w="12700">
                          <a:solidFill>
                            <a:srgbClr val="00B0F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7pt;margin-top:329.1pt;height:14.55pt;width:18.6pt;z-index:251829248;v-text-anchor:middle;mso-width-relative:page;mso-height-relative:page;" filled="f" stroked="t" coordsize="21600,21600" o:gfxdata="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GVHTsdcAAAAJAQAADwAAAAAAAAABACAAAAAiAAAAZHJzL2Rvd25yZXYueG1sUEsBAhQAFAAAAAgA&#10;h07iQKuTJftfAgAAtwQAAA4AAAAAAAAAAQAgAAAAJgEAAGRycy9lMm9Eb2MueG1sUEsFBgAAAAAG&#10;AAYAWQEAAPcFAAAAAA==&#10;">
                <v:fill on="f" focussize="0,0"/>
                <v:stroke weight="1pt" color="#00B0F0 [2404]" joinstyle="round"/>
                <v:imagedata o:title=""/>
                <o:lock v:ext="edit" aspectratio="f"/>
              </v:rect>
            </w:pict>
          </mc:Fallback>
        </mc:AlternateContent>
      </w:r>
      <w:r>
        <w:rPr>
          <w:color w:val="auto"/>
          <w:sz w:val="21"/>
        </w:rPr>
        <mc:AlternateContent>
          <mc:Choice Requires="wps">
            <w:drawing>
              <wp:anchor distT="0" distB="0" distL="114300" distR="114300" simplePos="0" relativeHeight="251827200" behindDoc="0" locked="0" layoutInCell="1" allowOverlap="1">
                <wp:simplePos x="0" y="0"/>
                <wp:positionH relativeFrom="column">
                  <wp:posOffset>226060</wp:posOffset>
                </wp:positionH>
                <wp:positionV relativeFrom="paragraph">
                  <wp:posOffset>3950970</wp:posOffset>
                </wp:positionV>
                <wp:extent cx="236220" cy="184785"/>
                <wp:effectExtent l="6350" t="6350" r="16510" b="6985"/>
                <wp:wrapNone/>
                <wp:docPr id="391" name="矩形 391"/>
                <wp:cNvGraphicFramePr/>
                <a:graphic xmlns:a="http://schemas.openxmlformats.org/drawingml/2006/main">
                  <a:graphicData uri="http://schemas.microsoft.com/office/word/2010/wordprocessingShape">
                    <wps:wsp>
                      <wps:cNvSpPr/>
                      <wps:spPr>
                        <a:xfrm>
                          <a:off x="0" y="0"/>
                          <a:ext cx="236220" cy="184785"/>
                        </a:xfrm>
                        <a:prstGeom prst="rect">
                          <a:avLst/>
                        </a:prstGeom>
                        <a:noFill/>
                        <a:ln w="1270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7.8pt;margin-top:311.1pt;height:14.55pt;width:18.6pt;z-index:251827200;v-text-anchor:middle;mso-width-relative:page;mso-height-relative:page;" filled="f" stroked="t" coordsize="21600,21600" o:gfxdata="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LeX&#10;c6HWAAAACQEAAA8AAAAAAAAAAQAgAAAAIgAAAGRycy9kb3ducmV2LnhtbFBLAQIUABQAAAAIAIdO&#10;4kCc6n1VXgIAALcEAAAOAAAAAAAAAAEAIAAAACUBAABkcnMvZTJvRG9jLnhtbFBLBQYAAAAABgAG&#10;AFkBAAD1BQAAAAA=&#10;">
                <v:fill on="f" focussize="0,0"/>
                <v:stroke weight="1pt" color="#FF0000 [2404]" joinstyle="round"/>
                <v:imagedata o:title=""/>
                <o:lock v:ext="edit" aspectratio="f"/>
              </v:rect>
            </w:pict>
          </mc:Fallback>
        </mc:AlternateContent>
      </w:r>
      <w:r>
        <w:rPr>
          <w:color w:val="auto"/>
          <w:sz w:val="28"/>
          <w:highlight w:val="none"/>
        </w:rPr>
        <mc:AlternateContent>
          <mc:Choice Requires="wps">
            <w:drawing>
              <wp:anchor distT="0" distB="0" distL="114300" distR="114300" simplePos="0" relativeHeight="251826176" behindDoc="0" locked="0" layoutInCell="1" allowOverlap="1">
                <wp:simplePos x="0" y="0"/>
                <wp:positionH relativeFrom="column">
                  <wp:posOffset>107950</wp:posOffset>
                </wp:positionH>
                <wp:positionV relativeFrom="paragraph">
                  <wp:posOffset>3691255</wp:posOffset>
                </wp:positionV>
                <wp:extent cx="1606550" cy="1711960"/>
                <wp:effectExtent l="5080" t="4445" r="19050" b="5715"/>
                <wp:wrapNone/>
                <wp:docPr id="393" name="矩形 393"/>
                <wp:cNvGraphicFramePr/>
                <a:graphic xmlns:a="http://schemas.openxmlformats.org/drawingml/2006/main">
                  <a:graphicData uri="http://schemas.microsoft.com/office/word/2010/wordprocessingShape">
                    <wps:wsp>
                      <wps:cNvSpPr/>
                      <wps:spPr>
                        <a:xfrm>
                          <a:off x="0" y="0"/>
                          <a:ext cx="1606550" cy="1711960"/>
                        </a:xfrm>
                        <a:prstGeom prst="rect">
                          <a:avLst/>
                        </a:prstGeom>
                        <a:solidFill>
                          <a:schemeClr val="bg1"/>
                        </a:solidFill>
                        <a:ln w="9525" cap="flat" cmpd="sng">
                          <a:solidFill>
                            <a:srgbClr val="000000"/>
                          </a:solidFill>
                          <a:prstDash val="solid"/>
                          <a:miter/>
                          <a:headEnd type="none" w="med" len="med"/>
                          <a:tailEnd type="none" w="med" len="med"/>
                        </a:ln>
                      </wps:spPr>
                      <wps:txbx>
                        <w:txbxContent>
                          <w:p w14:paraId="515A8186">
                            <w:pPr>
                              <w:jc w:val="center"/>
                              <w:rPr>
                                <w:rFonts w:hint="eastAsia" w:ascii="宋体" w:hAnsi="宋体" w:eastAsia="宋体" w:cs="宋体"/>
                                <w:b/>
                                <w:bCs/>
                                <w:sz w:val="21"/>
                                <w:szCs w:val="21"/>
                                <w:lang w:val="en-US" w:eastAsia="zh-CN"/>
                              </w:rPr>
                            </w:pPr>
                            <w:r>
                              <w:rPr>
                                <w:rFonts w:hint="eastAsia" w:ascii="宋体" w:hAnsi="宋体" w:eastAsia="宋体" w:cs="宋体"/>
                                <w:b/>
                                <w:bCs/>
                                <w:sz w:val="21"/>
                                <w:szCs w:val="21"/>
                                <w:lang w:val="en-US" w:eastAsia="zh-CN"/>
                              </w:rPr>
                              <w:t>图例</w:t>
                            </w:r>
                          </w:p>
                          <w:p w14:paraId="1FEF92E9">
                            <w:pPr>
                              <w:keepNext w:val="0"/>
                              <w:keepLines w:val="0"/>
                              <w:pageBreakBefore w:val="0"/>
                              <w:widowControl w:val="0"/>
                              <w:kinsoku/>
                              <w:wordWrap/>
                              <w:overflowPunct/>
                              <w:topLinePunct w:val="0"/>
                              <w:bidi w:val="0"/>
                              <w:adjustRightInd/>
                              <w:snapToGrid/>
                              <w:spacing w:line="240" w:lineRule="atLeast"/>
                              <w:ind w:firstLine="422" w:firstLineChars="200"/>
                              <w:textAlignment w:val="auto"/>
                              <w:rPr>
                                <w:rFonts w:hint="eastAsia" w:ascii="宋体" w:hAnsi="宋体" w:eastAsia="宋体" w:cs="宋体"/>
                                <w:b/>
                                <w:bCs/>
                                <w:color w:val="auto"/>
                                <w:kern w:val="2"/>
                                <w:sz w:val="21"/>
                                <w:szCs w:val="21"/>
                                <w:lang w:val="en-US" w:eastAsia="zh-CN" w:bidi="ar-SA"/>
                              </w:rPr>
                            </w:pPr>
                            <w:r>
                              <w:rPr>
                                <w:rFonts w:hint="eastAsia" w:ascii="宋体" w:hAnsi="宋体" w:eastAsia="宋体" w:cs="宋体"/>
                                <w:b/>
                                <w:bCs/>
                                <w:color w:val="auto"/>
                                <w:kern w:val="2"/>
                                <w:sz w:val="21"/>
                                <w:szCs w:val="21"/>
                                <w:lang w:val="en-US" w:eastAsia="zh-CN" w:bidi="ar-SA"/>
                              </w:rPr>
                              <w:t>：厂界</w:t>
                            </w:r>
                          </w:p>
                          <w:p w14:paraId="6DF6FEC8">
                            <w:pPr>
                              <w:pStyle w:val="16"/>
                              <w:keepNext w:val="0"/>
                              <w:keepLines w:val="0"/>
                              <w:pageBreakBefore w:val="0"/>
                              <w:widowControl w:val="0"/>
                              <w:kinsoku/>
                              <w:wordWrap/>
                              <w:overflowPunct/>
                              <w:topLinePunct w:val="0"/>
                              <w:bidi w:val="0"/>
                              <w:snapToGrid/>
                              <w:spacing w:line="240" w:lineRule="atLeast"/>
                              <w:ind w:left="0" w:leftChars="0" w:firstLine="422" w:firstLineChars="200"/>
                              <w:textAlignment w:val="auto"/>
                              <w:rPr>
                                <w:rFonts w:hint="default"/>
                                <w:lang w:val="en-US" w:eastAsia="zh-CN"/>
                              </w:rPr>
                            </w:pPr>
                            <w:r>
                              <w:rPr>
                                <w:rFonts w:hint="eastAsia" w:ascii="宋体" w:hAnsi="宋体" w:eastAsia="宋体" w:cs="宋体"/>
                                <w:b/>
                                <w:bCs/>
                                <w:color w:val="auto"/>
                                <w:kern w:val="2"/>
                                <w:sz w:val="21"/>
                                <w:szCs w:val="21"/>
                                <w:lang w:val="en-US" w:eastAsia="zh-CN" w:bidi="ar-SA"/>
                              </w:rPr>
                              <w:t>：生产车间</w:t>
                            </w:r>
                          </w:p>
                          <w:p w14:paraId="61A9AE0E">
                            <w:pPr>
                              <w:pStyle w:val="16"/>
                              <w:keepNext w:val="0"/>
                              <w:keepLines w:val="0"/>
                              <w:pageBreakBefore w:val="0"/>
                              <w:widowControl w:val="0"/>
                              <w:kinsoku/>
                              <w:wordWrap/>
                              <w:overflowPunct/>
                              <w:topLinePunct w:val="0"/>
                              <w:bidi w:val="0"/>
                              <w:snapToGrid/>
                              <w:spacing w:line="240" w:lineRule="atLeast"/>
                              <w:ind w:left="0" w:leftChars="0" w:firstLine="422" w:firstLineChars="200"/>
                              <w:textAlignment w:val="auto"/>
                              <w:rPr>
                                <w:rFonts w:hint="eastAsia" w:cs="宋体"/>
                                <w:b/>
                                <w:bCs/>
                                <w:color w:val="auto"/>
                                <w:kern w:val="2"/>
                                <w:sz w:val="21"/>
                                <w:szCs w:val="21"/>
                                <w:lang w:val="en-US" w:eastAsia="zh-CN" w:bidi="ar-SA"/>
                              </w:rPr>
                            </w:pPr>
                            <w:r>
                              <w:rPr>
                                <w:rFonts w:hint="eastAsia" w:ascii="宋体" w:hAnsi="宋体" w:eastAsia="宋体" w:cs="宋体"/>
                                <w:b/>
                                <w:bCs/>
                                <w:color w:val="auto"/>
                                <w:kern w:val="2"/>
                                <w:sz w:val="21"/>
                                <w:szCs w:val="21"/>
                                <w:lang w:val="en-US" w:eastAsia="zh-CN" w:bidi="ar-SA"/>
                              </w:rPr>
                              <w:t>：</w:t>
                            </w:r>
                            <w:r>
                              <w:rPr>
                                <w:rFonts w:hint="eastAsia" w:cs="宋体"/>
                                <w:b/>
                                <w:bCs/>
                                <w:color w:val="auto"/>
                                <w:kern w:val="2"/>
                                <w:sz w:val="21"/>
                                <w:szCs w:val="21"/>
                                <w:lang w:val="en-US" w:eastAsia="zh-CN" w:bidi="ar-SA"/>
                              </w:rPr>
                              <w:t>成品堆放区</w:t>
                            </w:r>
                          </w:p>
                          <w:p w14:paraId="32336EF8">
                            <w:pPr>
                              <w:keepNext w:val="0"/>
                              <w:keepLines w:val="0"/>
                              <w:pageBreakBefore w:val="0"/>
                              <w:widowControl w:val="0"/>
                              <w:kinsoku/>
                              <w:wordWrap/>
                              <w:overflowPunct/>
                              <w:topLinePunct w:val="0"/>
                              <w:bidi w:val="0"/>
                              <w:adjustRightInd/>
                              <w:snapToGrid/>
                              <w:spacing w:line="240" w:lineRule="atLeast"/>
                              <w:ind w:firstLine="422" w:firstLineChars="200"/>
                              <w:textAlignment w:val="auto"/>
                              <w:rPr>
                                <w:rFonts w:hint="default" w:ascii="宋体" w:hAnsi="宋体" w:eastAsia="宋体" w:cs="宋体"/>
                                <w:b/>
                                <w:bCs/>
                                <w:color w:val="auto"/>
                                <w:kern w:val="2"/>
                                <w:sz w:val="21"/>
                                <w:szCs w:val="21"/>
                                <w:lang w:val="en-US" w:eastAsia="zh-CN" w:bidi="ar-SA"/>
                              </w:rPr>
                            </w:pPr>
                            <w:r>
                              <w:rPr>
                                <w:rFonts w:hint="eastAsia" w:ascii="宋体" w:hAnsi="宋体" w:eastAsia="宋体" w:cs="宋体"/>
                                <w:b/>
                                <w:bCs/>
                                <w:color w:val="auto"/>
                                <w:kern w:val="2"/>
                                <w:sz w:val="21"/>
                                <w:szCs w:val="21"/>
                                <w:lang w:val="en-US" w:eastAsia="zh-CN" w:bidi="ar-SA"/>
                              </w:rPr>
                              <w:t>：重点防渗区</w:t>
                            </w:r>
                          </w:p>
                          <w:p w14:paraId="275D0EAB">
                            <w:pPr>
                              <w:pStyle w:val="16"/>
                              <w:keepNext w:val="0"/>
                              <w:keepLines w:val="0"/>
                              <w:pageBreakBefore w:val="0"/>
                              <w:widowControl w:val="0"/>
                              <w:kinsoku/>
                              <w:wordWrap/>
                              <w:overflowPunct/>
                              <w:topLinePunct w:val="0"/>
                              <w:bidi w:val="0"/>
                              <w:snapToGrid/>
                              <w:spacing w:line="240" w:lineRule="atLeast"/>
                              <w:ind w:left="0" w:leftChars="0" w:firstLine="422" w:firstLineChars="200"/>
                              <w:textAlignment w:val="auto"/>
                              <w:rPr>
                                <w:rFonts w:hint="default"/>
                                <w:lang w:val="en-US" w:eastAsia="zh-CN"/>
                              </w:rPr>
                            </w:pPr>
                            <w:r>
                              <w:rPr>
                                <w:rFonts w:hint="eastAsia" w:ascii="宋体" w:hAnsi="宋体" w:eastAsia="宋体" w:cs="宋体"/>
                                <w:b/>
                                <w:bCs/>
                                <w:color w:val="auto"/>
                                <w:kern w:val="2"/>
                                <w:sz w:val="21"/>
                                <w:szCs w:val="21"/>
                                <w:lang w:val="en-US" w:eastAsia="zh-CN" w:bidi="ar-SA"/>
                              </w:rPr>
                              <w:t>：一般防渗区</w:t>
                            </w:r>
                          </w:p>
                          <w:p w14:paraId="6AAC7024">
                            <w:pPr>
                              <w:pStyle w:val="16"/>
                              <w:keepNext w:val="0"/>
                              <w:keepLines w:val="0"/>
                              <w:pageBreakBefore w:val="0"/>
                              <w:widowControl w:val="0"/>
                              <w:kinsoku/>
                              <w:wordWrap/>
                              <w:overflowPunct/>
                              <w:topLinePunct w:val="0"/>
                              <w:bidi w:val="0"/>
                              <w:snapToGrid/>
                              <w:spacing w:line="240" w:lineRule="atLeast"/>
                              <w:ind w:left="0" w:leftChars="0" w:firstLine="422" w:firstLineChars="200"/>
                              <w:textAlignment w:val="auto"/>
                              <w:rPr>
                                <w:rFonts w:hint="default" w:ascii="宋体" w:hAnsi="宋体" w:eastAsia="宋体" w:cs="宋体"/>
                                <w:b/>
                                <w:bCs/>
                                <w:color w:val="auto"/>
                                <w:kern w:val="2"/>
                                <w:sz w:val="21"/>
                                <w:szCs w:val="21"/>
                                <w:lang w:val="en-US" w:eastAsia="zh-CN" w:bidi="ar-SA"/>
                              </w:rPr>
                            </w:pPr>
                            <w:r>
                              <w:rPr>
                                <w:rFonts w:hint="eastAsia" w:ascii="宋体" w:hAnsi="宋体" w:eastAsia="宋体" w:cs="宋体"/>
                                <w:b/>
                                <w:bCs/>
                                <w:color w:val="auto"/>
                                <w:kern w:val="2"/>
                                <w:sz w:val="21"/>
                                <w:szCs w:val="21"/>
                                <w:lang w:val="en-US" w:eastAsia="zh-CN" w:bidi="ar-SA"/>
                              </w:rPr>
                              <w:t>：简单防渗区</w:t>
                            </w:r>
                          </w:p>
                          <w:p w14:paraId="6837951D">
                            <w:pPr>
                              <w:pStyle w:val="16"/>
                              <w:keepNext w:val="0"/>
                              <w:keepLines w:val="0"/>
                              <w:pageBreakBefore w:val="0"/>
                              <w:widowControl w:val="0"/>
                              <w:kinsoku/>
                              <w:wordWrap/>
                              <w:overflowPunct/>
                              <w:topLinePunct w:val="0"/>
                              <w:bidi w:val="0"/>
                              <w:snapToGrid/>
                              <w:spacing w:line="240" w:lineRule="atLeast"/>
                              <w:ind w:left="0" w:leftChars="0" w:firstLine="422" w:firstLineChars="200"/>
                              <w:textAlignment w:val="auto"/>
                              <w:rPr>
                                <w:rFonts w:hint="default" w:cs="宋体"/>
                                <w:b/>
                                <w:bCs/>
                                <w:color w:val="auto"/>
                                <w:kern w:val="2"/>
                                <w:sz w:val="21"/>
                                <w:szCs w:val="21"/>
                                <w:lang w:val="en-US" w:eastAsia="zh-CN" w:bidi="ar-SA"/>
                              </w:rPr>
                            </w:pPr>
                          </w:p>
                        </w:txbxContent>
                      </wps:txbx>
                      <wps:bodyPr upright="1"/>
                    </wps:wsp>
                  </a:graphicData>
                </a:graphic>
              </wp:anchor>
            </w:drawing>
          </mc:Choice>
          <mc:Fallback>
            <w:pict>
              <v:rect id="_x0000_s1026" o:spid="_x0000_s1026" o:spt="1" style="position:absolute;left:0pt;margin-left:8.5pt;margin-top:290.65pt;height:134.8pt;width:126.5pt;z-index:251826176;mso-width-relative:page;mso-height-relative:page;" fillcolor="#FFFFFF [3212]" filled="t" stroked="t" coordsize="21600,21600" o:gfxdata="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hhW3F2AAAAAoBAAAPAAAAAAAAAAEAIAAAACIAAABk&#10;cnMvZG93bnJldi54bWxQSwECFAAUAAAACACHTuJAu8tFBwYCAAAuBAAADgAAAAAAAAABACAAAAAn&#10;AQAAZHJzL2Uyb0RvYy54bWxQSwUGAAAAAAYABgBZAQAAnwUAAAAA&#10;">
                <v:fill on="t" focussize="0,0"/>
                <v:stroke color="#000000" joinstyle="miter"/>
                <v:imagedata o:title=""/>
                <o:lock v:ext="edit" aspectratio="f"/>
                <v:textbox>
                  <w:txbxContent>
                    <w:p w14:paraId="515A8186">
                      <w:pPr>
                        <w:jc w:val="center"/>
                        <w:rPr>
                          <w:rFonts w:hint="eastAsia" w:ascii="宋体" w:hAnsi="宋体" w:eastAsia="宋体" w:cs="宋体"/>
                          <w:b/>
                          <w:bCs/>
                          <w:sz w:val="21"/>
                          <w:szCs w:val="21"/>
                          <w:lang w:val="en-US" w:eastAsia="zh-CN"/>
                        </w:rPr>
                      </w:pPr>
                      <w:r>
                        <w:rPr>
                          <w:rFonts w:hint="eastAsia" w:ascii="宋体" w:hAnsi="宋体" w:eastAsia="宋体" w:cs="宋体"/>
                          <w:b/>
                          <w:bCs/>
                          <w:sz w:val="21"/>
                          <w:szCs w:val="21"/>
                          <w:lang w:val="en-US" w:eastAsia="zh-CN"/>
                        </w:rPr>
                        <w:t>图例</w:t>
                      </w:r>
                    </w:p>
                    <w:p w14:paraId="1FEF92E9">
                      <w:pPr>
                        <w:keepNext w:val="0"/>
                        <w:keepLines w:val="0"/>
                        <w:pageBreakBefore w:val="0"/>
                        <w:widowControl w:val="0"/>
                        <w:kinsoku/>
                        <w:wordWrap/>
                        <w:overflowPunct/>
                        <w:topLinePunct w:val="0"/>
                        <w:bidi w:val="0"/>
                        <w:adjustRightInd/>
                        <w:snapToGrid/>
                        <w:spacing w:line="240" w:lineRule="atLeast"/>
                        <w:ind w:firstLine="422" w:firstLineChars="200"/>
                        <w:textAlignment w:val="auto"/>
                        <w:rPr>
                          <w:rFonts w:hint="eastAsia" w:ascii="宋体" w:hAnsi="宋体" w:eastAsia="宋体" w:cs="宋体"/>
                          <w:b/>
                          <w:bCs/>
                          <w:color w:val="auto"/>
                          <w:kern w:val="2"/>
                          <w:sz w:val="21"/>
                          <w:szCs w:val="21"/>
                          <w:lang w:val="en-US" w:eastAsia="zh-CN" w:bidi="ar-SA"/>
                        </w:rPr>
                      </w:pPr>
                      <w:r>
                        <w:rPr>
                          <w:rFonts w:hint="eastAsia" w:ascii="宋体" w:hAnsi="宋体" w:eastAsia="宋体" w:cs="宋体"/>
                          <w:b/>
                          <w:bCs/>
                          <w:color w:val="auto"/>
                          <w:kern w:val="2"/>
                          <w:sz w:val="21"/>
                          <w:szCs w:val="21"/>
                          <w:lang w:val="en-US" w:eastAsia="zh-CN" w:bidi="ar-SA"/>
                        </w:rPr>
                        <w:t>：厂界</w:t>
                      </w:r>
                    </w:p>
                    <w:p w14:paraId="6DF6FEC8">
                      <w:pPr>
                        <w:pStyle w:val="16"/>
                        <w:keepNext w:val="0"/>
                        <w:keepLines w:val="0"/>
                        <w:pageBreakBefore w:val="0"/>
                        <w:widowControl w:val="0"/>
                        <w:kinsoku/>
                        <w:wordWrap/>
                        <w:overflowPunct/>
                        <w:topLinePunct w:val="0"/>
                        <w:bidi w:val="0"/>
                        <w:snapToGrid/>
                        <w:spacing w:line="240" w:lineRule="atLeast"/>
                        <w:ind w:left="0" w:leftChars="0" w:firstLine="422" w:firstLineChars="200"/>
                        <w:textAlignment w:val="auto"/>
                        <w:rPr>
                          <w:rFonts w:hint="default"/>
                          <w:lang w:val="en-US" w:eastAsia="zh-CN"/>
                        </w:rPr>
                      </w:pPr>
                      <w:r>
                        <w:rPr>
                          <w:rFonts w:hint="eastAsia" w:ascii="宋体" w:hAnsi="宋体" w:eastAsia="宋体" w:cs="宋体"/>
                          <w:b/>
                          <w:bCs/>
                          <w:color w:val="auto"/>
                          <w:kern w:val="2"/>
                          <w:sz w:val="21"/>
                          <w:szCs w:val="21"/>
                          <w:lang w:val="en-US" w:eastAsia="zh-CN" w:bidi="ar-SA"/>
                        </w:rPr>
                        <w:t>：生产车间</w:t>
                      </w:r>
                    </w:p>
                    <w:p w14:paraId="61A9AE0E">
                      <w:pPr>
                        <w:pStyle w:val="16"/>
                        <w:keepNext w:val="0"/>
                        <w:keepLines w:val="0"/>
                        <w:pageBreakBefore w:val="0"/>
                        <w:widowControl w:val="0"/>
                        <w:kinsoku/>
                        <w:wordWrap/>
                        <w:overflowPunct/>
                        <w:topLinePunct w:val="0"/>
                        <w:bidi w:val="0"/>
                        <w:snapToGrid/>
                        <w:spacing w:line="240" w:lineRule="atLeast"/>
                        <w:ind w:left="0" w:leftChars="0" w:firstLine="422" w:firstLineChars="200"/>
                        <w:textAlignment w:val="auto"/>
                        <w:rPr>
                          <w:rFonts w:hint="eastAsia" w:cs="宋体"/>
                          <w:b/>
                          <w:bCs/>
                          <w:color w:val="auto"/>
                          <w:kern w:val="2"/>
                          <w:sz w:val="21"/>
                          <w:szCs w:val="21"/>
                          <w:lang w:val="en-US" w:eastAsia="zh-CN" w:bidi="ar-SA"/>
                        </w:rPr>
                      </w:pPr>
                      <w:r>
                        <w:rPr>
                          <w:rFonts w:hint="eastAsia" w:ascii="宋体" w:hAnsi="宋体" w:eastAsia="宋体" w:cs="宋体"/>
                          <w:b/>
                          <w:bCs/>
                          <w:color w:val="auto"/>
                          <w:kern w:val="2"/>
                          <w:sz w:val="21"/>
                          <w:szCs w:val="21"/>
                          <w:lang w:val="en-US" w:eastAsia="zh-CN" w:bidi="ar-SA"/>
                        </w:rPr>
                        <w:t>：</w:t>
                      </w:r>
                      <w:r>
                        <w:rPr>
                          <w:rFonts w:hint="eastAsia" w:cs="宋体"/>
                          <w:b/>
                          <w:bCs/>
                          <w:color w:val="auto"/>
                          <w:kern w:val="2"/>
                          <w:sz w:val="21"/>
                          <w:szCs w:val="21"/>
                          <w:lang w:val="en-US" w:eastAsia="zh-CN" w:bidi="ar-SA"/>
                        </w:rPr>
                        <w:t>成品堆放区</w:t>
                      </w:r>
                    </w:p>
                    <w:p w14:paraId="32336EF8">
                      <w:pPr>
                        <w:keepNext w:val="0"/>
                        <w:keepLines w:val="0"/>
                        <w:pageBreakBefore w:val="0"/>
                        <w:widowControl w:val="0"/>
                        <w:kinsoku/>
                        <w:wordWrap/>
                        <w:overflowPunct/>
                        <w:topLinePunct w:val="0"/>
                        <w:bidi w:val="0"/>
                        <w:adjustRightInd/>
                        <w:snapToGrid/>
                        <w:spacing w:line="240" w:lineRule="atLeast"/>
                        <w:ind w:firstLine="422" w:firstLineChars="200"/>
                        <w:textAlignment w:val="auto"/>
                        <w:rPr>
                          <w:rFonts w:hint="default" w:ascii="宋体" w:hAnsi="宋体" w:eastAsia="宋体" w:cs="宋体"/>
                          <w:b/>
                          <w:bCs/>
                          <w:color w:val="auto"/>
                          <w:kern w:val="2"/>
                          <w:sz w:val="21"/>
                          <w:szCs w:val="21"/>
                          <w:lang w:val="en-US" w:eastAsia="zh-CN" w:bidi="ar-SA"/>
                        </w:rPr>
                      </w:pPr>
                      <w:r>
                        <w:rPr>
                          <w:rFonts w:hint="eastAsia" w:ascii="宋体" w:hAnsi="宋体" w:eastAsia="宋体" w:cs="宋体"/>
                          <w:b/>
                          <w:bCs/>
                          <w:color w:val="auto"/>
                          <w:kern w:val="2"/>
                          <w:sz w:val="21"/>
                          <w:szCs w:val="21"/>
                          <w:lang w:val="en-US" w:eastAsia="zh-CN" w:bidi="ar-SA"/>
                        </w:rPr>
                        <w:t>：重点防渗区</w:t>
                      </w:r>
                    </w:p>
                    <w:p w14:paraId="275D0EAB">
                      <w:pPr>
                        <w:pStyle w:val="16"/>
                        <w:keepNext w:val="0"/>
                        <w:keepLines w:val="0"/>
                        <w:pageBreakBefore w:val="0"/>
                        <w:widowControl w:val="0"/>
                        <w:kinsoku/>
                        <w:wordWrap/>
                        <w:overflowPunct/>
                        <w:topLinePunct w:val="0"/>
                        <w:bidi w:val="0"/>
                        <w:snapToGrid/>
                        <w:spacing w:line="240" w:lineRule="atLeast"/>
                        <w:ind w:left="0" w:leftChars="0" w:firstLine="422" w:firstLineChars="200"/>
                        <w:textAlignment w:val="auto"/>
                        <w:rPr>
                          <w:rFonts w:hint="default"/>
                          <w:lang w:val="en-US" w:eastAsia="zh-CN"/>
                        </w:rPr>
                      </w:pPr>
                      <w:r>
                        <w:rPr>
                          <w:rFonts w:hint="eastAsia" w:ascii="宋体" w:hAnsi="宋体" w:eastAsia="宋体" w:cs="宋体"/>
                          <w:b/>
                          <w:bCs/>
                          <w:color w:val="auto"/>
                          <w:kern w:val="2"/>
                          <w:sz w:val="21"/>
                          <w:szCs w:val="21"/>
                          <w:lang w:val="en-US" w:eastAsia="zh-CN" w:bidi="ar-SA"/>
                        </w:rPr>
                        <w:t>：一般防渗区</w:t>
                      </w:r>
                    </w:p>
                    <w:p w14:paraId="6AAC7024">
                      <w:pPr>
                        <w:pStyle w:val="16"/>
                        <w:keepNext w:val="0"/>
                        <w:keepLines w:val="0"/>
                        <w:pageBreakBefore w:val="0"/>
                        <w:widowControl w:val="0"/>
                        <w:kinsoku/>
                        <w:wordWrap/>
                        <w:overflowPunct/>
                        <w:topLinePunct w:val="0"/>
                        <w:bidi w:val="0"/>
                        <w:snapToGrid/>
                        <w:spacing w:line="240" w:lineRule="atLeast"/>
                        <w:ind w:left="0" w:leftChars="0" w:firstLine="422" w:firstLineChars="200"/>
                        <w:textAlignment w:val="auto"/>
                        <w:rPr>
                          <w:rFonts w:hint="default" w:ascii="宋体" w:hAnsi="宋体" w:eastAsia="宋体" w:cs="宋体"/>
                          <w:b/>
                          <w:bCs/>
                          <w:color w:val="auto"/>
                          <w:kern w:val="2"/>
                          <w:sz w:val="21"/>
                          <w:szCs w:val="21"/>
                          <w:lang w:val="en-US" w:eastAsia="zh-CN" w:bidi="ar-SA"/>
                        </w:rPr>
                      </w:pPr>
                      <w:r>
                        <w:rPr>
                          <w:rFonts w:hint="eastAsia" w:ascii="宋体" w:hAnsi="宋体" w:eastAsia="宋体" w:cs="宋体"/>
                          <w:b/>
                          <w:bCs/>
                          <w:color w:val="auto"/>
                          <w:kern w:val="2"/>
                          <w:sz w:val="21"/>
                          <w:szCs w:val="21"/>
                          <w:lang w:val="en-US" w:eastAsia="zh-CN" w:bidi="ar-SA"/>
                        </w:rPr>
                        <w:t>：简单防渗区</w:t>
                      </w:r>
                    </w:p>
                    <w:p w14:paraId="6837951D">
                      <w:pPr>
                        <w:pStyle w:val="16"/>
                        <w:keepNext w:val="0"/>
                        <w:keepLines w:val="0"/>
                        <w:pageBreakBefore w:val="0"/>
                        <w:widowControl w:val="0"/>
                        <w:kinsoku/>
                        <w:wordWrap/>
                        <w:overflowPunct/>
                        <w:topLinePunct w:val="0"/>
                        <w:bidi w:val="0"/>
                        <w:snapToGrid/>
                        <w:spacing w:line="240" w:lineRule="atLeast"/>
                        <w:ind w:left="0" w:leftChars="0" w:firstLine="422" w:firstLineChars="200"/>
                        <w:textAlignment w:val="auto"/>
                        <w:rPr>
                          <w:rFonts w:hint="default" w:cs="宋体"/>
                          <w:b/>
                          <w:bCs/>
                          <w:color w:val="auto"/>
                          <w:kern w:val="2"/>
                          <w:sz w:val="21"/>
                          <w:szCs w:val="21"/>
                          <w:lang w:val="en-US" w:eastAsia="zh-CN" w:bidi="ar-SA"/>
                        </w:rPr>
                      </w:pPr>
                    </w:p>
                  </w:txbxContent>
                </v:textbox>
              </v:rect>
            </w:pict>
          </mc:Fallback>
        </mc:AlternateContent>
      </w:r>
      <w:r>
        <w:rPr>
          <w:color w:val="auto"/>
          <w:sz w:val="21"/>
        </w:rPr>
        <mc:AlternateContent>
          <mc:Choice Requires="wps">
            <w:drawing>
              <wp:anchor distT="0" distB="0" distL="114300" distR="114300" simplePos="0" relativeHeight="251824128" behindDoc="0" locked="0" layoutInCell="1" allowOverlap="1">
                <wp:simplePos x="0" y="0"/>
                <wp:positionH relativeFrom="column">
                  <wp:posOffset>3745230</wp:posOffset>
                </wp:positionH>
                <wp:positionV relativeFrom="paragraph">
                  <wp:posOffset>1339215</wp:posOffset>
                </wp:positionV>
                <wp:extent cx="241935" cy="466090"/>
                <wp:effectExtent l="6350" t="6350" r="10795" b="15240"/>
                <wp:wrapNone/>
                <wp:docPr id="387" name="矩形 387"/>
                <wp:cNvGraphicFramePr/>
                <a:graphic xmlns:a="http://schemas.openxmlformats.org/drawingml/2006/main">
                  <a:graphicData uri="http://schemas.microsoft.com/office/word/2010/wordprocessingShape">
                    <wps:wsp>
                      <wps:cNvSpPr/>
                      <wps:spPr>
                        <a:xfrm>
                          <a:off x="0" y="0"/>
                          <a:ext cx="241935" cy="466090"/>
                        </a:xfrm>
                        <a:prstGeom prst="rect">
                          <a:avLst/>
                        </a:prstGeom>
                        <a:solidFill>
                          <a:srgbClr val="00B050">
                            <a:alpha val="40000"/>
                          </a:srgbClr>
                        </a:solidFill>
                        <a:ln w="12700">
                          <a:solidFill>
                            <a:srgbClr val="00B05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94.9pt;margin-top:105.45pt;height:36.7pt;width:19.05pt;z-index:251824128;v-text-anchor:middle;mso-width-relative:page;mso-height-relative:page;" fillcolor="#00B050" filled="t" stroked="t" coordsize="21600,21600" o:gfxdata="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CLnzvNsAAAALAQAADwAAAAAAAAABACAAAAAiAAAAZHJz&#10;L2Rvd25yZXYueG1sUEsBAhQAFAAAAAgAh07iQPs0EdNzAgAAAQUAAA4AAAAAAAAAAQAgAAAAKgEA&#10;AGRycy9lMm9Eb2MueG1sUEsFBgAAAAAGAAYAWQEAAA8GAAAAAA==&#10;">
                <v:fill on="t" opacity="26214f" focussize="0,0"/>
                <v:stroke weight="1pt" color="#00B050 [2404]" joinstyle="round"/>
                <v:imagedata o:title=""/>
                <o:lock v:ext="edit" aspectratio="f"/>
              </v:rect>
            </w:pict>
          </mc:Fallback>
        </mc:AlternateContent>
      </w:r>
      <w:r>
        <w:rPr>
          <w:color w:val="auto"/>
          <w:sz w:val="24"/>
        </w:rPr>
        <mc:AlternateContent>
          <mc:Choice Requires="wps">
            <w:drawing>
              <wp:anchor distT="0" distB="0" distL="114300" distR="114300" simplePos="0" relativeHeight="251796480" behindDoc="0" locked="0" layoutInCell="1" allowOverlap="1">
                <wp:simplePos x="0" y="0"/>
                <wp:positionH relativeFrom="column">
                  <wp:posOffset>3221990</wp:posOffset>
                </wp:positionH>
                <wp:positionV relativeFrom="paragraph">
                  <wp:posOffset>539115</wp:posOffset>
                </wp:positionV>
                <wp:extent cx="190500" cy="497205"/>
                <wp:effectExtent l="13970" t="13970" r="24130" b="22225"/>
                <wp:wrapNone/>
                <wp:docPr id="355" name="上下箭头 355"/>
                <wp:cNvGraphicFramePr/>
                <a:graphic xmlns:a="http://schemas.openxmlformats.org/drawingml/2006/main">
                  <a:graphicData uri="http://schemas.microsoft.com/office/word/2010/wordprocessingShape">
                    <wps:wsp>
                      <wps:cNvSpPr/>
                      <wps:spPr>
                        <a:xfrm rot="10800000">
                          <a:off x="0" y="0"/>
                          <a:ext cx="190500" cy="497205"/>
                        </a:xfrm>
                        <a:prstGeom prst="upDownArrow">
                          <a:avLst/>
                        </a:prstGeom>
                        <a:noFill/>
                        <a:ln w="28575">
                          <a:solidFill>
                            <a:srgbClr val="00B05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70" type="#_x0000_t70" style="position:absolute;left:0pt;margin-left:253.7pt;margin-top:42.45pt;height:39.15pt;width:15pt;rotation:11796480f;z-index:251796480;v-text-anchor:middle;mso-width-relative:page;mso-height-relative:page;" filled="f" stroked="t" coordsize="21600,21600" o:gfxdata="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&#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DK+kJ3XAAAACgEAAA8AAAAAAAAAAQAgAAAAIgAAAGRy&#10;cy9kb3ducmV2LnhtbFBLAQIUABQAAAAIAIdO4kBwIUlUeAIAANMEAAAOAAAAAAAAAAEAIAAAACYB&#10;AABkcnMvZTJvRG9jLnhtbFBLBQYAAAAABgAGAFkBAAAQBgAAAAA=&#10;" adj="5400,4137">
                <v:fill on="f" focussize="0,0"/>
                <v:stroke weight="2.25pt" color="#00B050 [2404]" joinstyle="round"/>
                <v:imagedata o:title=""/>
                <o:lock v:ext="edit" aspectratio="f"/>
              </v:shape>
            </w:pict>
          </mc:Fallback>
        </mc:AlternateContent>
      </w:r>
      <w:r>
        <w:rPr>
          <w:color w:val="auto"/>
        </w:rPr>
        <mc:AlternateContent>
          <mc:Choice Requires="wps">
            <w:drawing>
              <wp:anchor distT="0" distB="0" distL="114300" distR="114300" simplePos="0" relativeHeight="251795456" behindDoc="0" locked="0" layoutInCell="1" allowOverlap="1">
                <wp:simplePos x="0" y="0"/>
                <wp:positionH relativeFrom="column">
                  <wp:posOffset>5292725</wp:posOffset>
                </wp:positionH>
                <wp:positionV relativeFrom="paragraph">
                  <wp:posOffset>4398010</wp:posOffset>
                </wp:positionV>
                <wp:extent cx="823595" cy="467995"/>
                <wp:effectExtent l="0" t="0" r="0" b="0"/>
                <wp:wrapNone/>
                <wp:docPr id="356" name="矩形 356"/>
                <wp:cNvGraphicFramePr/>
                <a:graphic xmlns:a="http://schemas.openxmlformats.org/drawingml/2006/main">
                  <a:graphicData uri="http://schemas.microsoft.com/office/word/2010/wordprocessingShape">
                    <wps:wsp>
                      <wps:cNvSpPr/>
                      <wps:spPr>
                        <a:xfrm>
                          <a:off x="0" y="0"/>
                          <a:ext cx="823595" cy="467995"/>
                        </a:xfrm>
                        <a:prstGeom prst="rect">
                          <a:avLst/>
                        </a:prstGeom>
                        <a:noFill/>
                        <a:ln w="15875">
                          <a:noFill/>
                        </a:ln>
                      </wps:spPr>
                      <wps:txbx>
                        <w:txbxContent>
                          <w:p w14:paraId="0AC43CC4">
                            <w:pPr>
                              <w:rPr>
                                <w:rFonts w:hint="default"/>
                                <w:b/>
                                <w:bCs/>
                                <w:color w:val="FF0000"/>
                                <w:sz w:val="18"/>
                                <w:szCs w:val="21"/>
                                <w:lang w:val="en-US" w:eastAsia="zh-CN"/>
                              </w:rPr>
                            </w:pPr>
                            <w:r>
                              <w:rPr>
                                <w:rFonts w:hint="eastAsia"/>
                                <w:b/>
                                <w:bCs/>
                                <w:color w:val="FF0000"/>
                                <w:sz w:val="18"/>
                                <w:szCs w:val="21"/>
                                <w:lang w:val="en-US" w:eastAsia="zh-CN"/>
                              </w:rPr>
                              <w:t>厂区大门</w:t>
                            </w:r>
                          </w:p>
                        </w:txbxContent>
                      </wps:txbx>
                      <wps:bodyPr upright="1"/>
                    </wps:wsp>
                  </a:graphicData>
                </a:graphic>
              </wp:anchor>
            </w:drawing>
          </mc:Choice>
          <mc:Fallback>
            <w:pict>
              <v:rect id="_x0000_s1026" o:spid="_x0000_s1026" o:spt="1" style="position:absolute;left:0pt;margin-left:416.75pt;margin-top:346.3pt;height:36.85pt;width:64.85pt;z-index:251795456;mso-width-relative:page;mso-height-relative:page;" filled="f" stroked="f" coordsize="21600,21600" o:gfxdata="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K91&#10;aqXbAAAACwEAAA8AAAAAAAAAAQAgAAAAIgAAAGRycy9kb3ducmV2LnhtbFBLAQIUABQAAAAIAIdO&#10;4kAD4jW6rgEAAE4DAAAOAAAAAAAAAAEAIAAAACoBAABkcnMvZTJvRG9jLnhtbFBLBQYAAAAABgAG&#10;AFkBAABKBQAAAAA=&#10;">
                <v:fill on="f" focussize="0,0"/>
                <v:stroke on="f" weight="1.25pt"/>
                <v:imagedata o:title=""/>
                <o:lock v:ext="edit" aspectratio="f"/>
                <v:textbox>
                  <w:txbxContent>
                    <w:p w14:paraId="0AC43CC4">
                      <w:pPr>
                        <w:rPr>
                          <w:rFonts w:hint="default"/>
                          <w:b/>
                          <w:bCs/>
                          <w:color w:val="FF0000"/>
                          <w:sz w:val="18"/>
                          <w:szCs w:val="21"/>
                          <w:lang w:val="en-US" w:eastAsia="zh-CN"/>
                        </w:rPr>
                      </w:pPr>
                      <w:r>
                        <w:rPr>
                          <w:rFonts w:hint="eastAsia"/>
                          <w:b/>
                          <w:bCs/>
                          <w:color w:val="FF0000"/>
                          <w:sz w:val="18"/>
                          <w:szCs w:val="21"/>
                          <w:lang w:val="en-US" w:eastAsia="zh-CN"/>
                        </w:rPr>
                        <w:t>厂区大门</w:t>
                      </w:r>
                    </w:p>
                  </w:txbxContent>
                </v:textbox>
              </v:rect>
            </w:pict>
          </mc:Fallback>
        </mc:AlternateContent>
      </w:r>
      <w:r>
        <w:rPr>
          <w:color w:val="auto"/>
          <w:sz w:val="24"/>
        </w:rPr>
        <mc:AlternateContent>
          <mc:Choice Requires="wps">
            <w:drawing>
              <wp:anchor distT="0" distB="0" distL="114300" distR="114300" simplePos="0" relativeHeight="251794432" behindDoc="0" locked="0" layoutInCell="1" allowOverlap="1">
                <wp:simplePos x="0" y="0"/>
                <wp:positionH relativeFrom="column">
                  <wp:posOffset>5710555</wp:posOffset>
                </wp:positionH>
                <wp:positionV relativeFrom="paragraph">
                  <wp:posOffset>4733925</wp:posOffset>
                </wp:positionV>
                <wp:extent cx="190500" cy="497205"/>
                <wp:effectExtent l="13970" t="13970" r="24130" b="22225"/>
                <wp:wrapNone/>
                <wp:docPr id="357" name="上下箭头 357"/>
                <wp:cNvGraphicFramePr/>
                <a:graphic xmlns:a="http://schemas.openxmlformats.org/drawingml/2006/main">
                  <a:graphicData uri="http://schemas.microsoft.com/office/word/2010/wordprocessingShape">
                    <wps:wsp>
                      <wps:cNvSpPr/>
                      <wps:spPr>
                        <a:xfrm rot="10800000">
                          <a:off x="0" y="0"/>
                          <a:ext cx="190500" cy="497205"/>
                        </a:xfrm>
                        <a:prstGeom prst="upDownArrow">
                          <a:avLst/>
                        </a:prstGeom>
                        <a:noFill/>
                        <a:ln w="28575">
                          <a:solidFill>
                            <a:srgbClr val="00B05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70" type="#_x0000_t70" style="position:absolute;left:0pt;margin-left:449.65pt;margin-top:372.75pt;height:39.15pt;width:15pt;rotation:11796480f;z-index:251794432;v-text-anchor:middle;mso-width-relative:page;mso-height-relative:page;" filled="f" stroked="t" coordsize="21600,21600" o:gfxdata="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&#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clORi9cAAAALAQAADwAAAAAAAAABACAAAAAiAAAAZHJz&#10;L2Rvd25yZXYueG1sUEsBAhQAFAAAAAgAh07iQGrG/O93AgAA0wQAAA4AAAAAAAAAAQAgAAAAJgEA&#10;AGRycy9lMm9Eb2MueG1sUEsFBgAAAAAGAAYAWQEAAA8GAAAAAA==&#10;" adj="5400,4137">
                <v:fill on="f" focussize="0,0"/>
                <v:stroke weight="2.25pt" color="#00B050 [2404]" joinstyle="round"/>
                <v:imagedata o:title=""/>
                <o:lock v:ext="edit" aspectratio="f"/>
              </v:shape>
            </w:pict>
          </mc:Fallback>
        </mc:AlternateContent>
      </w:r>
      <w:r>
        <w:rPr>
          <w:color w:val="auto"/>
        </w:rPr>
        <mc:AlternateContent>
          <mc:Choice Requires="wps">
            <w:drawing>
              <wp:anchor distT="0" distB="0" distL="114300" distR="114300" simplePos="0" relativeHeight="251799552" behindDoc="0" locked="0" layoutInCell="1" allowOverlap="1">
                <wp:simplePos x="0" y="0"/>
                <wp:positionH relativeFrom="column">
                  <wp:posOffset>5821045</wp:posOffset>
                </wp:positionH>
                <wp:positionV relativeFrom="paragraph">
                  <wp:posOffset>3593465</wp:posOffset>
                </wp:positionV>
                <wp:extent cx="792480" cy="298450"/>
                <wp:effectExtent l="0" t="0" r="0" b="0"/>
                <wp:wrapNone/>
                <wp:docPr id="358" name="矩形 358"/>
                <wp:cNvGraphicFramePr/>
                <a:graphic xmlns:a="http://schemas.openxmlformats.org/drawingml/2006/main">
                  <a:graphicData uri="http://schemas.microsoft.com/office/word/2010/wordprocessingShape">
                    <wps:wsp>
                      <wps:cNvSpPr/>
                      <wps:spPr>
                        <a:xfrm>
                          <a:off x="0" y="0"/>
                          <a:ext cx="792480" cy="298450"/>
                        </a:xfrm>
                        <a:prstGeom prst="rect">
                          <a:avLst/>
                        </a:prstGeom>
                        <a:noFill/>
                        <a:ln w="15875">
                          <a:noFill/>
                        </a:ln>
                      </wps:spPr>
                      <wps:txbx>
                        <w:txbxContent>
                          <w:p w14:paraId="37FDE192">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一般固废间</w:t>
                            </w:r>
                          </w:p>
                        </w:txbxContent>
                      </wps:txbx>
                      <wps:bodyPr upright="1"/>
                    </wps:wsp>
                  </a:graphicData>
                </a:graphic>
              </wp:anchor>
            </w:drawing>
          </mc:Choice>
          <mc:Fallback>
            <w:pict>
              <v:rect id="_x0000_s1026" o:spid="_x0000_s1026" o:spt="1" style="position:absolute;left:0pt;margin-left:458.35pt;margin-top:282.95pt;height:23.5pt;width:62.4pt;z-index:251799552;mso-width-relative:page;mso-height-relative:page;" filled="f" stroked="f" coordsize="21600,21600" o:gfxdata="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DP&#10;Libl3AAAAAwBAAAPAAAAAAAAAAEAIAAAACIAAABkcnMvZG93bnJldi54bWxQSwECFAAUAAAACACH&#10;TuJAQ+l9dq4BAABOAwAADgAAAAAAAAABACAAAAArAQAAZHJzL2Uyb0RvYy54bWxQSwUGAAAAAAYA&#10;BgBZAQAASwUAAAAA&#10;">
                <v:fill on="f" focussize="0,0"/>
                <v:stroke on="f" weight="1.25pt"/>
                <v:imagedata o:title=""/>
                <o:lock v:ext="edit" aspectratio="f"/>
                <v:textbox>
                  <w:txbxContent>
                    <w:p w14:paraId="37FDE192">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一般固废间</w:t>
                      </w:r>
                    </w:p>
                  </w:txbxContent>
                </v:textbox>
              </v:rect>
            </w:pict>
          </mc:Fallback>
        </mc:AlternateContent>
      </w:r>
      <w:r>
        <w:rPr>
          <w:color w:val="auto"/>
        </w:rPr>
        <mc:AlternateContent>
          <mc:Choice Requires="wps">
            <w:drawing>
              <wp:anchor distT="0" distB="0" distL="114300" distR="114300" simplePos="0" relativeHeight="251798528" behindDoc="0" locked="0" layoutInCell="1" allowOverlap="1">
                <wp:simplePos x="0" y="0"/>
                <wp:positionH relativeFrom="column">
                  <wp:posOffset>5831840</wp:posOffset>
                </wp:positionH>
                <wp:positionV relativeFrom="paragraph">
                  <wp:posOffset>3359150</wp:posOffset>
                </wp:positionV>
                <wp:extent cx="792480" cy="298450"/>
                <wp:effectExtent l="0" t="0" r="0" b="0"/>
                <wp:wrapNone/>
                <wp:docPr id="359" name="矩形 359"/>
                <wp:cNvGraphicFramePr/>
                <a:graphic xmlns:a="http://schemas.openxmlformats.org/drawingml/2006/main">
                  <a:graphicData uri="http://schemas.microsoft.com/office/word/2010/wordprocessingShape">
                    <wps:wsp>
                      <wps:cNvSpPr/>
                      <wps:spPr>
                        <a:xfrm>
                          <a:off x="0" y="0"/>
                          <a:ext cx="792480" cy="298450"/>
                        </a:xfrm>
                        <a:prstGeom prst="rect">
                          <a:avLst/>
                        </a:prstGeom>
                        <a:noFill/>
                        <a:ln w="15875">
                          <a:noFill/>
                        </a:ln>
                      </wps:spPr>
                      <wps:txbx>
                        <w:txbxContent>
                          <w:p w14:paraId="4B820D5F">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危废暂存间</w:t>
                            </w:r>
                          </w:p>
                        </w:txbxContent>
                      </wps:txbx>
                      <wps:bodyPr upright="1"/>
                    </wps:wsp>
                  </a:graphicData>
                </a:graphic>
              </wp:anchor>
            </w:drawing>
          </mc:Choice>
          <mc:Fallback>
            <w:pict>
              <v:rect id="_x0000_s1026" o:spid="_x0000_s1026" o:spt="1" style="position:absolute;left:0pt;margin-left:459.2pt;margin-top:264.5pt;height:23.5pt;width:62.4pt;z-index:251798528;mso-width-relative:page;mso-height-relative:page;" filled="f" stroked="f" coordsize="21600,21600" o:gfxdata="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DV&#10;nfxq3AAAAAwBAAAPAAAAAAAAAAEAIAAAACIAAABkcnMvZG93bnJldi54bWxQSwECFAAUAAAACACH&#10;TuJAsrdWy64BAABOAwAADgAAAAAAAAABACAAAAArAQAAZHJzL2Uyb0RvYy54bWxQSwUGAAAAAAYA&#10;BgBZAQAASwUAAAAA&#10;">
                <v:fill on="f" focussize="0,0"/>
                <v:stroke on="f" weight="1.25pt"/>
                <v:imagedata o:title=""/>
                <o:lock v:ext="edit" aspectratio="f"/>
                <v:textbox>
                  <w:txbxContent>
                    <w:p w14:paraId="4B820D5F">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危废暂存间</w:t>
                      </w:r>
                    </w:p>
                  </w:txbxContent>
                </v:textbox>
              </v:rect>
            </w:pict>
          </mc:Fallback>
        </mc:AlternateContent>
      </w:r>
      <w:r>
        <w:rPr>
          <w:color w:val="auto"/>
        </w:rPr>
        <mc:AlternateContent>
          <mc:Choice Requires="wps">
            <w:drawing>
              <wp:anchor distT="0" distB="0" distL="114300" distR="114300" simplePos="0" relativeHeight="251807744" behindDoc="0" locked="0" layoutInCell="1" allowOverlap="1">
                <wp:simplePos x="0" y="0"/>
                <wp:positionH relativeFrom="column">
                  <wp:posOffset>3955415</wp:posOffset>
                </wp:positionH>
                <wp:positionV relativeFrom="paragraph">
                  <wp:posOffset>2118995</wp:posOffset>
                </wp:positionV>
                <wp:extent cx="1010920" cy="515620"/>
                <wp:effectExtent l="0" t="0" r="0" b="0"/>
                <wp:wrapNone/>
                <wp:docPr id="363" name="矩形 363"/>
                <wp:cNvGraphicFramePr/>
                <a:graphic xmlns:a="http://schemas.openxmlformats.org/drawingml/2006/main">
                  <a:graphicData uri="http://schemas.microsoft.com/office/word/2010/wordprocessingShape">
                    <wps:wsp>
                      <wps:cNvSpPr/>
                      <wps:spPr>
                        <a:xfrm>
                          <a:off x="0" y="0"/>
                          <a:ext cx="1010920" cy="515620"/>
                        </a:xfrm>
                        <a:prstGeom prst="rect">
                          <a:avLst/>
                        </a:prstGeom>
                        <a:noFill/>
                        <a:ln w="15875">
                          <a:noFill/>
                        </a:ln>
                      </wps:spPr>
                      <wps:txbx>
                        <w:txbxContent>
                          <w:p w14:paraId="4C326448">
                            <w:pPr>
                              <w:jc w:val="center"/>
                              <w:rPr>
                                <w:rFonts w:hint="eastAsia" w:eastAsia="宋体"/>
                                <w:color w:val="FF0000"/>
                                <w:sz w:val="18"/>
                                <w:szCs w:val="21"/>
                                <w:lang w:val="en-US" w:eastAsia="zh-CN"/>
                              </w:rPr>
                            </w:pPr>
                            <w:r>
                              <w:rPr>
                                <w:rFonts w:hint="eastAsia" w:eastAsia="宋体"/>
                                <w:color w:val="FF0000"/>
                                <w:sz w:val="18"/>
                                <w:szCs w:val="21"/>
                                <w:lang w:val="en-US" w:eastAsia="zh-CN"/>
                              </w:rPr>
                              <w:t>原材料及半</w:t>
                            </w:r>
                          </w:p>
                          <w:p w14:paraId="3AC64700">
                            <w:pPr>
                              <w:jc w:val="center"/>
                              <w:rPr>
                                <w:rFonts w:hint="default"/>
                                <w:color w:val="FF0000"/>
                                <w:sz w:val="18"/>
                                <w:szCs w:val="21"/>
                                <w:lang w:val="en-US" w:eastAsia="zh-CN"/>
                              </w:rPr>
                            </w:pPr>
                            <w:r>
                              <w:rPr>
                                <w:rFonts w:hint="eastAsia" w:eastAsia="宋体"/>
                                <w:color w:val="FF0000"/>
                                <w:sz w:val="18"/>
                                <w:szCs w:val="21"/>
                                <w:lang w:val="en-US" w:eastAsia="zh-CN"/>
                              </w:rPr>
                              <w:t>成品堆放区</w:t>
                            </w:r>
                          </w:p>
                        </w:txbxContent>
                      </wps:txbx>
                      <wps:bodyPr upright="1"/>
                    </wps:wsp>
                  </a:graphicData>
                </a:graphic>
              </wp:anchor>
            </w:drawing>
          </mc:Choice>
          <mc:Fallback>
            <w:pict>
              <v:rect id="_x0000_s1026" o:spid="_x0000_s1026" o:spt="1" style="position:absolute;left:0pt;margin-left:311.45pt;margin-top:166.85pt;height:40.6pt;width:79.6pt;z-index:251807744;mso-width-relative:page;mso-height-relative:page;" filled="f" stroked="f" coordsize="21600,21600" o:gfxdata="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9yo8&#10;OdwAAAALAQAADwAAAAAAAAABACAAAAAiAAAAZHJzL2Rvd25yZXYueG1sUEsBAhQAFAAAAAgAh07i&#10;QDYveHusAQAATwMAAA4AAAAAAAAAAQAgAAAAKwEAAGRycy9lMm9Eb2MueG1sUEsFBgAAAAAGAAYA&#10;WQEAAEkFAAAAAA==&#10;">
                <v:fill on="f" focussize="0,0"/>
                <v:stroke on="f" weight="1.25pt"/>
                <v:imagedata o:title=""/>
                <o:lock v:ext="edit" aspectratio="f"/>
                <v:textbox>
                  <w:txbxContent>
                    <w:p w14:paraId="4C326448">
                      <w:pPr>
                        <w:jc w:val="center"/>
                        <w:rPr>
                          <w:rFonts w:hint="eastAsia" w:eastAsia="宋体"/>
                          <w:color w:val="FF0000"/>
                          <w:sz w:val="18"/>
                          <w:szCs w:val="21"/>
                          <w:lang w:val="en-US" w:eastAsia="zh-CN"/>
                        </w:rPr>
                      </w:pPr>
                      <w:r>
                        <w:rPr>
                          <w:rFonts w:hint="eastAsia" w:eastAsia="宋体"/>
                          <w:color w:val="FF0000"/>
                          <w:sz w:val="18"/>
                          <w:szCs w:val="21"/>
                          <w:lang w:val="en-US" w:eastAsia="zh-CN"/>
                        </w:rPr>
                        <w:t>原材料及半</w:t>
                      </w:r>
                    </w:p>
                    <w:p w14:paraId="3AC64700">
                      <w:pPr>
                        <w:jc w:val="center"/>
                        <w:rPr>
                          <w:rFonts w:hint="default"/>
                          <w:color w:val="FF0000"/>
                          <w:sz w:val="18"/>
                          <w:szCs w:val="21"/>
                          <w:lang w:val="en-US" w:eastAsia="zh-CN"/>
                        </w:rPr>
                      </w:pPr>
                      <w:r>
                        <w:rPr>
                          <w:rFonts w:hint="eastAsia" w:eastAsia="宋体"/>
                          <w:color w:val="FF0000"/>
                          <w:sz w:val="18"/>
                          <w:szCs w:val="21"/>
                          <w:lang w:val="en-US" w:eastAsia="zh-CN"/>
                        </w:rPr>
                        <w:t>成品堆放区</w:t>
                      </w:r>
                    </w:p>
                  </w:txbxContent>
                </v:textbox>
              </v:rect>
            </w:pict>
          </mc:Fallback>
        </mc:AlternateContent>
      </w:r>
      <w:r>
        <w:rPr>
          <w:color w:val="auto"/>
        </w:rPr>
        <mc:AlternateContent>
          <mc:Choice Requires="wps">
            <w:drawing>
              <wp:anchor distT="0" distB="0" distL="114300" distR="114300" simplePos="0" relativeHeight="251805696" behindDoc="0" locked="0" layoutInCell="1" allowOverlap="1">
                <wp:simplePos x="0" y="0"/>
                <wp:positionH relativeFrom="column">
                  <wp:posOffset>5112385</wp:posOffset>
                </wp:positionH>
                <wp:positionV relativeFrom="paragraph">
                  <wp:posOffset>3305810</wp:posOffset>
                </wp:positionV>
                <wp:extent cx="659130" cy="298450"/>
                <wp:effectExtent l="0" t="0" r="0" b="0"/>
                <wp:wrapNone/>
                <wp:docPr id="365" name="矩形 365"/>
                <wp:cNvGraphicFramePr/>
                <a:graphic xmlns:a="http://schemas.openxmlformats.org/drawingml/2006/main">
                  <a:graphicData uri="http://schemas.microsoft.com/office/word/2010/wordprocessingShape">
                    <wps:wsp>
                      <wps:cNvSpPr/>
                      <wps:spPr>
                        <a:xfrm>
                          <a:off x="0" y="0"/>
                          <a:ext cx="659130" cy="298450"/>
                        </a:xfrm>
                        <a:prstGeom prst="rect">
                          <a:avLst/>
                        </a:prstGeom>
                        <a:noFill/>
                        <a:ln w="15875">
                          <a:noFill/>
                        </a:ln>
                      </wps:spPr>
                      <wps:txbx>
                        <w:txbxContent>
                          <w:p w14:paraId="7F210B99">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裁断区</w:t>
                            </w:r>
                          </w:p>
                        </w:txbxContent>
                      </wps:txbx>
                      <wps:bodyPr upright="1"/>
                    </wps:wsp>
                  </a:graphicData>
                </a:graphic>
              </wp:anchor>
            </w:drawing>
          </mc:Choice>
          <mc:Fallback>
            <w:pict>
              <v:rect id="_x0000_s1026" o:spid="_x0000_s1026" o:spt="1" style="position:absolute;left:0pt;margin-left:402.55pt;margin-top:260.3pt;height:23.5pt;width:51.9pt;z-index:251805696;mso-width-relative:page;mso-height-relative:page;" filled="f" stroked="f" coordsize="21600,21600" o:gfxdata="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Oln&#10;TrPbAAAACwEAAA8AAAAAAAAAAQAgAAAAIgAAAGRycy9kb3ducmV2LnhtbFBLAQIUABQAAAAIAIdO&#10;4kCWtkHYrgEAAE4DAAAOAAAAAAAAAAEAIAAAACoBAABkcnMvZTJvRG9jLnhtbFBLBQYAAAAABgAG&#10;AFkBAABKBQAAAAA=&#10;">
                <v:fill on="f" focussize="0,0"/>
                <v:stroke on="f" weight="1.25pt"/>
                <v:imagedata o:title=""/>
                <o:lock v:ext="edit" aspectratio="f"/>
                <v:textbox>
                  <w:txbxContent>
                    <w:p w14:paraId="7F210B99">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裁断区</w:t>
                      </w:r>
                    </w:p>
                  </w:txbxContent>
                </v:textbox>
              </v:rect>
            </w:pict>
          </mc:Fallback>
        </mc:AlternateContent>
      </w:r>
      <w:r>
        <w:rPr>
          <w:color w:val="auto"/>
        </w:rPr>
        <mc:AlternateContent>
          <mc:Choice Requires="wps">
            <w:drawing>
              <wp:anchor distT="0" distB="0" distL="114300" distR="114300" simplePos="0" relativeHeight="251804672" behindDoc="0" locked="0" layoutInCell="1" allowOverlap="1">
                <wp:simplePos x="0" y="0"/>
                <wp:positionH relativeFrom="column">
                  <wp:posOffset>4872990</wp:posOffset>
                </wp:positionH>
                <wp:positionV relativeFrom="paragraph">
                  <wp:posOffset>1848485</wp:posOffset>
                </wp:positionV>
                <wp:extent cx="440690" cy="1236345"/>
                <wp:effectExtent l="0" t="0" r="0" b="0"/>
                <wp:wrapNone/>
                <wp:docPr id="366" name="矩形 366"/>
                <wp:cNvGraphicFramePr/>
                <a:graphic xmlns:a="http://schemas.openxmlformats.org/drawingml/2006/main">
                  <a:graphicData uri="http://schemas.microsoft.com/office/word/2010/wordprocessingShape">
                    <wps:wsp>
                      <wps:cNvSpPr/>
                      <wps:spPr>
                        <a:xfrm>
                          <a:off x="0" y="0"/>
                          <a:ext cx="440690" cy="1236345"/>
                        </a:xfrm>
                        <a:prstGeom prst="rect">
                          <a:avLst/>
                        </a:prstGeom>
                        <a:noFill/>
                        <a:ln w="15875">
                          <a:noFill/>
                        </a:ln>
                      </wps:spPr>
                      <wps:txbx>
                        <w:txbxContent>
                          <w:p w14:paraId="5537717D">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高</w:t>
                            </w:r>
                          </w:p>
                          <w:p w14:paraId="432ECA6C">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跟</w:t>
                            </w:r>
                          </w:p>
                          <w:p w14:paraId="02F446EC">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鞋</w:t>
                            </w:r>
                          </w:p>
                          <w:p w14:paraId="4A26BA38">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生</w:t>
                            </w:r>
                          </w:p>
                          <w:p w14:paraId="58C702B1">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产</w:t>
                            </w:r>
                          </w:p>
                          <w:p w14:paraId="171424E8">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线</w:t>
                            </w:r>
                          </w:p>
                        </w:txbxContent>
                      </wps:txbx>
                      <wps:bodyPr upright="1"/>
                    </wps:wsp>
                  </a:graphicData>
                </a:graphic>
              </wp:anchor>
            </w:drawing>
          </mc:Choice>
          <mc:Fallback>
            <w:pict>
              <v:rect id="_x0000_s1026" o:spid="_x0000_s1026" o:spt="1" style="position:absolute;left:0pt;margin-left:383.7pt;margin-top:145.55pt;height:97.35pt;width:34.7pt;z-index:251804672;mso-width-relative:page;mso-height-relative:page;" filled="f" stroked="f" coordsize="21600,21600" o:gfxdata="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AP&#10;RdZr3AAAAAsBAAAPAAAAAAAAAAEAIAAAACIAAABkcnMvZG93bnJldi54bWxQSwECFAAUAAAACACH&#10;TuJADykr/64BAABPAwAADgAAAAAAAAABACAAAAArAQAAZHJzL2Uyb0RvYy54bWxQSwUGAAAAAAYA&#10;BgBZAQAASwUAAAAA&#10;">
                <v:fill on="f" focussize="0,0"/>
                <v:stroke on="f" weight="1.25pt"/>
                <v:imagedata o:title=""/>
                <o:lock v:ext="edit" aspectratio="f"/>
                <v:textbox>
                  <w:txbxContent>
                    <w:p w14:paraId="5537717D">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高</w:t>
                      </w:r>
                    </w:p>
                    <w:p w14:paraId="432ECA6C">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跟</w:t>
                      </w:r>
                    </w:p>
                    <w:p w14:paraId="02F446EC">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鞋</w:t>
                      </w:r>
                    </w:p>
                    <w:p w14:paraId="4A26BA38">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生</w:t>
                      </w:r>
                    </w:p>
                    <w:p w14:paraId="58C702B1">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产</w:t>
                      </w:r>
                    </w:p>
                    <w:p w14:paraId="171424E8">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线</w:t>
                      </w:r>
                    </w:p>
                  </w:txbxContent>
                </v:textbox>
              </v:rect>
            </w:pict>
          </mc:Fallback>
        </mc:AlternateContent>
      </w:r>
      <w:r>
        <w:rPr>
          <w:color w:val="auto"/>
          <w:sz w:val="21"/>
        </w:rPr>
        <mc:AlternateContent>
          <mc:Choice Requires="wps">
            <w:drawing>
              <wp:anchor distT="0" distB="0" distL="114300" distR="114300" simplePos="0" relativeHeight="251803648" behindDoc="0" locked="0" layoutInCell="1" allowOverlap="1">
                <wp:simplePos x="0" y="0"/>
                <wp:positionH relativeFrom="column">
                  <wp:posOffset>4331335</wp:posOffset>
                </wp:positionH>
                <wp:positionV relativeFrom="paragraph">
                  <wp:posOffset>2275205</wp:posOffset>
                </wp:positionV>
                <wp:extent cx="1450340" cy="389255"/>
                <wp:effectExtent l="6350" t="6350" r="15875" b="6350"/>
                <wp:wrapNone/>
                <wp:docPr id="367" name="矩形 367"/>
                <wp:cNvGraphicFramePr/>
                <a:graphic xmlns:a="http://schemas.openxmlformats.org/drawingml/2006/main">
                  <a:graphicData uri="http://schemas.microsoft.com/office/word/2010/wordprocessingShape">
                    <wps:wsp>
                      <wps:cNvSpPr/>
                      <wps:spPr>
                        <a:xfrm rot="16200000">
                          <a:off x="0" y="0"/>
                          <a:ext cx="1450340" cy="389255"/>
                        </a:xfrm>
                        <a:prstGeom prst="rect">
                          <a:avLst/>
                        </a:prstGeom>
                        <a:solidFill>
                          <a:srgbClr val="00B0F0">
                            <a:alpha val="40000"/>
                          </a:srgbClr>
                        </a:solidFill>
                        <a:ln w="12700">
                          <a:solidFill>
                            <a:srgbClr val="00B0F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41.05pt;margin-top:179.15pt;height:30.65pt;width:114.2pt;rotation:-5898240f;z-index:251803648;v-text-anchor:middle;mso-width-relative:page;mso-height-relative:page;" fillcolor="#00B0F0" filled="t" stroked="t" coordsize="21600,21600" o:gfxdata="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MjjvbvYAAAACwEAAA8AAAAAAAAAAQAgAAAA&#10;IgAAAGRycy9kb3ducmV2LnhtbFBLAQIUABQAAAAIAIdO4kBtQdqsfQIAABEFAAAOAAAAAAAAAAEA&#10;IAAAACcBAABkcnMvZTJvRG9jLnhtbFBLBQYAAAAABgAGAFkBAAAWBgAAAAA=&#10;">
                <v:fill on="t" opacity="26214f" focussize="0,0"/>
                <v:stroke weight="1pt" color="#00B0F0 [2404]" joinstyle="round"/>
                <v:imagedata o:title=""/>
                <o:lock v:ext="edit" aspectratio="f"/>
              </v:rect>
            </w:pict>
          </mc:Fallback>
        </mc:AlternateContent>
      </w:r>
      <w:r>
        <w:rPr>
          <w:color w:val="auto"/>
        </w:rPr>
        <mc:AlternateContent>
          <mc:Choice Requires="wps">
            <w:drawing>
              <wp:anchor distT="0" distB="0" distL="114300" distR="114300" simplePos="0" relativeHeight="251802624" behindDoc="0" locked="0" layoutInCell="1" allowOverlap="1">
                <wp:simplePos x="0" y="0"/>
                <wp:positionH relativeFrom="column">
                  <wp:posOffset>5469255</wp:posOffset>
                </wp:positionH>
                <wp:positionV relativeFrom="paragraph">
                  <wp:posOffset>1906905</wp:posOffset>
                </wp:positionV>
                <wp:extent cx="440690" cy="1054100"/>
                <wp:effectExtent l="0" t="0" r="0" b="0"/>
                <wp:wrapNone/>
                <wp:docPr id="368" name="矩形 368"/>
                <wp:cNvGraphicFramePr/>
                <a:graphic xmlns:a="http://schemas.openxmlformats.org/drawingml/2006/main">
                  <a:graphicData uri="http://schemas.microsoft.com/office/word/2010/wordprocessingShape">
                    <wps:wsp>
                      <wps:cNvSpPr/>
                      <wps:spPr>
                        <a:xfrm>
                          <a:off x="0" y="0"/>
                          <a:ext cx="440690" cy="1054100"/>
                        </a:xfrm>
                        <a:prstGeom prst="rect">
                          <a:avLst/>
                        </a:prstGeom>
                        <a:noFill/>
                        <a:ln w="15875">
                          <a:noFill/>
                        </a:ln>
                      </wps:spPr>
                      <wps:txbx>
                        <w:txbxContent>
                          <w:p w14:paraId="6865963C">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皮</w:t>
                            </w:r>
                          </w:p>
                          <w:p w14:paraId="4F87B2B9">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鞋</w:t>
                            </w:r>
                          </w:p>
                          <w:p w14:paraId="43D8B229">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生</w:t>
                            </w:r>
                          </w:p>
                          <w:p w14:paraId="201DBF2F">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产</w:t>
                            </w:r>
                          </w:p>
                          <w:p w14:paraId="4EC32659">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线</w:t>
                            </w:r>
                          </w:p>
                        </w:txbxContent>
                      </wps:txbx>
                      <wps:bodyPr upright="1"/>
                    </wps:wsp>
                  </a:graphicData>
                </a:graphic>
              </wp:anchor>
            </w:drawing>
          </mc:Choice>
          <mc:Fallback>
            <w:pict>
              <v:rect id="_x0000_s1026" o:spid="_x0000_s1026" o:spt="1" style="position:absolute;left:0pt;margin-left:430.65pt;margin-top:150.15pt;height:83pt;width:34.7pt;z-index:251802624;mso-width-relative:page;mso-height-relative:page;" filled="f" stroked="f" coordsize="21600,21600" o:gfxdata="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BDy&#10;jzfbAAAACwEAAA8AAAAAAAAAAQAgAAAAIgAAAGRycy9kb3ducmV2LnhtbFBLAQIUABQAAAAIAIdO&#10;4kCANwe6rgEAAE8DAAAOAAAAAAAAAAEAIAAAACoBAABkcnMvZTJvRG9jLnhtbFBLBQYAAAAABgAG&#10;AFkBAABKBQAAAAA=&#10;">
                <v:fill on="f" focussize="0,0"/>
                <v:stroke on="f" weight="1.25pt"/>
                <v:imagedata o:title=""/>
                <o:lock v:ext="edit" aspectratio="f"/>
                <v:textbox>
                  <w:txbxContent>
                    <w:p w14:paraId="6865963C">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皮</w:t>
                      </w:r>
                    </w:p>
                    <w:p w14:paraId="4F87B2B9">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鞋</w:t>
                      </w:r>
                    </w:p>
                    <w:p w14:paraId="43D8B229">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生</w:t>
                      </w:r>
                    </w:p>
                    <w:p w14:paraId="201DBF2F">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产</w:t>
                      </w:r>
                    </w:p>
                    <w:p w14:paraId="4EC32659">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线</w:t>
                      </w:r>
                    </w:p>
                  </w:txbxContent>
                </v:textbox>
              </v:rect>
            </w:pict>
          </mc:Fallback>
        </mc:AlternateContent>
      </w:r>
      <w:r>
        <w:rPr>
          <w:color w:val="auto"/>
          <w:sz w:val="21"/>
        </w:rPr>
        <mc:AlternateContent>
          <mc:Choice Requires="wps">
            <w:drawing>
              <wp:anchor distT="0" distB="0" distL="114300" distR="114300" simplePos="0" relativeHeight="251801600" behindDoc="0" locked="0" layoutInCell="1" allowOverlap="1">
                <wp:simplePos x="0" y="0"/>
                <wp:positionH relativeFrom="column">
                  <wp:posOffset>4906645</wp:posOffset>
                </wp:positionH>
                <wp:positionV relativeFrom="paragraph">
                  <wp:posOffset>2272030</wp:posOffset>
                </wp:positionV>
                <wp:extent cx="1450340" cy="389255"/>
                <wp:effectExtent l="6350" t="6350" r="15875" b="6350"/>
                <wp:wrapNone/>
                <wp:docPr id="369" name="矩形 369"/>
                <wp:cNvGraphicFramePr/>
                <a:graphic xmlns:a="http://schemas.openxmlformats.org/drawingml/2006/main">
                  <a:graphicData uri="http://schemas.microsoft.com/office/word/2010/wordprocessingShape">
                    <wps:wsp>
                      <wps:cNvSpPr/>
                      <wps:spPr>
                        <a:xfrm rot="16200000">
                          <a:off x="0" y="0"/>
                          <a:ext cx="1450340" cy="389255"/>
                        </a:xfrm>
                        <a:prstGeom prst="rect">
                          <a:avLst/>
                        </a:prstGeom>
                        <a:solidFill>
                          <a:srgbClr val="00B0F0">
                            <a:alpha val="40000"/>
                          </a:srgbClr>
                        </a:solidFill>
                        <a:ln w="12700">
                          <a:solidFill>
                            <a:srgbClr val="00B0F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86.35pt;margin-top:178.9pt;height:30.65pt;width:114.2pt;rotation:-5898240f;z-index:251801600;v-text-anchor:middle;mso-width-relative:page;mso-height-relative:page;" fillcolor="#00B0F0" filled="t" stroked="t" coordsize="21600,21600" o:gfxdata="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ZDsp1NgAAAAMAQAADwAAAAAAAAABACAAAAAi&#10;AAAAZHJzL2Rvd25yZXYueG1sUEsBAhQAFAAAAAgAh07iQDSaBet8AgAAEQUAAA4AAAAAAAAAAQAg&#10;AAAAJwEAAGRycy9lMm9Eb2MueG1sUEsFBgAAAAAGAAYAWQEAABUGAAAAAA==&#10;">
                <v:fill on="t" opacity="26214f" focussize="0,0"/>
                <v:stroke weight="1pt" color="#00B0F0 [2404]" joinstyle="round"/>
                <v:imagedata o:title=""/>
                <o:lock v:ext="edit" aspectratio="f"/>
              </v:rect>
            </w:pict>
          </mc:Fallback>
        </mc:AlternateContent>
      </w:r>
      <w:r>
        <w:rPr>
          <w:color w:val="auto"/>
        </w:rPr>
        <mc:AlternateContent>
          <mc:Choice Requires="wps">
            <w:drawing>
              <wp:anchor distT="0" distB="0" distL="114300" distR="114300" simplePos="0" relativeHeight="251812864" behindDoc="0" locked="0" layoutInCell="1" allowOverlap="1">
                <wp:simplePos x="0" y="0"/>
                <wp:positionH relativeFrom="column">
                  <wp:posOffset>4534535</wp:posOffset>
                </wp:positionH>
                <wp:positionV relativeFrom="paragraph">
                  <wp:posOffset>1318895</wp:posOffset>
                </wp:positionV>
                <wp:extent cx="1079500" cy="298450"/>
                <wp:effectExtent l="0" t="0" r="0" b="0"/>
                <wp:wrapNone/>
                <wp:docPr id="372" name="矩形 372"/>
                <wp:cNvGraphicFramePr/>
                <a:graphic xmlns:a="http://schemas.openxmlformats.org/drawingml/2006/main">
                  <a:graphicData uri="http://schemas.microsoft.com/office/word/2010/wordprocessingShape">
                    <wps:wsp>
                      <wps:cNvSpPr/>
                      <wps:spPr>
                        <a:xfrm>
                          <a:off x="0" y="0"/>
                          <a:ext cx="1079500" cy="298450"/>
                        </a:xfrm>
                        <a:prstGeom prst="rect">
                          <a:avLst/>
                        </a:prstGeom>
                        <a:noFill/>
                        <a:ln w="15875">
                          <a:noFill/>
                        </a:ln>
                      </wps:spPr>
                      <wps:txbx>
                        <w:txbxContent>
                          <w:p w14:paraId="788F6D44">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PVC注塑鞋生产线</w:t>
                            </w:r>
                          </w:p>
                        </w:txbxContent>
                      </wps:txbx>
                      <wps:bodyPr upright="1"/>
                    </wps:wsp>
                  </a:graphicData>
                </a:graphic>
              </wp:anchor>
            </w:drawing>
          </mc:Choice>
          <mc:Fallback>
            <w:pict>
              <v:rect id="_x0000_s1026" o:spid="_x0000_s1026" o:spt="1" style="position:absolute;left:0pt;margin-left:357.05pt;margin-top:103.85pt;height:23.5pt;width:85pt;z-index:251812864;mso-width-relative:page;mso-height-relative:page;" filled="f" stroked="f" coordsize="21600,21600" o:gfxdata="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eqM&#10;CdoAAAALAQAADwAAAAAAAAABACAAAAAiAAAAZHJzL2Rvd25yZXYueG1sUEsBAhQAFAAAAAgAh07i&#10;QPEkOEauAQAATwMAAA4AAAAAAAAAAQAgAAAAKQEAAGRycy9lMm9Eb2MueG1sUEsFBgAAAAAGAAYA&#10;WQEAAEkFAAAAAA==&#10;">
                <v:fill on="f" focussize="0,0"/>
                <v:stroke on="f" weight="1.25pt"/>
                <v:imagedata o:title=""/>
                <o:lock v:ext="edit" aspectratio="f"/>
                <v:textbox>
                  <w:txbxContent>
                    <w:p w14:paraId="788F6D44">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PVC注塑鞋生产线</w:t>
                      </w:r>
                    </w:p>
                  </w:txbxContent>
                </v:textbox>
              </v:rect>
            </w:pict>
          </mc:Fallback>
        </mc:AlternateContent>
      </w:r>
      <w:r>
        <w:rPr>
          <w:color w:val="auto"/>
          <w:sz w:val="21"/>
        </w:rPr>
        <mc:AlternateContent>
          <mc:Choice Requires="wps">
            <w:drawing>
              <wp:anchor distT="0" distB="0" distL="114300" distR="114300" simplePos="0" relativeHeight="251811840" behindDoc="0" locked="0" layoutInCell="1" allowOverlap="1">
                <wp:simplePos x="0" y="0"/>
                <wp:positionH relativeFrom="column">
                  <wp:posOffset>4137660</wp:posOffset>
                </wp:positionH>
                <wp:positionV relativeFrom="paragraph">
                  <wp:posOffset>1257935</wp:posOffset>
                </wp:positionV>
                <wp:extent cx="1494155" cy="424180"/>
                <wp:effectExtent l="6350" t="6350" r="8255" b="11430"/>
                <wp:wrapNone/>
                <wp:docPr id="373" name="矩形 373"/>
                <wp:cNvGraphicFramePr/>
                <a:graphic xmlns:a="http://schemas.openxmlformats.org/drawingml/2006/main">
                  <a:graphicData uri="http://schemas.microsoft.com/office/word/2010/wordprocessingShape">
                    <wps:wsp>
                      <wps:cNvSpPr/>
                      <wps:spPr>
                        <a:xfrm>
                          <a:off x="0" y="0"/>
                          <a:ext cx="1494155" cy="424180"/>
                        </a:xfrm>
                        <a:prstGeom prst="rect">
                          <a:avLst/>
                        </a:prstGeom>
                        <a:solidFill>
                          <a:srgbClr val="00B0F0">
                            <a:alpha val="40000"/>
                          </a:srgbClr>
                        </a:solidFill>
                        <a:ln w="12700">
                          <a:solidFill>
                            <a:srgbClr val="00B0F0">
                              <a:alpha val="40000"/>
                            </a:srgbClr>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25.8pt;margin-top:99.05pt;height:33.4pt;width:117.65pt;z-index:251811840;v-text-anchor:middle;mso-width-relative:page;mso-height-relative:page;" fillcolor="#00B0F0" filled="t" stroked="t" coordsize="21600,21600" o:gfxdata="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cI3z0NcAAAALAQAADwAAAAAAAAABACAAAAAiAAAAZHJzL2Rvd25y&#10;ZXYueG1sUEsBAhQAFAAAAAgAh07iQA8qcu9xAgAAIwUAAA4AAAAAAAAAAQAgAAAAJgEAAGRycy9l&#10;Mm9Eb2MueG1sUEsFBgAAAAAGAAYAWQEAAAkGAAAAAA==&#10;">
                <v:fill on="t" opacity="26214f" focussize="0,0"/>
                <v:stroke weight="1pt" color="#00B0F0 [2404]" opacity="26214f" joinstyle="round"/>
                <v:imagedata o:title=""/>
                <o:lock v:ext="edit" aspectratio="f"/>
              </v:rect>
            </w:pict>
          </mc:Fallback>
        </mc:AlternateContent>
      </w:r>
      <w:r>
        <w:rPr>
          <w:color w:val="auto"/>
        </w:rPr>
        <mc:AlternateContent>
          <mc:Choice Requires="wps">
            <w:drawing>
              <wp:anchor distT="0" distB="0" distL="114300" distR="114300" simplePos="0" relativeHeight="251815936" behindDoc="0" locked="0" layoutInCell="1" allowOverlap="1">
                <wp:simplePos x="0" y="0"/>
                <wp:positionH relativeFrom="column">
                  <wp:posOffset>3640455</wp:posOffset>
                </wp:positionH>
                <wp:positionV relativeFrom="paragraph">
                  <wp:posOffset>1355725</wp:posOffset>
                </wp:positionV>
                <wp:extent cx="466090" cy="551815"/>
                <wp:effectExtent l="0" t="0" r="0" b="0"/>
                <wp:wrapNone/>
                <wp:docPr id="375" name="矩形 375"/>
                <wp:cNvGraphicFramePr/>
                <a:graphic xmlns:a="http://schemas.openxmlformats.org/drawingml/2006/main">
                  <a:graphicData uri="http://schemas.microsoft.com/office/word/2010/wordprocessingShape">
                    <wps:wsp>
                      <wps:cNvSpPr/>
                      <wps:spPr>
                        <a:xfrm>
                          <a:off x="0" y="0"/>
                          <a:ext cx="466090" cy="551815"/>
                        </a:xfrm>
                        <a:prstGeom prst="rect">
                          <a:avLst/>
                        </a:prstGeom>
                        <a:noFill/>
                        <a:ln w="15875">
                          <a:noFill/>
                        </a:ln>
                      </wps:spPr>
                      <wps:txbx>
                        <w:txbxContent>
                          <w:p w14:paraId="28E1BB3A">
                            <w:pPr>
                              <w:keepNext w:val="0"/>
                              <w:keepLines w:val="0"/>
                              <w:pageBreakBefore w:val="0"/>
                              <w:widowControl w:val="0"/>
                              <w:kinsoku/>
                              <w:wordWrap/>
                              <w:overflowPunct/>
                              <w:topLinePunct w:val="0"/>
                              <w:bidi w:val="0"/>
                              <w:adjustRightInd/>
                              <w:snapToGrid/>
                              <w:spacing w:line="240" w:lineRule="atLeast"/>
                              <w:jc w:val="center"/>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办公区</w:t>
                            </w:r>
                          </w:p>
                        </w:txbxContent>
                      </wps:txbx>
                      <wps:bodyPr upright="1"/>
                    </wps:wsp>
                  </a:graphicData>
                </a:graphic>
              </wp:anchor>
            </w:drawing>
          </mc:Choice>
          <mc:Fallback>
            <w:pict>
              <v:rect id="_x0000_s1026" o:spid="_x0000_s1026" o:spt="1" style="position:absolute;left:0pt;margin-left:286.65pt;margin-top:106.75pt;height:43.45pt;width:36.7pt;z-index:251815936;mso-width-relative:page;mso-height-relative:page;" filled="f" stroked="f" coordsize="21600,21600" o:gfxdata="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MuT&#10;VZjcAAAACwEAAA8AAAAAAAAAAQAgAAAAIgAAAGRycy9kb3ducmV2LnhtbFBLAQIUABQAAAAIAIdO&#10;4kBpJGO2rQEAAE4DAAAOAAAAAAAAAAEAIAAAACsBAABkcnMvZTJvRG9jLnhtbFBLBQYAAAAABgAG&#10;AFkBAABKBQAAAAA=&#10;">
                <v:fill on="f" focussize="0,0"/>
                <v:stroke on="f" weight="1.25pt"/>
                <v:imagedata o:title=""/>
                <o:lock v:ext="edit" aspectratio="f"/>
                <v:textbox>
                  <w:txbxContent>
                    <w:p w14:paraId="28E1BB3A">
                      <w:pPr>
                        <w:keepNext w:val="0"/>
                        <w:keepLines w:val="0"/>
                        <w:pageBreakBefore w:val="0"/>
                        <w:widowControl w:val="0"/>
                        <w:kinsoku/>
                        <w:wordWrap/>
                        <w:overflowPunct/>
                        <w:topLinePunct w:val="0"/>
                        <w:bidi w:val="0"/>
                        <w:adjustRightInd/>
                        <w:snapToGrid/>
                        <w:spacing w:line="240" w:lineRule="atLeast"/>
                        <w:jc w:val="center"/>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办公区</w:t>
                      </w:r>
                    </w:p>
                  </w:txbxContent>
                </v:textbox>
              </v:rect>
            </w:pict>
          </mc:Fallback>
        </mc:AlternateContent>
      </w:r>
      <w:r>
        <w:rPr>
          <w:color w:val="auto"/>
        </w:rPr>
        <mc:AlternateContent>
          <mc:Choice Requires="wps">
            <w:drawing>
              <wp:anchor distT="0" distB="0" distL="114300" distR="114300" simplePos="0" relativeHeight="251814912" behindDoc="0" locked="0" layoutInCell="1" allowOverlap="1">
                <wp:simplePos x="0" y="0"/>
                <wp:positionH relativeFrom="column">
                  <wp:posOffset>3698240</wp:posOffset>
                </wp:positionH>
                <wp:positionV relativeFrom="paragraph">
                  <wp:posOffset>867410</wp:posOffset>
                </wp:positionV>
                <wp:extent cx="367665" cy="551815"/>
                <wp:effectExtent l="0" t="0" r="0" b="0"/>
                <wp:wrapNone/>
                <wp:docPr id="377" name="矩形 377"/>
                <wp:cNvGraphicFramePr/>
                <a:graphic xmlns:a="http://schemas.openxmlformats.org/drawingml/2006/main">
                  <a:graphicData uri="http://schemas.microsoft.com/office/word/2010/wordprocessingShape">
                    <wps:wsp>
                      <wps:cNvSpPr/>
                      <wps:spPr>
                        <a:xfrm>
                          <a:off x="0" y="0"/>
                          <a:ext cx="367665" cy="551815"/>
                        </a:xfrm>
                        <a:prstGeom prst="rect">
                          <a:avLst/>
                        </a:prstGeom>
                        <a:noFill/>
                        <a:ln w="15875">
                          <a:noFill/>
                        </a:ln>
                      </wps:spPr>
                      <wps:txbx>
                        <w:txbxContent>
                          <w:p w14:paraId="1192CFCB">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食</w:t>
                            </w:r>
                          </w:p>
                          <w:p w14:paraId="3E0804B8">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堂</w:t>
                            </w:r>
                          </w:p>
                        </w:txbxContent>
                      </wps:txbx>
                      <wps:bodyPr upright="1"/>
                    </wps:wsp>
                  </a:graphicData>
                </a:graphic>
              </wp:anchor>
            </w:drawing>
          </mc:Choice>
          <mc:Fallback>
            <w:pict>
              <v:rect id="_x0000_s1026" o:spid="_x0000_s1026" o:spt="1" style="position:absolute;left:0pt;margin-left:291.2pt;margin-top:68.3pt;height:43.45pt;width:28.95pt;z-index:251814912;mso-width-relative:page;mso-height-relative:page;" filled="f" stroked="f" coordsize="21600,21600" o:gfxdata="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HKu&#10;LPTbAAAACwEAAA8AAAAAAAAAAQAgAAAAIgAAAGRycy9kb3ducmV2LnhtbFBLAQIUABQAAAAIAIdO&#10;4kAoCRtPrgEAAE4DAAAOAAAAAAAAAAEAIAAAACoBAABkcnMvZTJvRG9jLnhtbFBLBQYAAAAABgAG&#10;AFkBAABKBQAAAAA=&#10;">
                <v:fill on="f" focussize="0,0"/>
                <v:stroke on="f" weight="1.25pt"/>
                <v:imagedata o:title=""/>
                <o:lock v:ext="edit" aspectratio="f"/>
                <v:textbox>
                  <w:txbxContent>
                    <w:p w14:paraId="1192CFCB">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食</w:t>
                      </w:r>
                    </w:p>
                    <w:p w14:paraId="3E0804B8">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堂</w:t>
                      </w:r>
                    </w:p>
                  </w:txbxContent>
                </v:textbox>
              </v:rect>
            </w:pict>
          </mc:Fallback>
        </mc:AlternateContent>
      </w:r>
      <w:r>
        <w:rPr>
          <w:color w:val="auto"/>
          <w:sz w:val="21"/>
        </w:rPr>
        <mc:AlternateContent>
          <mc:Choice Requires="wps">
            <w:drawing>
              <wp:anchor distT="0" distB="0" distL="114300" distR="114300" simplePos="0" relativeHeight="251816960" behindDoc="0" locked="0" layoutInCell="1" allowOverlap="1">
                <wp:simplePos x="0" y="0"/>
                <wp:positionH relativeFrom="column">
                  <wp:posOffset>3982720</wp:posOffset>
                </wp:positionH>
                <wp:positionV relativeFrom="paragraph">
                  <wp:posOffset>2148205</wp:posOffset>
                </wp:positionV>
                <wp:extent cx="762635" cy="664210"/>
                <wp:effectExtent l="6350" t="6350" r="8255" b="15240"/>
                <wp:wrapNone/>
                <wp:docPr id="378" name="任意多边形 378"/>
                <wp:cNvGraphicFramePr/>
                <a:graphic xmlns:a="http://schemas.openxmlformats.org/drawingml/2006/main">
                  <a:graphicData uri="http://schemas.microsoft.com/office/word/2010/wordprocessingShape">
                    <wps:wsp>
                      <wps:cNvSpPr/>
                      <wps:spPr>
                        <a:xfrm>
                          <a:off x="0" y="0"/>
                          <a:ext cx="762635" cy="664210"/>
                        </a:xfrm>
                        <a:custGeom>
                          <a:avLst/>
                          <a:gdLst>
                            <a:gd name="connisteX0" fmla="*/ 24765 w 708660"/>
                            <a:gd name="connsiteY0" fmla="*/ 33655 h 617855"/>
                            <a:gd name="connisteX1" fmla="*/ 426720 w 708660"/>
                            <a:gd name="connsiteY1" fmla="*/ 605155 h 617855"/>
                            <a:gd name="connisteX2" fmla="*/ 708660 w 708660"/>
                            <a:gd name="connsiteY2" fmla="*/ 617855 h 617855"/>
                            <a:gd name="connisteX3" fmla="*/ 704215 w 708660"/>
                            <a:gd name="connsiteY3" fmla="*/ 3810 h 617855"/>
                            <a:gd name="connisteX4" fmla="*/ 0 w 708660"/>
                            <a:gd name="connsiteY4" fmla="*/ 0 h 617855"/>
                            <a:gd name="connisteX5" fmla="*/ 24765 w 708660"/>
                            <a:gd name="connsiteY5" fmla="*/ 33655 h 617855"/>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Lst>
                          <a:rect l="l" t="t" r="r" b="b"/>
                          <a:pathLst>
                            <a:path w="708660" h="617855">
                              <a:moveTo>
                                <a:pt x="24765" y="33655"/>
                              </a:moveTo>
                              <a:lnTo>
                                <a:pt x="426720" y="605155"/>
                              </a:lnTo>
                              <a:lnTo>
                                <a:pt x="708660" y="617855"/>
                              </a:lnTo>
                              <a:lnTo>
                                <a:pt x="704215" y="3810"/>
                              </a:lnTo>
                              <a:lnTo>
                                <a:pt x="0" y="0"/>
                              </a:lnTo>
                              <a:lnTo>
                                <a:pt x="24765" y="33655"/>
                              </a:lnTo>
                              <a:close/>
                            </a:path>
                          </a:pathLst>
                        </a:custGeom>
                        <a:solidFill>
                          <a:srgbClr val="00B0F0">
                            <a:alpha val="40000"/>
                          </a:srgbClr>
                        </a:solidFill>
                        <a:ln w="12700">
                          <a:solidFill>
                            <a:srgbClr val="00B0F0"/>
                          </a:solidFill>
                        </a:ln>
                      </wps:spPr>
                      <wps:style>
                        <a:lnRef idx="2">
                          <a:schemeClr val="accent1">
                            <a:lumMod val="75000"/>
                          </a:schemeClr>
                        </a:lnRef>
                        <a:fillRef idx="1">
                          <a:schemeClr val="accent1"/>
                        </a:fillRef>
                        <a:effectRef idx="0">
                          <a:srgbClr val="FFFFFF"/>
                        </a:effectRef>
                        <a:fontRef idx="minor">
                          <a:schemeClr val="lt1"/>
                        </a:fontRef>
                      </wps:style>
                      <wps:bodyPr/>
                    </wps:wsp>
                  </a:graphicData>
                </a:graphic>
              </wp:anchor>
            </w:drawing>
          </mc:Choice>
          <mc:Fallback>
            <w:pict>
              <v:shape id="_x0000_s1026" o:spid="_x0000_s1026" o:spt="100" style="position:absolute;left:0pt;margin-left:313.6pt;margin-top:169.15pt;height:52.3pt;width:60.05pt;z-index:251816960;mso-width-relative:page;mso-height-relative:page;" fillcolor="#00B0F0" filled="t" stroked="t" coordsize="708660,617855" o:gfxdata="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" path="m24765,33655l426720,605155,708660,617855,704215,3810,0,0,24765,33655xe">
                <v:path o:connectlocs="26651,36179;459221,650557;762635,664210;757851,4095;0,0;26651,36179" o:connectangles="0,0,0,0,0,0"/>
                <v:fill on="t" opacity="26214f" focussize="0,0"/>
                <v:stroke weight="1pt" color="#00B0F0 [2404]" joinstyle="round"/>
                <v:imagedata o:title=""/>
                <o:lock v:ext="edit" aspectratio="f"/>
              </v:shape>
            </w:pict>
          </mc:Fallback>
        </mc:AlternateContent>
      </w:r>
      <w:r>
        <w:rPr>
          <w:color w:val="auto"/>
          <w:sz w:val="21"/>
        </w:rPr>
        <mc:AlternateContent>
          <mc:Choice Requires="wps">
            <w:drawing>
              <wp:anchor distT="0" distB="0" distL="114300" distR="114300" simplePos="0" relativeHeight="251817984" behindDoc="0" locked="0" layoutInCell="1" allowOverlap="1">
                <wp:simplePos x="0" y="0"/>
                <wp:positionH relativeFrom="column">
                  <wp:posOffset>4489450</wp:posOffset>
                </wp:positionH>
                <wp:positionV relativeFrom="paragraph">
                  <wp:posOffset>2822575</wp:posOffset>
                </wp:positionV>
                <wp:extent cx="276225" cy="371475"/>
                <wp:effectExtent l="6350" t="6350" r="6985" b="18415"/>
                <wp:wrapNone/>
                <wp:docPr id="379" name="任意多边形 379"/>
                <wp:cNvGraphicFramePr/>
                <a:graphic xmlns:a="http://schemas.openxmlformats.org/drawingml/2006/main">
                  <a:graphicData uri="http://schemas.microsoft.com/office/word/2010/wordprocessingShape">
                    <wps:wsp>
                      <wps:cNvSpPr/>
                      <wps:spPr>
                        <a:xfrm>
                          <a:off x="0" y="0"/>
                          <a:ext cx="276225" cy="371475"/>
                        </a:xfrm>
                        <a:custGeom>
                          <a:avLst/>
                          <a:gdLst>
                            <a:gd name="connisteX0" fmla="*/ 240665 w 276225"/>
                            <a:gd name="connsiteY0" fmla="*/ 324485 h 371475"/>
                            <a:gd name="connisteX1" fmla="*/ 0 w 276225"/>
                            <a:gd name="connsiteY1" fmla="*/ 0 h 371475"/>
                            <a:gd name="connisteX2" fmla="*/ 276225 w 276225"/>
                            <a:gd name="connsiteY2" fmla="*/ 3175 h 371475"/>
                            <a:gd name="connisteX3" fmla="*/ 271780 w 276225"/>
                            <a:gd name="connsiteY3" fmla="*/ 371475 h 371475"/>
                            <a:gd name="connisteX4" fmla="*/ 240665 w 276225"/>
                            <a:gd name="connsiteY4" fmla="*/ 324485 h 371475"/>
                          </a:gdLst>
                          <a:ahLst/>
                          <a:cxnLst>
                            <a:cxn ang="0">
                              <a:pos x="connisteX0" y="connsiteY0"/>
                            </a:cxn>
                            <a:cxn ang="0">
                              <a:pos x="connisteX1" y="connsiteY1"/>
                            </a:cxn>
                            <a:cxn ang="0">
                              <a:pos x="connisteX2" y="connsiteY2"/>
                            </a:cxn>
                            <a:cxn ang="0">
                              <a:pos x="connisteX3" y="connsiteY3"/>
                            </a:cxn>
                            <a:cxn ang="0">
                              <a:pos x="connisteX4" y="connsiteY4"/>
                            </a:cxn>
                          </a:cxnLst>
                          <a:rect l="l" t="t" r="r" b="b"/>
                          <a:pathLst>
                            <a:path w="276225" h="371475">
                              <a:moveTo>
                                <a:pt x="240665" y="324485"/>
                              </a:moveTo>
                              <a:lnTo>
                                <a:pt x="0" y="0"/>
                              </a:lnTo>
                              <a:lnTo>
                                <a:pt x="276225" y="3175"/>
                              </a:lnTo>
                              <a:lnTo>
                                <a:pt x="271780" y="371475"/>
                              </a:lnTo>
                              <a:lnTo>
                                <a:pt x="240665" y="324485"/>
                              </a:lnTo>
                              <a:close/>
                            </a:path>
                          </a:pathLst>
                        </a:custGeom>
                        <a:solidFill>
                          <a:srgbClr val="00B0F0">
                            <a:alpha val="40000"/>
                          </a:srgbClr>
                        </a:solidFill>
                        <a:ln w="12700">
                          <a:solidFill>
                            <a:srgbClr val="00B0F0"/>
                          </a:solidFill>
                        </a:ln>
                      </wps:spPr>
                      <wps:style>
                        <a:lnRef idx="2">
                          <a:schemeClr val="accent1">
                            <a:lumMod val="75000"/>
                          </a:schemeClr>
                        </a:lnRef>
                        <a:fillRef idx="1">
                          <a:schemeClr val="accent1"/>
                        </a:fillRef>
                        <a:effectRef idx="0">
                          <a:srgbClr val="FFFFFF"/>
                        </a:effectRef>
                        <a:fontRef idx="minor">
                          <a:schemeClr val="lt1"/>
                        </a:fontRef>
                      </wps:style>
                      <wps:bodyPr/>
                    </wps:wsp>
                  </a:graphicData>
                </a:graphic>
              </wp:anchor>
            </w:drawing>
          </mc:Choice>
          <mc:Fallback>
            <w:pict>
              <v:shape id="_x0000_s1026" o:spid="_x0000_s1026" o:spt="100" style="position:absolute;left:0pt;margin-left:353.5pt;margin-top:222.25pt;height:29.25pt;width:21.75pt;z-index:251817984;mso-width-relative:page;mso-height-relative:page;" fillcolor="#00B0F0" filled="t" stroked="t" coordsize="276225,371475" o:gfxdata="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" path="m240665,324485l0,0,276225,3175,271780,371475,240665,324485xe">
                <v:path o:connectlocs="240665,324485;0,0;276225,3175;271780,371475;240665,324485" o:connectangles="0,0,0,0,0"/>
                <v:fill on="t" opacity="26214f" focussize="0,0"/>
                <v:stroke weight="1pt" color="#00B0F0 [2404]" joinstyle="round"/>
                <v:imagedata o:title=""/>
                <o:lock v:ext="edit" aspectratio="f"/>
              </v:shape>
            </w:pict>
          </mc:Fallback>
        </mc:AlternateContent>
      </w:r>
      <w:r>
        <w:rPr>
          <w:color w:val="auto"/>
          <w:sz w:val="21"/>
        </w:rPr>
        <mc:AlternateContent>
          <mc:Choice Requires="wps">
            <w:drawing>
              <wp:anchor distT="0" distB="0" distL="114300" distR="114300" simplePos="0" relativeHeight="251822080" behindDoc="0" locked="0" layoutInCell="1" allowOverlap="1">
                <wp:simplePos x="0" y="0"/>
                <wp:positionH relativeFrom="column">
                  <wp:posOffset>3552190</wp:posOffset>
                </wp:positionH>
                <wp:positionV relativeFrom="paragraph">
                  <wp:posOffset>1117600</wp:posOffset>
                </wp:positionV>
                <wp:extent cx="109855" cy="95885"/>
                <wp:effectExtent l="6350" t="6350" r="20955" b="19685"/>
                <wp:wrapNone/>
                <wp:docPr id="384" name="矩形 384"/>
                <wp:cNvGraphicFramePr/>
                <a:graphic xmlns:a="http://schemas.openxmlformats.org/drawingml/2006/main">
                  <a:graphicData uri="http://schemas.microsoft.com/office/word/2010/wordprocessingShape">
                    <wps:wsp>
                      <wps:cNvSpPr/>
                      <wps:spPr>
                        <a:xfrm>
                          <a:off x="0" y="0"/>
                          <a:ext cx="109855" cy="95885"/>
                        </a:xfrm>
                        <a:prstGeom prst="rect">
                          <a:avLst/>
                        </a:prstGeom>
                        <a:solidFill>
                          <a:srgbClr val="00B0F0">
                            <a:alpha val="40000"/>
                          </a:srgbClr>
                        </a:solidFill>
                        <a:ln w="12700">
                          <a:solidFill>
                            <a:srgbClr val="00B0F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79.7pt;margin-top:88pt;height:7.55pt;width:8.65pt;z-index:251822080;v-text-anchor:middle;mso-width-relative:page;mso-height-relative:page;" fillcolor="#00B0F0" filled="t" stroked="t" coordsize="21600,21600" o:gfxdata="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&#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1rQU3dsAAAALAQAADwAAAAAAAAABACAAAAAiAAAAZHJz&#10;L2Rvd25yZXYueG1sUEsBAhQAFAAAAAgAh07iQMKehzVzAgAAAAUAAA4AAAAAAAAAAQAgAAAAKgEA&#10;AGRycy9lMm9Eb2MueG1sUEsFBgAAAAAGAAYAWQEAAA8GAAAAAA==&#10;">
                <v:fill on="t" opacity="26214f" focussize="0,0"/>
                <v:stroke weight="1pt" color="#00B0F0 [2404]" joinstyle="round"/>
                <v:imagedata o:title=""/>
                <o:lock v:ext="edit" aspectratio="f"/>
              </v:rect>
            </w:pict>
          </mc:Fallback>
        </mc:AlternateContent>
      </w:r>
      <w:r>
        <w:rPr>
          <w:color w:val="auto"/>
          <w:sz w:val="21"/>
        </w:rPr>
        <mc:AlternateContent>
          <mc:Choice Requires="wps">
            <w:drawing>
              <wp:anchor distT="0" distB="0" distL="114300" distR="114300" simplePos="0" relativeHeight="251823104" behindDoc="0" locked="0" layoutInCell="1" allowOverlap="1">
                <wp:simplePos x="0" y="0"/>
                <wp:positionH relativeFrom="column">
                  <wp:posOffset>3742055</wp:posOffset>
                </wp:positionH>
                <wp:positionV relativeFrom="paragraph">
                  <wp:posOffset>872490</wp:posOffset>
                </wp:positionV>
                <wp:extent cx="241935" cy="466090"/>
                <wp:effectExtent l="6350" t="6350" r="10795" b="15240"/>
                <wp:wrapNone/>
                <wp:docPr id="386" name="矩形 386"/>
                <wp:cNvGraphicFramePr/>
                <a:graphic xmlns:a="http://schemas.openxmlformats.org/drawingml/2006/main">
                  <a:graphicData uri="http://schemas.microsoft.com/office/word/2010/wordprocessingShape">
                    <wps:wsp>
                      <wps:cNvSpPr/>
                      <wps:spPr>
                        <a:xfrm>
                          <a:off x="0" y="0"/>
                          <a:ext cx="241935" cy="466090"/>
                        </a:xfrm>
                        <a:prstGeom prst="rect">
                          <a:avLst/>
                        </a:prstGeom>
                        <a:solidFill>
                          <a:srgbClr val="00B050">
                            <a:alpha val="40000"/>
                          </a:srgbClr>
                        </a:solidFill>
                        <a:ln w="12700">
                          <a:solidFill>
                            <a:srgbClr val="00B05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94.65pt;margin-top:68.7pt;height:36.7pt;width:19.05pt;z-index:251823104;v-text-anchor:middle;mso-width-relative:page;mso-height-relative:page;" fillcolor="#00B050" filled="t" stroked="t" coordsize="21600,21600" o:gfxdata="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CTaAuz2gAAAAsBAAAPAAAAAAAAAAEAIAAAACIAAABkcnMv&#10;ZG93bnJldi54bWxQSwECFAAUAAAACACHTuJAoiT9enMCAAABBQAADgAAAAAAAAABACAAAAApAQAA&#10;ZHJzL2Uyb0RvYy54bWxQSwUGAAAAAAYABgBZAQAADgYAAAAA&#10;">
                <v:fill on="t" opacity="26214f" focussize="0,0"/>
                <v:stroke weight="1pt" color="#00B050 [2404]" joinstyle="round"/>
                <v:imagedata o:title=""/>
                <o:lock v:ext="edit" aspectratio="f"/>
              </v:rect>
            </w:pict>
          </mc:Fallback>
        </mc:AlternateContent>
      </w:r>
      <w:r>
        <w:rPr>
          <w:color w:val="auto"/>
          <w:sz w:val="21"/>
        </w:rPr>
        <mc:AlternateContent>
          <mc:Choice Requires="wps">
            <w:drawing>
              <wp:anchor distT="0" distB="0" distL="114300" distR="114300" simplePos="0" relativeHeight="251792384" behindDoc="0" locked="0" layoutInCell="1" allowOverlap="1">
                <wp:simplePos x="0" y="0"/>
                <wp:positionH relativeFrom="column">
                  <wp:posOffset>3698240</wp:posOffset>
                </wp:positionH>
                <wp:positionV relativeFrom="paragraph">
                  <wp:posOffset>845185</wp:posOffset>
                </wp:positionV>
                <wp:extent cx="2230755" cy="2928620"/>
                <wp:effectExtent l="12700" t="12700" r="27305" b="15240"/>
                <wp:wrapNone/>
                <wp:docPr id="352" name="任意多边形 352"/>
                <wp:cNvGraphicFramePr/>
                <a:graphic xmlns:a="http://schemas.openxmlformats.org/drawingml/2006/main">
                  <a:graphicData uri="http://schemas.microsoft.com/office/word/2010/wordprocessingShape">
                    <wps:wsp>
                      <wps:cNvSpPr/>
                      <wps:spPr>
                        <a:xfrm>
                          <a:off x="0" y="0"/>
                          <a:ext cx="2230755" cy="2928620"/>
                        </a:xfrm>
                        <a:custGeom>
                          <a:avLst/>
                          <a:gdLst>
                            <a:gd name="connisteX0" fmla="*/ 8255 w 2230755"/>
                            <a:gd name="connsiteY0" fmla="*/ 0 h 2928620"/>
                            <a:gd name="connisteX1" fmla="*/ 0 w 2230755"/>
                            <a:gd name="connsiteY1" fmla="*/ 968375 h 2928620"/>
                            <a:gd name="connisteX2" fmla="*/ 1476375 w 2230755"/>
                            <a:gd name="connsiteY2" fmla="*/ 2928620 h 2928620"/>
                            <a:gd name="connisteX3" fmla="*/ 2222500 w 2230755"/>
                            <a:gd name="connsiteY3" fmla="*/ 2928620 h 2928620"/>
                            <a:gd name="connisteX4" fmla="*/ 2230755 w 2230755"/>
                            <a:gd name="connsiteY4" fmla="*/ 0 h 2928620"/>
                            <a:gd name="connisteX5" fmla="*/ 8255 w 2230755"/>
                            <a:gd name="connsiteY5" fmla="*/ 0 h 2928620"/>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Lst>
                          <a:rect l="l" t="t" r="r" b="b"/>
                          <a:pathLst>
                            <a:path w="2230755" h="2928620">
                              <a:moveTo>
                                <a:pt x="8255" y="0"/>
                              </a:moveTo>
                              <a:lnTo>
                                <a:pt x="0" y="968375"/>
                              </a:lnTo>
                              <a:lnTo>
                                <a:pt x="1476375" y="2928620"/>
                              </a:lnTo>
                              <a:lnTo>
                                <a:pt x="2222500" y="2928620"/>
                              </a:lnTo>
                              <a:lnTo>
                                <a:pt x="2230755" y="0"/>
                              </a:lnTo>
                              <a:lnTo>
                                <a:pt x="8255" y="0"/>
                              </a:lnTo>
                              <a:close/>
                            </a:path>
                          </a:pathLst>
                        </a:custGeom>
                        <a:noFill/>
                        <a:ln>
                          <a:solidFill>
                            <a:srgbClr val="00B0F0"/>
                          </a:solidFill>
                        </a:ln>
                      </wps:spPr>
                      <wps:style>
                        <a:lnRef idx="2">
                          <a:schemeClr val="accent1">
                            <a:lumMod val="75000"/>
                          </a:schemeClr>
                        </a:lnRef>
                        <a:fillRef idx="1">
                          <a:schemeClr val="accent1"/>
                        </a:fillRef>
                        <a:effectRef idx="0">
                          <a:srgbClr val="FFFFFF"/>
                        </a:effectRef>
                        <a:fontRef idx="minor">
                          <a:schemeClr val="lt1"/>
                        </a:fontRef>
                      </wps:style>
                      <wps:bodyPr/>
                    </wps:wsp>
                  </a:graphicData>
                </a:graphic>
              </wp:anchor>
            </w:drawing>
          </mc:Choice>
          <mc:Fallback>
            <w:pict>
              <v:shape id="_x0000_s1026" o:spid="_x0000_s1026" o:spt="100" style="position:absolute;left:0pt;margin-left:291.2pt;margin-top:66.55pt;height:230.6pt;width:175.65pt;z-index:251792384;mso-width-relative:page;mso-height-relative:page;" filled="f" stroked="t" coordsize="2230755,2928620" o:gfxdata="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" path="m8255,0l0,968375,1476375,2928620,2222500,2928620,2230755,0,8255,0xe">
                <v:path o:connectlocs="8255,0;0,968375;1476375,2928620;2222500,2928620;2230755,0;8255,0" o:connectangles="0,0,0,0,0,0"/>
                <v:fill on="f" focussize="0,0"/>
                <v:stroke weight="2pt" color="#00B0F0 [2404]" joinstyle="round"/>
                <v:imagedata o:title=""/>
                <o:lock v:ext="edit" aspectratio="f"/>
              </v:shape>
            </w:pict>
          </mc:Fallback>
        </mc:AlternateContent>
      </w:r>
      <w:r>
        <w:rPr>
          <w:color w:val="auto"/>
          <w:sz w:val="21"/>
        </w:rPr>
        <mc:AlternateContent>
          <mc:Choice Requires="wps">
            <w:drawing>
              <wp:anchor distT="0" distB="0" distL="114300" distR="114300" simplePos="0" relativeHeight="251791360" behindDoc="0" locked="0" layoutInCell="1" allowOverlap="1">
                <wp:simplePos x="0" y="0"/>
                <wp:positionH relativeFrom="column">
                  <wp:posOffset>2966085</wp:posOffset>
                </wp:positionH>
                <wp:positionV relativeFrom="paragraph">
                  <wp:posOffset>784860</wp:posOffset>
                </wp:positionV>
                <wp:extent cx="3107690" cy="4279900"/>
                <wp:effectExtent l="12700" t="12700" r="19050" b="20320"/>
                <wp:wrapNone/>
                <wp:docPr id="353" name="任意多边形 353"/>
                <wp:cNvGraphicFramePr/>
                <a:graphic xmlns:a="http://schemas.openxmlformats.org/drawingml/2006/main">
                  <a:graphicData uri="http://schemas.microsoft.com/office/word/2010/wordprocessingShape">
                    <wps:wsp>
                      <wps:cNvSpPr/>
                      <wps:spPr>
                        <a:xfrm>
                          <a:off x="0" y="0"/>
                          <a:ext cx="3107690" cy="4279900"/>
                        </a:xfrm>
                        <a:custGeom>
                          <a:avLst/>
                          <a:gdLst>
                            <a:gd name="connisteX0" fmla="*/ 0 w 3107690"/>
                            <a:gd name="connsiteY0" fmla="*/ 17780 h 4279900"/>
                            <a:gd name="connisteX1" fmla="*/ 0 w 3107690"/>
                            <a:gd name="connsiteY1" fmla="*/ 506095 h 4279900"/>
                            <a:gd name="connisteX2" fmla="*/ 2607945 w 3107690"/>
                            <a:gd name="connsiteY2" fmla="*/ 4154805 h 4279900"/>
                            <a:gd name="connisteX3" fmla="*/ 2649220 w 3107690"/>
                            <a:gd name="connsiteY3" fmla="*/ 4201795 h 4279900"/>
                            <a:gd name="connisteX4" fmla="*/ 3101975 w 3107690"/>
                            <a:gd name="connsiteY4" fmla="*/ 4279900 h 4279900"/>
                            <a:gd name="connisteX5" fmla="*/ 3107690 w 3107690"/>
                            <a:gd name="connsiteY5" fmla="*/ 0 h 4279900"/>
                            <a:gd name="connisteX6" fmla="*/ 0 w 3107690"/>
                            <a:gd name="connsiteY6" fmla="*/ 17780 h 4279900"/>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Lst>
                          <a:rect l="l" t="t" r="r" b="b"/>
                          <a:pathLst>
                            <a:path w="3107690" h="4279900">
                              <a:moveTo>
                                <a:pt x="0" y="17780"/>
                              </a:moveTo>
                              <a:lnTo>
                                <a:pt x="0" y="506095"/>
                              </a:lnTo>
                              <a:lnTo>
                                <a:pt x="2607945" y="4154805"/>
                              </a:lnTo>
                              <a:lnTo>
                                <a:pt x="2649220" y="4201795"/>
                              </a:lnTo>
                              <a:lnTo>
                                <a:pt x="3101975" y="4279900"/>
                              </a:lnTo>
                              <a:lnTo>
                                <a:pt x="3107690" y="0"/>
                              </a:lnTo>
                              <a:lnTo>
                                <a:pt x="0" y="17780"/>
                              </a:lnTo>
                              <a:close/>
                            </a:path>
                          </a:pathLst>
                        </a:cu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wps:wsp>
                  </a:graphicData>
                </a:graphic>
              </wp:anchor>
            </w:drawing>
          </mc:Choice>
          <mc:Fallback>
            <w:pict>
              <v:shape id="_x0000_s1026" o:spid="_x0000_s1026" o:spt="100" style="position:absolute;left:0pt;margin-left:233.55pt;margin-top:61.8pt;height:337pt;width:244.7pt;z-index:251791360;mso-width-relative:page;mso-height-relative:page;" filled="f" stroked="t" coordsize="3107690,4279900" o:gfxdata="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" path="m0,17780l0,506095,2607945,4154805,2649220,4201795,3101975,4279900,3107690,0,0,17780xe">
                <v:path o:connectlocs="0,17780;0,506095;2607945,4154805;2649220,4201795;3101975,4279900;3107690,0;0,17780" o:connectangles="0,0,0,0,0,0,0"/>
                <v:fill on="f" focussize="0,0"/>
                <v:stroke weight="2pt" color="#FF0000 [2404]" joinstyle="round"/>
                <v:imagedata o:title=""/>
                <o:lock v:ext="edit" aspectratio="f"/>
              </v:shape>
            </w:pict>
          </mc:Fallback>
        </mc:AlternateContent>
      </w:r>
      <w:r>
        <w:rPr>
          <w:color w:val="auto"/>
        </w:rPr>
        <w:drawing>
          <wp:anchor distT="0" distB="0" distL="114300" distR="114300" simplePos="0" relativeHeight="251793408" behindDoc="0" locked="0" layoutInCell="1" allowOverlap="1">
            <wp:simplePos x="0" y="0"/>
            <wp:positionH relativeFrom="column">
              <wp:posOffset>7770495</wp:posOffset>
            </wp:positionH>
            <wp:positionV relativeFrom="paragraph">
              <wp:posOffset>187960</wp:posOffset>
            </wp:positionV>
            <wp:extent cx="768350" cy="662940"/>
            <wp:effectExtent l="0" t="0" r="8890" b="7620"/>
            <wp:wrapNone/>
            <wp:docPr id="3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图片 2"/>
                    <pic:cNvPicPr>
                      <a:picLocks noChangeAspect="1"/>
                    </pic:cNvPicPr>
                  </pic:nvPicPr>
                  <pic:blipFill>
                    <a:blip r:embed="rId38"/>
                    <a:stretch>
                      <a:fillRect/>
                    </a:stretch>
                  </pic:blipFill>
                  <pic:spPr>
                    <a:xfrm>
                      <a:off x="0" y="0"/>
                      <a:ext cx="768350" cy="662940"/>
                    </a:xfrm>
                    <a:prstGeom prst="rect">
                      <a:avLst/>
                    </a:prstGeom>
                    <a:noFill/>
                    <a:ln>
                      <a:noFill/>
                    </a:ln>
                  </pic:spPr>
                </pic:pic>
              </a:graphicData>
            </a:graphic>
          </wp:anchor>
        </w:drawing>
      </w:r>
    </w:p>
    <w:p w14:paraId="063A4E09">
      <w:pPr>
        <w:pStyle w:val="18"/>
        <w:jc w:val="center"/>
        <w:outlineLvl w:val="0"/>
        <w:rPr>
          <w:rFonts w:hint="eastAsia" w:ascii="宋体" w:hAnsi="宋体" w:eastAsia="宋体" w:cs="宋体"/>
          <w:b/>
          <w:bCs/>
          <w:snapToGrid w:val="0"/>
          <w:color w:val="auto"/>
          <w:sz w:val="24"/>
          <w:szCs w:val="24"/>
          <w:highlight w:val="none"/>
          <w:lang w:val="en-US" w:eastAsia="zh-CN"/>
        </w:rPr>
      </w:pPr>
      <w:bookmarkStart w:id="44" w:name="_Toc25077"/>
      <w:r>
        <w:rPr>
          <w:rFonts w:hint="eastAsia" w:ascii="宋体" w:hAnsi="宋体" w:eastAsia="宋体" w:cs="宋体"/>
          <w:b/>
          <w:bCs/>
          <w:snapToGrid w:val="0"/>
          <w:color w:val="auto"/>
          <w:sz w:val="24"/>
          <w:szCs w:val="24"/>
          <w:highlight w:val="none"/>
          <w:lang w:val="en-US" w:eastAsia="zh-CN"/>
        </w:rPr>
        <w:t>附图</w:t>
      </w:r>
      <w:r>
        <w:rPr>
          <w:rFonts w:hint="eastAsia" w:ascii="Times New Roman" w:hAnsi="Times New Roman" w:eastAsia="宋体" w:cs="Times New Roman"/>
          <w:b/>
          <w:bCs/>
          <w:snapToGrid w:val="0"/>
          <w:color w:val="auto"/>
          <w:sz w:val="24"/>
          <w:szCs w:val="24"/>
          <w:highlight w:val="none"/>
          <w:lang w:val="en-US" w:eastAsia="zh-CN"/>
        </w:rPr>
        <w:t>3</w:t>
      </w:r>
      <w:r>
        <w:rPr>
          <w:rFonts w:hint="eastAsia" w:ascii="宋体" w:hAnsi="宋体" w:eastAsia="宋体" w:cs="宋体"/>
          <w:b/>
          <w:bCs/>
          <w:snapToGrid w:val="0"/>
          <w:color w:val="auto"/>
          <w:sz w:val="24"/>
          <w:szCs w:val="24"/>
          <w:highlight w:val="none"/>
          <w:lang w:val="en-US" w:eastAsia="zh-CN"/>
        </w:rPr>
        <w:t xml:space="preserve"> 本项目分区防渗图</w:t>
      </w:r>
      <w:bookmarkEnd w:id="44"/>
    </w:p>
    <w:p w14:paraId="1D75467F">
      <w:pPr>
        <w:pStyle w:val="18"/>
        <w:jc w:val="center"/>
        <w:outlineLvl w:val="0"/>
        <w:rPr>
          <w:rFonts w:hint="eastAsia" w:ascii="宋体" w:hAnsi="宋体" w:eastAsia="宋体" w:cs="宋体"/>
          <w:b/>
          <w:bCs/>
          <w:snapToGrid w:val="0"/>
          <w:color w:val="auto"/>
          <w:sz w:val="24"/>
          <w:szCs w:val="24"/>
          <w:highlight w:val="none"/>
          <w:lang w:val="en-US" w:eastAsia="zh-CN"/>
        </w:rPr>
        <w:sectPr>
          <w:pgSz w:w="16838" w:h="11906" w:orient="landscape"/>
          <w:pgMar w:top="964" w:right="1440" w:bottom="964" w:left="144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354CF699">
      <w:pPr>
        <w:pStyle w:val="34"/>
        <w:ind w:left="0" w:leftChars="0" w:firstLine="0" w:firstLineChars="0"/>
        <w:rPr>
          <w:rFonts w:hint="eastAsia"/>
          <w:color w:val="auto"/>
          <w:lang w:val="en-US" w:eastAsia="zh-CN"/>
        </w:rPr>
      </w:pPr>
      <w:r>
        <w:rPr>
          <w:color w:val="auto"/>
        </w:rPr>
        <mc:AlternateContent>
          <mc:Choice Requires="wps">
            <w:drawing>
              <wp:anchor distT="0" distB="0" distL="114300" distR="114300" simplePos="0" relativeHeight="251672576" behindDoc="0" locked="0" layoutInCell="1" allowOverlap="1">
                <wp:simplePos x="0" y="0"/>
                <wp:positionH relativeFrom="column">
                  <wp:posOffset>2851785</wp:posOffset>
                </wp:positionH>
                <wp:positionV relativeFrom="paragraph">
                  <wp:posOffset>2082165</wp:posOffset>
                </wp:positionV>
                <wp:extent cx="1140460" cy="292100"/>
                <wp:effectExtent l="0" t="0" r="0" b="0"/>
                <wp:wrapNone/>
                <wp:docPr id="54" name="矩形 54"/>
                <wp:cNvGraphicFramePr/>
                <a:graphic xmlns:a="http://schemas.openxmlformats.org/drawingml/2006/main">
                  <a:graphicData uri="http://schemas.microsoft.com/office/word/2010/wordprocessingShape">
                    <wps:wsp>
                      <wps:cNvSpPr/>
                      <wps:spPr>
                        <a:xfrm>
                          <a:off x="0" y="0"/>
                          <a:ext cx="1140460" cy="292100"/>
                        </a:xfrm>
                        <a:prstGeom prst="rect">
                          <a:avLst/>
                        </a:prstGeom>
                        <a:noFill/>
                        <a:ln w="15875">
                          <a:noFill/>
                        </a:ln>
                      </wps:spPr>
                      <wps:txbx>
                        <w:txbxContent>
                          <w:p w14:paraId="1F6E293C">
                            <w:pPr>
                              <w:rPr>
                                <w:rFonts w:hint="default" w:eastAsia="宋体"/>
                                <w:b/>
                                <w:bCs/>
                                <w:color w:val="FFFF00"/>
                                <w:lang w:val="en-US" w:eastAsia="zh-CN"/>
                              </w:rPr>
                            </w:pPr>
                            <w:r>
                              <w:rPr>
                                <w:rFonts w:hint="eastAsia"/>
                                <w:b/>
                                <w:bCs/>
                                <w:color w:val="FFFF00"/>
                                <w:lang w:val="en-US" w:eastAsia="zh-CN"/>
                              </w:rPr>
                              <w:t>杨家井居民点</w:t>
                            </w:r>
                          </w:p>
                        </w:txbxContent>
                      </wps:txbx>
                      <wps:bodyPr upright="1"/>
                    </wps:wsp>
                  </a:graphicData>
                </a:graphic>
              </wp:anchor>
            </w:drawing>
          </mc:Choice>
          <mc:Fallback>
            <w:pict>
              <v:rect id="_x0000_s1026" o:spid="_x0000_s1026" o:spt="1" style="position:absolute;left:0pt;margin-left:224.55pt;margin-top:163.95pt;height:23pt;width:89.8pt;z-index:251672576;mso-width-relative:page;mso-height-relative:page;" filled="f" stroked="f" coordsize="21600,21600" o:gfxdata="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anOU&#10;U9wAAAALAQAADwAAAAAAAAABACAAAAAiAAAAZHJzL2Rvd25yZXYueG1sUEsBAhQAFAAAAAgAh07i&#10;QD10/6+sAQAATQMAAA4AAAAAAAAAAQAgAAAAKwEAAGRycy9lMm9Eb2MueG1sUEsFBgAAAAAGAAYA&#10;WQEAAEkFAAAAAA==&#10;">
                <v:fill on="f" focussize="0,0"/>
                <v:stroke on="f" weight="1.25pt"/>
                <v:imagedata o:title=""/>
                <o:lock v:ext="edit" aspectratio="f"/>
                <v:textbox>
                  <w:txbxContent>
                    <w:p w14:paraId="1F6E293C">
                      <w:pPr>
                        <w:rPr>
                          <w:rFonts w:hint="default" w:eastAsia="宋体"/>
                          <w:b/>
                          <w:bCs/>
                          <w:color w:val="FFFF00"/>
                          <w:lang w:val="en-US" w:eastAsia="zh-CN"/>
                        </w:rPr>
                      </w:pPr>
                      <w:r>
                        <w:rPr>
                          <w:rFonts w:hint="eastAsia"/>
                          <w:b/>
                          <w:bCs/>
                          <w:color w:val="FFFF00"/>
                          <w:lang w:val="en-US" w:eastAsia="zh-CN"/>
                        </w:rPr>
                        <w:t>杨家井居民点</w:t>
                      </w:r>
                    </w:p>
                  </w:txbxContent>
                </v:textbox>
              </v:rect>
            </w:pict>
          </mc:Fallback>
        </mc:AlternateContent>
      </w:r>
      <w:r>
        <w:rPr>
          <w:color w:val="auto"/>
        </w:rPr>
        <mc:AlternateContent>
          <mc:Choice Requires="wps">
            <w:drawing>
              <wp:anchor distT="0" distB="0" distL="114300" distR="114300" simplePos="0" relativeHeight="251669504" behindDoc="0" locked="0" layoutInCell="1" allowOverlap="1">
                <wp:simplePos x="0" y="0"/>
                <wp:positionH relativeFrom="column">
                  <wp:posOffset>5075555</wp:posOffset>
                </wp:positionH>
                <wp:positionV relativeFrom="paragraph">
                  <wp:posOffset>3627755</wp:posOffset>
                </wp:positionV>
                <wp:extent cx="793115" cy="285750"/>
                <wp:effectExtent l="0" t="0" r="0" b="0"/>
                <wp:wrapNone/>
                <wp:docPr id="38" name="矩形 38"/>
                <wp:cNvGraphicFramePr/>
                <a:graphic xmlns:a="http://schemas.openxmlformats.org/drawingml/2006/main">
                  <a:graphicData uri="http://schemas.microsoft.com/office/word/2010/wordprocessingShape">
                    <wps:wsp>
                      <wps:cNvSpPr/>
                      <wps:spPr>
                        <a:xfrm>
                          <a:off x="0" y="0"/>
                          <a:ext cx="793115" cy="285750"/>
                        </a:xfrm>
                        <a:prstGeom prst="rect">
                          <a:avLst/>
                        </a:prstGeom>
                        <a:noFill/>
                        <a:ln w="15875">
                          <a:noFill/>
                        </a:ln>
                      </wps:spPr>
                      <wps:txbx>
                        <w:txbxContent>
                          <w:p w14:paraId="2A5FA16E">
                            <w:pPr>
                              <w:rPr>
                                <w:rFonts w:hint="default" w:eastAsia="宋体"/>
                                <w:b/>
                                <w:bCs/>
                                <w:color w:val="FF0000"/>
                                <w:lang w:val="en-US" w:eastAsia="zh-CN"/>
                              </w:rPr>
                            </w:pPr>
                            <w:r>
                              <w:rPr>
                                <w:rFonts w:hint="eastAsia"/>
                                <w:b/>
                                <w:bCs/>
                                <w:color w:val="FF0000"/>
                                <w:lang w:val="en-US" w:eastAsia="zh-CN"/>
                              </w:rPr>
                              <w:t>79m</w:t>
                            </w:r>
                          </w:p>
                        </w:txbxContent>
                      </wps:txbx>
                      <wps:bodyPr upright="1"/>
                    </wps:wsp>
                  </a:graphicData>
                </a:graphic>
              </wp:anchor>
            </w:drawing>
          </mc:Choice>
          <mc:Fallback>
            <w:pict>
              <v:rect id="_x0000_s1026" o:spid="_x0000_s1026" o:spt="1" style="position:absolute;left:0pt;margin-left:399.65pt;margin-top:285.65pt;height:22.5pt;width:62.45pt;z-index:251669504;mso-width-relative:page;mso-height-relative:page;" filled="f" stroked="f" coordsize="21600,21600" o:gfxdata="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G6A&#10;JzbcAAAACwEAAA8AAAAAAAAAAQAgAAAAIgAAAGRycy9kb3ducmV2LnhtbFBLAQIUABQAAAAIAIdO&#10;4kBNo7oTrQEAAEwDAAAOAAAAAAAAAAEAIAAAACsBAABkcnMvZTJvRG9jLnhtbFBLBQYAAAAABgAG&#10;AFkBAABKBQAAAAA=&#10;">
                <v:fill on="f" focussize="0,0"/>
                <v:stroke on="f" weight="1.25pt"/>
                <v:imagedata o:title=""/>
                <o:lock v:ext="edit" aspectratio="f"/>
                <v:textbox>
                  <w:txbxContent>
                    <w:p w14:paraId="2A5FA16E">
                      <w:pPr>
                        <w:rPr>
                          <w:rFonts w:hint="default" w:eastAsia="宋体"/>
                          <w:b/>
                          <w:bCs/>
                          <w:color w:val="FF0000"/>
                          <w:lang w:val="en-US" w:eastAsia="zh-CN"/>
                        </w:rPr>
                      </w:pPr>
                      <w:r>
                        <w:rPr>
                          <w:rFonts w:hint="eastAsia"/>
                          <w:b/>
                          <w:bCs/>
                          <w:color w:val="FF0000"/>
                          <w:lang w:val="en-US" w:eastAsia="zh-CN"/>
                        </w:rPr>
                        <w:t>79m</w:t>
                      </w:r>
                    </w:p>
                  </w:txbxContent>
                </v:textbox>
              </v:rect>
            </w:pict>
          </mc:Fallback>
        </mc:AlternateContent>
      </w:r>
      <w:r>
        <w:rPr>
          <w:color w:val="auto"/>
        </w:rPr>
        <w:drawing>
          <wp:inline distT="0" distB="0" distL="114300" distR="114300">
            <wp:extent cx="8855075" cy="5391785"/>
            <wp:effectExtent l="0" t="0" r="14605" b="3175"/>
            <wp:docPr id="90"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23"/>
                    <pic:cNvPicPr>
                      <a:picLocks noChangeAspect="1"/>
                    </pic:cNvPicPr>
                  </pic:nvPicPr>
                  <pic:blipFill>
                    <a:blip r:embed="rId41"/>
                    <a:stretch>
                      <a:fillRect/>
                    </a:stretch>
                  </pic:blipFill>
                  <pic:spPr>
                    <a:xfrm>
                      <a:off x="0" y="0"/>
                      <a:ext cx="8855075" cy="5391785"/>
                    </a:xfrm>
                    <a:prstGeom prst="rect">
                      <a:avLst/>
                    </a:prstGeom>
                    <a:noFill/>
                    <a:ln>
                      <a:noFill/>
                    </a:ln>
                  </pic:spPr>
                </pic:pic>
              </a:graphicData>
            </a:graphic>
          </wp:inline>
        </w:drawing>
      </w:r>
      <w:r>
        <w:rPr>
          <w:color w:val="auto"/>
          <w:sz w:val="21"/>
        </w:rPr>
        <mc:AlternateContent>
          <mc:Choice Requires="wps">
            <w:drawing>
              <wp:anchor distT="0" distB="0" distL="114300" distR="114300" simplePos="0" relativeHeight="251671552" behindDoc="0" locked="0" layoutInCell="1" allowOverlap="1">
                <wp:simplePos x="0" y="0"/>
                <wp:positionH relativeFrom="column">
                  <wp:posOffset>3307080</wp:posOffset>
                </wp:positionH>
                <wp:positionV relativeFrom="paragraph">
                  <wp:posOffset>2368550</wp:posOffset>
                </wp:positionV>
                <wp:extent cx="185420" cy="176530"/>
                <wp:effectExtent l="12700" t="12700" r="15240" b="24130"/>
                <wp:wrapNone/>
                <wp:docPr id="53" name="任意多边形 53"/>
                <wp:cNvGraphicFramePr/>
                <a:graphic xmlns:a="http://schemas.openxmlformats.org/drawingml/2006/main">
                  <a:graphicData uri="http://schemas.microsoft.com/office/word/2010/wordprocessingShape">
                    <wps:wsp>
                      <wps:cNvSpPr/>
                      <wps:spPr>
                        <a:xfrm>
                          <a:off x="4086225" y="2963545"/>
                          <a:ext cx="185420" cy="176530"/>
                        </a:xfrm>
                        <a:custGeom>
                          <a:avLst/>
                          <a:gdLst>
                            <a:gd name="connisteX0" fmla="*/ 127000 w 185420"/>
                            <a:gd name="connsiteY0" fmla="*/ 0 h 176530"/>
                            <a:gd name="connisteX1" fmla="*/ 0 w 185420"/>
                            <a:gd name="connsiteY1" fmla="*/ 59690 h 176530"/>
                            <a:gd name="connisteX2" fmla="*/ 48895 w 185420"/>
                            <a:gd name="connsiteY2" fmla="*/ 167005 h 176530"/>
                            <a:gd name="connisteX3" fmla="*/ 117475 w 185420"/>
                            <a:gd name="connsiteY3" fmla="*/ 176530 h 176530"/>
                            <a:gd name="connisteX4" fmla="*/ 185420 w 185420"/>
                            <a:gd name="connsiteY4" fmla="*/ 88900 h 176530"/>
                            <a:gd name="connisteX5" fmla="*/ 127000 w 185420"/>
                            <a:gd name="connsiteY5" fmla="*/ 0 h 176530"/>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Lst>
                          <a:rect l="l" t="t" r="r" b="b"/>
                          <a:pathLst>
                            <a:path w="185420" h="176530">
                              <a:moveTo>
                                <a:pt x="127000" y="0"/>
                              </a:moveTo>
                              <a:lnTo>
                                <a:pt x="0" y="59690"/>
                              </a:lnTo>
                              <a:lnTo>
                                <a:pt x="48895" y="167005"/>
                              </a:lnTo>
                              <a:lnTo>
                                <a:pt x="117475" y="176530"/>
                              </a:lnTo>
                              <a:lnTo>
                                <a:pt x="185420" y="88900"/>
                              </a:lnTo>
                              <a:lnTo>
                                <a:pt x="127000" y="0"/>
                              </a:lnTo>
                              <a:close/>
                            </a:path>
                          </a:pathLst>
                        </a:custGeom>
                        <a:noFill/>
                        <a:ln>
                          <a:solidFill>
                            <a:srgbClr val="FFFF00"/>
                          </a:solidFill>
                        </a:ln>
                      </wps:spPr>
                      <wps:style>
                        <a:lnRef idx="2">
                          <a:schemeClr val="accent1">
                            <a:lumMod val="75000"/>
                          </a:schemeClr>
                        </a:lnRef>
                        <a:fillRef idx="1">
                          <a:schemeClr val="accent1"/>
                        </a:fillRef>
                        <a:effectRef idx="0">
                          <a:srgbClr val="FFFFFF"/>
                        </a:effectRef>
                        <a:fontRef idx="minor">
                          <a:schemeClr val="lt1"/>
                        </a:fontRef>
                      </wps:style>
                      <wps:bodyPr/>
                    </wps:wsp>
                  </a:graphicData>
                </a:graphic>
              </wp:anchor>
            </w:drawing>
          </mc:Choice>
          <mc:Fallback>
            <w:pict>
              <v:shape id="_x0000_s1026" o:spid="_x0000_s1026" o:spt="100" style="position:absolute;left:0pt;margin-left:260.4pt;margin-top:186.5pt;height:13.9pt;width:14.6pt;z-index:251671552;mso-width-relative:page;mso-height-relative:page;" filled="f" stroked="t" coordsize="185420,176530" o:gfxdata="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" path="m127000,0l0,59690,48895,167005,117475,176530,185420,88900,127000,0xe">
                <v:path o:connectlocs="127000,0;0,59690;48895,167005;117475,176530;185420,88900;127000,0" o:connectangles="0,0,0,0,0,0"/>
                <v:fill on="f" focussize="0,0"/>
                <v:stroke weight="2pt" color="#FFFF00 [2404]" joinstyle="round"/>
                <v:imagedata o:title=""/>
                <o:lock v:ext="edit" aspectratio="f"/>
              </v:shape>
            </w:pict>
          </mc:Fallback>
        </mc:AlternateContent>
      </w:r>
      <w:r>
        <w:rPr>
          <w:color w:val="auto"/>
          <w:sz w:val="21"/>
        </w:rPr>
        <mc:AlternateContent>
          <mc:Choice Requires="wps">
            <w:drawing>
              <wp:anchor distT="0" distB="0" distL="114300" distR="114300" simplePos="0" relativeHeight="251673600" behindDoc="0" locked="0" layoutInCell="1" allowOverlap="1">
                <wp:simplePos x="0" y="0"/>
                <wp:positionH relativeFrom="column">
                  <wp:posOffset>3542665</wp:posOffset>
                </wp:positionH>
                <wp:positionV relativeFrom="paragraph">
                  <wp:posOffset>2459990</wp:posOffset>
                </wp:positionV>
                <wp:extent cx="1042035" cy="64135"/>
                <wp:effectExtent l="0" t="50800" r="9525" b="52705"/>
                <wp:wrapNone/>
                <wp:docPr id="60" name="直接箭头连接符 60"/>
                <wp:cNvGraphicFramePr/>
                <a:graphic xmlns:a="http://schemas.openxmlformats.org/drawingml/2006/main">
                  <a:graphicData uri="http://schemas.microsoft.com/office/word/2010/wordprocessingShape">
                    <wps:wsp>
                      <wps:cNvCnPr/>
                      <wps:spPr>
                        <a:xfrm flipH="1" flipV="1">
                          <a:off x="0" y="0"/>
                          <a:ext cx="1042035" cy="64135"/>
                        </a:xfrm>
                        <a:prstGeom prst="straightConnector1">
                          <a:avLst/>
                        </a:prstGeom>
                        <a:ln>
                          <a:solidFill>
                            <a:srgbClr val="FF0000"/>
                          </a:solidFill>
                          <a:headEnd type="arrow"/>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x y;margin-left:278.95pt;margin-top:193.7pt;height:5.05pt;width:82.05pt;z-index:251673600;mso-width-relative:page;mso-height-relative:page;" filled="f" stroked="t" coordsize="21600,21600" o:gfxdata="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pdxsU2QAAAAsBAAAPAAAAAAAA&#10;AAEAIAAAACIAAABkcnMvZG93bnJldi54bWxQSwECFAAUAAAACACHTuJAXHJEJRECAAD7AwAADgAA&#10;AAAAAAABACAAAAAoAQAAZHJzL2Uyb0RvYy54bWxQSwUGAAAAAAYABgBZAQAAqwUAAAAA&#10;">
                <v:fill on="f" focussize="0,0"/>
                <v:stroke weight="2pt" color="#FF0000 [3204]" joinstyle="round" startarrow="open" endarrow="open"/>
                <v:imagedata o:title=""/>
                <o:lock v:ext="edit" aspectratio="f"/>
              </v:shape>
            </w:pict>
          </mc:Fallback>
        </mc:AlternateContent>
      </w:r>
      <w:r>
        <w:rPr>
          <w:color w:val="auto"/>
        </w:rPr>
        <mc:AlternateContent>
          <mc:Choice Requires="wps">
            <w:drawing>
              <wp:anchor distT="0" distB="0" distL="114300" distR="114300" simplePos="0" relativeHeight="251666432" behindDoc="0" locked="0" layoutInCell="1" allowOverlap="1">
                <wp:simplePos x="0" y="0"/>
                <wp:positionH relativeFrom="column">
                  <wp:posOffset>3715385</wp:posOffset>
                </wp:positionH>
                <wp:positionV relativeFrom="paragraph">
                  <wp:posOffset>1527810</wp:posOffset>
                </wp:positionV>
                <wp:extent cx="1067435" cy="418465"/>
                <wp:effectExtent l="7620" t="7620" r="22225" b="518795"/>
                <wp:wrapNone/>
                <wp:docPr id="67" name="圆角矩形标注 67"/>
                <wp:cNvGraphicFramePr/>
                <a:graphic xmlns:a="http://schemas.openxmlformats.org/drawingml/2006/main">
                  <a:graphicData uri="http://schemas.microsoft.com/office/word/2010/wordprocessingShape">
                    <wps:wsp>
                      <wps:cNvSpPr/>
                      <wps:spPr>
                        <a:xfrm>
                          <a:off x="0" y="0"/>
                          <a:ext cx="1067435" cy="418465"/>
                        </a:xfrm>
                        <a:prstGeom prst="wedgeRoundRectCallout">
                          <a:avLst>
                            <a:gd name="adj1" fmla="val 32391"/>
                            <a:gd name="adj2" fmla="val 164112"/>
                            <a:gd name="adj3" fmla="val 16667"/>
                          </a:avLst>
                        </a:prstGeom>
                        <a:noFill/>
                        <a:ln w="15875" cap="flat" cmpd="sng">
                          <a:solidFill>
                            <a:srgbClr val="FF0000"/>
                          </a:solidFill>
                          <a:prstDash val="solid"/>
                          <a:miter/>
                          <a:headEnd type="none" w="med" len="med"/>
                          <a:tailEnd type="none" w="med" len="med"/>
                        </a:ln>
                      </wps:spPr>
                      <wps:txbx>
                        <w:txbxContent>
                          <w:p w14:paraId="50CFEBD6">
                            <w:pPr>
                              <w:keepNext w:val="0"/>
                              <w:keepLines w:val="0"/>
                              <w:pageBreakBefore w:val="0"/>
                              <w:widowControl w:val="0"/>
                              <w:kinsoku/>
                              <w:wordWrap/>
                              <w:overflowPunct/>
                              <w:topLinePunct w:val="0"/>
                              <w:bidi w:val="0"/>
                              <w:adjustRightInd/>
                              <w:snapToGrid/>
                              <w:spacing w:line="360" w:lineRule="auto"/>
                              <w:jc w:val="center"/>
                              <w:textAlignment w:val="auto"/>
                              <w:rPr>
                                <w:rFonts w:hint="default" w:eastAsia="宋体"/>
                                <w:b/>
                                <w:bCs/>
                                <w:color w:val="FF0000"/>
                                <w:sz w:val="21"/>
                                <w:szCs w:val="20"/>
                                <w:lang w:val="en-US" w:eastAsia="zh-CN"/>
                              </w:rPr>
                            </w:pPr>
                            <w:r>
                              <w:rPr>
                                <w:rFonts w:hint="eastAsia"/>
                                <w:b/>
                                <w:bCs/>
                                <w:color w:val="FF0000"/>
                                <w:sz w:val="21"/>
                                <w:szCs w:val="20"/>
                                <w:lang w:val="en-US" w:eastAsia="zh-CN"/>
                              </w:rPr>
                              <w:t>本项目厂界</w:t>
                            </w:r>
                          </w:p>
                        </w:txbxContent>
                      </wps:txbx>
                      <wps:bodyPr upright="1"/>
                    </wps:wsp>
                  </a:graphicData>
                </a:graphic>
              </wp:anchor>
            </w:drawing>
          </mc:Choice>
          <mc:Fallback>
            <w:pict>
              <v:shape id="_x0000_s1026" o:spid="_x0000_s1026" o:spt="62" type="#_x0000_t62" style="position:absolute;left:0pt;margin-left:292.55pt;margin-top:120.3pt;height:32.95pt;width:84.05pt;z-index:251666432;mso-width-relative:page;mso-height-relative:page;" filled="f" stroked="t" coordsize="21600,21600" o:gfxdata="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GM8bErcAAAACwEAAA8A&#10;AAAAAAAAAQAgAAAAIgAAAGRycy9kb3ducmV2LnhtbFBLAQIUABQAAAAIAIdO4kAQrcgfTAIAAJYE&#10;AAAOAAAAAAAAAAEAIAAAACsBAABkcnMvZTJvRG9jLnhtbFBLBQYAAAAABgAGAFkBAADpBQAAAAA=&#10;" adj="17796,46248,14400">
                <v:fill on="f" focussize="0,0"/>
                <v:stroke weight="1.25pt" color="#FF0000" joinstyle="miter"/>
                <v:imagedata o:title=""/>
                <o:lock v:ext="edit" aspectratio="f"/>
                <v:textbox>
                  <w:txbxContent>
                    <w:p w14:paraId="50CFEBD6">
                      <w:pPr>
                        <w:keepNext w:val="0"/>
                        <w:keepLines w:val="0"/>
                        <w:pageBreakBefore w:val="0"/>
                        <w:widowControl w:val="0"/>
                        <w:kinsoku/>
                        <w:wordWrap/>
                        <w:overflowPunct/>
                        <w:topLinePunct w:val="0"/>
                        <w:bidi w:val="0"/>
                        <w:adjustRightInd/>
                        <w:snapToGrid/>
                        <w:spacing w:line="360" w:lineRule="auto"/>
                        <w:jc w:val="center"/>
                        <w:textAlignment w:val="auto"/>
                        <w:rPr>
                          <w:rFonts w:hint="default" w:eastAsia="宋体"/>
                          <w:b/>
                          <w:bCs/>
                          <w:color w:val="FF0000"/>
                          <w:sz w:val="21"/>
                          <w:szCs w:val="20"/>
                          <w:lang w:val="en-US" w:eastAsia="zh-CN"/>
                        </w:rPr>
                      </w:pPr>
                      <w:r>
                        <w:rPr>
                          <w:rFonts w:hint="eastAsia"/>
                          <w:b/>
                          <w:bCs/>
                          <w:color w:val="FF0000"/>
                          <w:sz w:val="21"/>
                          <w:szCs w:val="20"/>
                          <w:lang w:val="en-US" w:eastAsia="zh-CN"/>
                        </w:rPr>
                        <w:t>本项目厂界</w:t>
                      </w:r>
                    </w:p>
                  </w:txbxContent>
                </v:textbox>
              </v:shape>
            </w:pict>
          </mc:Fallback>
        </mc:AlternateContent>
      </w:r>
      <w:r>
        <w:rPr>
          <w:color w:val="auto"/>
          <w:sz w:val="21"/>
        </w:rPr>
        <mc:AlternateContent>
          <mc:Choice Requires="wps">
            <w:drawing>
              <wp:anchor distT="0" distB="0" distL="114300" distR="114300" simplePos="0" relativeHeight="251667456" behindDoc="0" locked="0" layoutInCell="1" allowOverlap="1">
                <wp:simplePos x="0" y="0"/>
                <wp:positionH relativeFrom="column">
                  <wp:posOffset>5568315</wp:posOffset>
                </wp:positionH>
                <wp:positionV relativeFrom="paragraph">
                  <wp:posOffset>3997960</wp:posOffset>
                </wp:positionV>
                <wp:extent cx="2039620" cy="1157605"/>
                <wp:effectExtent l="12700" t="12700" r="20320" b="18415"/>
                <wp:wrapNone/>
                <wp:docPr id="32" name="任意多边形 32"/>
                <wp:cNvGraphicFramePr/>
                <a:graphic xmlns:a="http://schemas.openxmlformats.org/drawingml/2006/main">
                  <a:graphicData uri="http://schemas.microsoft.com/office/word/2010/wordprocessingShape">
                    <wps:wsp>
                      <wps:cNvSpPr/>
                      <wps:spPr>
                        <a:xfrm>
                          <a:off x="5991225" y="4312920"/>
                          <a:ext cx="2039620" cy="1157605"/>
                        </a:xfrm>
                        <a:custGeom>
                          <a:avLst/>
                          <a:gdLst>
                            <a:gd name="connisteX0" fmla="*/ 1660525 w 1768475"/>
                            <a:gd name="connsiteY0" fmla="*/ 155575 h 1005840"/>
                            <a:gd name="connisteX1" fmla="*/ 635000 w 1768475"/>
                            <a:gd name="connsiteY1" fmla="*/ 1005840 h 1005840"/>
                            <a:gd name="connisteX2" fmla="*/ 0 w 1768475"/>
                            <a:gd name="connsiteY2" fmla="*/ 0 h 1005840"/>
                            <a:gd name="connisteX3" fmla="*/ 1670685 w 1768475"/>
                            <a:gd name="connsiteY3" fmla="*/ 38100 h 1005840"/>
                            <a:gd name="connisteX4" fmla="*/ 1768475 w 1768475"/>
                            <a:gd name="connsiteY4" fmla="*/ 87630 h 1005840"/>
                            <a:gd name="connisteX5" fmla="*/ 1660525 w 1768475"/>
                            <a:gd name="connsiteY5" fmla="*/ 155575 h 1005840"/>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Lst>
                          <a:rect l="l" t="t" r="r" b="b"/>
                          <a:pathLst>
                            <a:path w="1768475" h="1005840">
                              <a:moveTo>
                                <a:pt x="1660525" y="155575"/>
                              </a:moveTo>
                              <a:lnTo>
                                <a:pt x="635000" y="1005840"/>
                              </a:lnTo>
                              <a:lnTo>
                                <a:pt x="0" y="0"/>
                              </a:lnTo>
                              <a:lnTo>
                                <a:pt x="1670685" y="38100"/>
                              </a:lnTo>
                              <a:lnTo>
                                <a:pt x="1768475" y="87630"/>
                              </a:lnTo>
                              <a:lnTo>
                                <a:pt x="1660525" y="155575"/>
                              </a:lnTo>
                              <a:close/>
                            </a:path>
                          </a:pathLst>
                        </a:custGeom>
                        <a:noFill/>
                        <a:ln>
                          <a:solidFill>
                            <a:srgbClr val="FFFF00"/>
                          </a:solidFill>
                        </a:ln>
                      </wps:spPr>
                      <wps:style>
                        <a:lnRef idx="2">
                          <a:schemeClr val="accent1">
                            <a:lumMod val="75000"/>
                          </a:schemeClr>
                        </a:lnRef>
                        <a:fillRef idx="1">
                          <a:schemeClr val="accent1"/>
                        </a:fillRef>
                        <a:effectRef idx="0">
                          <a:srgbClr val="FFFFFF"/>
                        </a:effectRef>
                        <a:fontRef idx="minor">
                          <a:schemeClr val="lt1"/>
                        </a:fontRef>
                      </wps:style>
                      <wps:bodyPr/>
                    </wps:wsp>
                  </a:graphicData>
                </a:graphic>
              </wp:anchor>
            </w:drawing>
          </mc:Choice>
          <mc:Fallback>
            <w:pict>
              <v:shape id="_x0000_s1026" o:spid="_x0000_s1026" o:spt="100" style="position:absolute;left:0pt;margin-left:438.45pt;margin-top:314.8pt;height:91.15pt;width:160.6pt;z-index:251667456;mso-width-relative:page;mso-height-relative:page;" filled="f" stroked="t" coordsize="1768475,1005840" o:gfxdata="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" path="m1660525,155575l635000,1005840,0,0,1670685,38100,1768475,87630,1660525,155575xe">
                <v:path o:connectlocs="1915118,179048;732359,1157605;0,0;1926836,43848;2039620,100851;1915118,179048" o:connectangles="0,0,0,0,0,0"/>
                <v:fill on="f" focussize="0,0"/>
                <v:stroke weight="2pt" color="#FFFF00 [2404]" joinstyle="round"/>
                <v:imagedata o:title=""/>
                <o:lock v:ext="edit" aspectratio="f"/>
              </v:shape>
            </w:pict>
          </mc:Fallback>
        </mc:AlternateContent>
      </w:r>
      <w:r>
        <w:rPr>
          <w:color w:val="auto"/>
        </w:rPr>
        <mc:AlternateContent>
          <mc:Choice Requires="wps">
            <w:drawing>
              <wp:anchor distT="0" distB="0" distL="114300" distR="114300" simplePos="0" relativeHeight="251670528" behindDoc="0" locked="0" layoutInCell="1" allowOverlap="1">
                <wp:simplePos x="0" y="0"/>
                <wp:positionH relativeFrom="column">
                  <wp:posOffset>5828030</wp:posOffset>
                </wp:positionH>
                <wp:positionV relativeFrom="paragraph">
                  <wp:posOffset>4119245</wp:posOffset>
                </wp:positionV>
                <wp:extent cx="1411605" cy="292100"/>
                <wp:effectExtent l="0" t="0" r="0" b="0"/>
                <wp:wrapNone/>
                <wp:docPr id="52" name="矩形 52"/>
                <wp:cNvGraphicFramePr/>
                <a:graphic xmlns:a="http://schemas.openxmlformats.org/drawingml/2006/main">
                  <a:graphicData uri="http://schemas.microsoft.com/office/word/2010/wordprocessingShape">
                    <wps:wsp>
                      <wps:cNvSpPr/>
                      <wps:spPr>
                        <a:xfrm>
                          <a:off x="0" y="0"/>
                          <a:ext cx="1411605" cy="292100"/>
                        </a:xfrm>
                        <a:prstGeom prst="rect">
                          <a:avLst/>
                        </a:prstGeom>
                        <a:noFill/>
                        <a:ln w="15875">
                          <a:noFill/>
                        </a:ln>
                      </wps:spPr>
                      <wps:txbx>
                        <w:txbxContent>
                          <w:p w14:paraId="47418D34">
                            <w:pPr>
                              <w:rPr>
                                <w:rFonts w:hint="eastAsia"/>
                                <w:b/>
                                <w:bCs/>
                                <w:color w:val="FFFF00"/>
                                <w:lang w:val="en-US" w:eastAsia="zh-CN"/>
                              </w:rPr>
                            </w:pPr>
                            <w:r>
                              <w:rPr>
                                <w:rFonts w:hint="eastAsia"/>
                                <w:b/>
                                <w:bCs/>
                                <w:color w:val="FFFF00"/>
                                <w:lang w:val="en-US" w:eastAsia="zh-CN"/>
                              </w:rPr>
                              <w:t>摩配小镇配套公寓</w:t>
                            </w:r>
                          </w:p>
                        </w:txbxContent>
                      </wps:txbx>
                      <wps:bodyPr upright="1"/>
                    </wps:wsp>
                  </a:graphicData>
                </a:graphic>
              </wp:anchor>
            </w:drawing>
          </mc:Choice>
          <mc:Fallback>
            <w:pict>
              <v:rect id="_x0000_s1026" o:spid="_x0000_s1026" o:spt="1" style="position:absolute;left:0pt;margin-left:458.9pt;margin-top:324.35pt;height:23pt;width:111.15pt;z-index:251670528;mso-width-relative:page;mso-height-relative:page;" filled="f" stroked="f" coordsize="21600,21600" o:gfxdata="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hf8/&#10;QtsAAAAMAQAADwAAAAAAAAABACAAAAAiAAAAZHJzL2Rvd25yZXYueG1sUEsBAhQAFAAAAAgAh07i&#10;QNTJ8SCtAQAATQMAAA4AAAAAAAAAAQAgAAAAKgEAAGRycy9lMm9Eb2MueG1sUEsFBgAAAAAGAAYA&#10;WQEAAEkFAAAAAA==&#10;">
                <v:fill on="f" focussize="0,0"/>
                <v:stroke on="f" weight="1.25pt"/>
                <v:imagedata o:title=""/>
                <o:lock v:ext="edit" aspectratio="f"/>
                <v:textbox>
                  <w:txbxContent>
                    <w:p w14:paraId="47418D34">
                      <w:pPr>
                        <w:rPr>
                          <w:rFonts w:hint="eastAsia"/>
                          <w:b/>
                          <w:bCs/>
                          <w:color w:val="FFFF00"/>
                          <w:lang w:val="en-US" w:eastAsia="zh-CN"/>
                        </w:rPr>
                      </w:pPr>
                      <w:r>
                        <w:rPr>
                          <w:rFonts w:hint="eastAsia"/>
                          <w:b/>
                          <w:bCs/>
                          <w:color w:val="FFFF00"/>
                          <w:lang w:val="en-US" w:eastAsia="zh-CN"/>
                        </w:rPr>
                        <w:t>摩配小镇配套公寓</w:t>
                      </w:r>
                    </w:p>
                  </w:txbxContent>
                </v:textbox>
              </v:rect>
            </w:pict>
          </mc:Fallback>
        </mc:AlternateContent>
      </w:r>
      <w:r>
        <w:rPr>
          <w:color w:val="auto"/>
        </w:rPr>
        <w:drawing>
          <wp:anchor distT="0" distB="0" distL="114300" distR="114300" simplePos="0" relativeHeight="251675648" behindDoc="0" locked="0" layoutInCell="1" allowOverlap="1">
            <wp:simplePos x="0" y="0"/>
            <wp:positionH relativeFrom="column">
              <wp:posOffset>7785100</wp:posOffset>
            </wp:positionH>
            <wp:positionV relativeFrom="paragraph">
              <wp:posOffset>175260</wp:posOffset>
            </wp:positionV>
            <wp:extent cx="848995" cy="732155"/>
            <wp:effectExtent l="0" t="0" r="4445" b="14605"/>
            <wp:wrapNone/>
            <wp:docPr id="6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2"/>
                    <pic:cNvPicPr>
                      <a:picLocks noChangeAspect="1"/>
                    </pic:cNvPicPr>
                  </pic:nvPicPr>
                  <pic:blipFill>
                    <a:blip r:embed="rId38"/>
                    <a:stretch>
                      <a:fillRect/>
                    </a:stretch>
                  </pic:blipFill>
                  <pic:spPr>
                    <a:xfrm>
                      <a:off x="0" y="0"/>
                      <a:ext cx="848995" cy="732155"/>
                    </a:xfrm>
                    <a:prstGeom prst="rect">
                      <a:avLst/>
                    </a:prstGeom>
                    <a:noFill/>
                    <a:ln>
                      <a:noFill/>
                    </a:ln>
                  </pic:spPr>
                </pic:pic>
              </a:graphicData>
            </a:graphic>
          </wp:anchor>
        </w:drawing>
      </w:r>
      <w:r>
        <w:rPr>
          <w:color w:val="auto"/>
        </w:rPr>
        <mc:AlternateContent>
          <mc:Choice Requires="wps">
            <w:drawing>
              <wp:anchor distT="0" distB="0" distL="114300" distR="114300" simplePos="0" relativeHeight="251674624" behindDoc="0" locked="0" layoutInCell="1" allowOverlap="1">
                <wp:simplePos x="0" y="0"/>
                <wp:positionH relativeFrom="column">
                  <wp:posOffset>3535680</wp:posOffset>
                </wp:positionH>
                <wp:positionV relativeFrom="paragraph">
                  <wp:posOffset>2578100</wp:posOffset>
                </wp:positionV>
                <wp:extent cx="793115" cy="285750"/>
                <wp:effectExtent l="0" t="0" r="0" b="0"/>
                <wp:wrapNone/>
                <wp:docPr id="61" name="矩形 61"/>
                <wp:cNvGraphicFramePr/>
                <a:graphic xmlns:a="http://schemas.openxmlformats.org/drawingml/2006/main">
                  <a:graphicData uri="http://schemas.microsoft.com/office/word/2010/wordprocessingShape">
                    <wps:wsp>
                      <wps:cNvSpPr/>
                      <wps:spPr>
                        <a:xfrm>
                          <a:off x="0" y="0"/>
                          <a:ext cx="793115" cy="285750"/>
                        </a:xfrm>
                        <a:prstGeom prst="rect">
                          <a:avLst/>
                        </a:prstGeom>
                        <a:noFill/>
                        <a:ln w="15875">
                          <a:noFill/>
                        </a:ln>
                      </wps:spPr>
                      <wps:txbx>
                        <w:txbxContent>
                          <w:p w14:paraId="76ED7DBF">
                            <w:pPr>
                              <w:rPr>
                                <w:rFonts w:hint="default" w:eastAsia="宋体"/>
                                <w:b/>
                                <w:bCs/>
                                <w:color w:val="FF0000"/>
                                <w:lang w:val="en-US" w:eastAsia="zh-CN"/>
                              </w:rPr>
                            </w:pPr>
                            <w:r>
                              <w:rPr>
                                <w:rFonts w:hint="eastAsia"/>
                                <w:b/>
                                <w:bCs/>
                                <w:color w:val="FF0000"/>
                                <w:lang w:val="en-US" w:eastAsia="zh-CN"/>
                              </w:rPr>
                              <w:t>248m</w:t>
                            </w:r>
                          </w:p>
                        </w:txbxContent>
                      </wps:txbx>
                      <wps:bodyPr upright="1"/>
                    </wps:wsp>
                  </a:graphicData>
                </a:graphic>
              </wp:anchor>
            </w:drawing>
          </mc:Choice>
          <mc:Fallback>
            <w:pict>
              <v:rect id="_x0000_s1026" o:spid="_x0000_s1026" o:spt="1" style="position:absolute;left:0pt;margin-left:278.4pt;margin-top:203pt;height:22.5pt;width:62.45pt;z-index:251674624;mso-width-relative:page;mso-height-relative:page;" filled="f" stroked="f" coordsize="21600,21600" o:gfxdata="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">
                <v:fill on="f" focussize="0,0"/>
                <v:stroke on="f" weight="1.25pt"/>
                <v:imagedata o:title=""/>
                <o:lock v:ext="edit" aspectratio="f"/>
                <v:textbox>
                  <w:txbxContent>
                    <w:p w14:paraId="76ED7DBF">
                      <w:pPr>
                        <w:rPr>
                          <w:rFonts w:hint="default" w:eastAsia="宋体"/>
                          <w:b/>
                          <w:bCs/>
                          <w:color w:val="FF0000"/>
                          <w:lang w:val="en-US" w:eastAsia="zh-CN"/>
                        </w:rPr>
                      </w:pPr>
                      <w:r>
                        <w:rPr>
                          <w:rFonts w:hint="eastAsia"/>
                          <w:b/>
                          <w:bCs/>
                          <w:color w:val="FF0000"/>
                          <w:lang w:val="en-US" w:eastAsia="zh-CN"/>
                        </w:rPr>
                        <w:t>248m</w:t>
                      </w:r>
                    </w:p>
                  </w:txbxContent>
                </v:textbox>
              </v:rect>
            </w:pict>
          </mc:Fallback>
        </mc:AlternateContent>
      </w:r>
      <w:r>
        <w:rPr>
          <w:color w:val="auto"/>
          <w:sz w:val="21"/>
        </w:rPr>
        <mc:AlternateContent>
          <mc:Choice Requires="wps">
            <w:drawing>
              <wp:anchor distT="0" distB="0" distL="114300" distR="114300" simplePos="0" relativeHeight="251668480" behindDoc="0" locked="0" layoutInCell="1" allowOverlap="1">
                <wp:simplePos x="0" y="0"/>
                <wp:positionH relativeFrom="column">
                  <wp:posOffset>5490210</wp:posOffset>
                </wp:positionH>
                <wp:positionV relativeFrom="paragraph">
                  <wp:posOffset>3713480</wp:posOffset>
                </wp:positionV>
                <wp:extent cx="78105" cy="284480"/>
                <wp:effectExtent l="28575" t="0" r="30480" b="5080"/>
                <wp:wrapNone/>
                <wp:docPr id="51" name="直接箭头连接符 51"/>
                <wp:cNvGraphicFramePr/>
                <a:graphic xmlns:a="http://schemas.openxmlformats.org/drawingml/2006/main">
                  <a:graphicData uri="http://schemas.microsoft.com/office/word/2010/wordprocessingShape">
                    <wps:wsp>
                      <wps:cNvCnPr>
                        <a:stCxn id="32" idx="2"/>
                      </wps:cNvCnPr>
                      <wps:spPr>
                        <a:xfrm flipH="1" flipV="1">
                          <a:off x="0" y="0"/>
                          <a:ext cx="78105" cy="284480"/>
                        </a:xfrm>
                        <a:prstGeom prst="straightConnector1">
                          <a:avLst/>
                        </a:prstGeom>
                        <a:ln>
                          <a:solidFill>
                            <a:srgbClr val="FF0000"/>
                          </a:solidFill>
                          <a:headEnd type="arrow"/>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x y;margin-left:432.3pt;margin-top:292.4pt;height:22.4pt;width:6.15pt;z-index:251668480;mso-width-relative:page;mso-height-relative:page;" filled="f" stroked="t" coordsize="21600,21600" o:gfxdata="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FxQHbfZAAAACwEAAA8AAAAAAAAAAQAgAAAAIgAAAGRycy9kb3ducmV2LnhtbFBLAQIUABQAAAAI&#10;AIdO4kBLjzTmJQIAACEEAAAOAAAAAAAAAAEAIAAAACgBAABkcnMvZTJvRG9jLnhtbFBLBQYAAAAA&#10;BgAGAFkBAAC/BQAAAAA=&#10;">
                <v:fill on="f" focussize="0,0"/>
                <v:stroke weight="2pt" color="#FF0000 [3204]" joinstyle="round" startarrow="open" endarrow="open"/>
                <v:imagedata o:title=""/>
                <o:lock v:ext="edit" aspectratio="f"/>
              </v:shape>
            </w:pict>
          </mc:Fallback>
        </mc:AlternateContent>
      </w:r>
    </w:p>
    <w:p w14:paraId="70E8E846">
      <w:pPr>
        <w:pStyle w:val="18"/>
        <w:jc w:val="center"/>
        <w:outlineLvl w:val="0"/>
        <w:rPr>
          <w:rFonts w:hint="eastAsia" w:ascii="宋体" w:hAnsi="宋体" w:eastAsia="宋体" w:cs="宋体"/>
          <w:b/>
          <w:bCs/>
          <w:snapToGrid w:val="0"/>
          <w:color w:val="auto"/>
          <w:sz w:val="24"/>
          <w:szCs w:val="24"/>
          <w:highlight w:val="none"/>
          <w:lang w:val="en-US" w:eastAsia="zh-CN"/>
        </w:rPr>
      </w:pPr>
      <w:bookmarkStart w:id="45" w:name="_Toc11815"/>
      <w:r>
        <w:rPr>
          <w:rFonts w:hint="eastAsia" w:ascii="宋体" w:hAnsi="宋体" w:eastAsia="宋体" w:cs="宋体"/>
          <w:b/>
          <w:bCs/>
          <w:snapToGrid w:val="0"/>
          <w:color w:val="auto"/>
          <w:sz w:val="24"/>
          <w:szCs w:val="24"/>
          <w:highlight w:val="none"/>
          <w:lang w:val="en-US" w:eastAsia="zh-CN"/>
        </w:rPr>
        <w:t>附图</w:t>
      </w:r>
      <w:r>
        <w:rPr>
          <w:rFonts w:hint="default" w:ascii="Times New Roman" w:hAnsi="Times New Roman" w:cs="Times New Roman"/>
          <w:b/>
          <w:bCs/>
          <w:snapToGrid w:val="0"/>
          <w:color w:val="auto"/>
          <w:sz w:val="24"/>
          <w:szCs w:val="24"/>
          <w:highlight w:val="none"/>
          <w:lang w:val="en-US" w:eastAsia="zh-CN"/>
        </w:rPr>
        <w:t>4</w:t>
      </w:r>
      <w:r>
        <w:rPr>
          <w:rFonts w:hint="eastAsia" w:ascii="宋体" w:hAnsi="宋体" w:eastAsia="宋体" w:cs="宋体"/>
          <w:b/>
          <w:bCs/>
          <w:snapToGrid w:val="0"/>
          <w:color w:val="auto"/>
          <w:sz w:val="24"/>
          <w:szCs w:val="24"/>
          <w:highlight w:val="none"/>
          <w:lang w:val="en-US" w:eastAsia="zh-CN"/>
        </w:rPr>
        <w:t xml:space="preserve"> 环境敏感目标分布图</w:t>
      </w:r>
      <w:bookmarkEnd w:id="45"/>
    </w:p>
    <w:p w14:paraId="4DE71D6A">
      <w:pPr>
        <w:pStyle w:val="18"/>
        <w:jc w:val="center"/>
        <w:outlineLvl w:val="0"/>
        <w:rPr>
          <w:rFonts w:hint="eastAsia" w:ascii="宋体" w:hAnsi="宋体" w:eastAsia="宋体" w:cs="宋体"/>
          <w:b/>
          <w:bCs/>
          <w:snapToGrid w:val="0"/>
          <w:color w:val="auto"/>
          <w:sz w:val="24"/>
          <w:szCs w:val="24"/>
          <w:highlight w:val="none"/>
          <w:lang w:val="en-US" w:eastAsia="zh-CN"/>
        </w:rPr>
        <w:sectPr>
          <w:pgSz w:w="16838" w:h="11906" w:orient="landscape"/>
          <w:pgMar w:top="964" w:right="1440" w:bottom="964" w:left="144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73B17692">
      <w:pPr>
        <w:bidi w:val="0"/>
        <w:rPr>
          <w:rFonts w:hint="eastAsia"/>
          <w:color w:val="auto"/>
        </w:rPr>
      </w:pPr>
      <w:r>
        <w:rPr>
          <w:color w:val="auto"/>
        </w:rPr>
        <mc:AlternateContent>
          <mc:Choice Requires="wps">
            <w:drawing>
              <wp:anchor distT="0" distB="0" distL="114300" distR="114300" simplePos="0" relativeHeight="251700224" behindDoc="0" locked="0" layoutInCell="1" allowOverlap="1">
                <wp:simplePos x="0" y="0"/>
                <wp:positionH relativeFrom="column">
                  <wp:posOffset>5608955</wp:posOffset>
                </wp:positionH>
                <wp:positionV relativeFrom="paragraph">
                  <wp:posOffset>1664970</wp:posOffset>
                </wp:positionV>
                <wp:extent cx="1000125" cy="571500"/>
                <wp:effectExtent l="0" t="0" r="0" b="0"/>
                <wp:wrapNone/>
                <wp:docPr id="109" name="矩形 109"/>
                <wp:cNvGraphicFramePr/>
                <a:graphic xmlns:a="http://schemas.openxmlformats.org/drawingml/2006/main">
                  <a:graphicData uri="http://schemas.microsoft.com/office/word/2010/wordprocessingShape">
                    <wps:wsp>
                      <wps:cNvSpPr/>
                      <wps:spPr>
                        <a:xfrm>
                          <a:off x="0" y="0"/>
                          <a:ext cx="1000125" cy="571500"/>
                        </a:xfrm>
                        <a:prstGeom prst="rect">
                          <a:avLst/>
                        </a:prstGeom>
                        <a:noFill/>
                        <a:ln w="15875">
                          <a:noFill/>
                        </a:ln>
                      </wps:spPr>
                      <wps:txbx>
                        <w:txbxContent>
                          <w:p w14:paraId="4315BC1C">
                            <w:pPr>
                              <w:jc w:val="center"/>
                              <w:rPr>
                                <w:rFonts w:hint="eastAsia" w:ascii="Times New Roman" w:hAnsi="Times New Roman" w:eastAsia="宋体" w:cs="Times New Roman"/>
                                <w:b/>
                                <w:bCs/>
                                <w:color w:val="FF0000"/>
                                <w:sz w:val="21"/>
                                <w:szCs w:val="20"/>
                                <w:lang w:val="en-US" w:eastAsia="zh-CN"/>
                              </w:rPr>
                            </w:pPr>
                            <w:r>
                              <w:rPr>
                                <w:rFonts w:hint="eastAsia" w:ascii="Times New Roman" w:hAnsi="Times New Roman" w:eastAsia="宋体" w:cs="Times New Roman"/>
                                <w:b/>
                                <w:bCs/>
                                <w:color w:val="FF0000"/>
                                <w:sz w:val="21"/>
                                <w:szCs w:val="20"/>
                                <w:lang w:val="en-US" w:eastAsia="zh-CN"/>
                              </w:rPr>
                              <w:t>大润新材料有限公司</w:t>
                            </w:r>
                          </w:p>
                        </w:txbxContent>
                      </wps:txbx>
                      <wps:bodyPr upright="1"/>
                    </wps:wsp>
                  </a:graphicData>
                </a:graphic>
              </wp:anchor>
            </w:drawing>
          </mc:Choice>
          <mc:Fallback>
            <w:pict>
              <v:rect id="_x0000_s1026" o:spid="_x0000_s1026" o:spt="1" style="position:absolute;left:0pt;margin-left:441.65pt;margin-top:131.1pt;height:45pt;width:78.75pt;z-index:251700224;mso-width-relative:page;mso-height-relative:page;" filled="f" stroked="f" coordsize="21600,21600" o:gfxdata="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82a0&#10;XdsAAAAMAQAADwAAAAAAAAABACAAAAAiAAAAZHJzL2Rvd25yZXYueG1sUEsBAhQAFAAAAAgAh07i&#10;QGRKvNStAQAATwMAAA4AAAAAAAAAAQAgAAAAKgEAAGRycy9lMm9Eb2MueG1sUEsFBgAAAAAGAAYA&#10;WQEAAEkFAAAAAA==&#10;">
                <v:fill on="f" focussize="0,0"/>
                <v:stroke on="f" weight="1.25pt"/>
                <v:imagedata o:title=""/>
                <o:lock v:ext="edit" aspectratio="f"/>
                <v:textbox>
                  <w:txbxContent>
                    <w:p w14:paraId="4315BC1C">
                      <w:pPr>
                        <w:jc w:val="center"/>
                        <w:rPr>
                          <w:rFonts w:hint="eastAsia" w:ascii="Times New Roman" w:hAnsi="Times New Roman" w:eastAsia="宋体" w:cs="Times New Roman"/>
                          <w:b/>
                          <w:bCs/>
                          <w:color w:val="FF0000"/>
                          <w:sz w:val="21"/>
                          <w:szCs w:val="20"/>
                          <w:lang w:val="en-US" w:eastAsia="zh-CN"/>
                        </w:rPr>
                      </w:pPr>
                      <w:r>
                        <w:rPr>
                          <w:rFonts w:hint="eastAsia" w:ascii="Times New Roman" w:hAnsi="Times New Roman" w:eastAsia="宋体" w:cs="Times New Roman"/>
                          <w:b/>
                          <w:bCs/>
                          <w:color w:val="FF0000"/>
                          <w:sz w:val="21"/>
                          <w:szCs w:val="20"/>
                          <w:lang w:val="en-US" w:eastAsia="zh-CN"/>
                        </w:rPr>
                        <w:t>大润新材料有限公司</w:t>
                      </w:r>
                    </w:p>
                  </w:txbxContent>
                </v:textbox>
              </v:rect>
            </w:pict>
          </mc:Fallback>
        </mc:AlternateContent>
      </w:r>
      <w:r>
        <w:rPr>
          <w:color w:val="auto"/>
        </w:rPr>
        <mc:AlternateContent>
          <mc:Choice Requires="wps">
            <w:drawing>
              <wp:anchor distT="0" distB="0" distL="114300" distR="114300" simplePos="0" relativeHeight="251709440" behindDoc="0" locked="0" layoutInCell="1" allowOverlap="1">
                <wp:simplePos x="0" y="0"/>
                <wp:positionH relativeFrom="column">
                  <wp:posOffset>5984240</wp:posOffset>
                </wp:positionH>
                <wp:positionV relativeFrom="paragraph">
                  <wp:posOffset>2158365</wp:posOffset>
                </wp:positionV>
                <wp:extent cx="95250" cy="95250"/>
                <wp:effectExtent l="7620" t="7620" r="19050" b="19050"/>
                <wp:wrapNone/>
                <wp:docPr id="118" name="流程图: 联系 118"/>
                <wp:cNvGraphicFramePr/>
                <a:graphic xmlns:a="http://schemas.openxmlformats.org/drawingml/2006/main">
                  <a:graphicData uri="http://schemas.microsoft.com/office/word/2010/wordprocessingShape">
                    <wps:wsp>
                      <wps:cNvSpPr/>
                      <wps:spPr>
                        <a:xfrm>
                          <a:off x="0" y="0"/>
                          <a:ext cx="95250" cy="95250"/>
                        </a:xfrm>
                        <a:prstGeom prst="flowChartConnector">
                          <a:avLst/>
                        </a:prstGeom>
                        <a:solidFill>
                          <a:srgbClr val="FF0000"/>
                        </a:solidFill>
                        <a:ln w="15875" cap="flat" cmpd="sng">
                          <a:solidFill>
                            <a:srgbClr val="739CC3"/>
                          </a:solidFill>
                          <a:prstDash val="solid"/>
                          <a:headEnd type="none" w="med" len="med"/>
                          <a:tailEnd type="none" w="med" len="med"/>
                        </a:ln>
                      </wps:spPr>
                      <wps:bodyPr upright="1"/>
                    </wps:wsp>
                  </a:graphicData>
                </a:graphic>
              </wp:anchor>
            </w:drawing>
          </mc:Choice>
          <mc:Fallback>
            <w:pict>
              <v:shape id="_x0000_s1026" o:spid="_x0000_s1026" o:spt="120" type="#_x0000_t120" style="position:absolute;left:0pt;margin-left:471.2pt;margin-top:169.95pt;height:7.5pt;width:7.5pt;z-index:251709440;mso-width-relative:page;mso-height-relative:page;" fillcolor="#FF0000" filled="t" stroked="t" coordsize="21600,21600" o:gfxdata="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cGiiN2QAAAAsBAAAPAAAA&#10;AAAAAAEAIAAAACIAAABkcnMvZG93bnJldi54bWxQSwECFAAUAAAACACHTuJA2iJzeBQCAAAvBAAA&#10;DgAAAAAAAAABACAAAAAoAQAAZHJzL2Uyb0RvYy54bWxQSwUGAAAAAAYABgBZAQAArgUAAAAA&#10;">
                <v:fill on="t" focussize="0,0"/>
                <v:stroke weight="1.25pt" color="#739CC3" joinstyle="round"/>
                <v:imagedata o:title=""/>
                <o:lock v:ext="edit" aspectratio="f"/>
              </v:shape>
            </w:pict>
          </mc:Fallback>
        </mc:AlternateContent>
      </w:r>
      <w:r>
        <w:rPr>
          <w:color w:val="auto"/>
        </w:rPr>
        <mc:AlternateContent>
          <mc:Choice Requires="wps">
            <w:drawing>
              <wp:anchor distT="0" distB="0" distL="114300" distR="114300" simplePos="0" relativeHeight="251702272" behindDoc="0" locked="0" layoutInCell="1" allowOverlap="1">
                <wp:simplePos x="0" y="0"/>
                <wp:positionH relativeFrom="column">
                  <wp:posOffset>7031355</wp:posOffset>
                </wp:positionH>
                <wp:positionV relativeFrom="paragraph">
                  <wp:posOffset>1343660</wp:posOffset>
                </wp:positionV>
                <wp:extent cx="1160145" cy="571500"/>
                <wp:effectExtent l="0" t="0" r="0" b="0"/>
                <wp:wrapNone/>
                <wp:docPr id="117" name="矩形 117"/>
                <wp:cNvGraphicFramePr/>
                <a:graphic xmlns:a="http://schemas.openxmlformats.org/drawingml/2006/main">
                  <a:graphicData uri="http://schemas.microsoft.com/office/word/2010/wordprocessingShape">
                    <wps:wsp>
                      <wps:cNvSpPr/>
                      <wps:spPr>
                        <a:xfrm>
                          <a:off x="0" y="0"/>
                          <a:ext cx="1160145" cy="571500"/>
                        </a:xfrm>
                        <a:prstGeom prst="rect">
                          <a:avLst/>
                        </a:prstGeom>
                        <a:noFill/>
                        <a:ln w="15875">
                          <a:noFill/>
                        </a:ln>
                      </wps:spPr>
                      <wps:txbx>
                        <w:txbxContent>
                          <w:p w14:paraId="204AEE56">
                            <w:pPr>
                              <w:rPr>
                                <w:rFonts w:hint="eastAsia" w:ascii="Times New Roman" w:hAnsi="Times New Roman" w:eastAsia="宋体" w:cs="Times New Roman"/>
                                <w:b/>
                                <w:bCs/>
                                <w:color w:val="FF0000"/>
                                <w:sz w:val="21"/>
                                <w:szCs w:val="20"/>
                                <w:lang w:val="en-US" w:eastAsia="zh-CN"/>
                              </w:rPr>
                            </w:pPr>
                            <w:r>
                              <w:rPr>
                                <w:rFonts w:hint="eastAsia" w:ascii="Times New Roman" w:hAnsi="Times New Roman" w:eastAsia="宋体" w:cs="Times New Roman"/>
                                <w:b/>
                                <w:bCs/>
                                <w:color w:val="FF0000"/>
                                <w:sz w:val="21"/>
                                <w:szCs w:val="20"/>
                                <w:lang w:val="en-US" w:eastAsia="zh-CN"/>
                              </w:rPr>
                              <w:t>江西恒正金属制品有限公司</w:t>
                            </w:r>
                          </w:p>
                        </w:txbxContent>
                      </wps:txbx>
                      <wps:bodyPr upright="1"/>
                    </wps:wsp>
                  </a:graphicData>
                </a:graphic>
              </wp:anchor>
            </w:drawing>
          </mc:Choice>
          <mc:Fallback>
            <w:pict>
              <v:rect id="_x0000_s1026" o:spid="_x0000_s1026" o:spt="1" style="position:absolute;left:0pt;margin-left:553.65pt;margin-top:105.8pt;height:45pt;width:91.35pt;z-index:251702272;mso-width-relative:page;mso-height-relative:page;" filled="f" stroked="f" coordsize="21600,21600" o:gfxdata="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tETu&#10;KdsAAAANAQAADwAAAAAAAAABACAAAAAiAAAAZHJzL2Rvd25yZXYueG1sUEsBAhQAFAAAAAgAh07i&#10;QDTct1qtAQAATwMAAA4AAAAAAAAAAQAgAAAAKgEAAGRycy9lMm9Eb2MueG1sUEsFBgAAAAAGAAYA&#10;WQEAAEkFAAAAAA==&#10;">
                <v:fill on="f" focussize="0,0"/>
                <v:stroke on="f" weight="1.25pt"/>
                <v:imagedata o:title=""/>
                <o:lock v:ext="edit" aspectratio="f"/>
                <v:textbox>
                  <w:txbxContent>
                    <w:p w14:paraId="204AEE56">
                      <w:pPr>
                        <w:rPr>
                          <w:rFonts w:hint="eastAsia" w:ascii="Times New Roman" w:hAnsi="Times New Roman" w:eastAsia="宋体" w:cs="Times New Roman"/>
                          <w:b/>
                          <w:bCs/>
                          <w:color w:val="FF0000"/>
                          <w:sz w:val="21"/>
                          <w:szCs w:val="20"/>
                          <w:lang w:val="en-US" w:eastAsia="zh-CN"/>
                        </w:rPr>
                      </w:pPr>
                      <w:r>
                        <w:rPr>
                          <w:rFonts w:hint="eastAsia" w:ascii="Times New Roman" w:hAnsi="Times New Roman" w:eastAsia="宋体" w:cs="Times New Roman"/>
                          <w:b/>
                          <w:bCs/>
                          <w:color w:val="FF0000"/>
                          <w:sz w:val="21"/>
                          <w:szCs w:val="20"/>
                          <w:lang w:val="en-US" w:eastAsia="zh-CN"/>
                        </w:rPr>
                        <w:t>江西恒正金属制品有限公司</w:t>
                      </w:r>
                    </w:p>
                  </w:txbxContent>
                </v:textbox>
              </v:rect>
            </w:pict>
          </mc:Fallback>
        </mc:AlternateContent>
      </w:r>
      <w:r>
        <w:rPr>
          <w:color w:val="auto"/>
        </w:rPr>
        <mc:AlternateContent>
          <mc:Choice Requires="wps">
            <w:drawing>
              <wp:anchor distT="0" distB="0" distL="114300" distR="114300" simplePos="0" relativeHeight="251708416" behindDoc="0" locked="0" layoutInCell="1" allowOverlap="1">
                <wp:simplePos x="0" y="0"/>
                <wp:positionH relativeFrom="column">
                  <wp:posOffset>7031355</wp:posOffset>
                </wp:positionH>
                <wp:positionV relativeFrom="paragraph">
                  <wp:posOffset>2021205</wp:posOffset>
                </wp:positionV>
                <wp:extent cx="1160145" cy="571500"/>
                <wp:effectExtent l="0" t="0" r="0" b="0"/>
                <wp:wrapNone/>
                <wp:docPr id="116" name="矩形 116"/>
                <wp:cNvGraphicFramePr/>
                <a:graphic xmlns:a="http://schemas.openxmlformats.org/drawingml/2006/main">
                  <a:graphicData uri="http://schemas.microsoft.com/office/word/2010/wordprocessingShape">
                    <wps:wsp>
                      <wps:cNvSpPr/>
                      <wps:spPr>
                        <a:xfrm>
                          <a:off x="0" y="0"/>
                          <a:ext cx="1160145" cy="571500"/>
                        </a:xfrm>
                        <a:prstGeom prst="rect">
                          <a:avLst/>
                        </a:prstGeom>
                        <a:noFill/>
                        <a:ln w="15875">
                          <a:noFill/>
                        </a:ln>
                      </wps:spPr>
                      <wps:txbx>
                        <w:txbxContent>
                          <w:p w14:paraId="6BD70E57">
                            <w:pPr>
                              <w:jc w:val="center"/>
                              <w:rPr>
                                <w:rFonts w:hint="eastAsia" w:ascii="Times New Roman" w:hAnsi="Times New Roman" w:eastAsia="宋体" w:cs="Times New Roman"/>
                                <w:b/>
                                <w:bCs/>
                                <w:color w:val="FF0000"/>
                                <w:sz w:val="21"/>
                                <w:szCs w:val="20"/>
                                <w:lang w:val="en-US" w:eastAsia="zh-CN"/>
                              </w:rPr>
                            </w:pPr>
                            <w:r>
                              <w:rPr>
                                <w:rFonts w:hint="eastAsia" w:ascii="Times New Roman" w:hAnsi="Times New Roman" w:eastAsia="宋体" w:cs="Times New Roman"/>
                                <w:b/>
                                <w:bCs/>
                                <w:color w:val="FF0000"/>
                                <w:sz w:val="21"/>
                                <w:szCs w:val="20"/>
                                <w:lang w:val="en-US" w:eastAsia="zh-CN"/>
                              </w:rPr>
                              <w:t>江西久耐金属制品有限公司</w:t>
                            </w:r>
                          </w:p>
                        </w:txbxContent>
                      </wps:txbx>
                      <wps:bodyPr upright="1"/>
                    </wps:wsp>
                  </a:graphicData>
                </a:graphic>
              </wp:anchor>
            </w:drawing>
          </mc:Choice>
          <mc:Fallback>
            <w:pict>
              <v:rect id="_x0000_s1026" o:spid="_x0000_s1026" o:spt="1" style="position:absolute;left:0pt;margin-left:553.65pt;margin-top:159.15pt;height:45pt;width:91.35pt;z-index:251708416;mso-width-relative:page;mso-height-relative:page;" filled="f" stroked="f" coordsize="21600,21600" o:gfxdata="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">
                <v:fill on="f" focussize="0,0"/>
                <v:stroke on="f" weight="1.25pt"/>
                <v:imagedata o:title=""/>
                <o:lock v:ext="edit" aspectratio="f"/>
                <v:textbox>
                  <w:txbxContent>
                    <w:p w14:paraId="6BD70E57">
                      <w:pPr>
                        <w:jc w:val="center"/>
                        <w:rPr>
                          <w:rFonts w:hint="eastAsia" w:ascii="Times New Roman" w:hAnsi="Times New Roman" w:eastAsia="宋体" w:cs="Times New Roman"/>
                          <w:b/>
                          <w:bCs/>
                          <w:color w:val="FF0000"/>
                          <w:sz w:val="21"/>
                          <w:szCs w:val="20"/>
                          <w:lang w:val="en-US" w:eastAsia="zh-CN"/>
                        </w:rPr>
                      </w:pPr>
                      <w:r>
                        <w:rPr>
                          <w:rFonts w:hint="eastAsia" w:ascii="Times New Roman" w:hAnsi="Times New Roman" w:eastAsia="宋体" w:cs="Times New Roman"/>
                          <w:b/>
                          <w:bCs/>
                          <w:color w:val="FF0000"/>
                          <w:sz w:val="21"/>
                          <w:szCs w:val="20"/>
                          <w:lang w:val="en-US" w:eastAsia="zh-CN"/>
                        </w:rPr>
                        <w:t>江西久耐金属制品有限公司</w:t>
                      </w:r>
                    </w:p>
                  </w:txbxContent>
                </v:textbox>
              </v:rect>
            </w:pict>
          </mc:Fallback>
        </mc:AlternateContent>
      </w:r>
      <w:r>
        <w:rPr>
          <w:color w:val="auto"/>
        </w:rPr>
        <mc:AlternateContent>
          <mc:Choice Requires="wps">
            <w:drawing>
              <wp:anchor distT="0" distB="0" distL="114300" distR="114300" simplePos="0" relativeHeight="251707392" behindDoc="0" locked="0" layoutInCell="1" allowOverlap="1">
                <wp:simplePos x="0" y="0"/>
                <wp:positionH relativeFrom="column">
                  <wp:posOffset>6777355</wp:posOffset>
                </wp:positionH>
                <wp:positionV relativeFrom="paragraph">
                  <wp:posOffset>3037205</wp:posOffset>
                </wp:positionV>
                <wp:extent cx="1160145" cy="571500"/>
                <wp:effectExtent l="0" t="0" r="0" b="0"/>
                <wp:wrapNone/>
                <wp:docPr id="115" name="矩形 115"/>
                <wp:cNvGraphicFramePr/>
                <a:graphic xmlns:a="http://schemas.openxmlformats.org/drawingml/2006/main">
                  <a:graphicData uri="http://schemas.microsoft.com/office/word/2010/wordprocessingShape">
                    <wps:wsp>
                      <wps:cNvSpPr/>
                      <wps:spPr>
                        <a:xfrm>
                          <a:off x="0" y="0"/>
                          <a:ext cx="1160145" cy="571500"/>
                        </a:xfrm>
                        <a:prstGeom prst="rect">
                          <a:avLst/>
                        </a:prstGeom>
                        <a:noFill/>
                        <a:ln w="15875">
                          <a:noFill/>
                        </a:ln>
                      </wps:spPr>
                      <wps:txbx>
                        <w:txbxContent>
                          <w:p w14:paraId="6CE731D6">
                            <w:pPr>
                              <w:jc w:val="center"/>
                              <w:rPr>
                                <w:rFonts w:hint="default"/>
                                <w:lang w:val="en-US" w:eastAsia="zh-CN"/>
                              </w:rPr>
                            </w:pPr>
                            <w:r>
                              <w:rPr>
                                <w:rFonts w:hint="eastAsia" w:ascii="Times New Roman" w:hAnsi="Times New Roman" w:eastAsia="宋体" w:cs="Times New Roman"/>
                                <w:b/>
                                <w:bCs/>
                                <w:color w:val="FF0000"/>
                                <w:sz w:val="21"/>
                                <w:szCs w:val="20"/>
                                <w:lang w:val="en-US" w:eastAsia="zh-CN"/>
                              </w:rPr>
                              <w:t>江西富源新材料有限公司</w:t>
                            </w:r>
                          </w:p>
                        </w:txbxContent>
                      </wps:txbx>
                      <wps:bodyPr upright="1"/>
                    </wps:wsp>
                  </a:graphicData>
                </a:graphic>
              </wp:anchor>
            </w:drawing>
          </mc:Choice>
          <mc:Fallback>
            <w:pict>
              <v:rect id="_x0000_s1026" o:spid="_x0000_s1026" o:spt="1" style="position:absolute;left:0pt;margin-left:533.65pt;margin-top:239.15pt;height:45pt;width:91.35pt;z-index:251707392;mso-width-relative:page;mso-height-relative:page;" filled="f" stroked="f" coordsize="21600,21600" o:gfxdata="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BpK&#10;E3rcAAAADQEAAA8AAAAAAAAAAQAgAAAAIgAAAGRycy9kb3ducmV2LnhtbFBLAQIUABQAAAAIAIdO&#10;4kDdCckVrQEAAE8DAAAOAAAAAAAAAAEAIAAAACsBAABkcnMvZTJvRG9jLnhtbFBLBQYAAAAABgAG&#10;AFkBAABKBQAAAAA=&#10;">
                <v:fill on="f" focussize="0,0"/>
                <v:stroke on="f" weight="1.25pt"/>
                <v:imagedata o:title=""/>
                <o:lock v:ext="edit" aspectratio="f"/>
                <v:textbox>
                  <w:txbxContent>
                    <w:p w14:paraId="6CE731D6">
                      <w:pPr>
                        <w:jc w:val="center"/>
                        <w:rPr>
                          <w:rFonts w:hint="default"/>
                          <w:lang w:val="en-US" w:eastAsia="zh-CN"/>
                        </w:rPr>
                      </w:pPr>
                      <w:r>
                        <w:rPr>
                          <w:rFonts w:hint="eastAsia" w:ascii="Times New Roman" w:hAnsi="Times New Roman" w:eastAsia="宋体" w:cs="Times New Roman"/>
                          <w:b/>
                          <w:bCs/>
                          <w:color w:val="FF0000"/>
                          <w:sz w:val="21"/>
                          <w:szCs w:val="20"/>
                          <w:lang w:val="en-US" w:eastAsia="zh-CN"/>
                        </w:rPr>
                        <w:t>江西富源新材料有限公司</w:t>
                      </w:r>
                    </w:p>
                  </w:txbxContent>
                </v:textbox>
              </v:rect>
            </w:pict>
          </mc:Fallback>
        </mc:AlternateContent>
      </w:r>
      <w:r>
        <w:rPr>
          <w:color w:val="auto"/>
        </w:rPr>
        <mc:AlternateContent>
          <mc:Choice Requires="wps">
            <w:drawing>
              <wp:anchor distT="0" distB="0" distL="114300" distR="114300" simplePos="0" relativeHeight="251706368" behindDoc="0" locked="0" layoutInCell="1" allowOverlap="1">
                <wp:simplePos x="0" y="0"/>
                <wp:positionH relativeFrom="column">
                  <wp:posOffset>7210425</wp:posOffset>
                </wp:positionH>
                <wp:positionV relativeFrom="paragraph">
                  <wp:posOffset>2903220</wp:posOffset>
                </wp:positionV>
                <wp:extent cx="95250" cy="95250"/>
                <wp:effectExtent l="7620" t="7620" r="19050" b="19050"/>
                <wp:wrapNone/>
                <wp:docPr id="114" name="流程图: 联系 114"/>
                <wp:cNvGraphicFramePr/>
                <a:graphic xmlns:a="http://schemas.openxmlformats.org/drawingml/2006/main">
                  <a:graphicData uri="http://schemas.microsoft.com/office/word/2010/wordprocessingShape">
                    <wps:wsp>
                      <wps:cNvSpPr/>
                      <wps:spPr>
                        <a:xfrm>
                          <a:off x="0" y="0"/>
                          <a:ext cx="95250" cy="95250"/>
                        </a:xfrm>
                        <a:prstGeom prst="flowChartConnector">
                          <a:avLst/>
                        </a:prstGeom>
                        <a:solidFill>
                          <a:srgbClr val="FF0000"/>
                        </a:solidFill>
                        <a:ln w="15875" cap="flat" cmpd="sng">
                          <a:solidFill>
                            <a:srgbClr val="739CC3"/>
                          </a:solidFill>
                          <a:prstDash val="solid"/>
                          <a:headEnd type="none" w="med" len="med"/>
                          <a:tailEnd type="none" w="med" len="med"/>
                        </a:ln>
                      </wps:spPr>
                      <wps:bodyPr upright="1"/>
                    </wps:wsp>
                  </a:graphicData>
                </a:graphic>
              </wp:anchor>
            </w:drawing>
          </mc:Choice>
          <mc:Fallback>
            <w:pict>
              <v:shape id="_x0000_s1026" o:spid="_x0000_s1026" o:spt="120" type="#_x0000_t120" style="position:absolute;left:0pt;margin-left:567.75pt;margin-top:228.6pt;height:7.5pt;width:7.5pt;z-index:251706368;mso-width-relative:page;mso-height-relative:page;" fillcolor="#FF0000" filled="t" stroked="t" coordsize="21600,21600" o:gfxdata="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6U4XF9kAAAANAQAADwAA&#10;AAAAAAABACAAAAAiAAAAZHJzL2Rvd25yZXYueG1sUEsBAhQAFAAAAAgAh07iQGbx1GMVAgAALwQA&#10;AA4AAAAAAAAAAQAgAAAAKAEAAGRycy9lMm9Eb2MueG1sUEsFBgAAAAAGAAYAWQEAAK8FAAAAAA==&#10;">
                <v:fill on="t" focussize="0,0"/>
                <v:stroke weight="1.25pt" color="#739CC3" joinstyle="round"/>
                <v:imagedata o:title=""/>
                <o:lock v:ext="edit" aspectratio="f"/>
              </v:shape>
            </w:pict>
          </mc:Fallback>
        </mc:AlternateContent>
      </w:r>
      <w:r>
        <w:rPr>
          <w:color w:val="auto"/>
        </w:rPr>
        <mc:AlternateContent>
          <mc:Choice Requires="wps">
            <w:drawing>
              <wp:anchor distT="0" distB="0" distL="114300" distR="114300" simplePos="0" relativeHeight="251705344" behindDoc="0" locked="0" layoutInCell="1" allowOverlap="1">
                <wp:simplePos x="0" y="0"/>
                <wp:positionH relativeFrom="column">
                  <wp:posOffset>6990715</wp:posOffset>
                </wp:positionH>
                <wp:positionV relativeFrom="paragraph">
                  <wp:posOffset>2175510</wp:posOffset>
                </wp:positionV>
                <wp:extent cx="95250" cy="95250"/>
                <wp:effectExtent l="7620" t="7620" r="19050" b="19050"/>
                <wp:wrapNone/>
                <wp:docPr id="113" name="流程图: 联系 113"/>
                <wp:cNvGraphicFramePr/>
                <a:graphic xmlns:a="http://schemas.openxmlformats.org/drawingml/2006/main">
                  <a:graphicData uri="http://schemas.microsoft.com/office/word/2010/wordprocessingShape">
                    <wps:wsp>
                      <wps:cNvSpPr/>
                      <wps:spPr>
                        <a:xfrm>
                          <a:off x="0" y="0"/>
                          <a:ext cx="95250" cy="95250"/>
                        </a:xfrm>
                        <a:prstGeom prst="flowChartConnector">
                          <a:avLst/>
                        </a:prstGeom>
                        <a:solidFill>
                          <a:srgbClr val="FF0000"/>
                        </a:solidFill>
                        <a:ln w="15875" cap="flat" cmpd="sng">
                          <a:solidFill>
                            <a:srgbClr val="739CC3"/>
                          </a:solidFill>
                          <a:prstDash val="solid"/>
                          <a:headEnd type="none" w="med" len="med"/>
                          <a:tailEnd type="none" w="med" len="med"/>
                        </a:ln>
                      </wps:spPr>
                      <wps:bodyPr upright="1"/>
                    </wps:wsp>
                  </a:graphicData>
                </a:graphic>
              </wp:anchor>
            </w:drawing>
          </mc:Choice>
          <mc:Fallback>
            <w:pict>
              <v:shape id="_x0000_s1026" o:spid="_x0000_s1026" o:spt="120" type="#_x0000_t120" style="position:absolute;left:0pt;margin-left:550.45pt;margin-top:171.3pt;height:7.5pt;width:7.5pt;z-index:251705344;mso-width-relative:page;mso-height-relative:page;" fillcolor="#FF0000" filled="t" stroked="t" coordsize="21600,21600" o:gfxdata="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CNm9zbZAAAADQEAAA8A&#10;AAAAAAAAAQAgAAAAIgAAAGRycy9kb3ducmV2LnhtbFBLAQIUABQAAAAIAIdO4kAiSY/aFgIAAC8E&#10;AAAOAAAAAAAAAAEAIAAAACgBAABkcnMvZTJvRG9jLnhtbFBLBQYAAAAABgAGAFkBAACwBQAAAAA=&#10;">
                <v:fill on="t" focussize="0,0"/>
                <v:stroke weight="1.25pt" color="#739CC3" joinstyle="round"/>
                <v:imagedata o:title=""/>
                <o:lock v:ext="edit" aspectratio="f"/>
              </v:shape>
            </w:pict>
          </mc:Fallback>
        </mc:AlternateContent>
      </w:r>
      <w:r>
        <w:rPr>
          <w:color w:val="auto"/>
        </w:rPr>
        <mc:AlternateContent>
          <mc:Choice Requires="wps">
            <w:drawing>
              <wp:anchor distT="0" distB="0" distL="114300" distR="114300" simplePos="0" relativeHeight="251704320" behindDoc="0" locked="0" layoutInCell="1" allowOverlap="1">
                <wp:simplePos x="0" y="0"/>
                <wp:positionH relativeFrom="column">
                  <wp:posOffset>6999605</wp:posOffset>
                </wp:positionH>
                <wp:positionV relativeFrom="paragraph">
                  <wp:posOffset>1710055</wp:posOffset>
                </wp:positionV>
                <wp:extent cx="95250" cy="95250"/>
                <wp:effectExtent l="7620" t="7620" r="19050" b="19050"/>
                <wp:wrapNone/>
                <wp:docPr id="112" name="流程图: 联系 112"/>
                <wp:cNvGraphicFramePr/>
                <a:graphic xmlns:a="http://schemas.openxmlformats.org/drawingml/2006/main">
                  <a:graphicData uri="http://schemas.microsoft.com/office/word/2010/wordprocessingShape">
                    <wps:wsp>
                      <wps:cNvSpPr/>
                      <wps:spPr>
                        <a:xfrm>
                          <a:off x="0" y="0"/>
                          <a:ext cx="95250" cy="95250"/>
                        </a:xfrm>
                        <a:prstGeom prst="flowChartConnector">
                          <a:avLst/>
                        </a:prstGeom>
                        <a:solidFill>
                          <a:srgbClr val="FF0000"/>
                        </a:solidFill>
                        <a:ln w="15875" cap="flat" cmpd="sng">
                          <a:solidFill>
                            <a:srgbClr val="739CC3"/>
                          </a:solidFill>
                          <a:prstDash val="solid"/>
                          <a:headEnd type="none" w="med" len="med"/>
                          <a:tailEnd type="none" w="med" len="med"/>
                        </a:ln>
                      </wps:spPr>
                      <wps:bodyPr upright="1"/>
                    </wps:wsp>
                  </a:graphicData>
                </a:graphic>
              </wp:anchor>
            </w:drawing>
          </mc:Choice>
          <mc:Fallback>
            <w:pict>
              <v:shape id="_x0000_s1026" o:spid="_x0000_s1026" o:spt="120" type="#_x0000_t120" style="position:absolute;left:0pt;margin-left:551.15pt;margin-top:134.65pt;height:7.5pt;width:7.5pt;z-index:251704320;mso-width-relative:page;mso-height-relative:page;" fillcolor="#FF0000" filled="t" stroked="t" coordsize="21600,21600" o:gfxdata="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NY3K9dkAAAANAQAADwAA&#10;AAAAAAABACAAAAAiAAAAZHJzL2Rvd25yZXYueG1sUEsBAhQAFAAAAAgAh07iQLgYB24VAgAALwQA&#10;AA4AAAAAAAAAAQAgAAAAKAEAAGRycy9lMm9Eb2MueG1sUEsFBgAAAAAGAAYAWQEAAK8FAAAAAA==&#10;">
                <v:fill on="t" focussize="0,0"/>
                <v:stroke weight="1.25pt" color="#739CC3" joinstyle="round"/>
                <v:imagedata o:title=""/>
                <o:lock v:ext="edit" aspectratio="f"/>
              </v:shape>
            </w:pict>
          </mc:Fallback>
        </mc:AlternateContent>
      </w:r>
      <w:r>
        <w:rPr>
          <w:color w:val="auto"/>
        </w:rPr>
        <mc:AlternateContent>
          <mc:Choice Requires="wps">
            <w:drawing>
              <wp:anchor distT="0" distB="0" distL="114300" distR="114300" simplePos="0" relativeHeight="251703296" behindDoc="0" locked="0" layoutInCell="1" allowOverlap="1">
                <wp:simplePos x="0" y="0"/>
                <wp:positionH relativeFrom="column">
                  <wp:posOffset>5363210</wp:posOffset>
                </wp:positionH>
                <wp:positionV relativeFrom="paragraph">
                  <wp:posOffset>819150</wp:posOffset>
                </wp:positionV>
                <wp:extent cx="1305560" cy="589280"/>
                <wp:effectExtent l="0" t="0" r="0" b="0"/>
                <wp:wrapNone/>
                <wp:docPr id="111" name="矩形 111"/>
                <wp:cNvGraphicFramePr/>
                <a:graphic xmlns:a="http://schemas.openxmlformats.org/drawingml/2006/main">
                  <a:graphicData uri="http://schemas.microsoft.com/office/word/2010/wordprocessingShape">
                    <wps:wsp>
                      <wps:cNvSpPr/>
                      <wps:spPr>
                        <a:xfrm>
                          <a:off x="0" y="0"/>
                          <a:ext cx="1305560" cy="589280"/>
                        </a:xfrm>
                        <a:prstGeom prst="rect">
                          <a:avLst/>
                        </a:prstGeom>
                        <a:noFill/>
                        <a:ln w="15875">
                          <a:noFill/>
                        </a:ln>
                      </wps:spPr>
                      <wps:txbx>
                        <w:txbxContent>
                          <w:p w14:paraId="02DBE0AD">
                            <w:pPr>
                              <w:jc w:val="center"/>
                              <w:rPr>
                                <w:rFonts w:hint="eastAsia" w:ascii="Times New Roman" w:hAnsi="Times New Roman" w:eastAsia="宋体" w:cs="Times New Roman"/>
                                <w:b/>
                                <w:bCs/>
                                <w:color w:val="FF0000"/>
                                <w:sz w:val="21"/>
                                <w:szCs w:val="20"/>
                                <w:lang w:val="en-US" w:eastAsia="zh-CN"/>
                              </w:rPr>
                            </w:pPr>
                            <w:r>
                              <w:rPr>
                                <w:rFonts w:hint="eastAsia" w:ascii="Times New Roman" w:hAnsi="Times New Roman" w:eastAsia="宋体" w:cs="Times New Roman"/>
                                <w:b/>
                                <w:bCs/>
                                <w:color w:val="FF0000"/>
                                <w:sz w:val="21"/>
                                <w:szCs w:val="20"/>
                                <w:lang w:val="en-US" w:eastAsia="zh-CN"/>
                              </w:rPr>
                              <w:t>江西锦石达美新能源有限公司</w:t>
                            </w:r>
                          </w:p>
                        </w:txbxContent>
                      </wps:txbx>
                      <wps:bodyPr upright="1"/>
                    </wps:wsp>
                  </a:graphicData>
                </a:graphic>
              </wp:anchor>
            </w:drawing>
          </mc:Choice>
          <mc:Fallback>
            <w:pict>
              <v:rect id="_x0000_s1026" o:spid="_x0000_s1026" o:spt="1" style="position:absolute;left:0pt;margin-left:422.3pt;margin-top:64.5pt;height:46.4pt;width:102.8pt;z-index:251703296;mso-width-relative:page;mso-height-relative:page;" filled="f" stroked="f" coordsize="21600,21600" o:gfxdata="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shxm&#10;rNsAAAAMAQAADwAAAAAAAAABACAAAAAiAAAAZHJzL2Rvd25yZXYueG1sUEsBAhQAFAAAAAgAh07i&#10;QBhP/eqtAQAATwMAAA4AAAAAAAAAAQAgAAAAKgEAAGRycy9lMm9Eb2MueG1sUEsFBgAAAAAGAAYA&#10;WQEAAEkFAAAAAA==&#10;">
                <v:fill on="f" focussize="0,0"/>
                <v:stroke on="f" weight="1.25pt"/>
                <v:imagedata o:title=""/>
                <o:lock v:ext="edit" aspectratio="f"/>
                <v:textbox>
                  <w:txbxContent>
                    <w:p w14:paraId="02DBE0AD">
                      <w:pPr>
                        <w:jc w:val="center"/>
                        <w:rPr>
                          <w:rFonts w:hint="eastAsia" w:ascii="Times New Roman" w:hAnsi="Times New Roman" w:eastAsia="宋体" w:cs="Times New Roman"/>
                          <w:b/>
                          <w:bCs/>
                          <w:color w:val="FF0000"/>
                          <w:sz w:val="21"/>
                          <w:szCs w:val="20"/>
                          <w:lang w:val="en-US" w:eastAsia="zh-CN"/>
                        </w:rPr>
                      </w:pPr>
                      <w:r>
                        <w:rPr>
                          <w:rFonts w:hint="eastAsia" w:ascii="Times New Roman" w:hAnsi="Times New Roman" w:eastAsia="宋体" w:cs="Times New Roman"/>
                          <w:b/>
                          <w:bCs/>
                          <w:color w:val="FF0000"/>
                          <w:sz w:val="21"/>
                          <w:szCs w:val="20"/>
                          <w:lang w:val="en-US" w:eastAsia="zh-CN"/>
                        </w:rPr>
                        <w:t>江西锦石达美新能源有限公司</w:t>
                      </w:r>
                    </w:p>
                  </w:txbxContent>
                </v:textbox>
              </v:rect>
            </w:pict>
          </mc:Fallback>
        </mc:AlternateContent>
      </w:r>
      <w:r>
        <w:rPr>
          <w:color w:val="auto"/>
        </w:rPr>
        <mc:AlternateContent>
          <mc:Choice Requires="wps">
            <w:drawing>
              <wp:anchor distT="0" distB="0" distL="114300" distR="114300" simplePos="0" relativeHeight="251701248" behindDoc="0" locked="0" layoutInCell="1" allowOverlap="1">
                <wp:simplePos x="0" y="0"/>
                <wp:positionH relativeFrom="column">
                  <wp:posOffset>6094095</wp:posOffset>
                </wp:positionH>
                <wp:positionV relativeFrom="paragraph">
                  <wp:posOffset>1303020</wp:posOffset>
                </wp:positionV>
                <wp:extent cx="95250" cy="95250"/>
                <wp:effectExtent l="7620" t="7620" r="19050" b="19050"/>
                <wp:wrapNone/>
                <wp:docPr id="110" name="流程图: 联系 110"/>
                <wp:cNvGraphicFramePr/>
                <a:graphic xmlns:a="http://schemas.openxmlformats.org/drawingml/2006/main">
                  <a:graphicData uri="http://schemas.microsoft.com/office/word/2010/wordprocessingShape">
                    <wps:wsp>
                      <wps:cNvSpPr/>
                      <wps:spPr>
                        <a:xfrm>
                          <a:off x="0" y="0"/>
                          <a:ext cx="95250" cy="95250"/>
                        </a:xfrm>
                        <a:prstGeom prst="flowChartConnector">
                          <a:avLst/>
                        </a:prstGeom>
                        <a:solidFill>
                          <a:srgbClr val="FF0000"/>
                        </a:solidFill>
                        <a:ln w="15875" cap="flat" cmpd="sng">
                          <a:solidFill>
                            <a:srgbClr val="739CC3"/>
                          </a:solidFill>
                          <a:prstDash val="solid"/>
                          <a:headEnd type="none" w="med" len="med"/>
                          <a:tailEnd type="none" w="med" len="med"/>
                        </a:ln>
                      </wps:spPr>
                      <wps:bodyPr upright="1"/>
                    </wps:wsp>
                  </a:graphicData>
                </a:graphic>
              </wp:anchor>
            </w:drawing>
          </mc:Choice>
          <mc:Fallback>
            <w:pict>
              <v:shape id="_x0000_s1026" o:spid="_x0000_s1026" o:spt="120" type="#_x0000_t120" style="position:absolute;left:0pt;margin-left:479.85pt;margin-top:102.6pt;height:7.5pt;width:7.5pt;z-index:251701248;mso-width-relative:page;mso-height-relative:page;" fillcolor="#FF0000" filled="t" stroked="t" coordsize="21600,21600" o:gfxdata="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LkzaSXYAAAACwEAAA8AAAAA&#10;AAAAAQAgAAAAIgAAAGRycy9kb3ducmV2LnhtbFBLAQIUABQAAAAIAIdO4kDNvWbcFAIAAC8EAAAO&#10;AAAAAAAAAAEAIAAAACcBAABkcnMvZTJvRG9jLnhtbFBLBQYAAAAABgAGAFkBAACtBQAAAAA=&#10;">
                <v:fill on="t" focussize="0,0"/>
                <v:stroke weight="1.25pt" color="#739CC3" joinstyle="round"/>
                <v:imagedata o:title=""/>
                <o:lock v:ext="edit" aspectratio="f"/>
              </v:shape>
            </w:pict>
          </mc:Fallback>
        </mc:AlternateContent>
      </w:r>
      <w:r>
        <w:rPr>
          <w:color w:val="auto"/>
        </w:rPr>
        <mc:AlternateContent>
          <mc:Choice Requires="wps">
            <w:drawing>
              <wp:anchor distT="0" distB="0" distL="114300" distR="114300" simplePos="0" relativeHeight="251710464" behindDoc="0" locked="0" layoutInCell="1" allowOverlap="1">
                <wp:simplePos x="0" y="0"/>
                <wp:positionH relativeFrom="column">
                  <wp:posOffset>5702300</wp:posOffset>
                </wp:positionH>
                <wp:positionV relativeFrom="paragraph">
                  <wp:posOffset>2952115</wp:posOffset>
                </wp:positionV>
                <wp:extent cx="1000125" cy="571500"/>
                <wp:effectExtent l="0" t="0" r="0" b="0"/>
                <wp:wrapNone/>
                <wp:docPr id="119" name="矩形 119"/>
                <wp:cNvGraphicFramePr/>
                <a:graphic xmlns:a="http://schemas.openxmlformats.org/drawingml/2006/main">
                  <a:graphicData uri="http://schemas.microsoft.com/office/word/2010/wordprocessingShape">
                    <wps:wsp>
                      <wps:cNvSpPr/>
                      <wps:spPr>
                        <a:xfrm>
                          <a:off x="0" y="0"/>
                          <a:ext cx="1000125" cy="571500"/>
                        </a:xfrm>
                        <a:prstGeom prst="rect">
                          <a:avLst/>
                        </a:prstGeom>
                        <a:noFill/>
                        <a:ln w="15875">
                          <a:noFill/>
                        </a:ln>
                      </wps:spPr>
                      <wps:txbx>
                        <w:txbxContent>
                          <w:p w14:paraId="219DB4D9">
                            <w:pPr>
                              <w:jc w:val="center"/>
                              <w:rPr>
                                <w:rFonts w:hint="default"/>
                                <w:lang w:val="en-US" w:eastAsia="zh-CN"/>
                              </w:rPr>
                            </w:pPr>
                            <w:r>
                              <w:rPr>
                                <w:rFonts w:hint="eastAsia" w:ascii="Times New Roman" w:hAnsi="Times New Roman" w:eastAsia="宋体" w:cs="Times New Roman"/>
                                <w:b/>
                                <w:bCs/>
                                <w:color w:val="FF0000"/>
                                <w:sz w:val="21"/>
                                <w:szCs w:val="20"/>
                                <w:lang w:val="en-US" w:eastAsia="zh-CN"/>
                              </w:rPr>
                              <w:t>江西锦宏印刷有限公司</w:t>
                            </w:r>
                          </w:p>
                        </w:txbxContent>
                      </wps:txbx>
                      <wps:bodyPr upright="1"/>
                    </wps:wsp>
                  </a:graphicData>
                </a:graphic>
              </wp:anchor>
            </w:drawing>
          </mc:Choice>
          <mc:Fallback>
            <w:pict>
              <v:rect id="_x0000_s1026" o:spid="_x0000_s1026" o:spt="1" style="position:absolute;left:0pt;margin-left:449pt;margin-top:232.45pt;height:45pt;width:78.75pt;z-index:251710464;mso-width-relative:page;mso-height-relative:page;" filled="f" stroked="f" coordsize="21600,21600" o:gfxdata="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MxI&#10;htzcAAAADAEAAA8AAAAAAAAAAQAgAAAAIgAAAGRycy9kb3ducmV2LnhtbFBLAQIUABQAAAAIAIdO&#10;4kBAW8hVrQEAAE8DAAAOAAAAAAAAAAEAIAAAACsBAABkcnMvZTJvRG9jLnhtbFBLBQYAAAAABgAG&#10;AFkBAABKBQAAAAA=&#10;">
                <v:fill on="f" focussize="0,0"/>
                <v:stroke on="f" weight="1.25pt"/>
                <v:imagedata o:title=""/>
                <o:lock v:ext="edit" aspectratio="f"/>
                <v:textbox>
                  <w:txbxContent>
                    <w:p w14:paraId="219DB4D9">
                      <w:pPr>
                        <w:jc w:val="center"/>
                        <w:rPr>
                          <w:rFonts w:hint="default"/>
                          <w:lang w:val="en-US" w:eastAsia="zh-CN"/>
                        </w:rPr>
                      </w:pPr>
                      <w:r>
                        <w:rPr>
                          <w:rFonts w:hint="eastAsia" w:ascii="Times New Roman" w:hAnsi="Times New Roman" w:eastAsia="宋体" w:cs="Times New Roman"/>
                          <w:b/>
                          <w:bCs/>
                          <w:color w:val="FF0000"/>
                          <w:sz w:val="21"/>
                          <w:szCs w:val="20"/>
                          <w:lang w:val="en-US" w:eastAsia="zh-CN"/>
                        </w:rPr>
                        <w:t>江西锦宏印刷有限公司</w:t>
                      </w:r>
                    </w:p>
                  </w:txbxContent>
                </v:textbox>
              </v:rect>
            </w:pict>
          </mc:Fallback>
        </mc:AlternateContent>
      </w:r>
      <w:r>
        <w:rPr>
          <w:color w:val="auto"/>
        </w:rPr>
        <mc:AlternateContent>
          <mc:Choice Requires="wps">
            <w:drawing>
              <wp:anchor distT="0" distB="0" distL="114300" distR="114300" simplePos="0" relativeHeight="251699200" behindDoc="0" locked="0" layoutInCell="1" allowOverlap="1">
                <wp:simplePos x="0" y="0"/>
                <wp:positionH relativeFrom="column">
                  <wp:posOffset>5992495</wp:posOffset>
                </wp:positionH>
                <wp:positionV relativeFrom="paragraph">
                  <wp:posOffset>2623820</wp:posOffset>
                </wp:positionV>
                <wp:extent cx="95250" cy="95250"/>
                <wp:effectExtent l="7620" t="7620" r="19050" b="19050"/>
                <wp:wrapNone/>
                <wp:docPr id="108" name="流程图: 联系 108"/>
                <wp:cNvGraphicFramePr/>
                <a:graphic xmlns:a="http://schemas.openxmlformats.org/drawingml/2006/main">
                  <a:graphicData uri="http://schemas.microsoft.com/office/word/2010/wordprocessingShape">
                    <wps:wsp>
                      <wps:cNvSpPr/>
                      <wps:spPr>
                        <a:xfrm>
                          <a:off x="0" y="0"/>
                          <a:ext cx="95250" cy="95250"/>
                        </a:xfrm>
                        <a:prstGeom prst="flowChartConnector">
                          <a:avLst/>
                        </a:prstGeom>
                        <a:solidFill>
                          <a:srgbClr val="FF0000"/>
                        </a:solidFill>
                        <a:ln w="15875" cap="flat" cmpd="sng">
                          <a:solidFill>
                            <a:srgbClr val="739CC3"/>
                          </a:solidFill>
                          <a:prstDash val="solid"/>
                          <a:headEnd type="none" w="med" len="med"/>
                          <a:tailEnd type="none" w="med" len="med"/>
                        </a:ln>
                      </wps:spPr>
                      <wps:bodyPr upright="1"/>
                    </wps:wsp>
                  </a:graphicData>
                </a:graphic>
              </wp:anchor>
            </w:drawing>
          </mc:Choice>
          <mc:Fallback>
            <w:pict>
              <v:shape id="_x0000_s1026" o:spid="_x0000_s1026" o:spt="120" type="#_x0000_t120" style="position:absolute;left:0pt;margin-left:471.85pt;margin-top:206.6pt;height:7.5pt;width:7.5pt;z-index:251699200;mso-width-relative:page;mso-height-relative:page;" fillcolor="#FF0000" filled="t" stroked="t" coordsize="21600,21600" o:gfxdata="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Ixl52dkAAAALAQAADwAA&#10;AAAAAAABACAAAAAiAAAAZHJzL2Rvd25yZXYueG1sUEsBAhQAFAAAAAgAh07iQNHQHWgVAgAALwQA&#10;AA4AAAAAAAAAAQAgAAAAKAEAAGRycy9lMm9Eb2MueG1sUEsFBgAAAAAGAAYAWQEAAK8FAAAAAA==&#10;">
                <v:fill on="t" focussize="0,0"/>
                <v:stroke weight="1.25pt" color="#739CC3" joinstyle="round"/>
                <v:imagedata o:title=""/>
                <o:lock v:ext="edit" aspectratio="f"/>
              </v:shape>
            </w:pict>
          </mc:Fallback>
        </mc:AlternateContent>
      </w:r>
      <w:r>
        <w:rPr>
          <w:color w:val="auto"/>
        </w:rPr>
        <mc:AlternateContent>
          <mc:Choice Requires="wps">
            <w:drawing>
              <wp:anchor distT="0" distB="0" distL="114300" distR="114300" simplePos="0" relativeHeight="251698176" behindDoc="0" locked="0" layoutInCell="1" allowOverlap="1">
                <wp:simplePos x="0" y="0"/>
                <wp:positionH relativeFrom="column">
                  <wp:posOffset>4457065</wp:posOffset>
                </wp:positionH>
                <wp:positionV relativeFrom="paragraph">
                  <wp:posOffset>1572260</wp:posOffset>
                </wp:positionV>
                <wp:extent cx="1305560" cy="723900"/>
                <wp:effectExtent l="0" t="0" r="0" b="0"/>
                <wp:wrapNone/>
                <wp:docPr id="107" name="矩形 107"/>
                <wp:cNvGraphicFramePr/>
                <a:graphic xmlns:a="http://schemas.openxmlformats.org/drawingml/2006/main">
                  <a:graphicData uri="http://schemas.microsoft.com/office/word/2010/wordprocessingShape">
                    <wps:wsp>
                      <wps:cNvSpPr/>
                      <wps:spPr>
                        <a:xfrm>
                          <a:off x="0" y="0"/>
                          <a:ext cx="1305560" cy="723900"/>
                        </a:xfrm>
                        <a:prstGeom prst="rect">
                          <a:avLst/>
                        </a:prstGeom>
                        <a:noFill/>
                        <a:ln w="15875">
                          <a:noFill/>
                        </a:ln>
                      </wps:spPr>
                      <wps:txbx>
                        <w:txbxContent>
                          <w:p w14:paraId="4A5EC82C">
                            <w:pPr>
                              <w:jc w:val="center"/>
                              <w:rPr>
                                <w:rFonts w:hint="default" w:ascii="Times New Roman" w:hAnsi="Times New Roman" w:eastAsia="宋体" w:cs="Times New Roman"/>
                                <w:b/>
                                <w:bCs/>
                                <w:color w:val="FF0000"/>
                                <w:sz w:val="21"/>
                                <w:szCs w:val="20"/>
                                <w:lang w:val="en-US" w:eastAsia="zh-CN"/>
                              </w:rPr>
                            </w:pPr>
                            <w:r>
                              <w:rPr>
                                <w:rFonts w:hint="eastAsia" w:ascii="Times New Roman" w:hAnsi="Times New Roman" w:eastAsia="宋体" w:cs="Times New Roman"/>
                                <w:b/>
                                <w:bCs/>
                                <w:color w:val="FF0000"/>
                                <w:sz w:val="21"/>
                                <w:szCs w:val="20"/>
                                <w:lang w:val="en-US" w:eastAsia="zh-CN"/>
                              </w:rPr>
                              <w:t>江西科诗曼新材料科技</w:t>
                            </w:r>
                            <w:r>
                              <w:rPr>
                                <w:rFonts w:hint="default" w:ascii="Times New Roman" w:hAnsi="Times New Roman" w:eastAsia="宋体" w:cs="Times New Roman"/>
                                <w:b/>
                                <w:bCs/>
                                <w:color w:val="FF0000"/>
                                <w:sz w:val="21"/>
                                <w:szCs w:val="20"/>
                                <w:lang w:val="en-US" w:eastAsia="zh-CN"/>
                              </w:rPr>
                              <w:t>有限公司</w:t>
                            </w:r>
                          </w:p>
                        </w:txbxContent>
                      </wps:txbx>
                      <wps:bodyPr upright="1"/>
                    </wps:wsp>
                  </a:graphicData>
                </a:graphic>
              </wp:anchor>
            </w:drawing>
          </mc:Choice>
          <mc:Fallback>
            <w:pict>
              <v:rect id="_x0000_s1026" o:spid="_x0000_s1026" o:spt="1" style="position:absolute;left:0pt;margin-left:350.95pt;margin-top:123.8pt;height:57pt;width:102.8pt;z-index:251698176;mso-width-relative:page;mso-height-relative:page;" filled="f" stroked="f" coordsize="21600,21600" o:gfxdata="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DZ&#10;FsoP3AAAAAsBAAAPAAAAAAAAAAEAIAAAACIAAABkcnMvZG93bnJldi54bWxQSwECFAAUAAAACACH&#10;TuJAYTclBq4BAABPAwAADgAAAAAAAAABACAAAAArAQAAZHJzL2Uyb0RvYy54bWxQSwUGAAAAAAYA&#10;BgBZAQAASwUAAAAA&#10;">
                <v:fill on="f" focussize="0,0"/>
                <v:stroke on="f" weight="1.25pt"/>
                <v:imagedata o:title=""/>
                <o:lock v:ext="edit" aspectratio="f"/>
                <v:textbox>
                  <w:txbxContent>
                    <w:p w14:paraId="4A5EC82C">
                      <w:pPr>
                        <w:jc w:val="center"/>
                        <w:rPr>
                          <w:rFonts w:hint="default" w:ascii="Times New Roman" w:hAnsi="Times New Roman" w:eastAsia="宋体" w:cs="Times New Roman"/>
                          <w:b/>
                          <w:bCs/>
                          <w:color w:val="FF0000"/>
                          <w:sz w:val="21"/>
                          <w:szCs w:val="20"/>
                          <w:lang w:val="en-US" w:eastAsia="zh-CN"/>
                        </w:rPr>
                      </w:pPr>
                      <w:r>
                        <w:rPr>
                          <w:rFonts w:hint="eastAsia" w:ascii="Times New Roman" w:hAnsi="Times New Roman" w:eastAsia="宋体" w:cs="Times New Roman"/>
                          <w:b/>
                          <w:bCs/>
                          <w:color w:val="FF0000"/>
                          <w:sz w:val="21"/>
                          <w:szCs w:val="20"/>
                          <w:lang w:val="en-US" w:eastAsia="zh-CN"/>
                        </w:rPr>
                        <w:t>江西科诗曼新材料科技</w:t>
                      </w:r>
                      <w:r>
                        <w:rPr>
                          <w:rFonts w:hint="default" w:ascii="Times New Roman" w:hAnsi="Times New Roman" w:eastAsia="宋体" w:cs="Times New Roman"/>
                          <w:b/>
                          <w:bCs/>
                          <w:color w:val="FF0000"/>
                          <w:sz w:val="21"/>
                          <w:szCs w:val="20"/>
                          <w:lang w:val="en-US" w:eastAsia="zh-CN"/>
                        </w:rPr>
                        <w:t>有限公司</w:t>
                      </w:r>
                    </w:p>
                  </w:txbxContent>
                </v:textbox>
              </v:rect>
            </w:pict>
          </mc:Fallback>
        </mc:AlternateContent>
      </w:r>
      <w:r>
        <w:rPr>
          <w:color w:val="auto"/>
        </w:rPr>
        <mc:AlternateContent>
          <mc:Choice Requires="wps">
            <w:drawing>
              <wp:anchor distT="0" distB="0" distL="114300" distR="114300" simplePos="0" relativeHeight="251697152" behindDoc="0" locked="0" layoutInCell="1" allowOverlap="1">
                <wp:simplePos x="0" y="0"/>
                <wp:positionH relativeFrom="column">
                  <wp:posOffset>5034915</wp:posOffset>
                </wp:positionH>
                <wp:positionV relativeFrom="paragraph">
                  <wp:posOffset>2056765</wp:posOffset>
                </wp:positionV>
                <wp:extent cx="95250" cy="95250"/>
                <wp:effectExtent l="7620" t="7620" r="19050" b="19050"/>
                <wp:wrapNone/>
                <wp:docPr id="106" name="流程图: 联系 106"/>
                <wp:cNvGraphicFramePr/>
                <a:graphic xmlns:a="http://schemas.openxmlformats.org/drawingml/2006/main">
                  <a:graphicData uri="http://schemas.microsoft.com/office/word/2010/wordprocessingShape">
                    <wps:wsp>
                      <wps:cNvSpPr/>
                      <wps:spPr>
                        <a:xfrm>
                          <a:off x="0" y="0"/>
                          <a:ext cx="95250" cy="95250"/>
                        </a:xfrm>
                        <a:prstGeom prst="flowChartConnector">
                          <a:avLst/>
                        </a:prstGeom>
                        <a:solidFill>
                          <a:srgbClr val="FF0000"/>
                        </a:solidFill>
                        <a:ln w="15875" cap="flat" cmpd="sng">
                          <a:solidFill>
                            <a:srgbClr val="739CC3"/>
                          </a:solidFill>
                          <a:prstDash val="solid"/>
                          <a:headEnd type="none" w="med" len="med"/>
                          <a:tailEnd type="none" w="med" len="med"/>
                        </a:ln>
                      </wps:spPr>
                      <wps:bodyPr upright="1"/>
                    </wps:wsp>
                  </a:graphicData>
                </a:graphic>
              </wp:anchor>
            </w:drawing>
          </mc:Choice>
          <mc:Fallback>
            <w:pict>
              <v:shape id="_x0000_s1026" o:spid="_x0000_s1026" o:spt="120" type="#_x0000_t120" style="position:absolute;left:0pt;margin-left:396.45pt;margin-top:161.95pt;height:7.5pt;width:7.5pt;z-index:251697152;mso-width-relative:page;mso-height-relative:page;" fillcolor="#FF0000" filled="t" stroked="t" coordsize="21600,21600" o:gfxdata="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IzXD4LYAAAACwEAAA8AAAAA&#10;AAAAAQAgAAAAIgAAAGRycy9kb3ducmV2LnhtbFBLAQIUABQAAAAIAIdO4kAYptvBFAIAAC8EAAAO&#10;AAAAAAAAAAEAIAAAACcBAABkcnMvZTJvRG9jLnhtbFBLBQYAAAAABgAGAFkBAACtBQAAAAA=&#10;">
                <v:fill on="t" focussize="0,0"/>
                <v:stroke weight="1.25pt" color="#739CC3" joinstyle="round"/>
                <v:imagedata o:title=""/>
                <o:lock v:ext="edit" aspectratio="f"/>
              </v:shape>
            </w:pict>
          </mc:Fallback>
        </mc:AlternateContent>
      </w:r>
      <w:r>
        <w:rPr>
          <w:color w:val="auto"/>
        </w:rPr>
        <w:drawing>
          <wp:anchor distT="0" distB="0" distL="114300" distR="114300" simplePos="0" relativeHeight="251696128" behindDoc="0" locked="0" layoutInCell="1" allowOverlap="1">
            <wp:simplePos x="0" y="0"/>
            <wp:positionH relativeFrom="column">
              <wp:posOffset>7810500</wp:posOffset>
            </wp:positionH>
            <wp:positionV relativeFrom="paragraph">
              <wp:posOffset>148590</wp:posOffset>
            </wp:positionV>
            <wp:extent cx="848995" cy="732155"/>
            <wp:effectExtent l="0" t="0" r="4445" b="14605"/>
            <wp:wrapNone/>
            <wp:docPr id="10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2"/>
                    <pic:cNvPicPr>
                      <a:picLocks noChangeAspect="1"/>
                    </pic:cNvPicPr>
                  </pic:nvPicPr>
                  <pic:blipFill>
                    <a:blip r:embed="rId38"/>
                    <a:stretch>
                      <a:fillRect/>
                    </a:stretch>
                  </pic:blipFill>
                  <pic:spPr>
                    <a:xfrm>
                      <a:off x="0" y="0"/>
                      <a:ext cx="848995" cy="732155"/>
                    </a:xfrm>
                    <a:prstGeom prst="rect">
                      <a:avLst/>
                    </a:prstGeom>
                    <a:noFill/>
                    <a:ln>
                      <a:noFill/>
                    </a:ln>
                  </pic:spPr>
                </pic:pic>
              </a:graphicData>
            </a:graphic>
          </wp:anchor>
        </w:drawing>
      </w:r>
      <w:r>
        <w:rPr>
          <w:color w:val="auto"/>
        </w:rPr>
        <mc:AlternateContent>
          <mc:Choice Requires="wps">
            <w:drawing>
              <wp:anchor distT="0" distB="0" distL="114300" distR="114300" simplePos="0" relativeHeight="251695104" behindDoc="0" locked="0" layoutInCell="1" allowOverlap="1">
                <wp:simplePos x="0" y="0"/>
                <wp:positionH relativeFrom="column">
                  <wp:posOffset>6812915</wp:posOffset>
                </wp:positionH>
                <wp:positionV relativeFrom="paragraph">
                  <wp:posOffset>499110</wp:posOffset>
                </wp:positionV>
                <wp:extent cx="95250" cy="95250"/>
                <wp:effectExtent l="7620" t="7620" r="19050" b="19050"/>
                <wp:wrapNone/>
                <wp:docPr id="104" name="流程图: 联系 104"/>
                <wp:cNvGraphicFramePr/>
                <a:graphic xmlns:a="http://schemas.openxmlformats.org/drawingml/2006/main">
                  <a:graphicData uri="http://schemas.microsoft.com/office/word/2010/wordprocessingShape">
                    <wps:wsp>
                      <wps:cNvSpPr/>
                      <wps:spPr>
                        <a:xfrm>
                          <a:off x="0" y="0"/>
                          <a:ext cx="95250" cy="95250"/>
                        </a:xfrm>
                        <a:prstGeom prst="flowChartConnector">
                          <a:avLst/>
                        </a:prstGeom>
                        <a:solidFill>
                          <a:srgbClr val="FF0000"/>
                        </a:solidFill>
                        <a:ln w="15875" cap="flat" cmpd="sng">
                          <a:solidFill>
                            <a:srgbClr val="739CC3"/>
                          </a:solidFill>
                          <a:prstDash val="solid"/>
                          <a:headEnd type="none" w="med" len="med"/>
                          <a:tailEnd type="none" w="med" len="med"/>
                        </a:ln>
                      </wps:spPr>
                      <wps:bodyPr upright="1"/>
                    </wps:wsp>
                  </a:graphicData>
                </a:graphic>
              </wp:anchor>
            </w:drawing>
          </mc:Choice>
          <mc:Fallback>
            <w:pict>
              <v:shape id="_x0000_s1026" o:spid="_x0000_s1026" o:spt="120" type="#_x0000_t120" style="position:absolute;left:0pt;margin-left:536.45pt;margin-top:39.3pt;height:7.5pt;width:7.5pt;z-index:251695104;mso-width-relative:page;mso-height-relative:page;" fillcolor="#FF0000" filled="t" stroked="t" coordsize="21600,21600" o:gfxdata="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BETqla2AAAAAsBAAAPAAAA&#10;AAAAAAEAIAAAACIAAABkcnMvZG93bnJldi54bWxQSwECFAAUAAAACACHTuJAbQO6cxUCAAAvBAAA&#10;DgAAAAAAAAABACAAAAAnAQAAZHJzL2Uyb0RvYy54bWxQSwUGAAAAAAYABgBZAQAArgUAAAAA&#10;">
                <v:fill on="t" focussize="0,0"/>
                <v:stroke weight="1.25pt" color="#739CC3" joinstyle="round"/>
                <v:imagedata o:title=""/>
                <o:lock v:ext="edit" aspectratio="f"/>
              </v:shape>
            </w:pict>
          </mc:Fallback>
        </mc:AlternateContent>
      </w:r>
      <w:r>
        <w:rPr>
          <w:color w:val="auto"/>
        </w:rPr>
        <w:drawing>
          <wp:inline distT="0" distB="0" distL="114300" distR="114300">
            <wp:extent cx="8855075" cy="5391785"/>
            <wp:effectExtent l="0" t="0" r="14605" b="3175"/>
            <wp:docPr id="9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23"/>
                    <pic:cNvPicPr>
                      <a:picLocks noChangeAspect="1"/>
                    </pic:cNvPicPr>
                  </pic:nvPicPr>
                  <pic:blipFill>
                    <a:blip r:embed="rId41"/>
                    <a:stretch>
                      <a:fillRect/>
                    </a:stretch>
                  </pic:blipFill>
                  <pic:spPr>
                    <a:xfrm>
                      <a:off x="0" y="0"/>
                      <a:ext cx="8855075" cy="5391785"/>
                    </a:xfrm>
                    <a:prstGeom prst="rect">
                      <a:avLst/>
                    </a:prstGeom>
                    <a:noFill/>
                    <a:ln>
                      <a:noFill/>
                    </a:ln>
                  </pic:spPr>
                </pic:pic>
              </a:graphicData>
            </a:graphic>
          </wp:inline>
        </w:drawing>
      </w:r>
      <w:r>
        <w:rPr>
          <w:color w:val="auto"/>
        </w:rPr>
        <mc:AlternateContent>
          <mc:Choice Requires="wps">
            <w:drawing>
              <wp:anchor distT="0" distB="0" distL="114300" distR="114300" simplePos="0" relativeHeight="251694080" behindDoc="0" locked="0" layoutInCell="1" allowOverlap="1">
                <wp:simplePos x="0" y="0"/>
                <wp:positionH relativeFrom="column">
                  <wp:posOffset>6430010</wp:posOffset>
                </wp:positionH>
                <wp:positionV relativeFrom="paragraph">
                  <wp:posOffset>166370</wp:posOffset>
                </wp:positionV>
                <wp:extent cx="1042035" cy="571500"/>
                <wp:effectExtent l="0" t="0" r="0" b="0"/>
                <wp:wrapNone/>
                <wp:docPr id="103" name="矩形 103"/>
                <wp:cNvGraphicFramePr/>
                <a:graphic xmlns:a="http://schemas.openxmlformats.org/drawingml/2006/main">
                  <a:graphicData uri="http://schemas.microsoft.com/office/word/2010/wordprocessingShape">
                    <wps:wsp>
                      <wps:cNvSpPr/>
                      <wps:spPr>
                        <a:xfrm>
                          <a:off x="0" y="0"/>
                          <a:ext cx="1042035" cy="571500"/>
                        </a:xfrm>
                        <a:prstGeom prst="rect">
                          <a:avLst/>
                        </a:prstGeom>
                        <a:noFill/>
                        <a:ln w="15875">
                          <a:noFill/>
                        </a:ln>
                      </wps:spPr>
                      <wps:txbx>
                        <w:txbxContent>
                          <w:p w14:paraId="17EDEC8A">
                            <w:pPr>
                              <w:rPr>
                                <w:rFonts w:hint="default"/>
                                <w:lang w:val="en-US" w:eastAsia="zh-CN"/>
                              </w:rPr>
                            </w:pPr>
                            <w:r>
                              <w:rPr>
                                <w:rFonts w:hint="eastAsia" w:ascii="Times New Roman" w:hAnsi="Times New Roman" w:eastAsia="宋体" w:cs="Times New Roman"/>
                                <w:b/>
                                <w:bCs/>
                                <w:color w:val="FF0000"/>
                                <w:sz w:val="21"/>
                                <w:szCs w:val="20"/>
                                <w:lang w:val="en-US" w:eastAsia="zh-CN"/>
                              </w:rPr>
                              <w:t>里头坞水库</w:t>
                            </w:r>
                          </w:p>
                        </w:txbxContent>
                      </wps:txbx>
                      <wps:bodyPr upright="1"/>
                    </wps:wsp>
                  </a:graphicData>
                </a:graphic>
              </wp:anchor>
            </w:drawing>
          </mc:Choice>
          <mc:Fallback>
            <w:pict>
              <v:rect id="_x0000_s1026" o:spid="_x0000_s1026" o:spt="1" style="position:absolute;left:0pt;margin-left:506.3pt;margin-top:13.1pt;height:45pt;width:82.05pt;z-index:251694080;mso-width-relative:page;mso-height-relative:page;" filled="f" stroked="f" coordsize="21600,21600" o:gfxdata="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y8N7&#10;g9oAAAAMAQAADwAAAAAAAAABACAAAAAiAAAAZHJzL2Rvd25yZXYueG1sUEsBAhQAFAAAAAgAh07i&#10;QChfiI2uAQAATwMAAA4AAAAAAAAAAQAgAAAAKQEAAGRycy9lMm9Eb2MueG1sUEsFBgAAAAAGAAYA&#10;WQEAAEkFAAAAAA==&#10;">
                <v:fill on="f" focussize="0,0"/>
                <v:stroke on="f" weight="1.25pt"/>
                <v:imagedata o:title=""/>
                <o:lock v:ext="edit" aspectratio="f"/>
                <v:textbox>
                  <w:txbxContent>
                    <w:p w14:paraId="17EDEC8A">
                      <w:pPr>
                        <w:rPr>
                          <w:rFonts w:hint="default"/>
                          <w:lang w:val="en-US" w:eastAsia="zh-CN"/>
                        </w:rPr>
                      </w:pPr>
                      <w:r>
                        <w:rPr>
                          <w:rFonts w:hint="eastAsia" w:ascii="Times New Roman" w:hAnsi="Times New Roman" w:eastAsia="宋体" w:cs="Times New Roman"/>
                          <w:b/>
                          <w:bCs/>
                          <w:color w:val="FF0000"/>
                          <w:sz w:val="21"/>
                          <w:szCs w:val="20"/>
                          <w:lang w:val="en-US" w:eastAsia="zh-CN"/>
                        </w:rPr>
                        <w:t>里头坞水库</w:t>
                      </w:r>
                    </w:p>
                  </w:txbxContent>
                </v:textbox>
              </v:rect>
            </w:pict>
          </mc:Fallback>
        </mc:AlternateContent>
      </w:r>
      <w:r>
        <w:rPr>
          <w:color w:val="auto"/>
        </w:rPr>
        <mc:AlternateContent>
          <mc:Choice Requires="wps">
            <w:drawing>
              <wp:anchor distT="0" distB="0" distL="114300" distR="114300" simplePos="0" relativeHeight="251693056" behindDoc="0" locked="0" layoutInCell="1" allowOverlap="1">
                <wp:simplePos x="0" y="0"/>
                <wp:positionH relativeFrom="column">
                  <wp:posOffset>2197100</wp:posOffset>
                </wp:positionH>
                <wp:positionV relativeFrom="paragraph">
                  <wp:posOffset>2122170</wp:posOffset>
                </wp:positionV>
                <wp:extent cx="1042035" cy="571500"/>
                <wp:effectExtent l="0" t="0" r="0" b="0"/>
                <wp:wrapNone/>
                <wp:docPr id="102" name="矩形 102"/>
                <wp:cNvGraphicFramePr/>
                <a:graphic xmlns:a="http://schemas.openxmlformats.org/drawingml/2006/main">
                  <a:graphicData uri="http://schemas.microsoft.com/office/word/2010/wordprocessingShape">
                    <wps:wsp>
                      <wps:cNvSpPr/>
                      <wps:spPr>
                        <a:xfrm>
                          <a:off x="0" y="0"/>
                          <a:ext cx="1042035" cy="571500"/>
                        </a:xfrm>
                        <a:prstGeom prst="rect">
                          <a:avLst/>
                        </a:prstGeom>
                        <a:noFill/>
                        <a:ln w="15875">
                          <a:noFill/>
                        </a:ln>
                      </wps:spPr>
                      <wps:txbx>
                        <w:txbxContent>
                          <w:p w14:paraId="4651E63D">
                            <w:pPr>
                              <w:rPr>
                                <w:rFonts w:hint="default"/>
                                <w:lang w:val="en-US" w:eastAsia="zh-CN"/>
                              </w:rPr>
                            </w:pPr>
                            <w:r>
                              <w:rPr>
                                <w:rFonts w:hint="eastAsia" w:ascii="Times New Roman" w:hAnsi="Times New Roman" w:eastAsia="宋体" w:cs="Times New Roman"/>
                                <w:b/>
                                <w:bCs/>
                                <w:color w:val="FF0000"/>
                                <w:sz w:val="21"/>
                                <w:szCs w:val="20"/>
                                <w:lang w:val="en-US" w:eastAsia="zh-CN"/>
                              </w:rPr>
                              <w:t>杨家井水库</w:t>
                            </w:r>
                          </w:p>
                        </w:txbxContent>
                      </wps:txbx>
                      <wps:bodyPr upright="1"/>
                    </wps:wsp>
                  </a:graphicData>
                </a:graphic>
              </wp:anchor>
            </w:drawing>
          </mc:Choice>
          <mc:Fallback>
            <w:pict>
              <v:rect id="_x0000_s1026" o:spid="_x0000_s1026" o:spt="1" style="position:absolute;left:0pt;margin-left:173pt;margin-top:167.1pt;height:45pt;width:82.05pt;z-index:251693056;mso-width-relative:page;mso-height-relative:page;" filled="f" stroked="f" coordsize="21600,21600" o:gfxdata="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F+C&#10;BdTbAAAACwEAAA8AAAAAAAAAAQAgAAAAIgAAAGRycy9kb3ducmV2LnhtbFBLAQIUABQAAAAIAIdO&#10;4kD8to9HrgEAAE8DAAAOAAAAAAAAAAEAIAAAACoBAABkcnMvZTJvRG9jLnhtbFBLBQYAAAAABgAG&#10;AFkBAABKBQAAAAA=&#10;">
                <v:fill on="f" focussize="0,0"/>
                <v:stroke on="f" weight="1.25pt"/>
                <v:imagedata o:title=""/>
                <o:lock v:ext="edit" aspectratio="f"/>
                <v:textbox>
                  <w:txbxContent>
                    <w:p w14:paraId="4651E63D">
                      <w:pPr>
                        <w:rPr>
                          <w:rFonts w:hint="default"/>
                          <w:lang w:val="en-US" w:eastAsia="zh-CN"/>
                        </w:rPr>
                      </w:pPr>
                      <w:r>
                        <w:rPr>
                          <w:rFonts w:hint="eastAsia" w:ascii="Times New Roman" w:hAnsi="Times New Roman" w:eastAsia="宋体" w:cs="Times New Roman"/>
                          <w:b/>
                          <w:bCs/>
                          <w:color w:val="FF0000"/>
                          <w:sz w:val="21"/>
                          <w:szCs w:val="20"/>
                          <w:lang w:val="en-US" w:eastAsia="zh-CN"/>
                        </w:rPr>
                        <w:t>杨家井水库</w:t>
                      </w:r>
                    </w:p>
                  </w:txbxContent>
                </v:textbox>
              </v:rect>
            </w:pict>
          </mc:Fallback>
        </mc:AlternateContent>
      </w:r>
      <w:r>
        <w:rPr>
          <w:color w:val="auto"/>
        </w:rPr>
        <mc:AlternateContent>
          <mc:Choice Requires="wps">
            <w:drawing>
              <wp:anchor distT="0" distB="0" distL="114300" distR="114300" simplePos="0" relativeHeight="251692032" behindDoc="0" locked="0" layoutInCell="1" allowOverlap="1">
                <wp:simplePos x="0" y="0"/>
                <wp:positionH relativeFrom="column">
                  <wp:posOffset>2545715</wp:posOffset>
                </wp:positionH>
                <wp:positionV relativeFrom="paragraph">
                  <wp:posOffset>2437765</wp:posOffset>
                </wp:positionV>
                <wp:extent cx="95250" cy="95250"/>
                <wp:effectExtent l="7620" t="7620" r="19050" b="19050"/>
                <wp:wrapNone/>
                <wp:docPr id="100" name="流程图: 联系 100"/>
                <wp:cNvGraphicFramePr/>
                <a:graphic xmlns:a="http://schemas.openxmlformats.org/drawingml/2006/main">
                  <a:graphicData uri="http://schemas.microsoft.com/office/word/2010/wordprocessingShape">
                    <wps:wsp>
                      <wps:cNvSpPr/>
                      <wps:spPr>
                        <a:xfrm>
                          <a:off x="0" y="0"/>
                          <a:ext cx="95250" cy="95250"/>
                        </a:xfrm>
                        <a:prstGeom prst="flowChartConnector">
                          <a:avLst/>
                        </a:prstGeom>
                        <a:solidFill>
                          <a:srgbClr val="FF0000"/>
                        </a:solidFill>
                        <a:ln w="15875" cap="flat" cmpd="sng">
                          <a:solidFill>
                            <a:srgbClr val="739CC3"/>
                          </a:solidFill>
                          <a:prstDash val="solid"/>
                          <a:headEnd type="none" w="med" len="med"/>
                          <a:tailEnd type="none" w="med" len="med"/>
                        </a:ln>
                      </wps:spPr>
                      <wps:bodyPr upright="1"/>
                    </wps:wsp>
                  </a:graphicData>
                </a:graphic>
              </wp:anchor>
            </w:drawing>
          </mc:Choice>
          <mc:Fallback>
            <w:pict>
              <v:shape id="_x0000_s1026" o:spid="_x0000_s1026" o:spt="120" type="#_x0000_t120" style="position:absolute;left:0pt;margin-left:200.45pt;margin-top:191.95pt;height:7.5pt;width:7.5pt;z-index:251692032;mso-width-relative:page;mso-height-relative:page;" fillcolor="#FF0000" filled="t" stroked="t" coordsize="21600,21600" o:gfxdata="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Rxhvi2QAAAAsBAAAPAAAA&#10;AAAAAAEAIAAAACIAAABkcnMvZG93bnJldi54bWxQSwECFAAUAAAACACHTuJAxk8IzBQCAAAvBAAA&#10;DgAAAAAAAAABACAAAAAoAQAAZHJzL2Uyb0RvYy54bWxQSwUGAAAAAAYABgBZAQAArgUAAAAA&#10;">
                <v:fill on="t" focussize="0,0"/>
                <v:stroke weight="1.25pt" color="#739CC3" joinstyle="round"/>
                <v:imagedata o:title=""/>
                <o:lock v:ext="edit" aspectratio="f"/>
              </v:shape>
            </w:pict>
          </mc:Fallback>
        </mc:AlternateContent>
      </w:r>
      <w:r>
        <w:rPr>
          <w:color w:val="auto"/>
        </w:rPr>
        <mc:AlternateContent>
          <mc:Choice Requires="wps">
            <w:drawing>
              <wp:anchor distT="0" distB="0" distL="114300" distR="114300" simplePos="0" relativeHeight="251691008" behindDoc="0" locked="0" layoutInCell="1" allowOverlap="1">
                <wp:simplePos x="0" y="0"/>
                <wp:positionH relativeFrom="column">
                  <wp:posOffset>3103245</wp:posOffset>
                </wp:positionH>
                <wp:positionV relativeFrom="paragraph">
                  <wp:posOffset>2529205</wp:posOffset>
                </wp:positionV>
                <wp:extent cx="1042035" cy="571500"/>
                <wp:effectExtent l="0" t="0" r="0" b="0"/>
                <wp:wrapNone/>
                <wp:docPr id="99" name="矩形 99"/>
                <wp:cNvGraphicFramePr/>
                <a:graphic xmlns:a="http://schemas.openxmlformats.org/drawingml/2006/main">
                  <a:graphicData uri="http://schemas.microsoft.com/office/word/2010/wordprocessingShape">
                    <wps:wsp>
                      <wps:cNvSpPr/>
                      <wps:spPr>
                        <a:xfrm>
                          <a:off x="0" y="0"/>
                          <a:ext cx="1042035" cy="571500"/>
                        </a:xfrm>
                        <a:prstGeom prst="rect">
                          <a:avLst/>
                        </a:prstGeom>
                        <a:noFill/>
                        <a:ln w="15875">
                          <a:noFill/>
                        </a:ln>
                      </wps:spPr>
                      <wps:txbx>
                        <w:txbxContent>
                          <w:p w14:paraId="7EFBA104">
                            <w:pPr>
                              <w:rPr>
                                <w:rFonts w:hint="default"/>
                                <w:lang w:val="en-US" w:eastAsia="zh-CN"/>
                              </w:rPr>
                            </w:pPr>
                            <w:r>
                              <w:rPr>
                                <w:rFonts w:hint="eastAsia" w:ascii="Times New Roman" w:hAnsi="Times New Roman" w:eastAsia="宋体" w:cs="Times New Roman"/>
                                <w:b/>
                                <w:bCs/>
                                <w:color w:val="FF0000"/>
                                <w:sz w:val="21"/>
                                <w:szCs w:val="20"/>
                                <w:lang w:val="en-US" w:eastAsia="zh-CN"/>
                              </w:rPr>
                              <w:t>杨家井居民点</w:t>
                            </w:r>
                          </w:p>
                        </w:txbxContent>
                      </wps:txbx>
                      <wps:bodyPr upright="1"/>
                    </wps:wsp>
                  </a:graphicData>
                </a:graphic>
              </wp:anchor>
            </w:drawing>
          </mc:Choice>
          <mc:Fallback>
            <w:pict>
              <v:rect id="_x0000_s1026" o:spid="_x0000_s1026" o:spt="1" style="position:absolute;left:0pt;margin-left:244.35pt;margin-top:199.15pt;height:45pt;width:82.05pt;z-index:251691008;mso-width-relative:page;mso-height-relative:page;" filled="f" stroked="f" coordsize="21600,21600" o:gfxdata="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Ncmi&#10;/tsAAAALAQAADwAAAAAAAAABACAAAAAiAAAAZHJzL2Rvd25yZXYueG1sUEsBAhQAFAAAAAgAh07i&#10;QL2z5G+tAQAATQMAAA4AAAAAAAAAAQAgAAAAKgEAAGRycy9lMm9Eb2MueG1sUEsFBgAAAAAGAAYA&#10;WQEAAEkFAAAAAA==&#10;">
                <v:fill on="f" focussize="0,0"/>
                <v:stroke on="f" weight="1.25pt"/>
                <v:imagedata o:title=""/>
                <o:lock v:ext="edit" aspectratio="f"/>
                <v:textbox>
                  <w:txbxContent>
                    <w:p w14:paraId="7EFBA104">
                      <w:pPr>
                        <w:rPr>
                          <w:rFonts w:hint="default"/>
                          <w:lang w:val="en-US" w:eastAsia="zh-CN"/>
                        </w:rPr>
                      </w:pPr>
                      <w:r>
                        <w:rPr>
                          <w:rFonts w:hint="eastAsia" w:ascii="Times New Roman" w:hAnsi="Times New Roman" w:eastAsia="宋体" w:cs="Times New Roman"/>
                          <w:b/>
                          <w:bCs/>
                          <w:color w:val="FF0000"/>
                          <w:sz w:val="21"/>
                          <w:szCs w:val="20"/>
                          <w:lang w:val="en-US" w:eastAsia="zh-CN"/>
                        </w:rPr>
                        <w:t>杨家井居民点</w:t>
                      </w:r>
                    </w:p>
                  </w:txbxContent>
                </v:textbox>
              </v:rect>
            </w:pict>
          </mc:Fallback>
        </mc:AlternateContent>
      </w:r>
      <w:r>
        <w:rPr>
          <w:color w:val="auto"/>
        </w:rPr>
        <mc:AlternateContent>
          <mc:Choice Requires="wps">
            <w:drawing>
              <wp:anchor distT="0" distB="0" distL="114300" distR="114300" simplePos="0" relativeHeight="251689984" behindDoc="0" locked="0" layoutInCell="1" allowOverlap="1">
                <wp:simplePos x="0" y="0"/>
                <wp:positionH relativeFrom="column">
                  <wp:posOffset>3358515</wp:posOffset>
                </wp:positionH>
                <wp:positionV relativeFrom="paragraph">
                  <wp:posOffset>2429510</wp:posOffset>
                </wp:positionV>
                <wp:extent cx="95250" cy="95250"/>
                <wp:effectExtent l="7620" t="7620" r="19050" b="19050"/>
                <wp:wrapNone/>
                <wp:docPr id="97" name="流程图: 联系 97"/>
                <wp:cNvGraphicFramePr/>
                <a:graphic xmlns:a="http://schemas.openxmlformats.org/drawingml/2006/main">
                  <a:graphicData uri="http://schemas.microsoft.com/office/word/2010/wordprocessingShape">
                    <wps:wsp>
                      <wps:cNvSpPr/>
                      <wps:spPr>
                        <a:xfrm>
                          <a:off x="0" y="0"/>
                          <a:ext cx="95250" cy="95250"/>
                        </a:xfrm>
                        <a:prstGeom prst="flowChartConnector">
                          <a:avLst/>
                        </a:prstGeom>
                        <a:solidFill>
                          <a:srgbClr val="FF0000"/>
                        </a:solidFill>
                        <a:ln w="15875" cap="flat" cmpd="sng">
                          <a:solidFill>
                            <a:srgbClr val="739CC3"/>
                          </a:solidFill>
                          <a:prstDash val="solid"/>
                          <a:headEnd type="none" w="med" len="med"/>
                          <a:tailEnd type="none" w="med" len="med"/>
                        </a:ln>
                      </wps:spPr>
                      <wps:bodyPr upright="1"/>
                    </wps:wsp>
                  </a:graphicData>
                </a:graphic>
              </wp:anchor>
            </w:drawing>
          </mc:Choice>
          <mc:Fallback>
            <w:pict>
              <v:shape id="_x0000_s1026" o:spid="_x0000_s1026" o:spt="120" type="#_x0000_t120" style="position:absolute;left:0pt;margin-left:264.45pt;margin-top:191.3pt;height:7.5pt;width:7.5pt;z-index:251689984;mso-width-relative:page;mso-height-relative:page;" fillcolor="#FF0000" filled="t" stroked="t" coordsize="21600,21600" o:gfxdata="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3O9z49oAAAALAQAADwAA&#10;AAAAAAABACAAAAAiAAAAZHJzL2Rvd25yZXYueG1sUEsBAhQAFAAAAAgAh07iQK0H8DQUAgAALQQA&#10;AA4AAAAAAAAAAQAgAAAAKQEAAGRycy9lMm9Eb2MueG1sUEsFBgAAAAAGAAYAWQEAAK8FAAAAAA==&#10;">
                <v:fill on="t" focussize="0,0"/>
                <v:stroke weight="1.25pt" color="#739CC3" joinstyle="round"/>
                <v:imagedata o:title=""/>
                <o:lock v:ext="edit" aspectratio="f"/>
              </v:shape>
            </w:pict>
          </mc:Fallback>
        </mc:AlternateContent>
      </w:r>
      <w:r>
        <w:rPr>
          <w:color w:val="auto"/>
        </w:rPr>
        <mc:AlternateContent>
          <mc:Choice Requires="wps">
            <w:drawing>
              <wp:anchor distT="0" distB="0" distL="114300" distR="114300" simplePos="0" relativeHeight="251688960" behindDoc="0" locked="0" layoutInCell="1" allowOverlap="1">
                <wp:simplePos x="0" y="0"/>
                <wp:positionH relativeFrom="column">
                  <wp:posOffset>1546860</wp:posOffset>
                </wp:positionH>
                <wp:positionV relativeFrom="paragraph">
                  <wp:posOffset>4563110</wp:posOffset>
                </wp:positionV>
                <wp:extent cx="95250" cy="95250"/>
                <wp:effectExtent l="7620" t="7620" r="19050" b="19050"/>
                <wp:wrapNone/>
                <wp:docPr id="96" name="流程图: 联系 96"/>
                <wp:cNvGraphicFramePr/>
                <a:graphic xmlns:a="http://schemas.openxmlformats.org/drawingml/2006/main">
                  <a:graphicData uri="http://schemas.microsoft.com/office/word/2010/wordprocessingShape">
                    <wps:wsp>
                      <wps:cNvSpPr/>
                      <wps:spPr>
                        <a:xfrm>
                          <a:off x="0" y="0"/>
                          <a:ext cx="95250" cy="95250"/>
                        </a:xfrm>
                        <a:prstGeom prst="flowChartConnector">
                          <a:avLst/>
                        </a:prstGeom>
                        <a:solidFill>
                          <a:srgbClr val="FF0000"/>
                        </a:solidFill>
                        <a:ln w="15875" cap="flat" cmpd="sng">
                          <a:solidFill>
                            <a:srgbClr val="739CC3"/>
                          </a:solidFill>
                          <a:prstDash val="solid"/>
                          <a:headEnd type="none" w="med" len="med"/>
                          <a:tailEnd type="none" w="med" len="med"/>
                        </a:ln>
                      </wps:spPr>
                      <wps:bodyPr upright="1"/>
                    </wps:wsp>
                  </a:graphicData>
                </a:graphic>
              </wp:anchor>
            </w:drawing>
          </mc:Choice>
          <mc:Fallback>
            <w:pict>
              <v:shape id="_x0000_s1026" o:spid="_x0000_s1026" o:spt="120" type="#_x0000_t120" style="position:absolute;left:0pt;margin-left:121.8pt;margin-top:359.3pt;height:7.5pt;width:7.5pt;z-index:251688960;mso-width-relative:page;mso-height-relative:page;" fillcolor="#FF0000" filled="t" stroked="t" coordsize="21600,21600" o:gfxdata="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L6+suvYAAAACwEAAA8AAAAA&#10;AAAAAQAgAAAAIgAAAGRycy9kb3ducmV2LnhtbFBLAQIUABQAAAAIAIdO4kBKkAYMFAIAAC0EAAAO&#10;AAAAAAAAAAEAIAAAACcBAABkcnMvZTJvRG9jLnhtbFBLBQYAAAAABgAGAFkBAACtBQAAAAA=&#10;">
                <v:fill on="t" focussize="0,0"/>
                <v:stroke weight="1.25pt" color="#739CC3" joinstyle="round"/>
                <v:imagedata o:title=""/>
                <o:lock v:ext="edit" aspectratio="f"/>
              </v:shape>
            </w:pict>
          </mc:Fallback>
        </mc:AlternateContent>
      </w:r>
      <w:r>
        <w:rPr>
          <w:color w:val="auto"/>
        </w:rPr>
        <mc:AlternateContent>
          <mc:Choice Requires="wps">
            <w:drawing>
              <wp:anchor distT="0" distB="0" distL="114300" distR="114300" simplePos="0" relativeHeight="251687936" behindDoc="0" locked="0" layoutInCell="1" allowOverlap="1">
                <wp:simplePos x="0" y="0"/>
                <wp:positionH relativeFrom="column">
                  <wp:posOffset>1129665</wp:posOffset>
                </wp:positionH>
                <wp:positionV relativeFrom="paragraph">
                  <wp:posOffset>4671695</wp:posOffset>
                </wp:positionV>
                <wp:extent cx="1000125" cy="571500"/>
                <wp:effectExtent l="0" t="0" r="0" b="0"/>
                <wp:wrapNone/>
                <wp:docPr id="95" name="矩形 95"/>
                <wp:cNvGraphicFramePr/>
                <a:graphic xmlns:a="http://schemas.openxmlformats.org/drawingml/2006/main">
                  <a:graphicData uri="http://schemas.microsoft.com/office/word/2010/wordprocessingShape">
                    <wps:wsp>
                      <wps:cNvSpPr/>
                      <wps:spPr>
                        <a:xfrm>
                          <a:off x="0" y="0"/>
                          <a:ext cx="1000125" cy="571500"/>
                        </a:xfrm>
                        <a:prstGeom prst="rect">
                          <a:avLst/>
                        </a:prstGeom>
                        <a:noFill/>
                        <a:ln w="15875">
                          <a:noFill/>
                        </a:ln>
                      </wps:spPr>
                      <wps:txbx>
                        <w:txbxContent>
                          <w:p w14:paraId="3CA29D26">
                            <w:pPr>
                              <w:rPr>
                                <w:rFonts w:hint="default"/>
                                <w:lang w:val="en-US" w:eastAsia="zh-CN"/>
                              </w:rPr>
                            </w:pPr>
                            <w:r>
                              <w:rPr>
                                <w:rFonts w:hint="eastAsia" w:ascii="Times New Roman" w:hAnsi="Times New Roman" w:eastAsia="宋体" w:cs="Times New Roman"/>
                                <w:b/>
                                <w:bCs/>
                                <w:color w:val="FF0000"/>
                                <w:sz w:val="21"/>
                                <w:szCs w:val="20"/>
                                <w:lang w:val="en-US" w:eastAsia="zh-CN"/>
                              </w:rPr>
                              <w:t>杨家井</w:t>
                            </w:r>
                          </w:p>
                        </w:txbxContent>
                      </wps:txbx>
                      <wps:bodyPr upright="1"/>
                    </wps:wsp>
                  </a:graphicData>
                </a:graphic>
              </wp:anchor>
            </w:drawing>
          </mc:Choice>
          <mc:Fallback>
            <w:pict>
              <v:rect id="_x0000_s1026" o:spid="_x0000_s1026" o:spt="1" style="position:absolute;left:0pt;margin-left:88.95pt;margin-top:367.85pt;height:45pt;width:78.75pt;z-index:251687936;mso-width-relative:page;mso-height-relative:page;" filled="f" stroked="f" coordsize="21600,21600" o:gfxdata="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">
                <v:fill on="f" focussize="0,0"/>
                <v:stroke on="f" weight="1.25pt"/>
                <v:imagedata o:title=""/>
                <o:lock v:ext="edit" aspectratio="f"/>
                <v:textbox>
                  <w:txbxContent>
                    <w:p w14:paraId="3CA29D26">
                      <w:pPr>
                        <w:rPr>
                          <w:rFonts w:hint="default"/>
                          <w:lang w:val="en-US" w:eastAsia="zh-CN"/>
                        </w:rPr>
                      </w:pPr>
                      <w:r>
                        <w:rPr>
                          <w:rFonts w:hint="eastAsia" w:ascii="Times New Roman" w:hAnsi="Times New Roman" w:eastAsia="宋体" w:cs="Times New Roman"/>
                          <w:b/>
                          <w:bCs/>
                          <w:color w:val="FF0000"/>
                          <w:sz w:val="21"/>
                          <w:szCs w:val="20"/>
                          <w:lang w:val="en-US" w:eastAsia="zh-CN"/>
                        </w:rPr>
                        <w:t>杨家井</w:t>
                      </w:r>
                    </w:p>
                  </w:txbxContent>
                </v:textbox>
              </v:rect>
            </w:pict>
          </mc:Fallback>
        </mc:AlternateContent>
      </w:r>
      <w:r>
        <w:rPr>
          <w:color w:val="auto"/>
        </w:rPr>
        <mc:AlternateContent>
          <mc:Choice Requires="wps">
            <w:drawing>
              <wp:anchor distT="0" distB="0" distL="114300" distR="114300" simplePos="0" relativeHeight="251681792" behindDoc="0" locked="0" layoutInCell="1" allowOverlap="1">
                <wp:simplePos x="0" y="0"/>
                <wp:positionH relativeFrom="column">
                  <wp:posOffset>5862955</wp:posOffset>
                </wp:positionH>
                <wp:positionV relativeFrom="paragraph">
                  <wp:posOffset>4383405</wp:posOffset>
                </wp:positionV>
                <wp:extent cx="1000125" cy="571500"/>
                <wp:effectExtent l="0" t="0" r="0" b="0"/>
                <wp:wrapNone/>
                <wp:docPr id="201" name="矩形 201"/>
                <wp:cNvGraphicFramePr/>
                <a:graphic xmlns:a="http://schemas.openxmlformats.org/drawingml/2006/main">
                  <a:graphicData uri="http://schemas.microsoft.com/office/word/2010/wordprocessingShape">
                    <wps:wsp>
                      <wps:cNvSpPr/>
                      <wps:spPr>
                        <a:xfrm>
                          <a:off x="0" y="0"/>
                          <a:ext cx="1000125" cy="571500"/>
                        </a:xfrm>
                        <a:prstGeom prst="rect">
                          <a:avLst/>
                        </a:prstGeom>
                        <a:noFill/>
                        <a:ln w="15875">
                          <a:noFill/>
                        </a:ln>
                      </wps:spPr>
                      <wps:txbx>
                        <w:txbxContent>
                          <w:p w14:paraId="5D7B8812">
                            <w:pPr>
                              <w:keepNext w:val="0"/>
                              <w:keepLines w:val="0"/>
                              <w:pageBreakBefore w:val="0"/>
                              <w:widowControl w:val="0"/>
                              <w:kinsoku/>
                              <w:wordWrap/>
                              <w:overflowPunct/>
                              <w:topLinePunct w:val="0"/>
                              <w:bidi w:val="0"/>
                              <w:adjustRightInd/>
                              <w:snapToGrid/>
                              <w:spacing w:line="240" w:lineRule="auto"/>
                              <w:jc w:val="center"/>
                              <w:textAlignment w:val="auto"/>
                              <w:rPr>
                                <w:rFonts w:hint="eastAsia" w:ascii="Times New Roman" w:hAnsi="Times New Roman" w:eastAsia="宋体" w:cs="Times New Roman"/>
                                <w:b/>
                                <w:bCs/>
                                <w:color w:val="FF0000"/>
                                <w:sz w:val="21"/>
                                <w:szCs w:val="20"/>
                                <w:lang w:val="en-US" w:eastAsia="zh-CN"/>
                              </w:rPr>
                            </w:pPr>
                            <w:r>
                              <w:rPr>
                                <w:rFonts w:hint="eastAsia" w:ascii="Times New Roman" w:hAnsi="Times New Roman" w:eastAsia="宋体" w:cs="Times New Roman"/>
                                <w:b/>
                                <w:bCs/>
                                <w:color w:val="FF0000"/>
                                <w:sz w:val="21"/>
                                <w:szCs w:val="20"/>
                                <w:lang w:val="en-US" w:eastAsia="zh-CN"/>
                              </w:rPr>
                              <w:t>摩配小镇配套公寓</w:t>
                            </w:r>
                          </w:p>
                          <w:p w14:paraId="7BD083B7">
                            <w:pPr>
                              <w:rPr>
                                <w:rFonts w:hint="default"/>
                                <w:lang w:val="en-US" w:eastAsia="zh-CN"/>
                              </w:rPr>
                            </w:pPr>
                          </w:p>
                        </w:txbxContent>
                      </wps:txbx>
                      <wps:bodyPr upright="1"/>
                    </wps:wsp>
                  </a:graphicData>
                </a:graphic>
              </wp:anchor>
            </w:drawing>
          </mc:Choice>
          <mc:Fallback>
            <w:pict>
              <v:rect id="_x0000_s1026" o:spid="_x0000_s1026" o:spt="1" style="position:absolute;left:0pt;margin-left:461.65pt;margin-top:345.15pt;height:45pt;width:78.75pt;z-index:251681792;mso-width-relative:page;mso-height-relative:page;" filled="f" stroked="f" coordsize="21600,21600" o:gfxdata="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">
                <v:fill on="f" focussize="0,0"/>
                <v:stroke on="f" weight="1.25pt"/>
                <v:imagedata o:title=""/>
                <o:lock v:ext="edit" aspectratio="f"/>
                <v:textbox>
                  <w:txbxContent>
                    <w:p w14:paraId="5D7B8812">
                      <w:pPr>
                        <w:keepNext w:val="0"/>
                        <w:keepLines w:val="0"/>
                        <w:pageBreakBefore w:val="0"/>
                        <w:widowControl w:val="0"/>
                        <w:kinsoku/>
                        <w:wordWrap/>
                        <w:overflowPunct/>
                        <w:topLinePunct w:val="0"/>
                        <w:bidi w:val="0"/>
                        <w:adjustRightInd/>
                        <w:snapToGrid/>
                        <w:spacing w:line="240" w:lineRule="auto"/>
                        <w:jc w:val="center"/>
                        <w:textAlignment w:val="auto"/>
                        <w:rPr>
                          <w:rFonts w:hint="eastAsia" w:ascii="Times New Roman" w:hAnsi="Times New Roman" w:eastAsia="宋体" w:cs="Times New Roman"/>
                          <w:b/>
                          <w:bCs/>
                          <w:color w:val="FF0000"/>
                          <w:sz w:val="21"/>
                          <w:szCs w:val="20"/>
                          <w:lang w:val="en-US" w:eastAsia="zh-CN"/>
                        </w:rPr>
                      </w:pPr>
                      <w:r>
                        <w:rPr>
                          <w:rFonts w:hint="eastAsia" w:ascii="Times New Roman" w:hAnsi="Times New Roman" w:eastAsia="宋体" w:cs="Times New Roman"/>
                          <w:b/>
                          <w:bCs/>
                          <w:color w:val="FF0000"/>
                          <w:sz w:val="21"/>
                          <w:szCs w:val="20"/>
                          <w:lang w:val="en-US" w:eastAsia="zh-CN"/>
                        </w:rPr>
                        <w:t>摩配小镇配套公寓</w:t>
                      </w:r>
                    </w:p>
                    <w:p w14:paraId="7BD083B7">
                      <w:pPr>
                        <w:rPr>
                          <w:rFonts w:hint="default"/>
                          <w:lang w:val="en-US" w:eastAsia="zh-CN"/>
                        </w:rPr>
                      </w:pPr>
                    </w:p>
                  </w:txbxContent>
                </v:textbox>
              </v:rect>
            </w:pict>
          </mc:Fallback>
        </mc:AlternateContent>
      </w:r>
      <w:r>
        <w:rPr>
          <w:color w:val="auto"/>
        </w:rPr>
        <mc:AlternateContent>
          <mc:Choice Requires="wps">
            <w:drawing>
              <wp:anchor distT="0" distB="0" distL="114300" distR="114300" simplePos="0" relativeHeight="251682816" behindDoc="0" locked="0" layoutInCell="1" allowOverlap="1">
                <wp:simplePos x="0" y="0"/>
                <wp:positionH relativeFrom="column">
                  <wp:posOffset>6280150</wp:posOffset>
                </wp:positionH>
                <wp:positionV relativeFrom="paragraph">
                  <wp:posOffset>4274820</wp:posOffset>
                </wp:positionV>
                <wp:extent cx="95250" cy="95250"/>
                <wp:effectExtent l="7620" t="7620" r="19050" b="19050"/>
                <wp:wrapNone/>
                <wp:docPr id="209" name="流程图: 联系 209"/>
                <wp:cNvGraphicFramePr/>
                <a:graphic xmlns:a="http://schemas.openxmlformats.org/drawingml/2006/main">
                  <a:graphicData uri="http://schemas.microsoft.com/office/word/2010/wordprocessingShape">
                    <wps:wsp>
                      <wps:cNvSpPr/>
                      <wps:spPr>
                        <a:xfrm>
                          <a:off x="0" y="0"/>
                          <a:ext cx="95250" cy="95250"/>
                        </a:xfrm>
                        <a:prstGeom prst="flowChartConnector">
                          <a:avLst/>
                        </a:prstGeom>
                        <a:solidFill>
                          <a:srgbClr val="FF0000"/>
                        </a:solidFill>
                        <a:ln w="15875" cap="flat" cmpd="sng">
                          <a:solidFill>
                            <a:srgbClr val="739CC3"/>
                          </a:solidFill>
                          <a:prstDash val="solid"/>
                          <a:headEnd type="none" w="med" len="med"/>
                          <a:tailEnd type="none" w="med" len="med"/>
                        </a:ln>
                      </wps:spPr>
                      <wps:bodyPr upright="1"/>
                    </wps:wsp>
                  </a:graphicData>
                </a:graphic>
              </wp:anchor>
            </w:drawing>
          </mc:Choice>
          <mc:Fallback>
            <w:pict>
              <v:shape id="_x0000_s1026" o:spid="_x0000_s1026" o:spt="120" type="#_x0000_t120" style="position:absolute;left:0pt;margin-left:494.5pt;margin-top:336.6pt;height:7.5pt;width:7.5pt;z-index:251682816;mso-width-relative:page;mso-height-relative:page;" fillcolor="#FF0000" filled="t" stroked="t" coordsize="21600,21600" o:gfxdata="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BbVYzNkAAAAMAQAADwAA&#10;AAAAAAABACAAAAAiAAAAZHJzL2Rvd25yZXYueG1sUEsBAhQAFAAAAAgAh07iQIReo78VAgAALwQA&#10;AA4AAAAAAAAAAQAgAAAAKAEAAGRycy9lMm9Eb2MueG1sUEsFBgAAAAAGAAYAWQEAAK8FAAAAAA==&#10;">
                <v:fill on="t" focussize="0,0"/>
                <v:stroke weight="1.25pt" color="#739CC3" joinstyle="round"/>
                <v:imagedata o:title=""/>
                <o:lock v:ext="edit" aspectratio="f"/>
              </v:shape>
            </w:pict>
          </mc:Fallback>
        </mc:AlternateContent>
      </w:r>
      <w:r>
        <w:rPr>
          <w:color w:val="auto"/>
        </w:rPr>
        <mc:AlternateContent>
          <mc:Choice Requires="wps">
            <w:drawing>
              <wp:anchor distT="0" distB="0" distL="114300" distR="114300" simplePos="0" relativeHeight="251680768" behindDoc="0" locked="0" layoutInCell="1" allowOverlap="1">
                <wp:simplePos x="0" y="0"/>
                <wp:positionH relativeFrom="column">
                  <wp:posOffset>3800475</wp:posOffset>
                </wp:positionH>
                <wp:positionV relativeFrom="paragraph">
                  <wp:posOffset>3382010</wp:posOffset>
                </wp:positionV>
                <wp:extent cx="1067435" cy="418465"/>
                <wp:effectExtent l="7620" t="403225" r="22225" b="16510"/>
                <wp:wrapNone/>
                <wp:docPr id="92" name="圆角矩形标注 92"/>
                <wp:cNvGraphicFramePr/>
                <a:graphic xmlns:a="http://schemas.openxmlformats.org/drawingml/2006/main">
                  <a:graphicData uri="http://schemas.microsoft.com/office/word/2010/wordprocessingShape">
                    <wps:wsp>
                      <wps:cNvSpPr/>
                      <wps:spPr>
                        <a:xfrm>
                          <a:off x="0" y="0"/>
                          <a:ext cx="1067435" cy="418465"/>
                        </a:xfrm>
                        <a:prstGeom prst="wedgeRoundRectCallout">
                          <a:avLst>
                            <a:gd name="adj1" fmla="val 49048"/>
                            <a:gd name="adj2" fmla="val -139377"/>
                            <a:gd name="adj3" fmla="val 16667"/>
                          </a:avLst>
                        </a:prstGeom>
                        <a:noFill/>
                        <a:ln w="15875" cap="flat" cmpd="sng">
                          <a:solidFill>
                            <a:srgbClr val="FF0000"/>
                          </a:solidFill>
                          <a:prstDash val="solid"/>
                          <a:miter/>
                          <a:headEnd type="none" w="med" len="med"/>
                          <a:tailEnd type="none" w="med" len="med"/>
                        </a:ln>
                      </wps:spPr>
                      <wps:txbx>
                        <w:txbxContent>
                          <w:p w14:paraId="121E5AC2">
                            <w:pPr>
                              <w:keepNext w:val="0"/>
                              <w:keepLines w:val="0"/>
                              <w:pageBreakBefore w:val="0"/>
                              <w:widowControl w:val="0"/>
                              <w:kinsoku/>
                              <w:wordWrap/>
                              <w:overflowPunct/>
                              <w:topLinePunct w:val="0"/>
                              <w:bidi w:val="0"/>
                              <w:adjustRightInd/>
                              <w:snapToGrid/>
                              <w:spacing w:line="360" w:lineRule="auto"/>
                              <w:jc w:val="center"/>
                              <w:textAlignment w:val="auto"/>
                              <w:rPr>
                                <w:rFonts w:hint="default" w:eastAsia="宋体"/>
                                <w:b/>
                                <w:bCs/>
                                <w:color w:val="FF0000"/>
                                <w:sz w:val="21"/>
                                <w:szCs w:val="20"/>
                                <w:lang w:val="en-US" w:eastAsia="zh-CN"/>
                              </w:rPr>
                            </w:pPr>
                            <w:r>
                              <w:rPr>
                                <w:rFonts w:hint="eastAsia"/>
                                <w:b/>
                                <w:bCs/>
                                <w:color w:val="FF0000"/>
                                <w:sz w:val="21"/>
                                <w:szCs w:val="20"/>
                                <w:lang w:val="en-US" w:eastAsia="zh-CN"/>
                              </w:rPr>
                              <w:t>本项目厂界</w:t>
                            </w:r>
                          </w:p>
                        </w:txbxContent>
                      </wps:txbx>
                      <wps:bodyPr upright="1"/>
                    </wps:wsp>
                  </a:graphicData>
                </a:graphic>
              </wp:anchor>
            </w:drawing>
          </mc:Choice>
          <mc:Fallback>
            <w:pict>
              <v:shape id="_x0000_s1026" o:spid="_x0000_s1026" o:spt="62" type="#_x0000_t62" style="position:absolute;left:0pt;margin-left:299.25pt;margin-top:266.3pt;height:32.95pt;width:84.05pt;z-index:251680768;mso-width-relative:page;mso-height-relative:page;" filled="f" stroked="t" coordsize="21600,21600" o:gfxdata="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NUWNK7XAAAACwEAAA8A&#10;AAAAAAAAAQAgAAAAIgAAAGRycy9kb3ducmV2LnhtbFBLAQIUABQAAAAIAIdO4kDlnhYkUQIAAJcE&#10;AAAOAAAAAAAAAAEAIAAAACYBAABkcnMvZTJvRG9jLnhtbFBLBQYAAAAABgAGAFkBAADpBQAAAAA=&#10;" adj="21394,-19305,14400">
                <v:fill on="f" focussize="0,0"/>
                <v:stroke weight="1.25pt" color="#FF0000" joinstyle="miter"/>
                <v:imagedata o:title=""/>
                <o:lock v:ext="edit" aspectratio="f"/>
                <v:textbox>
                  <w:txbxContent>
                    <w:p w14:paraId="121E5AC2">
                      <w:pPr>
                        <w:keepNext w:val="0"/>
                        <w:keepLines w:val="0"/>
                        <w:pageBreakBefore w:val="0"/>
                        <w:widowControl w:val="0"/>
                        <w:kinsoku/>
                        <w:wordWrap/>
                        <w:overflowPunct/>
                        <w:topLinePunct w:val="0"/>
                        <w:bidi w:val="0"/>
                        <w:adjustRightInd/>
                        <w:snapToGrid/>
                        <w:spacing w:line="360" w:lineRule="auto"/>
                        <w:jc w:val="center"/>
                        <w:textAlignment w:val="auto"/>
                        <w:rPr>
                          <w:rFonts w:hint="default" w:eastAsia="宋体"/>
                          <w:b/>
                          <w:bCs/>
                          <w:color w:val="FF0000"/>
                          <w:sz w:val="21"/>
                          <w:szCs w:val="20"/>
                          <w:lang w:val="en-US" w:eastAsia="zh-CN"/>
                        </w:rPr>
                      </w:pPr>
                      <w:r>
                        <w:rPr>
                          <w:rFonts w:hint="eastAsia"/>
                          <w:b/>
                          <w:bCs/>
                          <w:color w:val="FF0000"/>
                          <w:sz w:val="21"/>
                          <w:szCs w:val="20"/>
                          <w:lang w:val="en-US" w:eastAsia="zh-CN"/>
                        </w:rPr>
                        <w:t>本项目厂界</w:t>
                      </w:r>
                    </w:p>
                  </w:txbxContent>
                </v:textbox>
              </v:shape>
            </w:pict>
          </mc:Fallback>
        </mc:AlternateContent>
      </w:r>
    </w:p>
    <w:p w14:paraId="10FE7D0E">
      <w:pPr>
        <w:pStyle w:val="2"/>
        <w:bidi w:val="0"/>
        <w:jc w:val="center"/>
        <w:rPr>
          <w:color w:val="auto"/>
          <w:sz w:val="24"/>
          <w:szCs w:val="24"/>
        </w:rPr>
      </w:pPr>
      <w:bookmarkStart w:id="46" w:name="_Toc24368"/>
      <w:r>
        <w:rPr>
          <w:rFonts w:hint="eastAsia"/>
          <w:color w:val="auto"/>
          <w:sz w:val="24"/>
          <w:szCs w:val="24"/>
        </w:rPr>
        <w:t>附图</w:t>
      </w:r>
      <w:r>
        <w:rPr>
          <w:rFonts w:hint="default" w:ascii="Times New Roman" w:hAnsi="Times New Roman" w:cs="Times New Roman"/>
          <w:color w:val="auto"/>
          <w:sz w:val="24"/>
          <w:szCs w:val="24"/>
          <w:lang w:val="en-US" w:eastAsia="zh-CN"/>
        </w:rPr>
        <w:t>5</w:t>
      </w:r>
      <w:r>
        <w:rPr>
          <w:rFonts w:hint="eastAsia"/>
          <w:color w:val="auto"/>
          <w:sz w:val="24"/>
          <w:szCs w:val="24"/>
        </w:rPr>
        <w:t xml:space="preserve"> </w:t>
      </w:r>
      <w:r>
        <w:rPr>
          <w:rFonts w:hint="eastAsia"/>
          <w:color w:val="auto"/>
          <w:sz w:val="24"/>
          <w:szCs w:val="24"/>
          <w:lang w:val="en-US" w:eastAsia="zh-CN"/>
        </w:rPr>
        <w:t>项目周边环境概况图</w:t>
      </w:r>
      <w:bookmarkEnd w:id="46"/>
    </w:p>
    <w:p w14:paraId="6F05BFC6">
      <w:pPr>
        <w:jc w:val="center"/>
        <w:rPr>
          <w:rFonts w:hint="eastAsia" w:eastAsia="宋体"/>
          <w:color w:val="auto"/>
          <w:lang w:eastAsia="zh-CN"/>
        </w:rPr>
      </w:pPr>
      <w:r>
        <w:rPr>
          <w:color w:val="auto"/>
        </w:rPr>
        <w:drawing>
          <wp:anchor distT="0" distB="0" distL="114300" distR="114300" simplePos="0" relativeHeight="251686912" behindDoc="0" locked="0" layoutInCell="1" allowOverlap="1">
            <wp:simplePos x="0" y="0"/>
            <wp:positionH relativeFrom="column">
              <wp:posOffset>7717155</wp:posOffset>
            </wp:positionH>
            <wp:positionV relativeFrom="paragraph">
              <wp:posOffset>140335</wp:posOffset>
            </wp:positionV>
            <wp:extent cx="906780" cy="781685"/>
            <wp:effectExtent l="0" t="0" r="7620" b="10795"/>
            <wp:wrapNone/>
            <wp:docPr id="8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2"/>
                    <pic:cNvPicPr>
                      <a:picLocks noChangeAspect="1"/>
                    </pic:cNvPicPr>
                  </pic:nvPicPr>
                  <pic:blipFill>
                    <a:blip r:embed="rId38"/>
                    <a:stretch>
                      <a:fillRect/>
                    </a:stretch>
                  </pic:blipFill>
                  <pic:spPr>
                    <a:xfrm>
                      <a:off x="0" y="0"/>
                      <a:ext cx="906780" cy="781685"/>
                    </a:xfrm>
                    <a:prstGeom prst="rect">
                      <a:avLst/>
                    </a:prstGeom>
                    <a:noFill/>
                    <a:ln>
                      <a:noFill/>
                    </a:ln>
                  </pic:spPr>
                </pic:pic>
              </a:graphicData>
            </a:graphic>
          </wp:anchor>
        </w:drawing>
      </w:r>
      <w:r>
        <w:rPr>
          <w:color w:val="auto"/>
        </w:rPr>
        <w:drawing>
          <wp:anchor distT="0" distB="0" distL="114300" distR="114300" simplePos="0" relativeHeight="251685888" behindDoc="0" locked="0" layoutInCell="1" allowOverlap="1">
            <wp:simplePos x="0" y="0"/>
            <wp:positionH relativeFrom="column">
              <wp:posOffset>6729730</wp:posOffset>
            </wp:positionH>
            <wp:positionV relativeFrom="paragraph">
              <wp:posOffset>2731770</wp:posOffset>
            </wp:positionV>
            <wp:extent cx="1963420" cy="2438400"/>
            <wp:effectExtent l="9525" t="9525" r="23495" b="20955"/>
            <wp:wrapNone/>
            <wp:docPr id="1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
                    <pic:cNvPicPr>
                      <a:picLocks noChangeAspect="1"/>
                    </pic:cNvPicPr>
                  </pic:nvPicPr>
                  <pic:blipFill>
                    <a:blip r:embed="rId42"/>
                    <a:stretch>
                      <a:fillRect/>
                    </a:stretch>
                  </pic:blipFill>
                  <pic:spPr>
                    <a:xfrm>
                      <a:off x="0" y="0"/>
                      <a:ext cx="1963420" cy="2438400"/>
                    </a:xfrm>
                    <a:prstGeom prst="rect">
                      <a:avLst/>
                    </a:prstGeom>
                    <a:noFill/>
                    <a:ln w="9525" cap="flat" cmpd="sng">
                      <a:solidFill>
                        <a:srgbClr val="000000"/>
                      </a:solidFill>
                      <a:prstDash val="solid"/>
                      <a:miter/>
                      <a:headEnd type="none" w="med" len="med"/>
                      <a:tailEnd type="none" w="med" len="med"/>
                    </a:ln>
                  </pic:spPr>
                </pic:pic>
              </a:graphicData>
            </a:graphic>
          </wp:anchor>
        </w:drawing>
      </w:r>
      <w:r>
        <w:rPr>
          <w:color w:val="auto"/>
          <w:sz w:val="28"/>
        </w:rPr>
        <mc:AlternateContent>
          <mc:Choice Requires="wps">
            <w:drawing>
              <wp:anchor distT="0" distB="0" distL="114300" distR="114300" simplePos="0" relativeHeight="251684864" behindDoc="0" locked="0" layoutInCell="1" allowOverlap="1">
                <wp:simplePos x="0" y="0"/>
                <wp:positionH relativeFrom="column">
                  <wp:posOffset>4006215</wp:posOffset>
                </wp:positionH>
                <wp:positionV relativeFrom="paragraph">
                  <wp:posOffset>1604010</wp:posOffset>
                </wp:positionV>
                <wp:extent cx="762000" cy="317500"/>
                <wp:effectExtent l="7620" t="7620" r="22860" b="375920"/>
                <wp:wrapNone/>
                <wp:docPr id="93" name="圆角矩形标注 3"/>
                <wp:cNvGraphicFramePr/>
                <a:graphic xmlns:a="http://schemas.openxmlformats.org/drawingml/2006/main">
                  <a:graphicData uri="http://schemas.microsoft.com/office/word/2010/wordprocessingShape">
                    <wps:wsp>
                      <wps:cNvSpPr/>
                      <wps:spPr>
                        <a:xfrm>
                          <a:off x="4920615" y="2216150"/>
                          <a:ext cx="762000" cy="317500"/>
                        </a:xfrm>
                        <a:prstGeom prst="wedgeRoundRectCallout">
                          <a:avLst>
                            <a:gd name="adj1" fmla="val 6250"/>
                            <a:gd name="adj2" fmla="val 158199"/>
                            <a:gd name="adj3" fmla="val 16667"/>
                          </a:avLst>
                        </a:prstGeom>
                        <a:solidFill>
                          <a:srgbClr val="FF0000"/>
                        </a:solidFill>
                        <a:ln w="15875" cap="flat" cmpd="sng">
                          <a:solidFill>
                            <a:srgbClr val="FF0000"/>
                          </a:solidFill>
                          <a:prstDash val="solid"/>
                          <a:miter/>
                          <a:headEnd type="none" w="med" len="med"/>
                          <a:tailEnd type="none" w="med" len="med"/>
                        </a:ln>
                      </wps:spPr>
                      <wps:txbx>
                        <w:txbxContent>
                          <w:p w14:paraId="7AC8973F">
                            <w:pPr>
                              <w:overflowPunct/>
                              <w:spacing w:line="240" w:lineRule="auto"/>
                              <w:ind w:firstLine="0" w:firstLineChars="0"/>
                              <w:jc w:val="center"/>
                              <w:rPr>
                                <w:rFonts w:hint="default" w:ascii="Calibri" w:hAnsi="Calibri" w:eastAsia="宋体" w:cs="宋体"/>
                                <w:kern w:val="2"/>
                                <w:sz w:val="21"/>
                                <w:szCs w:val="24"/>
                                <w:lang w:val="en-US" w:eastAsia="zh-CN"/>
                              </w:rPr>
                            </w:pPr>
                            <w:r>
                              <w:rPr>
                                <w:rFonts w:hint="eastAsia" w:ascii="Calibri" w:hAnsi="Calibri" w:eastAsia="宋体" w:cs="宋体"/>
                                <w:kern w:val="2"/>
                                <w:sz w:val="21"/>
                                <w:szCs w:val="24"/>
                                <w:lang w:val="en-US" w:eastAsia="zh-CN"/>
                              </w:rPr>
                              <w:t>本项目</w:t>
                            </w:r>
                          </w:p>
                        </w:txbxContent>
                      </wps:txbx>
                      <wps:bodyPr upright="1"/>
                    </wps:wsp>
                  </a:graphicData>
                </a:graphic>
              </wp:anchor>
            </w:drawing>
          </mc:Choice>
          <mc:Fallback>
            <w:pict>
              <v:shape id="圆角矩形标注 3" o:spid="_x0000_s1026" o:spt="62" type="#_x0000_t62" style="position:absolute;left:0pt;margin-left:315.45pt;margin-top:126.3pt;height:25pt;width:60pt;z-index:251684864;mso-width-relative:page;mso-height-relative:page;" fillcolor="#FF0000" filled="t" stroked="t" coordsize="21600,21600" o:gfxdata="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L8Fy&#10;4toAAAALAQAADwAAAAAAAAABACAAAAAiAAAAZHJzL2Rvd25yZXYueG1sUEsBAhQAFAAAAAgAh07i&#10;QKlyUwJZAgAAyAQAAA4AAAAAAAAAAQAgAAAAKQEAAGRycy9lMm9Eb2MueG1sUEsFBgAAAAAGAAYA&#10;WQEAAPQFAAAAAA==&#10;" adj="12150,44971,14400">
                <v:fill on="t" focussize="0,0"/>
                <v:stroke weight="1.25pt" color="#FF0000" joinstyle="miter"/>
                <v:imagedata o:title=""/>
                <o:lock v:ext="edit" aspectratio="f"/>
                <v:textbox>
                  <w:txbxContent>
                    <w:p w14:paraId="7AC8973F">
                      <w:pPr>
                        <w:overflowPunct/>
                        <w:spacing w:line="240" w:lineRule="auto"/>
                        <w:ind w:firstLine="0" w:firstLineChars="0"/>
                        <w:jc w:val="center"/>
                        <w:rPr>
                          <w:rFonts w:hint="default" w:ascii="Calibri" w:hAnsi="Calibri" w:eastAsia="宋体" w:cs="宋体"/>
                          <w:kern w:val="2"/>
                          <w:sz w:val="21"/>
                          <w:szCs w:val="24"/>
                          <w:lang w:val="en-US" w:eastAsia="zh-CN"/>
                        </w:rPr>
                      </w:pPr>
                      <w:r>
                        <w:rPr>
                          <w:rFonts w:hint="eastAsia" w:ascii="Calibri" w:hAnsi="Calibri" w:eastAsia="宋体" w:cs="宋体"/>
                          <w:kern w:val="2"/>
                          <w:sz w:val="21"/>
                          <w:szCs w:val="24"/>
                          <w:lang w:val="en-US" w:eastAsia="zh-CN"/>
                        </w:rPr>
                        <w:t>本项目</w:t>
                      </w:r>
                    </w:p>
                  </w:txbxContent>
                </v:textbox>
              </v:shape>
            </w:pict>
          </mc:Fallback>
        </mc:AlternateContent>
      </w:r>
      <w:r>
        <w:rPr>
          <w:color w:val="auto"/>
          <w:sz w:val="28"/>
        </w:rPr>
        <mc:AlternateContent>
          <mc:Choice Requires="wps">
            <w:drawing>
              <wp:anchor distT="0" distB="0" distL="114300" distR="114300" simplePos="0" relativeHeight="251683840" behindDoc="0" locked="0" layoutInCell="1" allowOverlap="1">
                <wp:simplePos x="0" y="0"/>
                <wp:positionH relativeFrom="column">
                  <wp:posOffset>4385310</wp:posOffset>
                </wp:positionH>
                <wp:positionV relativeFrom="paragraph">
                  <wp:posOffset>2272030</wp:posOffset>
                </wp:positionV>
                <wp:extent cx="76200" cy="76200"/>
                <wp:effectExtent l="13970" t="12700" r="16510" b="17780"/>
                <wp:wrapNone/>
                <wp:docPr id="94" name="任意多边形 2"/>
                <wp:cNvGraphicFramePr/>
                <a:graphic xmlns:a="http://schemas.openxmlformats.org/drawingml/2006/main">
                  <a:graphicData uri="http://schemas.microsoft.com/office/word/2010/wordprocessingShape">
                    <wps:wsp>
                      <wps:cNvSpPr/>
                      <wps:spPr>
                        <a:xfrm flipH="1" flipV="1">
                          <a:off x="5299710" y="2884170"/>
                          <a:ext cx="76200" cy="76200"/>
                        </a:xfrm>
                        <a:custGeom>
                          <a:avLst/>
                          <a:gdLst>
                            <a:gd name="txL" fmla="*/ 0 w 76200"/>
                            <a:gd name="txT" fmla="*/ 0 h 76200"/>
                            <a:gd name="txR" fmla="*/ 76200 w 76200"/>
                            <a:gd name="txB" fmla="*/ 76200 h 76200"/>
                          </a:gdLst>
                          <a:ahLst/>
                          <a:cxnLst>
                            <a:cxn ang="16187392">
                              <a:pos x="38100" y="0"/>
                            </a:cxn>
                            <a:cxn ang="10747904">
                              <a:pos x="0" y="29105"/>
                            </a:cxn>
                            <a:cxn ang="5373952">
                              <a:pos x="14552" y="76199"/>
                            </a:cxn>
                            <a:cxn ang="5373952">
                              <a:pos x="61647" y="76199"/>
                            </a:cxn>
                            <a:cxn ang="0">
                              <a:pos x="76199" y="29105"/>
                            </a:cxn>
                          </a:cxnLst>
                          <a:rect l="txL" t="txT" r="txR" b="txB"/>
                          <a:pathLst>
                            <a:path w="76200" h="76200">
                              <a:moveTo>
                                <a:pt x="0" y="29105"/>
                              </a:moveTo>
                              <a:lnTo>
                                <a:pt x="29105" y="29105"/>
                              </a:lnTo>
                              <a:lnTo>
                                <a:pt x="38100" y="0"/>
                              </a:lnTo>
                              <a:lnTo>
                                <a:pt x="47094" y="29105"/>
                              </a:lnTo>
                              <a:lnTo>
                                <a:pt x="76199" y="29105"/>
                              </a:lnTo>
                              <a:lnTo>
                                <a:pt x="52652" y="47093"/>
                              </a:lnTo>
                              <a:lnTo>
                                <a:pt x="61647" y="76199"/>
                              </a:lnTo>
                              <a:lnTo>
                                <a:pt x="38100" y="58211"/>
                              </a:lnTo>
                              <a:lnTo>
                                <a:pt x="14552" y="76199"/>
                              </a:lnTo>
                              <a:lnTo>
                                <a:pt x="23547" y="47093"/>
                              </a:lnTo>
                              <a:close/>
                            </a:path>
                          </a:pathLst>
                        </a:custGeom>
                        <a:solidFill>
                          <a:srgbClr val="FF0000"/>
                        </a:solidFill>
                        <a:ln w="0" cap="flat" cmpd="sng">
                          <a:solidFill>
                            <a:srgbClr val="FF0000"/>
                          </a:solidFill>
                          <a:prstDash val="solid"/>
                          <a:miter/>
                          <a:headEnd type="none" w="med" len="med"/>
                          <a:tailEnd type="none" w="med" len="med"/>
                        </a:ln>
                      </wps:spPr>
                      <wps:txbx>
                        <w:txbxContent>
                          <w:p w14:paraId="50CAFBCD">
                            <w:pPr>
                              <w:overflowPunct/>
                              <w:spacing w:line="240" w:lineRule="auto"/>
                              <w:ind w:firstLine="0" w:firstLineChars="0"/>
                              <w:jc w:val="center"/>
                              <w:rPr>
                                <w:rFonts w:ascii="Calibri" w:hAnsi="Calibri" w:eastAsia="宋体" w:cs="宋体"/>
                                <w:kern w:val="2"/>
                                <w:sz w:val="21"/>
                                <w:szCs w:val="24"/>
                              </w:rPr>
                            </w:pPr>
                          </w:p>
                        </w:txbxContent>
                      </wps:txbx>
                      <wps:bodyPr upright="1"/>
                    </wps:wsp>
                  </a:graphicData>
                </a:graphic>
              </wp:anchor>
            </w:drawing>
          </mc:Choice>
          <mc:Fallback>
            <w:pict>
              <v:shape id="任意多边形 2" o:spid="_x0000_s1026" o:spt="100" style="position:absolute;left:0pt;flip:x y;margin-left:345.3pt;margin-top:178.9pt;height:6pt;width:6pt;z-index:251683840;mso-width-relative:page;mso-height-relative:page;" fillcolor="#FF0000" filled="t" stroked="t" coordsize="76200,76200" o:gfxdata="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" path="m0,29105l29105,29105,38100,0,47094,29105,76199,29105,52652,47093,61647,76199,38100,58211,14552,76199,23547,47093xe">
                <v:path textboxrect="0,0,76200,76200" o:connectlocs="38100,0;0,29105;14552,76199;61647,76199;76199,29105" o:connectangles="247,164,82,82,0"/>
                <v:fill on="t" focussize="0,0"/>
                <v:stroke weight="0pt" color="#FF0000" joinstyle="miter"/>
                <v:imagedata o:title=""/>
                <o:lock v:ext="edit" aspectratio="f"/>
                <v:textbox>
                  <w:txbxContent>
                    <w:p w14:paraId="50CAFBCD">
                      <w:pPr>
                        <w:overflowPunct/>
                        <w:spacing w:line="240" w:lineRule="auto"/>
                        <w:ind w:firstLine="0" w:firstLineChars="0"/>
                        <w:jc w:val="center"/>
                        <w:rPr>
                          <w:rFonts w:ascii="Calibri" w:hAnsi="Calibri" w:eastAsia="宋体" w:cs="宋体"/>
                          <w:kern w:val="2"/>
                          <w:sz w:val="21"/>
                          <w:szCs w:val="24"/>
                        </w:rPr>
                      </w:pPr>
                    </w:p>
                  </w:txbxContent>
                </v:textbox>
              </v:shape>
            </w:pict>
          </mc:Fallback>
        </mc:AlternateContent>
      </w:r>
      <w:r>
        <w:rPr>
          <w:rFonts w:hint="eastAsia" w:eastAsia="宋体"/>
          <w:color w:val="auto"/>
          <w:lang w:eastAsia="zh-CN"/>
        </w:rPr>
        <w:drawing>
          <wp:inline distT="0" distB="0" distL="114300" distR="114300">
            <wp:extent cx="8656955" cy="5135880"/>
            <wp:effectExtent l="9525" t="9525" r="20320" b="20955"/>
            <wp:docPr id="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1"/>
                    <pic:cNvPicPr>
                      <a:picLocks noChangeAspect="1"/>
                    </pic:cNvPicPr>
                  </pic:nvPicPr>
                  <pic:blipFill>
                    <a:blip r:embed="rId43"/>
                    <a:stretch>
                      <a:fillRect/>
                    </a:stretch>
                  </pic:blipFill>
                  <pic:spPr>
                    <a:xfrm>
                      <a:off x="0" y="0"/>
                      <a:ext cx="8656955" cy="5135880"/>
                    </a:xfrm>
                    <a:prstGeom prst="rect">
                      <a:avLst/>
                    </a:prstGeom>
                    <a:noFill/>
                    <a:ln w="9525" cap="flat" cmpd="sng">
                      <a:solidFill>
                        <a:srgbClr val="000000"/>
                      </a:solidFill>
                      <a:prstDash val="solid"/>
                      <a:miter/>
                      <a:headEnd type="none" w="med" len="med"/>
                      <a:tailEnd type="none" w="med" len="med"/>
                    </a:ln>
                  </pic:spPr>
                </pic:pic>
              </a:graphicData>
            </a:graphic>
          </wp:inline>
        </w:drawing>
      </w:r>
    </w:p>
    <w:p w14:paraId="0C32EE2C">
      <w:pPr>
        <w:jc w:val="center"/>
        <w:outlineLvl w:val="0"/>
        <w:rPr>
          <w:rFonts w:hint="eastAsia"/>
          <w:b/>
          <w:bCs/>
          <w:color w:val="auto"/>
          <w:sz w:val="24"/>
          <w:szCs w:val="22"/>
          <w:lang w:val="en-US" w:eastAsia="zh-CN"/>
        </w:rPr>
      </w:pPr>
      <w:bookmarkStart w:id="47" w:name="_Toc6828"/>
      <w:r>
        <w:rPr>
          <w:rFonts w:hint="eastAsia" w:ascii="Times New Roman" w:hAnsi="Times New Roman" w:cs="Times New Roman"/>
          <w:b/>
          <w:bCs/>
          <w:color w:val="auto"/>
          <w:sz w:val="24"/>
          <w:szCs w:val="22"/>
          <w:lang w:val="en-US" w:eastAsia="zh-CN"/>
        </w:rPr>
        <w:t>附图</w:t>
      </w:r>
      <w:r>
        <w:rPr>
          <w:rFonts w:hint="eastAsia" w:cs="Times New Roman"/>
          <w:b/>
          <w:bCs/>
          <w:color w:val="auto"/>
          <w:sz w:val="24"/>
          <w:szCs w:val="22"/>
          <w:lang w:val="en-US" w:eastAsia="zh-CN"/>
        </w:rPr>
        <w:t xml:space="preserve">6 </w:t>
      </w:r>
      <w:r>
        <w:rPr>
          <w:rFonts w:hint="eastAsia" w:ascii="Times New Roman" w:hAnsi="Times New Roman" w:cs="Times New Roman"/>
          <w:b/>
          <w:bCs/>
          <w:color w:val="auto"/>
          <w:sz w:val="24"/>
          <w:szCs w:val="22"/>
          <w:lang w:val="en-US" w:eastAsia="zh-CN"/>
        </w:rPr>
        <w:t>江西省地表水水环境功能区划</w:t>
      </w:r>
      <w:r>
        <w:rPr>
          <w:rFonts w:hint="eastAsia"/>
          <w:b/>
          <w:bCs/>
          <w:color w:val="auto"/>
          <w:sz w:val="24"/>
          <w:szCs w:val="24"/>
          <w:lang w:val="en-US" w:eastAsia="zh-CN"/>
        </w:rPr>
        <w:t>图</w:t>
      </w:r>
      <w:bookmarkEnd w:id="47"/>
    </w:p>
    <w:p w14:paraId="5C93BE1B">
      <w:pPr>
        <w:pStyle w:val="34"/>
        <w:rPr>
          <w:rFonts w:hint="eastAsia"/>
          <w:color w:val="auto"/>
          <w:lang w:val="en-US" w:eastAsia="zh-CN"/>
        </w:rPr>
        <w:sectPr>
          <w:pgSz w:w="16838" w:h="11906" w:orient="landscape"/>
          <w:pgMar w:top="964" w:right="1440" w:bottom="964" w:left="144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2CF951EC">
      <w:pPr>
        <w:pStyle w:val="24"/>
        <w:keepNext w:val="0"/>
        <w:keepLines w:val="0"/>
        <w:pageBreakBefore w:val="0"/>
        <w:widowControl w:val="0"/>
        <w:kinsoku/>
        <w:wordWrap/>
        <w:overflowPunct/>
        <w:topLinePunct w:val="0"/>
        <w:autoSpaceDE/>
        <w:autoSpaceDN/>
        <w:bidi w:val="0"/>
        <w:adjustRightInd/>
        <w:snapToGrid w:val="0"/>
        <w:spacing w:line="240" w:lineRule="auto"/>
        <w:jc w:val="center"/>
        <w:textAlignment w:val="auto"/>
        <w:outlineLvl w:val="9"/>
        <w:rPr>
          <w:rFonts w:hint="default" w:ascii="Times New Roman" w:hAnsi="Times New Roman" w:cs="Times New Roman"/>
          <w:b/>
          <w:bCs/>
          <w:color w:val="auto"/>
          <w:sz w:val="24"/>
          <w:szCs w:val="22"/>
          <w:lang w:val="en-US" w:eastAsia="zh-CN"/>
        </w:rPr>
      </w:pPr>
      <w:r>
        <w:rPr>
          <w:color w:val="auto"/>
          <w:sz w:val="28"/>
        </w:rPr>
        <mc:AlternateContent>
          <mc:Choice Requires="wps">
            <w:drawing>
              <wp:anchor distT="0" distB="0" distL="114300" distR="114300" simplePos="0" relativeHeight="251678720" behindDoc="0" locked="0" layoutInCell="1" allowOverlap="1">
                <wp:simplePos x="0" y="0"/>
                <wp:positionH relativeFrom="column">
                  <wp:posOffset>1163320</wp:posOffset>
                </wp:positionH>
                <wp:positionV relativeFrom="paragraph">
                  <wp:posOffset>1021080</wp:posOffset>
                </wp:positionV>
                <wp:extent cx="762000" cy="317500"/>
                <wp:effectExtent l="38735" t="7620" r="22225" b="436880"/>
                <wp:wrapNone/>
                <wp:docPr id="74" name="圆角矩形标注 3"/>
                <wp:cNvGraphicFramePr/>
                <a:graphic xmlns:a="http://schemas.openxmlformats.org/drawingml/2006/main">
                  <a:graphicData uri="http://schemas.microsoft.com/office/word/2010/wordprocessingShape">
                    <wps:wsp>
                      <wps:cNvSpPr/>
                      <wps:spPr>
                        <a:xfrm>
                          <a:off x="5534660" y="2561590"/>
                          <a:ext cx="762000" cy="317500"/>
                        </a:xfrm>
                        <a:prstGeom prst="wedgeRoundRectCallout">
                          <a:avLst>
                            <a:gd name="adj1" fmla="val -52083"/>
                            <a:gd name="adj2" fmla="val 171000"/>
                            <a:gd name="adj3" fmla="val 16667"/>
                          </a:avLst>
                        </a:prstGeom>
                        <a:solidFill>
                          <a:srgbClr val="FF0000"/>
                        </a:solidFill>
                        <a:ln w="15875" cap="flat" cmpd="sng">
                          <a:solidFill>
                            <a:srgbClr val="FF0000"/>
                          </a:solidFill>
                          <a:prstDash val="solid"/>
                          <a:miter/>
                          <a:headEnd type="none" w="med" len="med"/>
                          <a:tailEnd type="none" w="med" len="med"/>
                        </a:ln>
                      </wps:spPr>
                      <wps:txbx>
                        <w:txbxContent>
                          <w:p w14:paraId="0782FB69">
                            <w:pPr>
                              <w:overflowPunct/>
                              <w:spacing w:line="240" w:lineRule="auto"/>
                              <w:ind w:firstLine="0" w:firstLineChars="0"/>
                              <w:jc w:val="center"/>
                              <w:rPr>
                                <w:rFonts w:hint="default" w:ascii="Calibri" w:hAnsi="Calibri" w:eastAsia="宋体" w:cs="宋体"/>
                                <w:kern w:val="2"/>
                                <w:sz w:val="21"/>
                                <w:szCs w:val="24"/>
                                <w:lang w:val="en-US" w:eastAsia="zh-CN"/>
                              </w:rPr>
                            </w:pPr>
                            <w:r>
                              <w:rPr>
                                <w:rFonts w:hint="eastAsia" w:ascii="Calibri" w:hAnsi="Calibri" w:eastAsia="宋体" w:cs="宋体"/>
                                <w:kern w:val="2"/>
                                <w:sz w:val="21"/>
                                <w:szCs w:val="24"/>
                                <w:lang w:val="en-US" w:eastAsia="zh-CN"/>
                              </w:rPr>
                              <w:t>本项目</w:t>
                            </w:r>
                          </w:p>
                        </w:txbxContent>
                      </wps:txbx>
                      <wps:bodyPr upright="1"/>
                    </wps:wsp>
                  </a:graphicData>
                </a:graphic>
              </wp:anchor>
            </w:drawing>
          </mc:Choice>
          <mc:Fallback>
            <w:pict>
              <v:shape id="圆角矩形标注 3" o:spid="_x0000_s1026" o:spt="62" type="#_x0000_t62" style="position:absolute;left:0pt;margin-left:91.6pt;margin-top:80.4pt;height:25pt;width:60pt;z-index:251678720;mso-width-relative:page;mso-height-relative:page;" fillcolor="#FF0000" filled="t" stroked="t" coordsize="21600,21600" o:gfxdata="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CKlJpM&#10;1wAAAAsBAAAPAAAAAAAAAAEAIAAAACIAAABkcnMvZG93bnJldi54bWxQSwECFAAUAAAACACHTuJA&#10;JYNEwlsCAADKBAAADgAAAAAAAAABACAAAAAmAQAAZHJzL2Uyb0RvYy54bWxQSwUGAAAAAAYABgBZ&#10;AQAA8wUAAAAA&#10;" adj="-450,47736,14400">
                <v:fill on="t" focussize="0,0"/>
                <v:stroke weight="1.25pt" color="#FF0000" joinstyle="miter"/>
                <v:imagedata o:title=""/>
                <o:lock v:ext="edit" aspectratio="f"/>
                <v:textbox>
                  <w:txbxContent>
                    <w:p w14:paraId="0782FB69">
                      <w:pPr>
                        <w:overflowPunct/>
                        <w:spacing w:line="240" w:lineRule="auto"/>
                        <w:ind w:firstLine="0" w:firstLineChars="0"/>
                        <w:jc w:val="center"/>
                        <w:rPr>
                          <w:rFonts w:hint="default" w:ascii="Calibri" w:hAnsi="Calibri" w:eastAsia="宋体" w:cs="宋体"/>
                          <w:kern w:val="2"/>
                          <w:sz w:val="21"/>
                          <w:szCs w:val="24"/>
                          <w:lang w:val="en-US" w:eastAsia="zh-CN"/>
                        </w:rPr>
                      </w:pPr>
                      <w:r>
                        <w:rPr>
                          <w:rFonts w:hint="eastAsia" w:ascii="Calibri" w:hAnsi="Calibri" w:eastAsia="宋体" w:cs="宋体"/>
                          <w:kern w:val="2"/>
                          <w:sz w:val="21"/>
                          <w:szCs w:val="24"/>
                          <w:lang w:val="en-US" w:eastAsia="zh-CN"/>
                        </w:rPr>
                        <w:t>本项目</w:t>
                      </w:r>
                    </w:p>
                  </w:txbxContent>
                </v:textbox>
              </v:shape>
            </w:pict>
          </mc:Fallback>
        </mc:AlternateContent>
      </w:r>
      <w:r>
        <w:rPr>
          <w:color w:val="auto"/>
          <w:sz w:val="28"/>
        </w:rPr>
        <mc:AlternateContent>
          <mc:Choice Requires="wps">
            <w:drawing>
              <wp:anchor distT="0" distB="0" distL="114300" distR="114300" simplePos="0" relativeHeight="251677696" behindDoc="0" locked="0" layoutInCell="1" allowOverlap="1">
                <wp:simplePos x="0" y="0"/>
                <wp:positionH relativeFrom="column">
                  <wp:posOffset>1037590</wp:posOffset>
                </wp:positionH>
                <wp:positionV relativeFrom="paragraph">
                  <wp:posOffset>1722755</wp:posOffset>
                </wp:positionV>
                <wp:extent cx="177800" cy="164465"/>
                <wp:effectExtent l="15240" t="12065" r="20320" b="21590"/>
                <wp:wrapNone/>
                <wp:docPr id="76" name="任意多边形 2"/>
                <wp:cNvGraphicFramePr/>
                <a:graphic xmlns:a="http://schemas.openxmlformats.org/drawingml/2006/main">
                  <a:graphicData uri="http://schemas.microsoft.com/office/word/2010/wordprocessingShape">
                    <wps:wsp>
                      <wps:cNvSpPr/>
                      <wps:spPr>
                        <a:xfrm flipH="1" flipV="1">
                          <a:off x="5268595" y="3293110"/>
                          <a:ext cx="177800" cy="164465"/>
                        </a:xfrm>
                        <a:custGeom>
                          <a:avLst/>
                          <a:gdLst>
                            <a:gd name="txL" fmla="*/ 0 w 76200"/>
                            <a:gd name="txT" fmla="*/ 0 h 76200"/>
                            <a:gd name="txR" fmla="*/ 76200 w 76200"/>
                            <a:gd name="txB" fmla="*/ 76200 h 76200"/>
                          </a:gdLst>
                          <a:ahLst/>
                          <a:cxnLst>
                            <a:cxn ang="16187392">
                              <a:pos x="38100" y="0"/>
                            </a:cxn>
                            <a:cxn ang="10747904">
                              <a:pos x="0" y="29105"/>
                            </a:cxn>
                            <a:cxn ang="5373952">
                              <a:pos x="14552" y="76199"/>
                            </a:cxn>
                            <a:cxn ang="5373952">
                              <a:pos x="61647" y="76199"/>
                            </a:cxn>
                            <a:cxn ang="0">
                              <a:pos x="76199" y="29105"/>
                            </a:cxn>
                          </a:cxnLst>
                          <a:rect l="txL" t="txT" r="txR" b="txB"/>
                          <a:pathLst>
                            <a:path w="76200" h="76200">
                              <a:moveTo>
                                <a:pt x="0" y="29105"/>
                              </a:moveTo>
                              <a:lnTo>
                                <a:pt x="29105" y="29105"/>
                              </a:lnTo>
                              <a:lnTo>
                                <a:pt x="38100" y="0"/>
                              </a:lnTo>
                              <a:lnTo>
                                <a:pt x="47094" y="29105"/>
                              </a:lnTo>
                              <a:lnTo>
                                <a:pt x="76199" y="29105"/>
                              </a:lnTo>
                              <a:lnTo>
                                <a:pt x="52652" y="47093"/>
                              </a:lnTo>
                              <a:lnTo>
                                <a:pt x="61647" y="76199"/>
                              </a:lnTo>
                              <a:lnTo>
                                <a:pt x="38100" y="58211"/>
                              </a:lnTo>
                              <a:lnTo>
                                <a:pt x="14552" y="76199"/>
                              </a:lnTo>
                              <a:lnTo>
                                <a:pt x="23547" y="47093"/>
                              </a:lnTo>
                              <a:close/>
                            </a:path>
                          </a:pathLst>
                        </a:custGeom>
                        <a:solidFill>
                          <a:srgbClr val="FF0000"/>
                        </a:solidFill>
                        <a:ln w="0" cap="flat" cmpd="sng">
                          <a:solidFill>
                            <a:srgbClr val="FF0000"/>
                          </a:solidFill>
                          <a:prstDash val="solid"/>
                          <a:miter/>
                          <a:headEnd type="none" w="med" len="med"/>
                          <a:tailEnd type="none" w="med" len="med"/>
                        </a:ln>
                      </wps:spPr>
                      <wps:txbx>
                        <w:txbxContent>
                          <w:p w14:paraId="5FC575E3">
                            <w:pPr>
                              <w:overflowPunct/>
                              <w:spacing w:line="240" w:lineRule="auto"/>
                              <w:ind w:firstLine="0" w:firstLineChars="0"/>
                              <w:jc w:val="center"/>
                              <w:rPr>
                                <w:rFonts w:ascii="Calibri" w:hAnsi="Calibri" w:eastAsia="宋体" w:cs="宋体"/>
                                <w:kern w:val="2"/>
                                <w:sz w:val="21"/>
                                <w:szCs w:val="24"/>
                              </w:rPr>
                            </w:pPr>
                          </w:p>
                        </w:txbxContent>
                      </wps:txbx>
                      <wps:bodyPr upright="1"/>
                    </wps:wsp>
                  </a:graphicData>
                </a:graphic>
              </wp:anchor>
            </w:drawing>
          </mc:Choice>
          <mc:Fallback>
            <w:pict>
              <v:shape id="任意多边形 2" o:spid="_x0000_s1026" o:spt="100" style="position:absolute;left:0pt;flip:x y;margin-left:81.7pt;margin-top:135.65pt;height:12.95pt;width:14pt;z-index:251677696;mso-width-relative:page;mso-height-relative:page;" fillcolor="#FF0000" filled="t" stroked="t" coordsize="76200,76200" o:gfxdata="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" path="m0,29105l29105,29105,38100,0,47094,29105,76199,29105,52652,47093,61647,76199,38100,58211,14552,76199,23547,47093xe">
                <v:path textboxrect="0,0,76200,76200" o:connectlocs="38100,0;0,29105;14552,76199;61647,76199;76199,29105" o:connectangles="247,164,82,82,0"/>
                <v:fill on="t" focussize="0,0"/>
                <v:stroke weight="0pt" color="#FF0000" joinstyle="miter"/>
                <v:imagedata o:title=""/>
                <o:lock v:ext="edit" aspectratio="f"/>
                <v:textbox>
                  <w:txbxContent>
                    <w:p w14:paraId="5FC575E3">
                      <w:pPr>
                        <w:overflowPunct/>
                        <w:spacing w:line="240" w:lineRule="auto"/>
                        <w:ind w:firstLine="0" w:firstLineChars="0"/>
                        <w:jc w:val="center"/>
                        <w:rPr>
                          <w:rFonts w:ascii="Calibri" w:hAnsi="Calibri" w:eastAsia="宋体" w:cs="宋体"/>
                          <w:kern w:val="2"/>
                          <w:sz w:val="21"/>
                          <w:szCs w:val="24"/>
                        </w:rPr>
                      </w:pPr>
                    </w:p>
                  </w:txbxContent>
                </v:textbox>
              </v:shape>
            </w:pict>
          </mc:Fallback>
        </mc:AlternateContent>
      </w:r>
      <w:r>
        <w:rPr>
          <w:color w:val="auto"/>
        </w:rPr>
        <w:drawing>
          <wp:anchor distT="0" distB="0" distL="114300" distR="114300" simplePos="0" relativeHeight="251679744" behindDoc="0" locked="0" layoutInCell="1" allowOverlap="1">
            <wp:simplePos x="0" y="0"/>
            <wp:positionH relativeFrom="column">
              <wp:posOffset>4924425</wp:posOffset>
            </wp:positionH>
            <wp:positionV relativeFrom="paragraph">
              <wp:posOffset>50800</wp:posOffset>
            </wp:positionV>
            <wp:extent cx="906780" cy="781685"/>
            <wp:effectExtent l="0" t="0" r="7620" b="10795"/>
            <wp:wrapNone/>
            <wp:docPr id="7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2"/>
                    <pic:cNvPicPr>
                      <a:picLocks noChangeAspect="1"/>
                    </pic:cNvPicPr>
                  </pic:nvPicPr>
                  <pic:blipFill>
                    <a:blip r:embed="rId38"/>
                    <a:stretch>
                      <a:fillRect/>
                    </a:stretch>
                  </pic:blipFill>
                  <pic:spPr>
                    <a:xfrm>
                      <a:off x="0" y="0"/>
                      <a:ext cx="906780" cy="781685"/>
                    </a:xfrm>
                    <a:prstGeom prst="rect">
                      <a:avLst/>
                    </a:prstGeom>
                    <a:noFill/>
                    <a:ln>
                      <a:noFill/>
                    </a:ln>
                  </pic:spPr>
                </pic:pic>
              </a:graphicData>
            </a:graphic>
          </wp:anchor>
        </w:drawing>
      </w:r>
      <w:r>
        <w:rPr>
          <w:rFonts w:hint="default" w:ascii="Times New Roman" w:hAnsi="Times New Roman" w:cs="Times New Roman"/>
          <w:b/>
          <w:bCs/>
          <w:color w:val="auto"/>
          <w:sz w:val="24"/>
          <w:szCs w:val="22"/>
          <w:lang w:val="en-US" w:eastAsia="zh-CN"/>
        </w:rPr>
        <w:drawing>
          <wp:inline distT="0" distB="0" distL="114300" distR="114300">
            <wp:extent cx="5887720" cy="5996940"/>
            <wp:effectExtent l="9525" t="9525" r="15875" b="13335"/>
            <wp:docPr id="77" name="图片 77" descr="1715067556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1715067556668"/>
                    <pic:cNvPicPr>
                      <a:picLocks noChangeAspect="1"/>
                    </pic:cNvPicPr>
                  </pic:nvPicPr>
                  <pic:blipFill>
                    <a:blip r:embed="rId44"/>
                    <a:stretch>
                      <a:fillRect/>
                    </a:stretch>
                  </pic:blipFill>
                  <pic:spPr>
                    <a:xfrm>
                      <a:off x="0" y="0"/>
                      <a:ext cx="5887720" cy="5996940"/>
                    </a:xfrm>
                    <a:prstGeom prst="rect">
                      <a:avLst/>
                    </a:prstGeom>
                    <a:ln>
                      <a:solidFill>
                        <a:schemeClr val="tx1"/>
                      </a:solidFill>
                    </a:ln>
                  </pic:spPr>
                </pic:pic>
              </a:graphicData>
            </a:graphic>
          </wp:inline>
        </w:drawing>
      </w:r>
    </w:p>
    <w:p w14:paraId="14858227">
      <w:pPr>
        <w:pStyle w:val="24"/>
        <w:keepNext w:val="0"/>
        <w:keepLines w:val="0"/>
        <w:pageBreakBefore w:val="0"/>
        <w:widowControl w:val="0"/>
        <w:kinsoku/>
        <w:wordWrap/>
        <w:overflowPunct/>
        <w:topLinePunct w:val="0"/>
        <w:autoSpaceDE/>
        <w:autoSpaceDN/>
        <w:bidi w:val="0"/>
        <w:adjustRightInd/>
        <w:snapToGrid w:val="0"/>
        <w:spacing w:line="240" w:lineRule="auto"/>
        <w:jc w:val="center"/>
        <w:textAlignment w:val="auto"/>
        <w:outlineLvl w:val="0"/>
        <w:rPr>
          <w:rFonts w:hint="eastAsia" w:ascii="Times New Roman" w:hAnsi="Times New Roman" w:cs="Times New Roman"/>
          <w:b/>
          <w:bCs/>
          <w:color w:val="auto"/>
          <w:sz w:val="24"/>
          <w:szCs w:val="22"/>
          <w:lang w:val="en-US" w:eastAsia="zh-CN"/>
        </w:rPr>
      </w:pPr>
      <w:bookmarkStart w:id="48" w:name="_Toc3614"/>
      <w:r>
        <w:rPr>
          <w:rFonts w:hint="default" w:ascii="Times New Roman" w:hAnsi="Times New Roman" w:cs="Times New Roman"/>
          <w:b/>
          <w:bCs/>
          <w:color w:val="auto"/>
          <w:sz w:val="24"/>
          <w:szCs w:val="22"/>
          <w:lang w:val="en-US" w:eastAsia="zh-CN"/>
        </w:rPr>
        <w:t>附图</w:t>
      </w:r>
      <w:r>
        <w:rPr>
          <w:rFonts w:hint="eastAsia" w:cs="Times New Roman"/>
          <w:b/>
          <w:bCs/>
          <w:color w:val="auto"/>
          <w:sz w:val="24"/>
          <w:szCs w:val="22"/>
          <w:lang w:val="en-US" w:eastAsia="zh-CN"/>
        </w:rPr>
        <w:t xml:space="preserve">7 </w:t>
      </w:r>
      <w:r>
        <w:rPr>
          <w:rFonts w:hint="eastAsia" w:ascii="Times New Roman" w:hAnsi="Times New Roman" w:cs="Times New Roman"/>
          <w:b/>
          <w:bCs/>
          <w:color w:val="auto"/>
          <w:sz w:val="24"/>
          <w:szCs w:val="22"/>
          <w:lang w:val="en-US" w:eastAsia="zh-CN"/>
        </w:rPr>
        <w:t>乐平市金山工业园扩区调区后规划范围</w:t>
      </w:r>
      <w:bookmarkEnd w:id="48"/>
    </w:p>
    <w:p w14:paraId="714DCAB8">
      <w:pPr>
        <w:pStyle w:val="23"/>
        <w:bidi w:val="0"/>
        <w:rPr>
          <w:rFonts w:hint="eastAsia"/>
          <w:color w:val="auto"/>
          <w:lang w:val="en-US" w:eastAsia="zh-CN"/>
        </w:rPr>
        <w:sectPr>
          <w:pgSz w:w="11850" w:h="16783"/>
          <w:pgMar w:top="1287" w:right="1287" w:bottom="1287" w:left="1287" w:header="851" w:footer="567" w:gutter="0"/>
          <w:pgBorders>
            <w:top w:val="none" w:sz="0" w:space="0"/>
            <w:left w:val="none" w:sz="0" w:space="0"/>
            <w:bottom w:val="none" w:sz="0" w:space="0"/>
            <w:right w:val="none" w:sz="0" w:space="0"/>
          </w:pgBorders>
          <w:pgNumType w:fmt="decimal"/>
          <w:cols w:space="720" w:num="1"/>
          <w:docGrid w:type="lines" w:linePitch="312" w:charSpace="0"/>
        </w:sectPr>
      </w:pPr>
    </w:p>
    <w:p w14:paraId="30F59DBD">
      <w:pPr>
        <w:pStyle w:val="23"/>
        <w:bidi w:val="0"/>
        <w:rPr>
          <w:rFonts w:hint="eastAsia"/>
          <w:color w:val="auto"/>
          <w:lang w:val="en-US" w:eastAsia="zh-CN"/>
        </w:rPr>
      </w:pPr>
    </w:p>
    <w:p w14:paraId="19A967EE">
      <w:pPr>
        <w:bidi w:val="0"/>
        <w:jc w:val="center"/>
        <w:rPr>
          <w:color w:val="auto"/>
        </w:rPr>
      </w:pPr>
      <w:r>
        <w:rPr>
          <w:color w:val="auto"/>
          <w:sz w:val="28"/>
        </w:rPr>
        <mc:AlternateContent>
          <mc:Choice Requires="wps">
            <w:drawing>
              <wp:anchor distT="0" distB="0" distL="114300" distR="114300" simplePos="0" relativeHeight="251726848" behindDoc="0" locked="0" layoutInCell="1" allowOverlap="1">
                <wp:simplePos x="0" y="0"/>
                <wp:positionH relativeFrom="column">
                  <wp:posOffset>2177415</wp:posOffset>
                </wp:positionH>
                <wp:positionV relativeFrom="paragraph">
                  <wp:posOffset>2122805</wp:posOffset>
                </wp:positionV>
                <wp:extent cx="762000" cy="317500"/>
                <wp:effectExtent l="38735" t="7620" r="22225" b="436880"/>
                <wp:wrapNone/>
                <wp:docPr id="120" name="圆角矩形标注 3"/>
                <wp:cNvGraphicFramePr/>
                <a:graphic xmlns:a="http://schemas.openxmlformats.org/drawingml/2006/main">
                  <a:graphicData uri="http://schemas.microsoft.com/office/word/2010/wordprocessingShape">
                    <wps:wsp>
                      <wps:cNvSpPr/>
                      <wps:spPr>
                        <a:xfrm>
                          <a:off x="0" y="0"/>
                          <a:ext cx="762000" cy="317500"/>
                        </a:xfrm>
                        <a:prstGeom prst="wedgeRoundRectCallout">
                          <a:avLst>
                            <a:gd name="adj1" fmla="val -52083"/>
                            <a:gd name="adj2" fmla="val 171000"/>
                            <a:gd name="adj3" fmla="val 16667"/>
                          </a:avLst>
                        </a:prstGeom>
                        <a:solidFill>
                          <a:srgbClr val="FF0000"/>
                        </a:solidFill>
                        <a:ln w="15875" cap="flat" cmpd="sng">
                          <a:solidFill>
                            <a:srgbClr val="FF0000"/>
                          </a:solidFill>
                          <a:prstDash val="solid"/>
                          <a:miter/>
                          <a:headEnd type="none" w="med" len="med"/>
                          <a:tailEnd type="none" w="med" len="med"/>
                        </a:ln>
                      </wps:spPr>
                      <wps:txbx>
                        <w:txbxContent>
                          <w:p w14:paraId="1A6C121C">
                            <w:pPr>
                              <w:overflowPunct/>
                              <w:spacing w:line="240" w:lineRule="auto"/>
                              <w:ind w:firstLine="0" w:firstLineChars="0"/>
                              <w:jc w:val="center"/>
                              <w:rPr>
                                <w:rFonts w:hint="default" w:ascii="Calibri" w:hAnsi="Calibri" w:eastAsia="宋体" w:cs="宋体"/>
                                <w:kern w:val="2"/>
                                <w:sz w:val="21"/>
                                <w:szCs w:val="24"/>
                                <w:lang w:val="en-US" w:eastAsia="zh-CN"/>
                              </w:rPr>
                            </w:pPr>
                            <w:r>
                              <w:rPr>
                                <w:rFonts w:hint="eastAsia" w:ascii="Calibri" w:hAnsi="Calibri" w:eastAsia="宋体" w:cs="宋体"/>
                                <w:kern w:val="2"/>
                                <w:sz w:val="21"/>
                                <w:szCs w:val="24"/>
                                <w:lang w:val="en-US" w:eastAsia="zh-CN"/>
                              </w:rPr>
                              <w:t>本项目</w:t>
                            </w:r>
                          </w:p>
                        </w:txbxContent>
                      </wps:txbx>
                      <wps:bodyPr upright="1"/>
                    </wps:wsp>
                  </a:graphicData>
                </a:graphic>
              </wp:anchor>
            </w:drawing>
          </mc:Choice>
          <mc:Fallback>
            <w:pict>
              <v:shape id="圆角矩形标注 3" o:spid="_x0000_s1026" o:spt="62" type="#_x0000_t62" style="position:absolute;left:0pt;margin-left:171.45pt;margin-top:167.15pt;height:25pt;width:60pt;z-index:251726848;mso-width-relative:page;mso-height-relative:page;" fillcolor="#FF0000" filled="t" stroked="t" coordsize="21600,21600" o:gfxdata="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CRfiWb2gAAAAsBAAAP&#10;AAAAAAAAAAEAIAAAACIAAABkcnMvZG93bnJldi54bWxQSwECFAAUAAAACACHTuJAuUnJNE8CAAC/&#10;BAAADgAAAAAAAAABACAAAAApAQAAZHJzL2Uyb0RvYy54bWxQSwUGAAAAAAYABgBZAQAA6gUAAAAA&#10;" adj="-450,47736,14400">
                <v:fill on="t" focussize="0,0"/>
                <v:stroke weight="1.25pt" color="#FF0000" joinstyle="miter"/>
                <v:imagedata o:title=""/>
                <o:lock v:ext="edit" aspectratio="f"/>
                <v:textbox>
                  <w:txbxContent>
                    <w:p w14:paraId="1A6C121C">
                      <w:pPr>
                        <w:overflowPunct/>
                        <w:spacing w:line="240" w:lineRule="auto"/>
                        <w:ind w:firstLine="0" w:firstLineChars="0"/>
                        <w:jc w:val="center"/>
                        <w:rPr>
                          <w:rFonts w:hint="default" w:ascii="Calibri" w:hAnsi="Calibri" w:eastAsia="宋体" w:cs="宋体"/>
                          <w:kern w:val="2"/>
                          <w:sz w:val="21"/>
                          <w:szCs w:val="24"/>
                          <w:lang w:val="en-US" w:eastAsia="zh-CN"/>
                        </w:rPr>
                      </w:pPr>
                      <w:r>
                        <w:rPr>
                          <w:rFonts w:hint="eastAsia" w:ascii="Calibri" w:hAnsi="Calibri" w:eastAsia="宋体" w:cs="宋体"/>
                          <w:kern w:val="2"/>
                          <w:sz w:val="21"/>
                          <w:szCs w:val="24"/>
                          <w:lang w:val="en-US" w:eastAsia="zh-CN"/>
                        </w:rPr>
                        <w:t>本项目</w:t>
                      </w:r>
                    </w:p>
                  </w:txbxContent>
                </v:textbox>
              </v:shape>
            </w:pict>
          </mc:Fallback>
        </mc:AlternateContent>
      </w:r>
      <w:r>
        <w:rPr>
          <w:color w:val="auto"/>
          <w:sz w:val="28"/>
        </w:rPr>
        <mc:AlternateContent>
          <mc:Choice Requires="wps">
            <w:drawing>
              <wp:anchor distT="0" distB="0" distL="114300" distR="114300" simplePos="0" relativeHeight="251725824" behindDoc="0" locked="0" layoutInCell="1" allowOverlap="1">
                <wp:simplePos x="0" y="0"/>
                <wp:positionH relativeFrom="column">
                  <wp:posOffset>2059305</wp:posOffset>
                </wp:positionH>
                <wp:positionV relativeFrom="paragraph">
                  <wp:posOffset>2760980</wp:posOffset>
                </wp:positionV>
                <wp:extent cx="177800" cy="164465"/>
                <wp:effectExtent l="15240" t="12065" r="20320" b="21590"/>
                <wp:wrapNone/>
                <wp:docPr id="121" name="任意多边形 2"/>
                <wp:cNvGraphicFramePr/>
                <a:graphic xmlns:a="http://schemas.openxmlformats.org/drawingml/2006/main">
                  <a:graphicData uri="http://schemas.microsoft.com/office/word/2010/wordprocessingShape">
                    <wps:wsp>
                      <wps:cNvSpPr/>
                      <wps:spPr>
                        <a:xfrm flipH="1" flipV="1">
                          <a:off x="0" y="0"/>
                          <a:ext cx="177800" cy="164465"/>
                        </a:xfrm>
                        <a:custGeom>
                          <a:avLst/>
                          <a:gdLst>
                            <a:gd name="txL" fmla="*/ 0 w 76200"/>
                            <a:gd name="txT" fmla="*/ 0 h 76200"/>
                            <a:gd name="txR" fmla="*/ 76200 w 76200"/>
                            <a:gd name="txB" fmla="*/ 76200 h 76200"/>
                          </a:gdLst>
                          <a:ahLst/>
                          <a:cxnLst>
                            <a:cxn ang="16187392">
                              <a:pos x="38100" y="0"/>
                            </a:cxn>
                            <a:cxn ang="10747904">
                              <a:pos x="0" y="29105"/>
                            </a:cxn>
                            <a:cxn ang="5373952">
                              <a:pos x="14552" y="76199"/>
                            </a:cxn>
                            <a:cxn ang="5373952">
                              <a:pos x="61647" y="76199"/>
                            </a:cxn>
                            <a:cxn ang="0">
                              <a:pos x="76199" y="29105"/>
                            </a:cxn>
                          </a:cxnLst>
                          <a:rect l="txL" t="txT" r="txR" b="txB"/>
                          <a:pathLst>
                            <a:path w="76200" h="76200">
                              <a:moveTo>
                                <a:pt x="0" y="29105"/>
                              </a:moveTo>
                              <a:lnTo>
                                <a:pt x="29105" y="29105"/>
                              </a:lnTo>
                              <a:lnTo>
                                <a:pt x="38100" y="0"/>
                              </a:lnTo>
                              <a:lnTo>
                                <a:pt x="47094" y="29105"/>
                              </a:lnTo>
                              <a:lnTo>
                                <a:pt x="76199" y="29105"/>
                              </a:lnTo>
                              <a:lnTo>
                                <a:pt x="52652" y="47093"/>
                              </a:lnTo>
                              <a:lnTo>
                                <a:pt x="61647" y="76199"/>
                              </a:lnTo>
                              <a:lnTo>
                                <a:pt x="38100" y="58211"/>
                              </a:lnTo>
                              <a:lnTo>
                                <a:pt x="14552" y="76199"/>
                              </a:lnTo>
                              <a:lnTo>
                                <a:pt x="23547" y="47093"/>
                              </a:lnTo>
                              <a:close/>
                            </a:path>
                          </a:pathLst>
                        </a:custGeom>
                        <a:solidFill>
                          <a:srgbClr val="FF0000"/>
                        </a:solidFill>
                        <a:ln w="0" cap="flat" cmpd="sng">
                          <a:solidFill>
                            <a:srgbClr val="FF0000"/>
                          </a:solidFill>
                          <a:prstDash val="solid"/>
                          <a:miter/>
                          <a:headEnd type="none" w="med" len="med"/>
                          <a:tailEnd type="none" w="med" len="med"/>
                        </a:ln>
                      </wps:spPr>
                      <wps:txbx>
                        <w:txbxContent>
                          <w:p w14:paraId="2EDFE421">
                            <w:pPr>
                              <w:overflowPunct/>
                              <w:spacing w:line="240" w:lineRule="auto"/>
                              <w:ind w:firstLine="0" w:firstLineChars="0"/>
                              <w:jc w:val="center"/>
                              <w:rPr>
                                <w:rFonts w:ascii="Calibri" w:hAnsi="Calibri" w:eastAsia="宋体" w:cs="宋体"/>
                                <w:kern w:val="2"/>
                                <w:sz w:val="21"/>
                                <w:szCs w:val="24"/>
                              </w:rPr>
                            </w:pPr>
                          </w:p>
                        </w:txbxContent>
                      </wps:txbx>
                      <wps:bodyPr upright="1"/>
                    </wps:wsp>
                  </a:graphicData>
                </a:graphic>
              </wp:anchor>
            </w:drawing>
          </mc:Choice>
          <mc:Fallback>
            <w:pict>
              <v:shape id="任意多边形 2" o:spid="_x0000_s1026" o:spt="100" style="position:absolute;left:0pt;flip:x y;margin-left:162.15pt;margin-top:217.4pt;height:12.95pt;width:14pt;z-index:251725824;mso-width-relative:page;mso-height-relative:page;" fillcolor="#FF0000" filled="t" stroked="t" coordsize="76200,76200" o:gfxdata="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" path="m0,29105l29105,29105,38100,0,47094,29105,76199,29105,52652,47093,61647,76199,38100,58211,14552,76199,23547,47093xe">
                <v:path textboxrect="0,0,76200,76200" o:connectlocs="38100,0;0,29105;14552,76199;61647,76199;76199,29105" o:connectangles="247,164,82,82,0"/>
                <v:fill on="t" focussize="0,0"/>
                <v:stroke weight="0pt" color="#FF0000" joinstyle="miter"/>
                <v:imagedata o:title=""/>
                <o:lock v:ext="edit" aspectratio="f"/>
                <v:textbox>
                  <w:txbxContent>
                    <w:p w14:paraId="2EDFE421">
                      <w:pPr>
                        <w:overflowPunct/>
                        <w:spacing w:line="240" w:lineRule="auto"/>
                        <w:ind w:firstLine="0" w:firstLineChars="0"/>
                        <w:jc w:val="center"/>
                        <w:rPr>
                          <w:rFonts w:ascii="Calibri" w:hAnsi="Calibri" w:eastAsia="宋体" w:cs="宋体"/>
                          <w:kern w:val="2"/>
                          <w:sz w:val="21"/>
                          <w:szCs w:val="24"/>
                        </w:rPr>
                      </w:pPr>
                    </w:p>
                  </w:txbxContent>
                </v:textbox>
              </v:shape>
            </w:pict>
          </mc:Fallback>
        </mc:AlternateContent>
      </w:r>
      <w:r>
        <w:rPr>
          <w:color w:val="auto"/>
        </w:rPr>
        <w:drawing>
          <wp:inline distT="0" distB="0" distL="114300" distR="114300">
            <wp:extent cx="8048625" cy="5695950"/>
            <wp:effectExtent l="19050" t="19050" r="24765" b="30480"/>
            <wp:docPr id="122" name="图片 122" descr="1755941033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descr="1755941033092"/>
                    <pic:cNvPicPr>
                      <a:picLocks noChangeAspect="1"/>
                    </pic:cNvPicPr>
                  </pic:nvPicPr>
                  <pic:blipFill>
                    <a:blip r:embed="rId45"/>
                    <a:stretch>
                      <a:fillRect/>
                    </a:stretch>
                  </pic:blipFill>
                  <pic:spPr>
                    <a:xfrm>
                      <a:off x="0" y="0"/>
                      <a:ext cx="8048625" cy="5695950"/>
                    </a:xfrm>
                    <a:prstGeom prst="rect">
                      <a:avLst/>
                    </a:prstGeom>
                    <a:ln w="19050">
                      <a:solidFill>
                        <a:schemeClr val="tx1"/>
                      </a:solidFill>
                    </a:ln>
                  </pic:spPr>
                </pic:pic>
              </a:graphicData>
            </a:graphic>
          </wp:inline>
        </w:drawing>
      </w:r>
    </w:p>
    <w:p w14:paraId="453D24CE">
      <w:pPr>
        <w:pStyle w:val="24"/>
        <w:keepNext w:val="0"/>
        <w:keepLines w:val="0"/>
        <w:pageBreakBefore w:val="0"/>
        <w:widowControl w:val="0"/>
        <w:kinsoku/>
        <w:wordWrap/>
        <w:overflowPunct/>
        <w:topLinePunct w:val="0"/>
        <w:autoSpaceDE/>
        <w:autoSpaceDN/>
        <w:bidi w:val="0"/>
        <w:adjustRightInd/>
        <w:snapToGrid w:val="0"/>
        <w:spacing w:line="240" w:lineRule="auto"/>
        <w:jc w:val="center"/>
        <w:textAlignment w:val="auto"/>
        <w:outlineLvl w:val="0"/>
        <w:rPr>
          <w:rFonts w:hint="default" w:ascii="Times New Roman" w:hAnsi="Times New Roman" w:eastAsia="宋体" w:cs="Times New Roman"/>
          <w:b/>
          <w:bCs/>
          <w:color w:val="auto"/>
          <w:sz w:val="24"/>
          <w:szCs w:val="22"/>
          <w:lang w:val="en-US" w:eastAsia="zh-CN"/>
        </w:rPr>
        <w:sectPr>
          <w:pgSz w:w="16838" w:h="11906" w:orient="landscape"/>
          <w:pgMar w:top="964" w:right="1440" w:bottom="964" w:left="1440" w:header="851" w:footer="992" w:gutter="0"/>
          <w:pgBorders>
            <w:top w:val="none" w:sz="0" w:space="0"/>
            <w:left w:val="none" w:sz="0" w:space="0"/>
            <w:bottom w:val="none" w:sz="0" w:space="0"/>
            <w:right w:val="none" w:sz="0" w:space="0"/>
          </w:pgBorders>
          <w:pgNumType w:fmt="decimal"/>
          <w:cols w:space="425" w:num="1"/>
          <w:docGrid w:type="lines" w:linePitch="312" w:charSpace="0"/>
        </w:sectPr>
      </w:pPr>
      <w:bookmarkStart w:id="49" w:name="_Toc19718"/>
      <w:r>
        <w:rPr>
          <w:rFonts w:hint="eastAsia" w:ascii="Times New Roman" w:hAnsi="Times New Roman" w:eastAsia="宋体" w:cs="Times New Roman"/>
          <w:b/>
          <w:bCs/>
          <w:color w:val="auto"/>
          <w:sz w:val="24"/>
          <w:szCs w:val="22"/>
          <w:lang w:val="en-US" w:eastAsia="zh-CN"/>
        </w:rPr>
        <w:t xml:space="preserve">附图8 </w:t>
      </w:r>
      <w:r>
        <w:rPr>
          <w:rFonts w:hint="eastAsia" w:ascii="Times New Roman" w:hAnsi="Times New Roman" w:cs="Times New Roman"/>
          <w:b/>
          <w:bCs/>
          <w:color w:val="auto"/>
          <w:sz w:val="24"/>
          <w:szCs w:val="22"/>
          <w:lang w:val="en-US" w:eastAsia="zh-CN"/>
        </w:rPr>
        <w:t>乐平市</w:t>
      </w:r>
      <w:r>
        <w:rPr>
          <w:rFonts w:hint="eastAsia" w:ascii="Times New Roman" w:hAnsi="Times New Roman" w:eastAsia="宋体" w:cs="Times New Roman"/>
          <w:b/>
          <w:bCs/>
          <w:color w:val="auto"/>
          <w:sz w:val="24"/>
          <w:szCs w:val="22"/>
          <w:lang w:val="en-US" w:eastAsia="zh-CN"/>
        </w:rPr>
        <w:t>金山工业园土地利用规划图</w:t>
      </w:r>
      <w:bookmarkEnd w:id="49"/>
    </w:p>
    <w:p w14:paraId="6A714327">
      <w:pPr>
        <w:jc w:val="center"/>
        <w:rPr>
          <w:rFonts w:hint="eastAsia"/>
          <w:color w:val="auto"/>
          <w:lang w:val="en-US" w:eastAsia="zh-CN"/>
        </w:rPr>
      </w:pPr>
      <w:r>
        <w:rPr>
          <w:color w:val="auto"/>
          <w:sz w:val="28"/>
        </w:rPr>
        <mc:AlternateContent>
          <mc:Choice Requires="wps">
            <w:drawing>
              <wp:anchor distT="0" distB="0" distL="114300" distR="114300" simplePos="0" relativeHeight="251714560" behindDoc="0" locked="0" layoutInCell="1" allowOverlap="1">
                <wp:simplePos x="0" y="0"/>
                <wp:positionH relativeFrom="column">
                  <wp:posOffset>1439545</wp:posOffset>
                </wp:positionH>
                <wp:positionV relativeFrom="paragraph">
                  <wp:posOffset>1344295</wp:posOffset>
                </wp:positionV>
                <wp:extent cx="762000" cy="317500"/>
                <wp:effectExtent l="38735" t="7620" r="22225" b="436880"/>
                <wp:wrapNone/>
                <wp:docPr id="30" name="圆角矩形标注 3"/>
                <wp:cNvGraphicFramePr/>
                <a:graphic xmlns:a="http://schemas.openxmlformats.org/drawingml/2006/main">
                  <a:graphicData uri="http://schemas.microsoft.com/office/word/2010/wordprocessingShape">
                    <wps:wsp>
                      <wps:cNvSpPr/>
                      <wps:spPr>
                        <a:xfrm>
                          <a:off x="7684135" y="3023870"/>
                          <a:ext cx="762000" cy="317500"/>
                        </a:xfrm>
                        <a:prstGeom prst="wedgeRoundRectCallout">
                          <a:avLst>
                            <a:gd name="adj1" fmla="val -52083"/>
                            <a:gd name="adj2" fmla="val 171000"/>
                            <a:gd name="adj3" fmla="val 16667"/>
                          </a:avLst>
                        </a:prstGeom>
                        <a:solidFill>
                          <a:srgbClr val="FF0000"/>
                        </a:solidFill>
                        <a:ln w="15875" cap="flat" cmpd="sng">
                          <a:solidFill>
                            <a:srgbClr val="FF0000"/>
                          </a:solidFill>
                          <a:prstDash val="solid"/>
                          <a:miter/>
                          <a:headEnd type="none" w="med" len="med"/>
                          <a:tailEnd type="none" w="med" len="med"/>
                        </a:ln>
                      </wps:spPr>
                      <wps:txbx>
                        <w:txbxContent>
                          <w:p w14:paraId="74D1CE52">
                            <w:pPr>
                              <w:overflowPunct/>
                              <w:spacing w:line="240" w:lineRule="auto"/>
                              <w:ind w:firstLine="0" w:firstLineChars="0"/>
                              <w:jc w:val="center"/>
                              <w:rPr>
                                <w:rFonts w:hint="default" w:ascii="Calibri" w:hAnsi="Calibri" w:eastAsia="宋体" w:cs="宋体"/>
                                <w:kern w:val="2"/>
                                <w:sz w:val="21"/>
                                <w:szCs w:val="24"/>
                                <w:lang w:val="en-US" w:eastAsia="zh-CN"/>
                              </w:rPr>
                            </w:pPr>
                            <w:r>
                              <w:rPr>
                                <w:rFonts w:hint="eastAsia" w:ascii="Calibri" w:hAnsi="Calibri" w:eastAsia="宋体" w:cs="宋体"/>
                                <w:kern w:val="2"/>
                                <w:sz w:val="21"/>
                                <w:szCs w:val="24"/>
                                <w:lang w:val="en-US" w:eastAsia="zh-CN"/>
                              </w:rPr>
                              <w:t>本项目</w:t>
                            </w:r>
                          </w:p>
                        </w:txbxContent>
                      </wps:txbx>
                      <wps:bodyPr upright="1"/>
                    </wps:wsp>
                  </a:graphicData>
                </a:graphic>
              </wp:anchor>
            </w:drawing>
          </mc:Choice>
          <mc:Fallback>
            <w:pict>
              <v:shape id="圆角矩形标注 3" o:spid="_x0000_s1026" o:spt="62" type="#_x0000_t62" style="position:absolute;left:0pt;margin-left:113.35pt;margin-top:105.85pt;height:25pt;width:60pt;z-index:251714560;mso-width-relative:page;mso-height-relative:page;" fillcolor="#FF0000" filled="t" stroked="t" coordsize="21600,21600" o:gfxdata="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BwIRX32AAA&#10;AAsBAAAPAAAAAAAAAAEAIAAAACIAAABkcnMvZG93bnJldi54bWxQSwECFAAUAAAACACHTuJArvr3&#10;71cCAADKBAAADgAAAAAAAAABACAAAAAnAQAAZHJzL2Uyb0RvYy54bWxQSwUGAAAAAAYABgBZAQAA&#10;8AUAAAAA&#10;" adj="-450,47736,14400">
                <v:fill on="t" focussize="0,0"/>
                <v:stroke weight="1.25pt" color="#FF0000" joinstyle="miter"/>
                <v:imagedata o:title=""/>
                <o:lock v:ext="edit" aspectratio="f"/>
                <v:textbox>
                  <w:txbxContent>
                    <w:p w14:paraId="74D1CE52">
                      <w:pPr>
                        <w:overflowPunct/>
                        <w:spacing w:line="240" w:lineRule="auto"/>
                        <w:ind w:firstLine="0" w:firstLineChars="0"/>
                        <w:jc w:val="center"/>
                        <w:rPr>
                          <w:rFonts w:hint="default" w:ascii="Calibri" w:hAnsi="Calibri" w:eastAsia="宋体" w:cs="宋体"/>
                          <w:kern w:val="2"/>
                          <w:sz w:val="21"/>
                          <w:szCs w:val="24"/>
                          <w:lang w:val="en-US" w:eastAsia="zh-CN"/>
                        </w:rPr>
                      </w:pPr>
                      <w:r>
                        <w:rPr>
                          <w:rFonts w:hint="eastAsia" w:ascii="Calibri" w:hAnsi="Calibri" w:eastAsia="宋体" w:cs="宋体"/>
                          <w:kern w:val="2"/>
                          <w:sz w:val="21"/>
                          <w:szCs w:val="24"/>
                          <w:lang w:val="en-US" w:eastAsia="zh-CN"/>
                        </w:rPr>
                        <w:t>本项目</w:t>
                      </w:r>
                    </w:p>
                  </w:txbxContent>
                </v:textbox>
              </v:shape>
            </w:pict>
          </mc:Fallback>
        </mc:AlternateContent>
      </w:r>
      <w:r>
        <w:rPr>
          <w:color w:val="auto"/>
          <w:sz w:val="28"/>
        </w:rPr>
        <mc:AlternateContent>
          <mc:Choice Requires="wps">
            <w:drawing>
              <wp:anchor distT="0" distB="0" distL="114300" distR="114300" simplePos="0" relativeHeight="251713536" behindDoc="0" locked="0" layoutInCell="1" allowOverlap="1">
                <wp:simplePos x="0" y="0"/>
                <wp:positionH relativeFrom="column">
                  <wp:posOffset>1331595</wp:posOffset>
                </wp:positionH>
                <wp:positionV relativeFrom="paragraph">
                  <wp:posOffset>2002155</wp:posOffset>
                </wp:positionV>
                <wp:extent cx="177800" cy="164465"/>
                <wp:effectExtent l="15240" t="12065" r="20320" b="21590"/>
                <wp:wrapNone/>
                <wp:docPr id="124" name="任意多边形 2"/>
                <wp:cNvGraphicFramePr/>
                <a:graphic xmlns:a="http://schemas.openxmlformats.org/drawingml/2006/main">
                  <a:graphicData uri="http://schemas.microsoft.com/office/word/2010/wordprocessingShape">
                    <wps:wsp>
                      <wps:cNvSpPr/>
                      <wps:spPr>
                        <a:xfrm flipH="1" flipV="1">
                          <a:off x="7465695" y="3742690"/>
                          <a:ext cx="177800" cy="164465"/>
                        </a:xfrm>
                        <a:custGeom>
                          <a:avLst/>
                          <a:gdLst>
                            <a:gd name="txL" fmla="*/ 0 w 76200"/>
                            <a:gd name="txT" fmla="*/ 0 h 76200"/>
                            <a:gd name="txR" fmla="*/ 76200 w 76200"/>
                            <a:gd name="txB" fmla="*/ 76200 h 76200"/>
                          </a:gdLst>
                          <a:ahLst/>
                          <a:cxnLst>
                            <a:cxn ang="16187392">
                              <a:pos x="38100" y="0"/>
                            </a:cxn>
                            <a:cxn ang="10747904">
                              <a:pos x="0" y="29105"/>
                            </a:cxn>
                            <a:cxn ang="5373952">
                              <a:pos x="14552" y="76199"/>
                            </a:cxn>
                            <a:cxn ang="5373952">
                              <a:pos x="61647" y="76199"/>
                            </a:cxn>
                            <a:cxn ang="0">
                              <a:pos x="76199" y="29105"/>
                            </a:cxn>
                          </a:cxnLst>
                          <a:rect l="txL" t="txT" r="txR" b="txB"/>
                          <a:pathLst>
                            <a:path w="76200" h="76200">
                              <a:moveTo>
                                <a:pt x="0" y="29105"/>
                              </a:moveTo>
                              <a:lnTo>
                                <a:pt x="29105" y="29105"/>
                              </a:lnTo>
                              <a:lnTo>
                                <a:pt x="38100" y="0"/>
                              </a:lnTo>
                              <a:lnTo>
                                <a:pt x="47094" y="29105"/>
                              </a:lnTo>
                              <a:lnTo>
                                <a:pt x="76199" y="29105"/>
                              </a:lnTo>
                              <a:lnTo>
                                <a:pt x="52652" y="47093"/>
                              </a:lnTo>
                              <a:lnTo>
                                <a:pt x="61647" y="76199"/>
                              </a:lnTo>
                              <a:lnTo>
                                <a:pt x="38100" y="58211"/>
                              </a:lnTo>
                              <a:lnTo>
                                <a:pt x="14552" y="76199"/>
                              </a:lnTo>
                              <a:lnTo>
                                <a:pt x="23547" y="47093"/>
                              </a:lnTo>
                              <a:close/>
                            </a:path>
                          </a:pathLst>
                        </a:custGeom>
                        <a:solidFill>
                          <a:srgbClr val="FF0000"/>
                        </a:solidFill>
                        <a:ln w="0" cap="flat" cmpd="sng">
                          <a:solidFill>
                            <a:srgbClr val="FF0000"/>
                          </a:solidFill>
                          <a:prstDash val="solid"/>
                          <a:miter/>
                          <a:headEnd type="none" w="med" len="med"/>
                          <a:tailEnd type="none" w="med" len="med"/>
                        </a:ln>
                      </wps:spPr>
                      <wps:txbx>
                        <w:txbxContent>
                          <w:p w14:paraId="0437CE21">
                            <w:pPr>
                              <w:overflowPunct/>
                              <w:spacing w:line="240" w:lineRule="auto"/>
                              <w:ind w:firstLine="0" w:firstLineChars="0"/>
                              <w:jc w:val="center"/>
                              <w:rPr>
                                <w:rFonts w:ascii="Calibri" w:hAnsi="Calibri" w:eastAsia="宋体" w:cs="宋体"/>
                                <w:kern w:val="2"/>
                                <w:sz w:val="21"/>
                                <w:szCs w:val="24"/>
                              </w:rPr>
                            </w:pPr>
                          </w:p>
                        </w:txbxContent>
                      </wps:txbx>
                      <wps:bodyPr upright="1"/>
                    </wps:wsp>
                  </a:graphicData>
                </a:graphic>
              </wp:anchor>
            </w:drawing>
          </mc:Choice>
          <mc:Fallback>
            <w:pict>
              <v:shape id="任意多边形 2" o:spid="_x0000_s1026" o:spt="100" style="position:absolute;left:0pt;flip:x y;margin-left:104.85pt;margin-top:157.65pt;height:12.95pt;width:14pt;z-index:251713536;mso-width-relative:page;mso-height-relative:page;" fillcolor="#FF0000" filled="t" stroked="t" coordsize="76200,76200" o:gfxdata="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" path="m0,29105l29105,29105,38100,0,47094,29105,76199,29105,52652,47093,61647,76199,38100,58211,14552,76199,23547,47093xe">
                <v:path textboxrect="0,0,76200,76200" o:connectlocs="38100,0;0,29105;14552,76199;61647,76199;76199,29105" o:connectangles="247,164,82,82,0"/>
                <v:fill on="t" focussize="0,0"/>
                <v:stroke weight="0pt" color="#FF0000" joinstyle="miter"/>
                <v:imagedata o:title=""/>
                <o:lock v:ext="edit" aspectratio="f"/>
                <v:textbox>
                  <w:txbxContent>
                    <w:p w14:paraId="0437CE21">
                      <w:pPr>
                        <w:overflowPunct/>
                        <w:spacing w:line="240" w:lineRule="auto"/>
                        <w:ind w:firstLine="0" w:firstLineChars="0"/>
                        <w:jc w:val="center"/>
                        <w:rPr>
                          <w:rFonts w:ascii="Calibri" w:hAnsi="Calibri" w:eastAsia="宋体" w:cs="宋体"/>
                          <w:kern w:val="2"/>
                          <w:sz w:val="21"/>
                          <w:szCs w:val="24"/>
                        </w:rPr>
                      </w:pPr>
                    </w:p>
                  </w:txbxContent>
                </v:textbox>
              </v:shape>
            </w:pict>
          </mc:Fallback>
        </mc:AlternateContent>
      </w:r>
      <w:r>
        <w:rPr>
          <w:color w:val="auto"/>
        </w:rPr>
        <w:drawing>
          <wp:anchor distT="0" distB="0" distL="114300" distR="114300" simplePos="0" relativeHeight="251721728" behindDoc="0" locked="0" layoutInCell="1" allowOverlap="1">
            <wp:simplePos x="0" y="0"/>
            <wp:positionH relativeFrom="column">
              <wp:posOffset>8029575</wp:posOffset>
            </wp:positionH>
            <wp:positionV relativeFrom="paragraph">
              <wp:posOffset>135890</wp:posOffset>
            </wp:positionV>
            <wp:extent cx="770890" cy="867410"/>
            <wp:effectExtent l="9525" t="9525" r="12065" b="22225"/>
            <wp:wrapNone/>
            <wp:docPr id="12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3"/>
                    <pic:cNvPicPr>
                      <a:picLocks noChangeAspect="1"/>
                    </pic:cNvPicPr>
                  </pic:nvPicPr>
                  <pic:blipFill>
                    <a:blip r:embed="rId46"/>
                    <a:stretch>
                      <a:fillRect/>
                    </a:stretch>
                  </pic:blipFill>
                  <pic:spPr>
                    <a:xfrm>
                      <a:off x="0" y="0"/>
                      <a:ext cx="770890" cy="867410"/>
                    </a:xfrm>
                    <a:prstGeom prst="rect">
                      <a:avLst/>
                    </a:prstGeom>
                    <a:noFill/>
                    <a:ln w="9525" cap="flat" cmpd="sng">
                      <a:solidFill>
                        <a:srgbClr val="000000"/>
                      </a:solidFill>
                      <a:prstDash val="solid"/>
                      <a:miter/>
                      <a:headEnd type="none" w="med" len="med"/>
                      <a:tailEnd type="none" w="med" len="med"/>
                    </a:ln>
                  </pic:spPr>
                </pic:pic>
              </a:graphicData>
            </a:graphic>
          </wp:anchor>
        </w:drawing>
      </w:r>
      <w:r>
        <w:rPr>
          <w:color w:val="auto"/>
          <w:sz w:val="28"/>
        </w:rPr>
        <mc:AlternateContent>
          <mc:Choice Requires="wps">
            <w:drawing>
              <wp:anchor distT="0" distB="0" distL="114300" distR="114300" simplePos="0" relativeHeight="251723776" behindDoc="0" locked="0" layoutInCell="1" allowOverlap="1">
                <wp:simplePos x="0" y="0"/>
                <wp:positionH relativeFrom="column">
                  <wp:posOffset>1169670</wp:posOffset>
                </wp:positionH>
                <wp:positionV relativeFrom="paragraph">
                  <wp:posOffset>4292600</wp:posOffset>
                </wp:positionV>
                <wp:extent cx="177800" cy="164465"/>
                <wp:effectExtent l="15240" t="12065" r="20320" b="21590"/>
                <wp:wrapNone/>
                <wp:docPr id="125" name="任意多边形 2"/>
                <wp:cNvGraphicFramePr/>
                <a:graphic xmlns:a="http://schemas.openxmlformats.org/drawingml/2006/main">
                  <a:graphicData uri="http://schemas.microsoft.com/office/word/2010/wordprocessingShape">
                    <wps:wsp>
                      <wps:cNvSpPr/>
                      <wps:spPr>
                        <a:xfrm flipH="1" flipV="1">
                          <a:off x="0" y="0"/>
                          <a:ext cx="177800" cy="164465"/>
                        </a:xfrm>
                        <a:custGeom>
                          <a:avLst/>
                          <a:gdLst>
                            <a:gd name="txL" fmla="*/ 0 w 76200"/>
                            <a:gd name="txT" fmla="*/ 0 h 76200"/>
                            <a:gd name="txR" fmla="*/ 76200 w 76200"/>
                            <a:gd name="txB" fmla="*/ 76200 h 76200"/>
                          </a:gdLst>
                          <a:ahLst/>
                          <a:cxnLst>
                            <a:cxn ang="16187392">
                              <a:pos x="38100" y="0"/>
                            </a:cxn>
                            <a:cxn ang="10747904">
                              <a:pos x="0" y="29105"/>
                            </a:cxn>
                            <a:cxn ang="5373952">
                              <a:pos x="14552" y="76199"/>
                            </a:cxn>
                            <a:cxn ang="5373952">
                              <a:pos x="61647" y="76199"/>
                            </a:cxn>
                            <a:cxn ang="0">
                              <a:pos x="76199" y="29105"/>
                            </a:cxn>
                          </a:cxnLst>
                          <a:rect l="txL" t="txT" r="txR" b="txB"/>
                          <a:pathLst>
                            <a:path w="76200" h="76200">
                              <a:moveTo>
                                <a:pt x="0" y="29105"/>
                              </a:moveTo>
                              <a:lnTo>
                                <a:pt x="29105" y="29105"/>
                              </a:lnTo>
                              <a:lnTo>
                                <a:pt x="38100" y="0"/>
                              </a:lnTo>
                              <a:lnTo>
                                <a:pt x="47094" y="29105"/>
                              </a:lnTo>
                              <a:lnTo>
                                <a:pt x="76199" y="29105"/>
                              </a:lnTo>
                              <a:lnTo>
                                <a:pt x="52652" y="47093"/>
                              </a:lnTo>
                              <a:lnTo>
                                <a:pt x="61647" y="76199"/>
                              </a:lnTo>
                              <a:lnTo>
                                <a:pt x="38100" y="58211"/>
                              </a:lnTo>
                              <a:lnTo>
                                <a:pt x="14552" y="76199"/>
                              </a:lnTo>
                              <a:lnTo>
                                <a:pt x="23547" y="47093"/>
                              </a:lnTo>
                              <a:close/>
                            </a:path>
                          </a:pathLst>
                        </a:custGeom>
                        <a:solidFill>
                          <a:srgbClr val="FF0000"/>
                        </a:solidFill>
                        <a:ln w="0" cap="flat" cmpd="sng">
                          <a:solidFill>
                            <a:srgbClr val="FF0000"/>
                          </a:solidFill>
                          <a:prstDash val="solid"/>
                          <a:miter/>
                          <a:headEnd type="none" w="med" len="med"/>
                          <a:tailEnd type="none" w="med" len="med"/>
                        </a:ln>
                      </wps:spPr>
                      <wps:txbx>
                        <w:txbxContent>
                          <w:p w14:paraId="24519D05">
                            <w:pPr>
                              <w:overflowPunct/>
                              <w:spacing w:line="240" w:lineRule="auto"/>
                              <w:ind w:firstLine="0" w:firstLineChars="0"/>
                              <w:jc w:val="center"/>
                              <w:rPr>
                                <w:rFonts w:ascii="Calibri" w:hAnsi="Calibri" w:eastAsia="宋体" w:cs="宋体"/>
                                <w:kern w:val="2"/>
                                <w:sz w:val="21"/>
                                <w:szCs w:val="24"/>
                              </w:rPr>
                            </w:pPr>
                          </w:p>
                        </w:txbxContent>
                      </wps:txbx>
                      <wps:bodyPr upright="1"/>
                    </wps:wsp>
                  </a:graphicData>
                </a:graphic>
              </wp:anchor>
            </w:drawing>
          </mc:Choice>
          <mc:Fallback>
            <w:pict>
              <v:shape id="任意多边形 2" o:spid="_x0000_s1026" o:spt="100" style="position:absolute;left:0pt;flip:x y;margin-left:92.1pt;margin-top:338pt;height:12.95pt;width:14pt;z-index:251723776;mso-width-relative:page;mso-height-relative:page;" fillcolor="#FF0000" filled="t" stroked="t" coordsize="76200,76200" o:gfxdata="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" path="m0,29105l29105,29105,38100,0,47094,29105,76199,29105,52652,47093,61647,76199,38100,58211,14552,76199,23547,47093xe">
                <v:path textboxrect="0,0,76200,76200" o:connectlocs="38100,0;0,29105;14552,76199;61647,76199;76199,29105" o:connectangles="247,164,82,82,0"/>
                <v:fill on="t" focussize="0,0"/>
                <v:stroke weight="0pt" color="#FF0000" joinstyle="miter"/>
                <v:imagedata o:title=""/>
                <o:lock v:ext="edit" aspectratio="f"/>
                <v:textbox>
                  <w:txbxContent>
                    <w:p w14:paraId="24519D05">
                      <w:pPr>
                        <w:overflowPunct/>
                        <w:spacing w:line="240" w:lineRule="auto"/>
                        <w:ind w:firstLine="0" w:firstLineChars="0"/>
                        <w:jc w:val="center"/>
                        <w:rPr>
                          <w:rFonts w:ascii="Calibri" w:hAnsi="Calibri" w:eastAsia="宋体" w:cs="宋体"/>
                          <w:kern w:val="2"/>
                          <w:sz w:val="21"/>
                          <w:szCs w:val="24"/>
                        </w:rPr>
                      </w:pPr>
                    </w:p>
                  </w:txbxContent>
                </v:textbox>
              </v:shape>
            </w:pict>
          </mc:Fallback>
        </mc:AlternateContent>
      </w:r>
      <w:r>
        <w:rPr>
          <w:color w:val="auto"/>
          <w:sz w:val="28"/>
        </w:rPr>
        <mc:AlternateContent>
          <mc:Choice Requires="wps">
            <w:drawing>
              <wp:anchor distT="0" distB="0" distL="114300" distR="114300" simplePos="0" relativeHeight="251724800" behindDoc="0" locked="0" layoutInCell="1" allowOverlap="1">
                <wp:simplePos x="0" y="0"/>
                <wp:positionH relativeFrom="column">
                  <wp:posOffset>1093470</wp:posOffset>
                </wp:positionH>
                <wp:positionV relativeFrom="paragraph">
                  <wp:posOffset>3987800</wp:posOffset>
                </wp:positionV>
                <wp:extent cx="334010" cy="190500"/>
                <wp:effectExtent l="12700" t="12700" r="19050" b="25400"/>
                <wp:wrapNone/>
                <wp:docPr id="126" name="任意多边形 126"/>
                <wp:cNvGraphicFramePr/>
                <a:graphic xmlns:a="http://schemas.openxmlformats.org/drawingml/2006/main">
                  <a:graphicData uri="http://schemas.microsoft.com/office/word/2010/wordprocessingShape">
                    <wps:wsp>
                      <wps:cNvSpPr/>
                      <wps:spPr>
                        <a:xfrm>
                          <a:off x="1960245" y="3094990"/>
                          <a:ext cx="334010" cy="190500"/>
                        </a:xfrm>
                        <a:custGeom>
                          <a:avLst/>
                          <a:gdLst>
                            <a:gd name="connisteX0" fmla="*/ 142875 w 1162050"/>
                            <a:gd name="connsiteY0" fmla="*/ 323850 h 714375"/>
                            <a:gd name="connisteX1" fmla="*/ 295275 w 1162050"/>
                            <a:gd name="connsiteY1" fmla="*/ 638175 h 714375"/>
                            <a:gd name="connisteX2" fmla="*/ 685800 w 1162050"/>
                            <a:gd name="connsiteY2" fmla="*/ 714375 h 714375"/>
                            <a:gd name="connisteX3" fmla="*/ 695325 w 1162050"/>
                            <a:gd name="connsiteY3" fmla="*/ 514350 h 714375"/>
                            <a:gd name="connisteX4" fmla="*/ 885825 w 1162050"/>
                            <a:gd name="connsiteY4" fmla="*/ 514350 h 714375"/>
                            <a:gd name="connisteX5" fmla="*/ 885825 w 1162050"/>
                            <a:gd name="connsiteY5" fmla="*/ 676275 h 714375"/>
                            <a:gd name="connisteX6" fmla="*/ 1019175 w 1162050"/>
                            <a:gd name="connsiteY6" fmla="*/ 657225 h 714375"/>
                            <a:gd name="connisteX7" fmla="*/ 1028700 w 1162050"/>
                            <a:gd name="connsiteY7" fmla="*/ 495300 h 714375"/>
                            <a:gd name="connisteX8" fmla="*/ 1162050 w 1162050"/>
                            <a:gd name="connsiteY8" fmla="*/ 476250 h 714375"/>
                            <a:gd name="connisteX9" fmla="*/ 1152525 w 1162050"/>
                            <a:gd name="connsiteY9" fmla="*/ 371475 h 714375"/>
                            <a:gd name="connisteX10" fmla="*/ 1085850 w 1162050"/>
                            <a:gd name="connsiteY10" fmla="*/ 190500 h 714375"/>
                            <a:gd name="connisteX11" fmla="*/ 857250 w 1162050"/>
                            <a:gd name="connsiteY11" fmla="*/ 180975 h 714375"/>
                            <a:gd name="connisteX12" fmla="*/ 828675 w 1162050"/>
                            <a:gd name="connsiteY12" fmla="*/ 95250 h 714375"/>
                            <a:gd name="connisteX13" fmla="*/ 571500 w 1162050"/>
                            <a:gd name="connsiteY13" fmla="*/ 85725 h 714375"/>
                            <a:gd name="connisteX14" fmla="*/ 504825 w 1162050"/>
                            <a:gd name="connsiteY14" fmla="*/ 9525 h 714375"/>
                            <a:gd name="connisteX15" fmla="*/ 0 w 1162050"/>
                            <a:gd name="connsiteY15" fmla="*/ 0 h 714375"/>
                            <a:gd name="connisteX16" fmla="*/ 142875 w 1162050"/>
                            <a:gd name="connsiteY16" fmla="*/ 323850 h 714375"/>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 ang="0">
                              <a:pos x="connisteX7" y="connsiteY7"/>
                            </a:cxn>
                            <a:cxn ang="0">
                              <a:pos x="connisteX8" y="connsiteY8"/>
                            </a:cxn>
                            <a:cxn ang="0">
                              <a:pos x="connisteX9" y="connsiteY9"/>
                            </a:cxn>
                            <a:cxn ang="0">
                              <a:pos x="connisteX10" y="connsiteY10"/>
                            </a:cxn>
                            <a:cxn ang="0">
                              <a:pos x="connisteX11" y="connsiteY11"/>
                            </a:cxn>
                            <a:cxn ang="0">
                              <a:pos x="connisteX12" y="connsiteY12"/>
                            </a:cxn>
                            <a:cxn ang="0">
                              <a:pos x="connisteX13" y="connsiteY13"/>
                            </a:cxn>
                            <a:cxn ang="0">
                              <a:pos x="connisteX14" y="connsiteY14"/>
                            </a:cxn>
                            <a:cxn ang="0">
                              <a:pos x="connisteX15" y="connsiteY15"/>
                            </a:cxn>
                            <a:cxn ang="0">
                              <a:pos x="connisteX16" y="connsiteY16"/>
                            </a:cxn>
                          </a:cxnLst>
                          <a:rect l="l" t="t" r="r" b="b"/>
                          <a:pathLst>
                            <a:path w="1162050" h="714375">
                              <a:moveTo>
                                <a:pt x="142875" y="323850"/>
                              </a:moveTo>
                              <a:lnTo>
                                <a:pt x="295275" y="638175"/>
                              </a:lnTo>
                              <a:lnTo>
                                <a:pt x="685800" y="714375"/>
                              </a:lnTo>
                              <a:lnTo>
                                <a:pt x="695325" y="514350"/>
                              </a:lnTo>
                              <a:lnTo>
                                <a:pt x="885825" y="514350"/>
                              </a:lnTo>
                              <a:lnTo>
                                <a:pt x="885825" y="676275"/>
                              </a:lnTo>
                              <a:lnTo>
                                <a:pt x="1019175" y="657225"/>
                              </a:lnTo>
                              <a:lnTo>
                                <a:pt x="1028700" y="495300"/>
                              </a:lnTo>
                              <a:lnTo>
                                <a:pt x="1162050" y="476250"/>
                              </a:lnTo>
                              <a:lnTo>
                                <a:pt x="1152525" y="371475"/>
                              </a:lnTo>
                              <a:lnTo>
                                <a:pt x="1085850" y="190500"/>
                              </a:lnTo>
                              <a:lnTo>
                                <a:pt x="857250" y="180975"/>
                              </a:lnTo>
                              <a:lnTo>
                                <a:pt x="828675" y="95250"/>
                              </a:lnTo>
                              <a:lnTo>
                                <a:pt x="571500" y="85725"/>
                              </a:lnTo>
                              <a:lnTo>
                                <a:pt x="504825" y="9525"/>
                              </a:lnTo>
                              <a:lnTo>
                                <a:pt x="0" y="0"/>
                              </a:lnTo>
                              <a:lnTo>
                                <a:pt x="142875" y="323850"/>
                              </a:lnTo>
                              <a:close/>
                            </a:path>
                          </a:pathLst>
                        </a:custGeom>
                        <a:noFill/>
                        <a:ln>
                          <a:solidFill>
                            <a:srgbClr val="FF0000"/>
                          </a:solidFill>
                          <a:prstDash val="sysDash"/>
                        </a:ln>
                      </wps:spPr>
                      <wps:style>
                        <a:lnRef idx="2">
                          <a:schemeClr val="accent1">
                            <a:lumMod val="75000"/>
                          </a:schemeClr>
                        </a:lnRef>
                        <a:fillRef idx="1">
                          <a:schemeClr val="accent1"/>
                        </a:fillRef>
                        <a:effectRef idx="0">
                          <a:srgbClr val="FFFFFF"/>
                        </a:effectRef>
                        <a:fontRef idx="minor">
                          <a:schemeClr val="lt1"/>
                        </a:fontRef>
                      </wps:style>
                      <wps:bodyPr/>
                    </wps:wsp>
                  </a:graphicData>
                </a:graphic>
              </wp:anchor>
            </w:drawing>
          </mc:Choice>
          <mc:Fallback>
            <w:pict>
              <v:shape id="_x0000_s1026" o:spid="_x0000_s1026" o:spt="100" style="position:absolute;left:0pt;margin-left:86.1pt;margin-top:314pt;height:15pt;width:26.3pt;z-index:251724800;mso-width-relative:page;mso-height-relative:page;" filled="f" stroked="t" coordsize="1162050,714375" o:gfxdata="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" path="m142875,323850l295275,638175,685800,714375,695325,514350,885825,514350,885825,676275,1019175,657225,1028700,495300,1162050,476250,1152525,371475,1085850,190500,857250,180975,828675,95250,571500,85725,504825,9525,0,0,142875,323850xe">
                <v:path o:connectlocs="41066,86360;84871,170180;197120,190500;199858,137160;254614,137160;254614,180340;292943,175260;295680,132080;334010,127000;331272,99060;312107,50800;246400,48260;238187,25400;164267,22860;145102,2540;0,0;41066,86360" o:connectangles="0,0,0,0,0,0,0,0,0,0,0,0,0,0,0,0,0"/>
                <v:fill on="f" focussize="0,0"/>
                <v:stroke weight="2pt" color="#FF0000 [2404]" joinstyle="round" dashstyle="3 1"/>
                <v:imagedata o:title=""/>
                <o:lock v:ext="edit" aspectratio="f"/>
              </v:shape>
            </w:pict>
          </mc:Fallback>
        </mc:AlternateContent>
      </w:r>
      <w:r>
        <w:rPr>
          <w:color w:val="auto"/>
          <w:sz w:val="21"/>
        </w:rPr>
        <mc:AlternateContent>
          <mc:Choice Requires="wps">
            <w:drawing>
              <wp:anchor distT="0" distB="0" distL="114300" distR="114300" simplePos="0" relativeHeight="251722752" behindDoc="0" locked="0" layoutInCell="1" allowOverlap="1">
                <wp:simplePos x="0" y="0"/>
                <wp:positionH relativeFrom="column">
                  <wp:posOffset>95885</wp:posOffset>
                </wp:positionH>
                <wp:positionV relativeFrom="paragraph">
                  <wp:posOffset>3488690</wp:posOffset>
                </wp:positionV>
                <wp:extent cx="1664970" cy="1072515"/>
                <wp:effectExtent l="4445" t="4445" r="6985" b="5080"/>
                <wp:wrapNone/>
                <wp:docPr id="127" name="文本框 127"/>
                <wp:cNvGraphicFramePr/>
                <a:graphic xmlns:a="http://schemas.openxmlformats.org/drawingml/2006/main">
                  <a:graphicData uri="http://schemas.microsoft.com/office/word/2010/wordprocessingShape">
                    <wps:wsp>
                      <wps:cNvSpPr txBox="1"/>
                      <wps:spPr>
                        <a:xfrm>
                          <a:off x="0" y="0"/>
                          <a:ext cx="1664970" cy="1072515"/>
                        </a:xfrm>
                        <a:prstGeom prst="rect">
                          <a:avLst/>
                        </a:prstGeom>
                        <a:no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4CAB5353">
                            <w:pPr>
                              <w:jc w:val="center"/>
                              <w:rPr>
                                <w:rFonts w:hint="eastAsia"/>
                                <w:b/>
                                <w:bCs/>
                                <w:sz w:val="24"/>
                                <w:szCs w:val="24"/>
                                <w:lang w:val="en-US" w:eastAsia="zh-CN"/>
                              </w:rPr>
                            </w:pPr>
                            <w:r>
                              <w:rPr>
                                <w:rFonts w:hint="eastAsia"/>
                                <w:b/>
                                <w:bCs/>
                                <w:sz w:val="24"/>
                                <w:szCs w:val="24"/>
                                <w:lang w:val="en-US" w:eastAsia="zh-CN"/>
                              </w:rPr>
                              <w:t>图例</w:t>
                            </w:r>
                          </w:p>
                          <w:p w14:paraId="0683782C">
                            <w:pPr>
                              <w:rPr>
                                <w:rFonts w:hint="eastAsia"/>
                                <w:sz w:val="24"/>
                                <w:szCs w:val="24"/>
                                <w:lang w:val="en-US" w:eastAsia="zh-CN"/>
                              </w:rPr>
                            </w:pPr>
                          </w:p>
                          <w:p w14:paraId="1FE9EAB8">
                            <w:pPr>
                              <w:keepNext w:val="0"/>
                              <w:keepLines w:val="0"/>
                              <w:pageBreakBefore w:val="0"/>
                              <w:widowControl w:val="0"/>
                              <w:kinsoku/>
                              <w:wordWrap/>
                              <w:overflowPunct/>
                              <w:topLinePunct w:val="0"/>
                              <w:bidi w:val="0"/>
                              <w:adjustRightInd/>
                              <w:snapToGrid/>
                              <w:spacing w:line="360" w:lineRule="auto"/>
                              <w:jc w:val="both"/>
                              <w:textAlignment w:val="auto"/>
                              <w:rPr>
                                <w:rFonts w:hint="default"/>
                                <w:sz w:val="21"/>
                                <w:szCs w:val="21"/>
                                <w:lang w:val="en-US" w:eastAsia="zh-CN"/>
                              </w:rPr>
                            </w:pPr>
                            <w:r>
                              <w:rPr>
                                <w:rFonts w:hint="eastAsia"/>
                                <w:sz w:val="21"/>
                                <w:szCs w:val="21"/>
                                <w:lang w:val="en-US" w:eastAsia="zh-CN"/>
                              </w:rPr>
                              <w:t>园区规划区域</w:t>
                            </w:r>
                          </w:p>
                          <w:p w14:paraId="58A471F9">
                            <w:pPr>
                              <w:keepNext w:val="0"/>
                              <w:keepLines w:val="0"/>
                              <w:pageBreakBefore w:val="0"/>
                              <w:widowControl w:val="0"/>
                              <w:kinsoku/>
                              <w:wordWrap/>
                              <w:overflowPunct/>
                              <w:topLinePunct w:val="0"/>
                              <w:bidi w:val="0"/>
                              <w:adjustRightInd/>
                              <w:snapToGrid/>
                              <w:spacing w:line="360" w:lineRule="auto"/>
                              <w:jc w:val="both"/>
                              <w:textAlignment w:val="auto"/>
                              <w:rPr>
                                <w:rFonts w:hint="default"/>
                                <w:sz w:val="21"/>
                                <w:szCs w:val="21"/>
                                <w:lang w:val="en-US" w:eastAsia="zh-CN"/>
                              </w:rPr>
                            </w:pPr>
                            <w:r>
                              <w:rPr>
                                <w:rFonts w:hint="eastAsia"/>
                                <w:sz w:val="21"/>
                                <w:szCs w:val="21"/>
                                <w:lang w:val="en-US" w:eastAsia="zh-CN"/>
                              </w:rPr>
                              <w:t>项目所在位置</w:t>
                            </w:r>
                          </w:p>
                          <w:p w14:paraId="38DC32AC">
                            <w:pPr>
                              <w:jc w:val="both"/>
                              <w:rPr>
                                <w:rFonts w:hint="eastAsia"/>
                                <w:sz w:val="21"/>
                                <w:szCs w:val="21"/>
                                <w:lang w:val="en-US" w:eastAsia="zh-CN"/>
                              </w:rPr>
                            </w:pPr>
                          </w:p>
                          <w:p w14:paraId="07481526">
                            <w:pPr>
                              <w:jc w:val="both"/>
                              <w:rPr>
                                <w:rFonts w:hint="default"/>
                                <w:sz w:val="21"/>
                                <w:szCs w:val="21"/>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55pt;margin-top:274.7pt;height:84.45pt;width:131.1pt;z-index:251722752;mso-width-relative:page;mso-height-relative:page;" filled="f" stroked="t" coordsize="21600,21600" o:gfxdata="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LlmxLvbAAAA&#10;CgEAAA8AAAAAAAAAAQAgAAAAIgAAAGRycy9kb3ducmV2LnhtbFBLAQIUABQAAAAIAIdO4kAp4Nz/&#10;UwIAAJMEAAAOAAAAAAAAAAEAIAAAACoBAABkcnMvZTJvRG9jLnhtbFBLBQYAAAAABgAGAFkBAADv&#10;BQAAAAA=&#10;">
                <v:fill on="f" focussize="0,0"/>
                <v:stroke weight="0.5pt" color="#000000 [3204]" joinstyle="round"/>
                <v:imagedata o:title=""/>
                <o:lock v:ext="edit" aspectratio="f"/>
                <v:textbox>
                  <w:txbxContent>
                    <w:p w14:paraId="4CAB5353">
                      <w:pPr>
                        <w:jc w:val="center"/>
                        <w:rPr>
                          <w:rFonts w:hint="eastAsia"/>
                          <w:b/>
                          <w:bCs/>
                          <w:sz w:val="24"/>
                          <w:szCs w:val="24"/>
                          <w:lang w:val="en-US" w:eastAsia="zh-CN"/>
                        </w:rPr>
                      </w:pPr>
                      <w:r>
                        <w:rPr>
                          <w:rFonts w:hint="eastAsia"/>
                          <w:b/>
                          <w:bCs/>
                          <w:sz w:val="24"/>
                          <w:szCs w:val="24"/>
                          <w:lang w:val="en-US" w:eastAsia="zh-CN"/>
                        </w:rPr>
                        <w:t>图例</w:t>
                      </w:r>
                    </w:p>
                    <w:p w14:paraId="0683782C">
                      <w:pPr>
                        <w:rPr>
                          <w:rFonts w:hint="eastAsia"/>
                          <w:sz w:val="24"/>
                          <w:szCs w:val="24"/>
                          <w:lang w:val="en-US" w:eastAsia="zh-CN"/>
                        </w:rPr>
                      </w:pPr>
                    </w:p>
                    <w:p w14:paraId="1FE9EAB8">
                      <w:pPr>
                        <w:keepNext w:val="0"/>
                        <w:keepLines w:val="0"/>
                        <w:pageBreakBefore w:val="0"/>
                        <w:widowControl w:val="0"/>
                        <w:kinsoku/>
                        <w:wordWrap/>
                        <w:overflowPunct/>
                        <w:topLinePunct w:val="0"/>
                        <w:bidi w:val="0"/>
                        <w:adjustRightInd/>
                        <w:snapToGrid/>
                        <w:spacing w:line="360" w:lineRule="auto"/>
                        <w:jc w:val="both"/>
                        <w:textAlignment w:val="auto"/>
                        <w:rPr>
                          <w:rFonts w:hint="default"/>
                          <w:sz w:val="21"/>
                          <w:szCs w:val="21"/>
                          <w:lang w:val="en-US" w:eastAsia="zh-CN"/>
                        </w:rPr>
                      </w:pPr>
                      <w:r>
                        <w:rPr>
                          <w:rFonts w:hint="eastAsia"/>
                          <w:sz w:val="21"/>
                          <w:szCs w:val="21"/>
                          <w:lang w:val="en-US" w:eastAsia="zh-CN"/>
                        </w:rPr>
                        <w:t>园区规划区域</w:t>
                      </w:r>
                    </w:p>
                    <w:p w14:paraId="58A471F9">
                      <w:pPr>
                        <w:keepNext w:val="0"/>
                        <w:keepLines w:val="0"/>
                        <w:pageBreakBefore w:val="0"/>
                        <w:widowControl w:val="0"/>
                        <w:kinsoku/>
                        <w:wordWrap/>
                        <w:overflowPunct/>
                        <w:topLinePunct w:val="0"/>
                        <w:bidi w:val="0"/>
                        <w:adjustRightInd/>
                        <w:snapToGrid/>
                        <w:spacing w:line="360" w:lineRule="auto"/>
                        <w:jc w:val="both"/>
                        <w:textAlignment w:val="auto"/>
                        <w:rPr>
                          <w:rFonts w:hint="default"/>
                          <w:sz w:val="21"/>
                          <w:szCs w:val="21"/>
                          <w:lang w:val="en-US" w:eastAsia="zh-CN"/>
                        </w:rPr>
                      </w:pPr>
                      <w:r>
                        <w:rPr>
                          <w:rFonts w:hint="eastAsia"/>
                          <w:sz w:val="21"/>
                          <w:szCs w:val="21"/>
                          <w:lang w:val="en-US" w:eastAsia="zh-CN"/>
                        </w:rPr>
                        <w:t>项目所在位置</w:t>
                      </w:r>
                    </w:p>
                    <w:p w14:paraId="38DC32AC">
                      <w:pPr>
                        <w:jc w:val="both"/>
                        <w:rPr>
                          <w:rFonts w:hint="eastAsia"/>
                          <w:sz w:val="21"/>
                          <w:szCs w:val="21"/>
                          <w:lang w:val="en-US" w:eastAsia="zh-CN"/>
                        </w:rPr>
                      </w:pPr>
                    </w:p>
                    <w:p w14:paraId="07481526">
                      <w:pPr>
                        <w:jc w:val="both"/>
                        <w:rPr>
                          <w:rFonts w:hint="default"/>
                          <w:sz w:val="21"/>
                          <w:szCs w:val="21"/>
                          <w:lang w:val="en-US" w:eastAsia="zh-CN"/>
                        </w:rPr>
                      </w:pPr>
                    </w:p>
                  </w:txbxContent>
                </v:textbox>
              </v:shape>
            </w:pict>
          </mc:Fallback>
        </mc:AlternateContent>
      </w:r>
      <w:r>
        <w:rPr>
          <w:rFonts w:hint="eastAsia"/>
          <w:color w:val="auto"/>
          <w:lang w:val="en-US" w:eastAsia="zh-CN"/>
        </w:rPr>
        <w:drawing>
          <wp:inline distT="0" distB="0" distL="114300" distR="114300">
            <wp:extent cx="8853170" cy="4553585"/>
            <wp:effectExtent l="9525" t="9525" r="22225" b="24130"/>
            <wp:docPr id="128" name="图片 128" descr="1715066977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descr="1715066977565"/>
                    <pic:cNvPicPr>
                      <a:picLocks noChangeAspect="1"/>
                    </pic:cNvPicPr>
                  </pic:nvPicPr>
                  <pic:blipFill>
                    <a:blip r:embed="rId47"/>
                    <a:stretch>
                      <a:fillRect/>
                    </a:stretch>
                  </pic:blipFill>
                  <pic:spPr>
                    <a:xfrm>
                      <a:off x="0" y="0"/>
                      <a:ext cx="8853170" cy="4553585"/>
                    </a:xfrm>
                    <a:prstGeom prst="rect">
                      <a:avLst/>
                    </a:prstGeom>
                    <a:ln>
                      <a:solidFill>
                        <a:schemeClr val="tx1"/>
                      </a:solidFill>
                    </a:ln>
                  </pic:spPr>
                </pic:pic>
              </a:graphicData>
            </a:graphic>
          </wp:inline>
        </w:drawing>
      </w:r>
    </w:p>
    <w:p w14:paraId="09B93890">
      <w:pPr>
        <w:pStyle w:val="24"/>
        <w:keepNext w:val="0"/>
        <w:keepLines w:val="0"/>
        <w:pageBreakBefore w:val="0"/>
        <w:widowControl w:val="0"/>
        <w:kinsoku/>
        <w:wordWrap/>
        <w:overflowPunct/>
        <w:topLinePunct w:val="0"/>
        <w:autoSpaceDE/>
        <w:autoSpaceDN/>
        <w:bidi w:val="0"/>
        <w:adjustRightInd/>
        <w:snapToGrid w:val="0"/>
        <w:spacing w:line="240" w:lineRule="auto"/>
        <w:jc w:val="center"/>
        <w:textAlignment w:val="auto"/>
        <w:outlineLvl w:val="0"/>
        <w:rPr>
          <w:rFonts w:hint="default" w:ascii="Times New Roman" w:hAnsi="Times New Roman" w:eastAsia="宋体" w:cs="Times New Roman"/>
          <w:b/>
          <w:bCs/>
          <w:color w:val="auto"/>
          <w:sz w:val="24"/>
          <w:szCs w:val="22"/>
          <w:lang w:val="en-US" w:eastAsia="zh-CN"/>
        </w:rPr>
        <w:sectPr>
          <w:pgSz w:w="16838" w:h="11906" w:orient="landscape"/>
          <w:pgMar w:top="964" w:right="1440" w:bottom="964" w:left="1440" w:header="851" w:footer="992" w:gutter="0"/>
          <w:pgBorders>
            <w:top w:val="none" w:sz="0" w:space="0"/>
            <w:left w:val="none" w:sz="0" w:space="0"/>
            <w:bottom w:val="none" w:sz="0" w:space="0"/>
            <w:right w:val="none" w:sz="0" w:space="0"/>
          </w:pgBorders>
          <w:pgNumType w:fmt="decimal"/>
          <w:cols w:space="425" w:num="1"/>
          <w:docGrid w:type="lines" w:linePitch="312" w:charSpace="0"/>
        </w:sectPr>
      </w:pPr>
      <w:bookmarkStart w:id="50" w:name="_Toc25542"/>
      <w:r>
        <w:rPr>
          <w:rFonts w:hint="eastAsia" w:ascii="Times New Roman" w:hAnsi="Times New Roman" w:eastAsia="宋体" w:cs="Times New Roman"/>
          <w:b/>
          <w:bCs/>
          <w:color w:val="auto"/>
          <w:sz w:val="24"/>
          <w:szCs w:val="22"/>
          <w:lang w:val="en-US" w:eastAsia="zh-CN"/>
        </w:rPr>
        <w:t xml:space="preserve">附图9 </w:t>
      </w:r>
      <w:r>
        <w:rPr>
          <w:rFonts w:hint="eastAsia" w:ascii="Times New Roman" w:hAnsi="Times New Roman" w:cs="Times New Roman"/>
          <w:b/>
          <w:bCs/>
          <w:color w:val="auto"/>
          <w:sz w:val="24"/>
          <w:szCs w:val="22"/>
          <w:lang w:val="en-US" w:eastAsia="zh-CN"/>
        </w:rPr>
        <w:t>乐平市</w:t>
      </w:r>
      <w:r>
        <w:rPr>
          <w:rFonts w:hint="eastAsia" w:ascii="Times New Roman" w:hAnsi="Times New Roman" w:eastAsia="宋体" w:cs="Times New Roman"/>
          <w:b/>
          <w:bCs/>
          <w:color w:val="auto"/>
          <w:sz w:val="24"/>
          <w:szCs w:val="22"/>
          <w:lang w:val="en-US" w:eastAsia="zh-CN"/>
        </w:rPr>
        <w:t>金山工业园产业布局图</w:t>
      </w:r>
      <w:bookmarkEnd w:id="50"/>
    </w:p>
    <w:p w14:paraId="0DE7C195">
      <w:pPr>
        <w:jc w:val="center"/>
        <w:rPr>
          <w:rFonts w:hint="eastAsia"/>
          <w:color w:val="auto"/>
          <w:lang w:val="en-US" w:eastAsia="zh-CN"/>
        </w:rPr>
      </w:pPr>
      <w:r>
        <w:rPr>
          <w:color w:val="auto"/>
          <w:sz w:val="28"/>
        </w:rPr>
        <mc:AlternateContent>
          <mc:Choice Requires="wps">
            <w:drawing>
              <wp:anchor distT="0" distB="0" distL="114300" distR="114300" simplePos="0" relativeHeight="251844608" behindDoc="0" locked="0" layoutInCell="1" allowOverlap="1">
                <wp:simplePos x="0" y="0"/>
                <wp:positionH relativeFrom="column">
                  <wp:posOffset>5171440</wp:posOffset>
                </wp:positionH>
                <wp:positionV relativeFrom="paragraph">
                  <wp:posOffset>3545840</wp:posOffset>
                </wp:positionV>
                <wp:extent cx="972185" cy="347980"/>
                <wp:effectExtent l="34290" t="4445" r="14605" b="455295"/>
                <wp:wrapNone/>
                <wp:docPr id="260" name="圆角矩形标注 3"/>
                <wp:cNvGraphicFramePr/>
                <a:graphic xmlns:a="http://schemas.openxmlformats.org/drawingml/2006/main">
                  <a:graphicData uri="http://schemas.microsoft.com/office/word/2010/wordprocessingShape">
                    <wps:wsp>
                      <wps:cNvSpPr/>
                      <wps:spPr>
                        <a:xfrm>
                          <a:off x="0" y="0"/>
                          <a:ext cx="972185" cy="347980"/>
                        </a:xfrm>
                        <a:prstGeom prst="wedgeRoundRectCallout">
                          <a:avLst>
                            <a:gd name="adj1" fmla="val -52083"/>
                            <a:gd name="adj2" fmla="val 171000"/>
                            <a:gd name="adj3" fmla="val 16667"/>
                          </a:avLst>
                        </a:prstGeom>
                        <a:solidFill>
                          <a:srgbClr val="FF0000"/>
                        </a:solidFill>
                        <a:ln w="9525" cap="flat" cmpd="sng">
                          <a:solidFill>
                            <a:srgbClr val="FF0000"/>
                          </a:solidFill>
                          <a:prstDash val="solid"/>
                          <a:miter/>
                          <a:headEnd type="none" w="med" len="med"/>
                          <a:tailEnd type="none" w="med" len="med"/>
                        </a:ln>
                      </wps:spPr>
                      <wps:txbx>
                        <w:txbxContent>
                          <w:p w14:paraId="090AF207">
                            <w:pPr>
                              <w:overflowPunct/>
                              <w:spacing w:line="240" w:lineRule="auto"/>
                              <w:ind w:firstLine="0" w:firstLineChars="0"/>
                              <w:jc w:val="both"/>
                              <w:rPr>
                                <w:rFonts w:hint="default" w:ascii="Calibri" w:hAnsi="Calibri" w:eastAsia="宋体" w:cs="宋体"/>
                                <w:kern w:val="2"/>
                                <w:sz w:val="21"/>
                                <w:szCs w:val="24"/>
                                <w:lang w:val="en-US" w:eastAsia="zh-CN"/>
                              </w:rPr>
                            </w:pPr>
                            <w:r>
                              <w:rPr>
                                <w:rFonts w:hint="eastAsia" w:ascii="Calibri" w:hAnsi="Calibri" w:cs="宋体"/>
                                <w:kern w:val="2"/>
                                <w:sz w:val="21"/>
                                <w:szCs w:val="24"/>
                                <w:lang w:val="en-US" w:eastAsia="zh-CN"/>
                              </w:rPr>
                              <w:t>污水处理厂</w:t>
                            </w:r>
                          </w:p>
                        </w:txbxContent>
                      </wps:txbx>
                      <wps:bodyPr upright="1"/>
                    </wps:wsp>
                  </a:graphicData>
                </a:graphic>
              </wp:anchor>
            </w:drawing>
          </mc:Choice>
          <mc:Fallback>
            <w:pict>
              <v:shape id="圆角矩形标注 3" o:spid="_x0000_s1026" o:spt="62" type="#_x0000_t62" style="position:absolute;left:0pt;margin-left:407.2pt;margin-top:279.2pt;height:27.4pt;width:76.55pt;z-index:251844608;mso-width-relative:page;mso-height-relative:page;" fillcolor="#FF0000" filled="t" stroked="t" coordsize="21600,21600" o:gfxdata="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" adj="-450,47736,14400">
                <v:fill on="t" focussize="0,0"/>
                <v:stroke color="#FF0000" joinstyle="miter"/>
                <v:imagedata o:title=""/>
                <o:lock v:ext="edit" aspectratio="f"/>
                <v:textbox>
                  <w:txbxContent>
                    <w:p w14:paraId="090AF207">
                      <w:pPr>
                        <w:overflowPunct/>
                        <w:spacing w:line="240" w:lineRule="auto"/>
                        <w:ind w:firstLine="0" w:firstLineChars="0"/>
                        <w:jc w:val="both"/>
                        <w:rPr>
                          <w:rFonts w:hint="default" w:ascii="Calibri" w:hAnsi="Calibri" w:eastAsia="宋体" w:cs="宋体"/>
                          <w:kern w:val="2"/>
                          <w:sz w:val="21"/>
                          <w:szCs w:val="24"/>
                          <w:lang w:val="en-US" w:eastAsia="zh-CN"/>
                        </w:rPr>
                      </w:pPr>
                      <w:r>
                        <w:rPr>
                          <w:rFonts w:hint="eastAsia" w:ascii="Calibri" w:hAnsi="Calibri" w:cs="宋体"/>
                          <w:kern w:val="2"/>
                          <w:sz w:val="21"/>
                          <w:szCs w:val="24"/>
                          <w:lang w:val="en-US" w:eastAsia="zh-CN"/>
                        </w:rPr>
                        <w:t>污水处理厂</w:t>
                      </w:r>
                    </w:p>
                  </w:txbxContent>
                </v:textbox>
              </v:shape>
            </w:pict>
          </mc:Fallback>
        </mc:AlternateContent>
      </w:r>
      <w:r>
        <w:rPr>
          <w:color w:val="auto"/>
          <w:sz w:val="21"/>
        </w:rPr>
        <mc:AlternateContent>
          <mc:Choice Requires="wps">
            <w:drawing>
              <wp:anchor distT="0" distB="0" distL="114300" distR="114300" simplePos="0" relativeHeight="251843584" behindDoc="0" locked="0" layoutInCell="1" allowOverlap="1">
                <wp:simplePos x="0" y="0"/>
                <wp:positionH relativeFrom="column">
                  <wp:posOffset>5029835</wp:posOffset>
                </wp:positionH>
                <wp:positionV relativeFrom="paragraph">
                  <wp:posOffset>4182110</wp:posOffset>
                </wp:positionV>
                <wp:extent cx="255905" cy="226060"/>
                <wp:effectExtent l="6350" t="6350" r="12065" b="11430"/>
                <wp:wrapNone/>
                <wp:docPr id="248" name="十字星 248"/>
                <wp:cNvGraphicFramePr/>
                <a:graphic xmlns:a="http://schemas.openxmlformats.org/drawingml/2006/main">
                  <a:graphicData uri="http://schemas.microsoft.com/office/word/2010/wordprocessingShape">
                    <wps:wsp>
                      <wps:cNvSpPr/>
                      <wps:spPr>
                        <a:xfrm>
                          <a:off x="6087110" y="4819650"/>
                          <a:ext cx="255905" cy="226060"/>
                        </a:xfrm>
                        <a:prstGeom prst="star4">
                          <a:avLst/>
                        </a:prstGeom>
                        <a:solidFill>
                          <a:srgbClr val="FF0000"/>
                        </a:solidFill>
                        <a:ln w="1270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87" type="#_x0000_t187" style="position:absolute;left:0pt;margin-left:396.05pt;margin-top:329.3pt;height:17.8pt;width:20.15pt;z-index:251843584;v-text-anchor:middle;mso-width-relative:page;mso-height-relative:page;" fillcolor="#FF0000" filled="t" stroked="t" coordsize="21600,21600" o:gfxdata="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AAAAAGRycy9QSwECFAAUAAAACACHTuJAkNAcR9sAAAALAQAADwAAAAAAAAABACAAAAAiAAAA&#10;ZHJzL2Rvd25yZXYueG1sUEsBAhQAFAAAAAgAh07iQOZpRKV2AgAA8AQAAA4AAAAAAAAAAQAgAAAA&#10;KgEAAGRycy9lMm9Eb2MueG1sUEsFBgAAAAAGAAYAWQEAABIGAAAAAA==&#10;" adj="8100">
                <v:fill on="t" focussize="0,0"/>
                <v:stroke weight="1pt" color="#FF0000 [2404]" joinstyle="round"/>
                <v:imagedata o:title=""/>
                <o:lock v:ext="edit" aspectratio="f"/>
              </v:shape>
            </w:pict>
          </mc:Fallback>
        </mc:AlternateContent>
      </w:r>
      <w:r>
        <w:rPr>
          <w:color w:val="auto"/>
          <w:sz w:val="28"/>
        </w:rPr>
        <mc:AlternateContent>
          <mc:Choice Requires="wps">
            <w:drawing>
              <wp:anchor distT="0" distB="0" distL="114300" distR="114300" simplePos="0" relativeHeight="251717632" behindDoc="0" locked="0" layoutInCell="1" allowOverlap="1">
                <wp:simplePos x="0" y="0"/>
                <wp:positionH relativeFrom="column">
                  <wp:posOffset>1836420</wp:posOffset>
                </wp:positionH>
                <wp:positionV relativeFrom="paragraph">
                  <wp:posOffset>2881630</wp:posOffset>
                </wp:positionV>
                <wp:extent cx="177800" cy="164465"/>
                <wp:effectExtent l="15240" t="12065" r="20320" b="21590"/>
                <wp:wrapNone/>
                <wp:docPr id="130" name="任意多边形 2"/>
                <wp:cNvGraphicFramePr/>
                <a:graphic xmlns:a="http://schemas.openxmlformats.org/drawingml/2006/main">
                  <a:graphicData uri="http://schemas.microsoft.com/office/word/2010/wordprocessingShape">
                    <wps:wsp>
                      <wps:cNvSpPr/>
                      <wps:spPr>
                        <a:xfrm flipH="1" flipV="1">
                          <a:off x="0" y="0"/>
                          <a:ext cx="177800" cy="164465"/>
                        </a:xfrm>
                        <a:custGeom>
                          <a:avLst/>
                          <a:gdLst>
                            <a:gd name="txL" fmla="*/ 0 w 76200"/>
                            <a:gd name="txT" fmla="*/ 0 h 76200"/>
                            <a:gd name="txR" fmla="*/ 76200 w 76200"/>
                            <a:gd name="txB" fmla="*/ 76200 h 76200"/>
                          </a:gdLst>
                          <a:ahLst/>
                          <a:cxnLst>
                            <a:cxn ang="16187392">
                              <a:pos x="38100" y="0"/>
                            </a:cxn>
                            <a:cxn ang="10747904">
                              <a:pos x="0" y="29105"/>
                            </a:cxn>
                            <a:cxn ang="5373952">
                              <a:pos x="14552" y="76199"/>
                            </a:cxn>
                            <a:cxn ang="5373952">
                              <a:pos x="61647" y="76199"/>
                            </a:cxn>
                            <a:cxn ang="0">
                              <a:pos x="76199" y="29105"/>
                            </a:cxn>
                          </a:cxnLst>
                          <a:rect l="txL" t="txT" r="txR" b="txB"/>
                          <a:pathLst>
                            <a:path w="76200" h="76200">
                              <a:moveTo>
                                <a:pt x="0" y="29105"/>
                              </a:moveTo>
                              <a:lnTo>
                                <a:pt x="29105" y="29105"/>
                              </a:lnTo>
                              <a:lnTo>
                                <a:pt x="38100" y="0"/>
                              </a:lnTo>
                              <a:lnTo>
                                <a:pt x="47094" y="29105"/>
                              </a:lnTo>
                              <a:lnTo>
                                <a:pt x="76199" y="29105"/>
                              </a:lnTo>
                              <a:lnTo>
                                <a:pt x="52652" y="47093"/>
                              </a:lnTo>
                              <a:lnTo>
                                <a:pt x="61647" y="76199"/>
                              </a:lnTo>
                              <a:lnTo>
                                <a:pt x="38100" y="58211"/>
                              </a:lnTo>
                              <a:lnTo>
                                <a:pt x="14552" y="76199"/>
                              </a:lnTo>
                              <a:lnTo>
                                <a:pt x="23547" y="47093"/>
                              </a:lnTo>
                              <a:close/>
                            </a:path>
                          </a:pathLst>
                        </a:custGeom>
                        <a:solidFill>
                          <a:srgbClr val="FF0000"/>
                        </a:solidFill>
                        <a:ln w="0" cap="flat" cmpd="sng">
                          <a:solidFill>
                            <a:srgbClr val="FF0000"/>
                          </a:solidFill>
                          <a:prstDash val="solid"/>
                          <a:miter/>
                          <a:headEnd type="none" w="med" len="med"/>
                          <a:tailEnd type="none" w="med" len="med"/>
                        </a:ln>
                      </wps:spPr>
                      <wps:txbx>
                        <w:txbxContent>
                          <w:p w14:paraId="56078EED">
                            <w:pPr>
                              <w:overflowPunct/>
                              <w:spacing w:line="240" w:lineRule="auto"/>
                              <w:ind w:firstLine="0" w:firstLineChars="0"/>
                              <w:jc w:val="center"/>
                              <w:rPr>
                                <w:rFonts w:ascii="Calibri" w:hAnsi="Calibri" w:eastAsia="宋体" w:cs="宋体"/>
                                <w:kern w:val="2"/>
                                <w:sz w:val="21"/>
                                <w:szCs w:val="24"/>
                              </w:rPr>
                            </w:pPr>
                          </w:p>
                        </w:txbxContent>
                      </wps:txbx>
                      <wps:bodyPr upright="1"/>
                    </wps:wsp>
                  </a:graphicData>
                </a:graphic>
              </wp:anchor>
            </w:drawing>
          </mc:Choice>
          <mc:Fallback>
            <w:pict>
              <v:shape id="任意多边形 2" o:spid="_x0000_s1026" o:spt="100" style="position:absolute;left:0pt;flip:x y;margin-left:144.6pt;margin-top:226.9pt;height:12.95pt;width:14pt;z-index:251717632;mso-width-relative:page;mso-height-relative:page;" fillcolor="#FF0000" filled="t" stroked="t" coordsize="76200,76200" o:gfxdata="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" path="m0,29105l29105,29105,38100,0,47094,29105,76199,29105,52652,47093,61647,76199,38100,58211,14552,76199,23547,47093xe">
                <v:path textboxrect="0,0,76200,76200" o:connectlocs="38100,0;0,29105;14552,76199;61647,76199;76199,29105" o:connectangles="247,164,82,82,0"/>
                <v:fill on="t" focussize="0,0"/>
                <v:stroke weight="0pt" color="#FF0000" joinstyle="miter"/>
                <v:imagedata o:title=""/>
                <o:lock v:ext="edit" aspectratio="f"/>
                <v:textbox>
                  <w:txbxContent>
                    <w:p w14:paraId="56078EED">
                      <w:pPr>
                        <w:overflowPunct/>
                        <w:spacing w:line="240" w:lineRule="auto"/>
                        <w:ind w:firstLine="0" w:firstLineChars="0"/>
                        <w:jc w:val="center"/>
                        <w:rPr>
                          <w:rFonts w:ascii="Calibri" w:hAnsi="Calibri" w:eastAsia="宋体" w:cs="宋体"/>
                          <w:kern w:val="2"/>
                          <w:sz w:val="21"/>
                          <w:szCs w:val="24"/>
                        </w:rPr>
                      </w:pPr>
                    </w:p>
                  </w:txbxContent>
                </v:textbox>
              </v:shape>
            </w:pict>
          </mc:Fallback>
        </mc:AlternateContent>
      </w:r>
      <w:r>
        <w:rPr>
          <w:color w:val="auto"/>
          <w:sz w:val="28"/>
        </w:rPr>
        <mc:AlternateContent>
          <mc:Choice Requires="wps">
            <w:drawing>
              <wp:anchor distT="0" distB="0" distL="114300" distR="114300" simplePos="0" relativeHeight="251718656" behindDoc="0" locked="0" layoutInCell="1" allowOverlap="1">
                <wp:simplePos x="0" y="0"/>
                <wp:positionH relativeFrom="column">
                  <wp:posOffset>1986915</wp:posOffset>
                </wp:positionH>
                <wp:positionV relativeFrom="paragraph">
                  <wp:posOffset>2227580</wp:posOffset>
                </wp:positionV>
                <wp:extent cx="762000" cy="317500"/>
                <wp:effectExtent l="38735" t="7620" r="22225" b="436880"/>
                <wp:wrapNone/>
                <wp:docPr id="129" name="圆角矩形标注 3"/>
                <wp:cNvGraphicFramePr/>
                <a:graphic xmlns:a="http://schemas.openxmlformats.org/drawingml/2006/main">
                  <a:graphicData uri="http://schemas.microsoft.com/office/word/2010/wordprocessingShape">
                    <wps:wsp>
                      <wps:cNvSpPr/>
                      <wps:spPr>
                        <a:xfrm>
                          <a:off x="0" y="0"/>
                          <a:ext cx="762000" cy="317500"/>
                        </a:xfrm>
                        <a:prstGeom prst="wedgeRoundRectCallout">
                          <a:avLst>
                            <a:gd name="adj1" fmla="val -52083"/>
                            <a:gd name="adj2" fmla="val 171000"/>
                            <a:gd name="adj3" fmla="val 16667"/>
                          </a:avLst>
                        </a:prstGeom>
                        <a:solidFill>
                          <a:srgbClr val="FF0000"/>
                        </a:solidFill>
                        <a:ln w="15875" cap="flat" cmpd="sng">
                          <a:solidFill>
                            <a:srgbClr val="FF0000"/>
                          </a:solidFill>
                          <a:prstDash val="solid"/>
                          <a:miter/>
                          <a:headEnd type="none" w="med" len="med"/>
                          <a:tailEnd type="none" w="med" len="med"/>
                        </a:ln>
                      </wps:spPr>
                      <wps:txbx>
                        <w:txbxContent>
                          <w:p w14:paraId="74F2B405">
                            <w:pPr>
                              <w:overflowPunct/>
                              <w:spacing w:line="240" w:lineRule="auto"/>
                              <w:ind w:firstLine="0" w:firstLineChars="0"/>
                              <w:jc w:val="center"/>
                              <w:rPr>
                                <w:rFonts w:hint="default" w:ascii="Calibri" w:hAnsi="Calibri" w:eastAsia="宋体" w:cs="宋体"/>
                                <w:kern w:val="2"/>
                                <w:sz w:val="21"/>
                                <w:szCs w:val="24"/>
                                <w:lang w:val="en-US" w:eastAsia="zh-CN"/>
                              </w:rPr>
                            </w:pPr>
                            <w:r>
                              <w:rPr>
                                <w:rFonts w:hint="eastAsia" w:ascii="Calibri" w:hAnsi="Calibri" w:eastAsia="宋体" w:cs="宋体"/>
                                <w:kern w:val="2"/>
                                <w:sz w:val="21"/>
                                <w:szCs w:val="24"/>
                                <w:lang w:val="en-US" w:eastAsia="zh-CN"/>
                              </w:rPr>
                              <w:t>本项目</w:t>
                            </w:r>
                          </w:p>
                        </w:txbxContent>
                      </wps:txbx>
                      <wps:bodyPr upright="1"/>
                    </wps:wsp>
                  </a:graphicData>
                </a:graphic>
              </wp:anchor>
            </w:drawing>
          </mc:Choice>
          <mc:Fallback>
            <w:pict>
              <v:shape id="圆角矩形标注 3" o:spid="_x0000_s1026" o:spt="62" type="#_x0000_t62" style="position:absolute;left:0pt;margin-left:156.45pt;margin-top:175.4pt;height:25pt;width:60pt;z-index:251718656;mso-width-relative:page;mso-height-relative:page;" fillcolor="#FF0000" filled="t" stroked="t" coordsize="21600,21600" o:gfxdata="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tFmxmNgAAAALAQAADwAA&#10;AAAAAAABACAAAAAiAAAAZHJzL2Rvd25yZXYueG1sUEsBAhQAFAAAAAgAh07iQOLqwZ9PAgAAvwQA&#10;AA4AAAAAAAAAAQAgAAAAJwEAAGRycy9lMm9Eb2MueG1sUEsFBgAAAAAGAAYAWQEAAOgFAAAAAA==&#10;" adj="-450,47736,14400">
                <v:fill on="t" focussize="0,0"/>
                <v:stroke weight="1.25pt" color="#FF0000" joinstyle="miter"/>
                <v:imagedata o:title=""/>
                <o:lock v:ext="edit" aspectratio="f"/>
                <v:textbox>
                  <w:txbxContent>
                    <w:p w14:paraId="74F2B405">
                      <w:pPr>
                        <w:overflowPunct/>
                        <w:spacing w:line="240" w:lineRule="auto"/>
                        <w:ind w:firstLine="0" w:firstLineChars="0"/>
                        <w:jc w:val="center"/>
                        <w:rPr>
                          <w:rFonts w:hint="default" w:ascii="Calibri" w:hAnsi="Calibri" w:eastAsia="宋体" w:cs="宋体"/>
                          <w:kern w:val="2"/>
                          <w:sz w:val="21"/>
                          <w:szCs w:val="24"/>
                          <w:lang w:val="en-US" w:eastAsia="zh-CN"/>
                        </w:rPr>
                      </w:pPr>
                      <w:r>
                        <w:rPr>
                          <w:rFonts w:hint="eastAsia" w:ascii="Calibri" w:hAnsi="Calibri" w:eastAsia="宋体" w:cs="宋体"/>
                          <w:kern w:val="2"/>
                          <w:sz w:val="21"/>
                          <w:szCs w:val="24"/>
                          <w:lang w:val="en-US" w:eastAsia="zh-CN"/>
                        </w:rPr>
                        <w:t>本项目</w:t>
                      </w:r>
                    </w:p>
                  </w:txbxContent>
                </v:textbox>
              </v:shape>
            </w:pict>
          </mc:Fallback>
        </mc:AlternateContent>
      </w:r>
      <w:r>
        <w:rPr>
          <w:color w:val="auto"/>
          <w:sz w:val="21"/>
        </w:rPr>
        <w:drawing>
          <wp:inline distT="0" distB="0" distL="114300" distR="114300">
            <wp:extent cx="8332470" cy="5892800"/>
            <wp:effectExtent l="9525" t="9525" r="9525" b="10795"/>
            <wp:docPr id="131" name="图片 131" descr="02附图_页面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descr="02附图_页面_07"/>
                    <pic:cNvPicPr>
                      <a:picLocks noChangeAspect="1"/>
                    </pic:cNvPicPr>
                  </pic:nvPicPr>
                  <pic:blipFill>
                    <a:blip r:embed="rId48"/>
                    <a:stretch>
                      <a:fillRect/>
                    </a:stretch>
                  </pic:blipFill>
                  <pic:spPr>
                    <a:xfrm>
                      <a:off x="0" y="0"/>
                      <a:ext cx="8332470" cy="5892800"/>
                    </a:xfrm>
                    <a:prstGeom prst="rect">
                      <a:avLst/>
                    </a:prstGeom>
                    <a:ln>
                      <a:solidFill>
                        <a:schemeClr val="tx1"/>
                      </a:solidFill>
                    </a:ln>
                  </pic:spPr>
                </pic:pic>
              </a:graphicData>
            </a:graphic>
          </wp:inline>
        </w:drawing>
      </w:r>
    </w:p>
    <w:p w14:paraId="192861AC">
      <w:pPr>
        <w:jc w:val="center"/>
        <w:outlineLvl w:val="0"/>
        <w:rPr>
          <w:rFonts w:hint="default" w:eastAsia="宋体"/>
          <w:color w:val="auto"/>
          <w:lang w:val="en-US" w:eastAsia="zh-CN"/>
        </w:rPr>
        <w:sectPr>
          <w:pgSz w:w="16838" w:h="11906" w:orient="landscape"/>
          <w:pgMar w:top="964" w:right="1440" w:bottom="964" w:left="1440" w:header="851" w:footer="992" w:gutter="0"/>
          <w:pgBorders>
            <w:top w:val="none" w:sz="0" w:space="0"/>
            <w:left w:val="none" w:sz="0" w:space="0"/>
            <w:bottom w:val="none" w:sz="0" w:space="0"/>
            <w:right w:val="none" w:sz="0" w:space="0"/>
          </w:pgBorders>
          <w:pgNumType w:fmt="decimal"/>
          <w:cols w:space="425" w:num="1"/>
          <w:docGrid w:type="lines" w:linePitch="312" w:charSpace="0"/>
        </w:sectPr>
      </w:pPr>
      <w:bookmarkStart w:id="51" w:name="_Toc1940"/>
      <w:r>
        <w:rPr>
          <w:rFonts w:hint="eastAsia" w:ascii="Times New Roman" w:hAnsi="Times New Roman" w:cs="Times New Roman"/>
          <w:b/>
          <w:bCs/>
          <w:color w:val="auto"/>
          <w:sz w:val="24"/>
          <w:szCs w:val="22"/>
          <w:lang w:val="en-US" w:eastAsia="zh-CN"/>
        </w:rPr>
        <w:t>附图</w:t>
      </w:r>
      <w:r>
        <w:rPr>
          <w:rFonts w:hint="eastAsia" w:cs="Times New Roman"/>
          <w:b/>
          <w:bCs/>
          <w:color w:val="auto"/>
          <w:sz w:val="24"/>
          <w:szCs w:val="22"/>
          <w:lang w:val="en-US" w:eastAsia="zh-CN"/>
        </w:rPr>
        <w:t xml:space="preserve">10 </w:t>
      </w:r>
      <w:r>
        <w:rPr>
          <w:rFonts w:hint="eastAsia" w:ascii="Times New Roman" w:hAnsi="Times New Roman" w:cs="Times New Roman"/>
          <w:b/>
          <w:bCs/>
          <w:color w:val="auto"/>
          <w:sz w:val="24"/>
          <w:szCs w:val="22"/>
          <w:lang w:val="en-US" w:eastAsia="zh-CN"/>
        </w:rPr>
        <w:t>乐平市</w:t>
      </w:r>
      <w:r>
        <w:rPr>
          <w:rFonts w:hint="eastAsia" w:cs="Times New Roman"/>
          <w:b/>
          <w:bCs/>
          <w:color w:val="auto"/>
          <w:sz w:val="24"/>
          <w:szCs w:val="22"/>
          <w:lang w:val="en-US" w:eastAsia="zh-CN"/>
        </w:rPr>
        <w:t>金山</w:t>
      </w:r>
      <w:r>
        <w:rPr>
          <w:rFonts w:hint="eastAsia" w:ascii="Times New Roman" w:hAnsi="Times New Roman" w:cs="Times New Roman"/>
          <w:b/>
          <w:bCs/>
          <w:color w:val="auto"/>
          <w:sz w:val="24"/>
          <w:szCs w:val="22"/>
          <w:lang w:val="en-US" w:eastAsia="zh-CN"/>
        </w:rPr>
        <w:t>工业园区污水管网图</w:t>
      </w:r>
      <w:bookmarkEnd w:id="51"/>
    </w:p>
    <w:p w14:paraId="665491F4">
      <w:pPr>
        <w:keepNext w:val="0"/>
        <w:keepLines w:val="0"/>
        <w:pageBreakBefore w:val="0"/>
        <w:widowControl w:val="0"/>
        <w:kinsoku/>
        <w:wordWrap/>
        <w:overflowPunct/>
        <w:topLinePunct w:val="0"/>
        <w:autoSpaceDE/>
        <w:autoSpaceDN/>
        <w:bidi w:val="0"/>
        <w:adjustRightInd/>
        <w:snapToGrid/>
        <w:jc w:val="center"/>
        <w:textAlignment w:val="auto"/>
        <w:outlineLvl w:val="9"/>
        <w:rPr>
          <w:color w:val="auto"/>
        </w:rPr>
      </w:pPr>
      <w:r>
        <w:rPr>
          <w:color w:val="auto"/>
        </w:rPr>
        <w:drawing>
          <wp:inline distT="0" distB="0" distL="114300" distR="114300">
            <wp:extent cx="8283575" cy="5857875"/>
            <wp:effectExtent l="9525" t="9525" r="12700" b="15240"/>
            <wp:docPr id="134" name="图片 134" descr="02附图_页面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descr="02附图_页面_08"/>
                    <pic:cNvPicPr>
                      <a:picLocks noChangeAspect="1"/>
                    </pic:cNvPicPr>
                  </pic:nvPicPr>
                  <pic:blipFill>
                    <a:blip r:embed="rId49"/>
                    <a:stretch>
                      <a:fillRect/>
                    </a:stretch>
                  </pic:blipFill>
                  <pic:spPr>
                    <a:xfrm>
                      <a:off x="0" y="0"/>
                      <a:ext cx="8283575" cy="5857875"/>
                    </a:xfrm>
                    <a:prstGeom prst="rect">
                      <a:avLst/>
                    </a:prstGeom>
                    <a:ln>
                      <a:solidFill>
                        <a:schemeClr val="tx1"/>
                      </a:solidFill>
                    </a:ln>
                  </pic:spPr>
                </pic:pic>
              </a:graphicData>
            </a:graphic>
          </wp:inline>
        </w:drawing>
      </w:r>
      <w:r>
        <w:rPr>
          <w:color w:val="auto"/>
          <w:sz w:val="28"/>
        </w:rPr>
        <mc:AlternateContent>
          <mc:Choice Requires="wps">
            <w:drawing>
              <wp:anchor distT="0" distB="0" distL="114300" distR="114300" simplePos="0" relativeHeight="251719680" behindDoc="0" locked="0" layoutInCell="1" allowOverlap="1">
                <wp:simplePos x="0" y="0"/>
                <wp:positionH relativeFrom="column">
                  <wp:posOffset>1853565</wp:posOffset>
                </wp:positionH>
                <wp:positionV relativeFrom="paragraph">
                  <wp:posOffset>2864485</wp:posOffset>
                </wp:positionV>
                <wp:extent cx="177800" cy="164465"/>
                <wp:effectExtent l="15240" t="12065" r="20320" b="21590"/>
                <wp:wrapNone/>
                <wp:docPr id="133" name="任意多边形 2"/>
                <wp:cNvGraphicFramePr/>
                <a:graphic xmlns:a="http://schemas.openxmlformats.org/drawingml/2006/main">
                  <a:graphicData uri="http://schemas.microsoft.com/office/word/2010/wordprocessingShape">
                    <wps:wsp>
                      <wps:cNvSpPr/>
                      <wps:spPr>
                        <a:xfrm flipH="1" flipV="1">
                          <a:off x="0" y="0"/>
                          <a:ext cx="177800" cy="164465"/>
                        </a:xfrm>
                        <a:custGeom>
                          <a:avLst/>
                          <a:gdLst>
                            <a:gd name="txL" fmla="*/ 0 w 76200"/>
                            <a:gd name="txT" fmla="*/ 0 h 76200"/>
                            <a:gd name="txR" fmla="*/ 76200 w 76200"/>
                            <a:gd name="txB" fmla="*/ 76200 h 76200"/>
                          </a:gdLst>
                          <a:ahLst/>
                          <a:cxnLst>
                            <a:cxn ang="16187392">
                              <a:pos x="38100" y="0"/>
                            </a:cxn>
                            <a:cxn ang="10747904">
                              <a:pos x="0" y="29105"/>
                            </a:cxn>
                            <a:cxn ang="5373952">
                              <a:pos x="14552" y="76199"/>
                            </a:cxn>
                            <a:cxn ang="5373952">
                              <a:pos x="61647" y="76199"/>
                            </a:cxn>
                            <a:cxn ang="0">
                              <a:pos x="76199" y="29105"/>
                            </a:cxn>
                          </a:cxnLst>
                          <a:rect l="txL" t="txT" r="txR" b="txB"/>
                          <a:pathLst>
                            <a:path w="76200" h="76200">
                              <a:moveTo>
                                <a:pt x="0" y="29105"/>
                              </a:moveTo>
                              <a:lnTo>
                                <a:pt x="29105" y="29105"/>
                              </a:lnTo>
                              <a:lnTo>
                                <a:pt x="38100" y="0"/>
                              </a:lnTo>
                              <a:lnTo>
                                <a:pt x="47094" y="29105"/>
                              </a:lnTo>
                              <a:lnTo>
                                <a:pt x="76199" y="29105"/>
                              </a:lnTo>
                              <a:lnTo>
                                <a:pt x="52652" y="47093"/>
                              </a:lnTo>
                              <a:lnTo>
                                <a:pt x="61647" y="76199"/>
                              </a:lnTo>
                              <a:lnTo>
                                <a:pt x="38100" y="58211"/>
                              </a:lnTo>
                              <a:lnTo>
                                <a:pt x="14552" y="76199"/>
                              </a:lnTo>
                              <a:lnTo>
                                <a:pt x="23547" y="47093"/>
                              </a:lnTo>
                              <a:close/>
                            </a:path>
                          </a:pathLst>
                        </a:custGeom>
                        <a:solidFill>
                          <a:srgbClr val="FF0000"/>
                        </a:solidFill>
                        <a:ln w="0" cap="flat" cmpd="sng">
                          <a:solidFill>
                            <a:srgbClr val="FF0000"/>
                          </a:solidFill>
                          <a:prstDash val="solid"/>
                          <a:miter/>
                          <a:headEnd type="none" w="med" len="med"/>
                          <a:tailEnd type="none" w="med" len="med"/>
                        </a:ln>
                      </wps:spPr>
                      <wps:txbx>
                        <w:txbxContent>
                          <w:p w14:paraId="34DF34AD">
                            <w:pPr>
                              <w:overflowPunct/>
                              <w:spacing w:line="240" w:lineRule="auto"/>
                              <w:ind w:firstLine="0" w:firstLineChars="0"/>
                              <w:jc w:val="center"/>
                              <w:rPr>
                                <w:rFonts w:ascii="Calibri" w:hAnsi="Calibri" w:eastAsia="宋体" w:cs="宋体"/>
                                <w:kern w:val="2"/>
                                <w:sz w:val="21"/>
                                <w:szCs w:val="24"/>
                              </w:rPr>
                            </w:pPr>
                          </w:p>
                        </w:txbxContent>
                      </wps:txbx>
                      <wps:bodyPr upright="1"/>
                    </wps:wsp>
                  </a:graphicData>
                </a:graphic>
              </wp:anchor>
            </w:drawing>
          </mc:Choice>
          <mc:Fallback>
            <w:pict>
              <v:shape id="任意多边形 2" o:spid="_x0000_s1026" o:spt="100" style="position:absolute;left:0pt;flip:x y;margin-left:145.95pt;margin-top:225.55pt;height:12.95pt;width:14pt;z-index:251719680;mso-width-relative:page;mso-height-relative:page;" fillcolor="#FF0000" filled="t" stroked="t" coordsize="76200,76200" o:gfxdata="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" path="m0,29105l29105,29105,38100,0,47094,29105,76199,29105,52652,47093,61647,76199,38100,58211,14552,76199,23547,47093xe">
                <v:path textboxrect="0,0,76200,76200" o:connectlocs="38100,0;0,29105;14552,76199;61647,76199;76199,29105" o:connectangles="247,164,82,82,0"/>
                <v:fill on="t" focussize="0,0"/>
                <v:stroke weight="0pt" color="#FF0000" joinstyle="miter"/>
                <v:imagedata o:title=""/>
                <o:lock v:ext="edit" aspectratio="f"/>
                <v:textbox>
                  <w:txbxContent>
                    <w:p w14:paraId="34DF34AD">
                      <w:pPr>
                        <w:overflowPunct/>
                        <w:spacing w:line="240" w:lineRule="auto"/>
                        <w:ind w:firstLine="0" w:firstLineChars="0"/>
                        <w:jc w:val="center"/>
                        <w:rPr>
                          <w:rFonts w:ascii="Calibri" w:hAnsi="Calibri" w:eastAsia="宋体" w:cs="宋体"/>
                          <w:kern w:val="2"/>
                          <w:sz w:val="21"/>
                          <w:szCs w:val="24"/>
                        </w:rPr>
                      </w:pPr>
                    </w:p>
                  </w:txbxContent>
                </v:textbox>
              </v:shape>
            </w:pict>
          </mc:Fallback>
        </mc:AlternateContent>
      </w:r>
      <w:r>
        <w:rPr>
          <w:color w:val="auto"/>
          <w:sz w:val="28"/>
        </w:rPr>
        <mc:AlternateContent>
          <mc:Choice Requires="wps">
            <w:drawing>
              <wp:anchor distT="0" distB="0" distL="114300" distR="114300" simplePos="0" relativeHeight="251720704" behindDoc="0" locked="0" layoutInCell="1" allowOverlap="1">
                <wp:simplePos x="0" y="0"/>
                <wp:positionH relativeFrom="column">
                  <wp:posOffset>2005330</wp:posOffset>
                </wp:positionH>
                <wp:positionV relativeFrom="paragraph">
                  <wp:posOffset>2174240</wp:posOffset>
                </wp:positionV>
                <wp:extent cx="762000" cy="317500"/>
                <wp:effectExtent l="38735" t="7620" r="22225" b="436880"/>
                <wp:wrapNone/>
                <wp:docPr id="132" name="圆角矩形标注 3"/>
                <wp:cNvGraphicFramePr/>
                <a:graphic xmlns:a="http://schemas.openxmlformats.org/drawingml/2006/main">
                  <a:graphicData uri="http://schemas.microsoft.com/office/word/2010/wordprocessingShape">
                    <wps:wsp>
                      <wps:cNvSpPr/>
                      <wps:spPr>
                        <a:xfrm>
                          <a:off x="0" y="0"/>
                          <a:ext cx="762000" cy="317500"/>
                        </a:xfrm>
                        <a:prstGeom prst="wedgeRoundRectCallout">
                          <a:avLst>
                            <a:gd name="adj1" fmla="val -52083"/>
                            <a:gd name="adj2" fmla="val 171000"/>
                            <a:gd name="adj3" fmla="val 16667"/>
                          </a:avLst>
                        </a:prstGeom>
                        <a:solidFill>
                          <a:srgbClr val="FF0000"/>
                        </a:solidFill>
                        <a:ln w="15875" cap="flat" cmpd="sng">
                          <a:solidFill>
                            <a:srgbClr val="FF0000"/>
                          </a:solidFill>
                          <a:prstDash val="solid"/>
                          <a:miter/>
                          <a:headEnd type="none" w="med" len="med"/>
                          <a:tailEnd type="none" w="med" len="med"/>
                        </a:ln>
                      </wps:spPr>
                      <wps:txbx>
                        <w:txbxContent>
                          <w:p w14:paraId="7654DE2A">
                            <w:pPr>
                              <w:overflowPunct/>
                              <w:spacing w:line="240" w:lineRule="auto"/>
                              <w:ind w:firstLine="0" w:firstLineChars="0"/>
                              <w:jc w:val="center"/>
                              <w:rPr>
                                <w:rFonts w:hint="default" w:ascii="Calibri" w:hAnsi="Calibri" w:eastAsia="宋体" w:cs="宋体"/>
                                <w:kern w:val="2"/>
                                <w:sz w:val="21"/>
                                <w:szCs w:val="24"/>
                                <w:lang w:val="en-US" w:eastAsia="zh-CN"/>
                              </w:rPr>
                            </w:pPr>
                            <w:r>
                              <w:rPr>
                                <w:rFonts w:hint="eastAsia" w:ascii="Calibri" w:hAnsi="Calibri" w:eastAsia="宋体" w:cs="宋体"/>
                                <w:kern w:val="2"/>
                                <w:sz w:val="21"/>
                                <w:szCs w:val="24"/>
                                <w:lang w:val="en-US" w:eastAsia="zh-CN"/>
                              </w:rPr>
                              <w:t>本项目</w:t>
                            </w:r>
                          </w:p>
                        </w:txbxContent>
                      </wps:txbx>
                      <wps:bodyPr upright="1"/>
                    </wps:wsp>
                  </a:graphicData>
                </a:graphic>
              </wp:anchor>
            </w:drawing>
          </mc:Choice>
          <mc:Fallback>
            <w:pict>
              <v:shape id="圆角矩形标注 3" o:spid="_x0000_s1026" o:spt="62" type="#_x0000_t62" style="position:absolute;left:0pt;margin-left:157.9pt;margin-top:171.2pt;height:25pt;width:60pt;z-index:251720704;mso-width-relative:page;mso-height-relative:page;" fillcolor="#FF0000" filled="t" stroked="t" coordsize="21600,21600" o:gfxdata="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FPfXxjZAAAACwEAAA8A&#10;AAAAAAAAAQAgAAAAIgAAAGRycy9kb3ducmV2LnhtbFBLAQIUABQAAAAIAIdO4kD8PC30TwIAAL8E&#10;AAAOAAAAAAAAAAEAIAAAACgBAABkcnMvZTJvRG9jLnhtbFBLBQYAAAAABgAGAFkBAADpBQAAAAA=&#10;" adj="-450,47736,14400">
                <v:fill on="t" focussize="0,0"/>
                <v:stroke weight="1.25pt" color="#FF0000" joinstyle="miter"/>
                <v:imagedata o:title=""/>
                <o:lock v:ext="edit" aspectratio="f"/>
                <v:textbox>
                  <w:txbxContent>
                    <w:p w14:paraId="7654DE2A">
                      <w:pPr>
                        <w:overflowPunct/>
                        <w:spacing w:line="240" w:lineRule="auto"/>
                        <w:ind w:firstLine="0" w:firstLineChars="0"/>
                        <w:jc w:val="center"/>
                        <w:rPr>
                          <w:rFonts w:hint="default" w:ascii="Calibri" w:hAnsi="Calibri" w:eastAsia="宋体" w:cs="宋体"/>
                          <w:kern w:val="2"/>
                          <w:sz w:val="21"/>
                          <w:szCs w:val="24"/>
                          <w:lang w:val="en-US" w:eastAsia="zh-CN"/>
                        </w:rPr>
                      </w:pPr>
                      <w:r>
                        <w:rPr>
                          <w:rFonts w:hint="eastAsia" w:ascii="Calibri" w:hAnsi="Calibri" w:eastAsia="宋体" w:cs="宋体"/>
                          <w:kern w:val="2"/>
                          <w:sz w:val="21"/>
                          <w:szCs w:val="24"/>
                          <w:lang w:val="en-US" w:eastAsia="zh-CN"/>
                        </w:rPr>
                        <w:t>本项目</w:t>
                      </w:r>
                    </w:p>
                  </w:txbxContent>
                </v:textbox>
              </v:shape>
            </w:pict>
          </mc:Fallback>
        </mc:AlternateContent>
      </w:r>
    </w:p>
    <w:p w14:paraId="79B552B0">
      <w:pPr>
        <w:jc w:val="center"/>
        <w:outlineLvl w:val="0"/>
        <w:rPr>
          <w:rFonts w:hint="default" w:eastAsia="宋体"/>
          <w:color w:val="auto"/>
          <w:lang w:val="en-US" w:eastAsia="zh-CN"/>
        </w:rPr>
        <w:sectPr>
          <w:pgSz w:w="16838" w:h="11906" w:orient="landscape"/>
          <w:pgMar w:top="964" w:right="1440" w:bottom="964" w:left="1440" w:header="851" w:footer="992" w:gutter="0"/>
          <w:pgBorders>
            <w:top w:val="none" w:sz="0" w:space="0"/>
            <w:left w:val="none" w:sz="0" w:space="0"/>
            <w:bottom w:val="none" w:sz="0" w:space="0"/>
            <w:right w:val="none" w:sz="0" w:space="0"/>
          </w:pgBorders>
          <w:pgNumType w:fmt="decimal"/>
          <w:cols w:space="425" w:num="1"/>
          <w:docGrid w:type="lines" w:linePitch="312" w:charSpace="0"/>
        </w:sectPr>
      </w:pPr>
      <w:bookmarkStart w:id="52" w:name="_Toc31917"/>
      <w:r>
        <w:rPr>
          <w:rFonts w:hint="eastAsia" w:ascii="Times New Roman" w:hAnsi="Times New Roman" w:cs="Times New Roman"/>
          <w:b/>
          <w:bCs/>
          <w:color w:val="auto"/>
          <w:sz w:val="24"/>
          <w:szCs w:val="22"/>
          <w:lang w:val="en-US" w:eastAsia="zh-CN"/>
        </w:rPr>
        <w:t>附图</w:t>
      </w:r>
      <w:r>
        <w:rPr>
          <w:rFonts w:hint="eastAsia" w:cs="Times New Roman"/>
          <w:b/>
          <w:bCs/>
          <w:color w:val="auto"/>
          <w:sz w:val="24"/>
          <w:szCs w:val="22"/>
          <w:lang w:val="en-US" w:eastAsia="zh-CN"/>
        </w:rPr>
        <w:t xml:space="preserve">11 </w:t>
      </w:r>
      <w:r>
        <w:rPr>
          <w:rFonts w:hint="eastAsia" w:ascii="Times New Roman" w:hAnsi="Times New Roman" w:cs="Times New Roman"/>
          <w:b/>
          <w:bCs/>
          <w:color w:val="auto"/>
          <w:sz w:val="24"/>
          <w:szCs w:val="22"/>
          <w:lang w:val="en-US" w:eastAsia="zh-CN"/>
        </w:rPr>
        <w:t>乐平市</w:t>
      </w:r>
      <w:r>
        <w:rPr>
          <w:rFonts w:hint="eastAsia" w:cs="Times New Roman"/>
          <w:b/>
          <w:bCs/>
          <w:color w:val="auto"/>
          <w:sz w:val="24"/>
          <w:szCs w:val="22"/>
          <w:lang w:val="en-US" w:eastAsia="zh-CN"/>
        </w:rPr>
        <w:t>金山工业园</w:t>
      </w:r>
      <w:r>
        <w:rPr>
          <w:rFonts w:hint="eastAsia" w:ascii="Times New Roman" w:hAnsi="Times New Roman" w:cs="Times New Roman"/>
          <w:b/>
          <w:bCs/>
          <w:color w:val="auto"/>
          <w:sz w:val="24"/>
          <w:szCs w:val="22"/>
          <w:lang w:val="en-US" w:eastAsia="zh-CN"/>
        </w:rPr>
        <w:t>雨水管网图</w:t>
      </w:r>
      <w:bookmarkEnd w:id="52"/>
    </w:p>
    <w:p w14:paraId="7715079E">
      <w:pPr>
        <w:pStyle w:val="37"/>
        <w:jc w:val="center"/>
        <w:rPr>
          <w:rFonts w:ascii="宋体" w:hAnsi="Times New Roman" w:eastAsia="宋体" w:cs="宋体"/>
          <w:color w:val="auto"/>
        </w:rPr>
      </w:pPr>
      <w:r>
        <w:rPr>
          <w:color w:val="auto"/>
        </w:rPr>
        <w:drawing>
          <wp:anchor distT="0" distB="0" distL="114300" distR="114300" simplePos="0" relativeHeight="251727872" behindDoc="0" locked="0" layoutInCell="1" allowOverlap="1">
            <wp:simplePos x="0" y="0"/>
            <wp:positionH relativeFrom="column">
              <wp:posOffset>7507605</wp:posOffset>
            </wp:positionH>
            <wp:positionV relativeFrom="paragraph">
              <wp:posOffset>83185</wp:posOffset>
            </wp:positionV>
            <wp:extent cx="906780" cy="781685"/>
            <wp:effectExtent l="0" t="0" r="7620" b="10795"/>
            <wp:wrapNone/>
            <wp:docPr id="14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2"/>
                    <pic:cNvPicPr>
                      <a:picLocks noChangeAspect="1"/>
                    </pic:cNvPicPr>
                  </pic:nvPicPr>
                  <pic:blipFill>
                    <a:blip r:embed="rId38"/>
                    <a:stretch>
                      <a:fillRect/>
                    </a:stretch>
                  </pic:blipFill>
                  <pic:spPr>
                    <a:xfrm>
                      <a:off x="0" y="0"/>
                      <a:ext cx="906780" cy="781685"/>
                    </a:xfrm>
                    <a:prstGeom prst="rect">
                      <a:avLst/>
                    </a:prstGeom>
                    <a:noFill/>
                    <a:ln>
                      <a:noFill/>
                    </a:ln>
                  </pic:spPr>
                </pic:pic>
              </a:graphicData>
            </a:graphic>
          </wp:anchor>
        </w:drawing>
      </w:r>
      <w:r>
        <w:rPr>
          <w:color w:val="auto"/>
          <w:sz w:val="28"/>
        </w:rPr>
        <mc:AlternateContent>
          <mc:Choice Requires="wps">
            <w:drawing>
              <wp:anchor distT="0" distB="0" distL="114300" distR="114300" simplePos="0" relativeHeight="251712512" behindDoc="0" locked="0" layoutInCell="1" allowOverlap="1">
                <wp:simplePos x="0" y="0"/>
                <wp:positionH relativeFrom="column">
                  <wp:posOffset>3261995</wp:posOffset>
                </wp:positionH>
                <wp:positionV relativeFrom="paragraph">
                  <wp:posOffset>1879600</wp:posOffset>
                </wp:positionV>
                <wp:extent cx="762000" cy="317500"/>
                <wp:effectExtent l="7620" t="7620" r="22860" b="375920"/>
                <wp:wrapNone/>
                <wp:docPr id="141" name="圆角矩形标注 3"/>
                <wp:cNvGraphicFramePr/>
                <a:graphic xmlns:a="http://schemas.openxmlformats.org/drawingml/2006/main">
                  <a:graphicData uri="http://schemas.microsoft.com/office/word/2010/wordprocessingShape">
                    <wps:wsp>
                      <wps:cNvSpPr/>
                      <wps:spPr>
                        <a:xfrm>
                          <a:off x="4176395" y="2491740"/>
                          <a:ext cx="762000" cy="317500"/>
                        </a:xfrm>
                        <a:prstGeom prst="wedgeRoundRectCallout">
                          <a:avLst>
                            <a:gd name="adj1" fmla="val 6250"/>
                            <a:gd name="adj2" fmla="val 158199"/>
                            <a:gd name="adj3" fmla="val 16667"/>
                          </a:avLst>
                        </a:prstGeom>
                        <a:solidFill>
                          <a:srgbClr val="FF0000"/>
                        </a:solidFill>
                        <a:ln w="15875" cap="flat" cmpd="sng">
                          <a:solidFill>
                            <a:schemeClr val="tx1"/>
                          </a:solidFill>
                          <a:prstDash val="solid"/>
                          <a:miter/>
                          <a:headEnd type="none" w="med" len="med"/>
                          <a:tailEnd type="none" w="med" len="med"/>
                        </a:ln>
                      </wps:spPr>
                      <wps:txbx>
                        <w:txbxContent>
                          <w:p w14:paraId="60E769CC">
                            <w:pPr>
                              <w:overflowPunct/>
                              <w:spacing w:line="240" w:lineRule="auto"/>
                              <w:ind w:firstLine="0" w:firstLineChars="0"/>
                              <w:jc w:val="center"/>
                              <w:rPr>
                                <w:rFonts w:hint="default" w:ascii="Calibri" w:hAnsi="Calibri" w:eastAsia="宋体" w:cs="宋体"/>
                                <w:kern w:val="2"/>
                                <w:sz w:val="21"/>
                                <w:szCs w:val="24"/>
                                <w:lang w:val="en-US" w:eastAsia="zh-CN"/>
                              </w:rPr>
                            </w:pPr>
                            <w:r>
                              <w:rPr>
                                <w:rFonts w:hint="eastAsia" w:ascii="Calibri" w:hAnsi="Calibri" w:eastAsia="宋体" w:cs="宋体"/>
                                <w:kern w:val="2"/>
                                <w:sz w:val="21"/>
                                <w:szCs w:val="24"/>
                                <w:lang w:val="en-US" w:eastAsia="zh-CN"/>
                              </w:rPr>
                              <w:t>本项目</w:t>
                            </w:r>
                          </w:p>
                        </w:txbxContent>
                      </wps:txbx>
                      <wps:bodyPr upright="1"/>
                    </wps:wsp>
                  </a:graphicData>
                </a:graphic>
              </wp:anchor>
            </w:drawing>
          </mc:Choice>
          <mc:Fallback>
            <w:pict>
              <v:shape id="圆角矩形标注 3" o:spid="_x0000_s1026" o:spt="62" type="#_x0000_t62" style="position:absolute;left:0pt;margin-left:256.85pt;margin-top:148pt;height:25pt;width:60pt;z-index:251712512;mso-width-relative:page;mso-height-relative:page;" fillcolor="#FF0000" filled="t" stroked="t" coordsize="21600,21600" o:gfxdata="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OzCFXfZAAAACwEAAA8AAAAAAAAAAQAgAAAAIgAAAGRycy9kb3ducmV2LnhtbFBLAQIUABQAAAAI&#10;AIdO4kDXX4enXgIAAMkEAAAOAAAAAAAAAAEAIAAAACgBAABkcnMvZTJvRG9jLnhtbFBLBQYAAAAA&#10;BgAGAFkBAAD4BQAAAAA=&#10;" adj="12150,44971,14400">
                <v:fill on="t" focussize="0,0"/>
                <v:stroke weight="1.25pt" color="#000000 [3213]" joinstyle="miter"/>
                <v:imagedata o:title=""/>
                <o:lock v:ext="edit" aspectratio="f"/>
                <v:textbox>
                  <w:txbxContent>
                    <w:p w14:paraId="60E769CC">
                      <w:pPr>
                        <w:overflowPunct/>
                        <w:spacing w:line="240" w:lineRule="auto"/>
                        <w:ind w:firstLine="0" w:firstLineChars="0"/>
                        <w:jc w:val="center"/>
                        <w:rPr>
                          <w:rFonts w:hint="default" w:ascii="Calibri" w:hAnsi="Calibri" w:eastAsia="宋体" w:cs="宋体"/>
                          <w:kern w:val="2"/>
                          <w:sz w:val="21"/>
                          <w:szCs w:val="24"/>
                          <w:lang w:val="en-US" w:eastAsia="zh-CN"/>
                        </w:rPr>
                      </w:pPr>
                      <w:r>
                        <w:rPr>
                          <w:rFonts w:hint="eastAsia" w:ascii="Calibri" w:hAnsi="Calibri" w:eastAsia="宋体" w:cs="宋体"/>
                          <w:kern w:val="2"/>
                          <w:sz w:val="21"/>
                          <w:szCs w:val="24"/>
                          <w:lang w:val="en-US" w:eastAsia="zh-CN"/>
                        </w:rPr>
                        <w:t>本项目</w:t>
                      </w:r>
                    </w:p>
                  </w:txbxContent>
                </v:textbox>
              </v:shape>
            </w:pict>
          </mc:Fallback>
        </mc:AlternateContent>
      </w:r>
      <w:r>
        <w:rPr>
          <w:color w:val="auto"/>
          <w:sz w:val="28"/>
        </w:rPr>
        <mc:AlternateContent>
          <mc:Choice Requires="wps">
            <w:drawing>
              <wp:anchor distT="0" distB="0" distL="114300" distR="114300" simplePos="0" relativeHeight="251711488" behindDoc="0" locked="0" layoutInCell="1" allowOverlap="1">
                <wp:simplePos x="0" y="0"/>
                <wp:positionH relativeFrom="column">
                  <wp:posOffset>3609340</wp:posOffset>
                </wp:positionH>
                <wp:positionV relativeFrom="paragraph">
                  <wp:posOffset>2554605</wp:posOffset>
                </wp:positionV>
                <wp:extent cx="123825" cy="114300"/>
                <wp:effectExtent l="15240" t="12065" r="28575" b="26035"/>
                <wp:wrapNone/>
                <wp:docPr id="143" name="任意多边形 2"/>
                <wp:cNvGraphicFramePr/>
                <a:graphic xmlns:a="http://schemas.openxmlformats.org/drawingml/2006/main">
                  <a:graphicData uri="http://schemas.microsoft.com/office/word/2010/wordprocessingShape">
                    <wps:wsp>
                      <wps:cNvSpPr/>
                      <wps:spPr>
                        <a:xfrm flipH="1" flipV="1">
                          <a:off x="4523740" y="3166745"/>
                          <a:ext cx="123825" cy="114300"/>
                        </a:xfrm>
                        <a:custGeom>
                          <a:avLst/>
                          <a:gdLst>
                            <a:gd name="txL" fmla="*/ 0 w 76200"/>
                            <a:gd name="txT" fmla="*/ 0 h 76200"/>
                            <a:gd name="txR" fmla="*/ 76200 w 76200"/>
                            <a:gd name="txB" fmla="*/ 76200 h 76200"/>
                          </a:gdLst>
                          <a:ahLst/>
                          <a:cxnLst>
                            <a:cxn ang="16187392">
                              <a:pos x="38100" y="0"/>
                            </a:cxn>
                            <a:cxn ang="10747904">
                              <a:pos x="0" y="29105"/>
                            </a:cxn>
                            <a:cxn ang="5373952">
                              <a:pos x="14552" y="76199"/>
                            </a:cxn>
                            <a:cxn ang="5373952">
                              <a:pos x="61647" y="76199"/>
                            </a:cxn>
                            <a:cxn ang="0">
                              <a:pos x="76199" y="29105"/>
                            </a:cxn>
                          </a:cxnLst>
                          <a:rect l="txL" t="txT" r="txR" b="txB"/>
                          <a:pathLst>
                            <a:path w="76200" h="76200">
                              <a:moveTo>
                                <a:pt x="0" y="29105"/>
                              </a:moveTo>
                              <a:lnTo>
                                <a:pt x="29105" y="29105"/>
                              </a:lnTo>
                              <a:lnTo>
                                <a:pt x="38100" y="0"/>
                              </a:lnTo>
                              <a:lnTo>
                                <a:pt x="47094" y="29105"/>
                              </a:lnTo>
                              <a:lnTo>
                                <a:pt x="76199" y="29105"/>
                              </a:lnTo>
                              <a:lnTo>
                                <a:pt x="52652" y="47093"/>
                              </a:lnTo>
                              <a:lnTo>
                                <a:pt x="61647" y="76199"/>
                              </a:lnTo>
                              <a:lnTo>
                                <a:pt x="38100" y="58211"/>
                              </a:lnTo>
                              <a:lnTo>
                                <a:pt x="14552" y="76199"/>
                              </a:lnTo>
                              <a:lnTo>
                                <a:pt x="23547" y="47093"/>
                              </a:lnTo>
                              <a:close/>
                            </a:path>
                          </a:pathLst>
                        </a:custGeom>
                        <a:solidFill>
                          <a:srgbClr val="FF0000"/>
                        </a:solidFill>
                        <a:ln w="0" cap="flat" cmpd="sng">
                          <a:solidFill>
                            <a:schemeClr val="tx1"/>
                          </a:solidFill>
                          <a:prstDash val="solid"/>
                          <a:miter/>
                          <a:headEnd type="none" w="med" len="med"/>
                          <a:tailEnd type="none" w="med" len="med"/>
                        </a:ln>
                      </wps:spPr>
                      <wps:txbx>
                        <w:txbxContent>
                          <w:p w14:paraId="632CE55C">
                            <w:pPr>
                              <w:overflowPunct/>
                              <w:spacing w:line="240" w:lineRule="auto"/>
                              <w:ind w:firstLine="0" w:firstLineChars="0"/>
                              <w:jc w:val="center"/>
                              <w:rPr>
                                <w:rFonts w:ascii="Calibri" w:hAnsi="Calibri" w:eastAsia="宋体" w:cs="宋体"/>
                                <w:kern w:val="2"/>
                                <w:sz w:val="21"/>
                                <w:szCs w:val="24"/>
                              </w:rPr>
                            </w:pPr>
                          </w:p>
                        </w:txbxContent>
                      </wps:txbx>
                      <wps:bodyPr upright="1"/>
                    </wps:wsp>
                  </a:graphicData>
                </a:graphic>
              </wp:anchor>
            </w:drawing>
          </mc:Choice>
          <mc:Fallback>
            <w:pict>
              <v:shape id="任意多边形 2" o:spid="_x0000_s1026" o:spt="100" style="position:absolute;left:0pt;flip:x y;margin-left:284.2pt;margin-top:201.15pt;height:9pt;width:9.75pt;z-index:251711488;mso-width-relative:page;mso-height-relative:page;" fillcolor="#FF0000" filled="t" stroked="t" coordsize="76200,76200" o:gfxdata="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" path="m0,29105l29105,29105,38100,0,47094,29105,76199,29105,52652,47093,61647,76199,38100,58211,14552,76199,23547,47093xe">
                <v:path textboxrect="0,0,76200,76200" o:connectlocs="38100,0;0,29105;14552,76199;61647,76199;76199,29105" o:connectangles="247,164,82,82,0"/>
                <v:fill on="t" focussize="0,0"/>
                <v:stroke weight="0pt" color="#000000 [3213]" joinstyle="miter"/>
                <v:imagedata o:title=""/>
                <o:lock v:ext="edit" aspectratio="f"/>
                <v:textbox>
                  <w:txbxContent>
                    <w:p w14:paraId="632CE55C">
                      <w:pPr>
                        <w:overflowPunct/>
                        <w:spacing w:line="240" w:lineRule="auto"/>
                        <w:ind w:firstLine="0" w:firstLineChars="0"/>
                        <w:jc w:val="center"/>
                        <w:rPr>
                          <w:rFonts w:ascii="Calibri" w:hAnsi="Calibri" w:eastAsia="宋体" w:cs="宋体"/>
                          <w:kern w:val="2"/>
                          <w:sz w:val="21"/>
                          <w:szCs w:val="24"/>
                        </w:rPr>
                      </w:pPr>
                    </w:p>
                  </w:txbxContent>
                </v:textbox>
              </v:shape>
            </w:pict>
          </mc:Fallback>
        </mc:AlternateContent>
      </w:r>
      <w:r>
        <w:rPr>
          <w:color w:val="auto"/>
        </w:rPr>
        <w:drawing>
          <wp:inline distT="0" distB="0" distL="114300" distR="114300">
            <wp:extent cx="8296910" cy="5664200"/>
            <wp:effectExtent l="19050" t="19050" r="20320" b="317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50">
                      <a:extLst>
                        <a:ext uri="{28A0092B-C50C-407E-A947-70E740481C1C}">
                          <a14:useLocalDpi xmlns:a14="http://schemas.microsoft.com/office/drawing/2010/main" val="0"/>
                        </a:ext>
                      </a:extLst>
                    </a:blip>
                    <a:srcRect l="4295" t="8723" r="4132" b="3468"/>
                    <a:stretch>
                      <a:fillRect/>
                    </a:stretch>
                  </pic:blipFill>
                  <pic:spPr>
                    <a:xfrm>
                      <a:off x="0" y="0"/>
                      <a:ext cx="8296910" cy="5664200"/>
                    </a:xfrm>
                    <a:prstGeom prst="rect">
                      <a:avLst/>
                    </a:prstGeom>
                    <a:noFill/>
                    <a:ln w="19050">
                      <a:solidFill>
                        <a:srgbClr val="000000"/>
                      </a:solidFill>
                      <a:miter lim="800000"/>
                      <a:headEnd/>
                      <a:tailEnd/>
                    </a:ln>
                  </pic:spPr>
                </pic:pic>
              </a:graphicData>
            </a:graphic>
          </wp:inline>
        </w:drawing>
      </w:r>
    </w:p>
    <w:p w14:paraId="6DEE6EDF">
      <w:pPr>
        <w:jc w:val="center"/>
        <w:outlineLvl w:val="0"/>
        <w:rPr>
          <w:rFonts w:hint="eastAsia" w:ascii="Times New Roman" w:hAnsi="Times New Roman" w:cs="Times New Roman"/>
          <w:b/>
          <w:bCs/>
          <w:color w:val="auto"/>
          <w:sz w:val="24"/>
          <w:szCs w:val="22"/>
          <w:lang w:val="en-US" w:eastAsia="zh-CN"/>
        </w:rPr>
      </w:pPr>
      <w:bookmarkStart w:id="53" w:name="_Toc29123"/>
      <w:r>
        <w:rPr>
          <w:rFonts w:hint="eastAsia" w:ascii="Times New Roman" w:hAnsi="Times New Roman" w:cs="Times New Roman"/>
          <w:b/>
          <w:bCs/>
          <w:color w:val="auto"/>
          <w:sz w:val="24"/>
          <w:szCs w:val="22"/>
          <w:lang w:val="en-US" w:eastAsia="zh-CN"/>
        </w:rPr>
        <w:t>附图</w:t>
      </w:r>
      <w:r>
        <w:rPr>
          <w:rFonts w:hint="eastAsia" w:cs="Times New Roman"/>
          <w:b/>
          <w:bCs/>
          <w:color w:val="auto"/>
          <w:sz w:val="24"/>
          <w:szCs w:val="22"/>
          <w:lang w:val="en-US" w:eastAsia="zh-CN"/>
        </w:rPr>
        <w:t xml:space="preserve">12 </w:t>
      </w:r>
      <w:r>
        <w:rPr>
          <w:rFonts w:hint="eastAsia" w:ascii="Times New Roman" w:hAnsi="Times New Roman" w:cs="Times New Roman"/>
          <w:b/>
          <w:bCs/>
          <w:color w:val="auto"/>
          <w:sz w:val="24"/>
          <w:szCs w:val="22"/>
          <w:lang w:val="en-US" w:eastAsia="zh-CN"/>
        </w:rPr>
        <w:t>乐平市生</w:t>
      </w:r>
      <w:r>
        <w:rPr>
          <w:rFonts w:hint="eastAsia"/>
          <w:b/>
          <w:bCs/>
          <w:color w:val="auto"/>
          <w:sz w:val="24"/>
          <w:szCs w:val="24"/>
          <w:lang w:val="en-US" w:eastAsia="zh-CN"/>
        </w:rPr>
        <w:t>态保护红线划定范围图</w:t>
      </w:r>
      <w:bookmarkEnd w:id="53"/>
    </w:p>
    <w:p w14:paraId="76358375">
      <w:pPr>
        <w:jc w:val="center"/>
        <w:outlineLvl w:val="0"/>
        <w:rPr>
          <w:rFonts w:hint="eastAsia" w:ascii="Times New Roman" w:hAnsi="Times New Roman" w:cs="Times New Roman"/>
          <w:b/>
          <w:bCs/>
          <w:color w:val="auto"/>
          <w:sz w:val="24"/>
          <w:szCs w:val="22"/>
          <w:lang w:val="en-US" w:eastAsia="zh-CN"/>
        </w:rPr>
        <w:sectPr>
          <w:pgSz w:w="16838" w:h="11906" w:orient="landscape"/>
          <w:pgMar w:top="964" w:right="1440" w:bottom="964" w:left="144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22563F5B">
      <w:pPr>
        <w:jc w:val="center"/>
        <w:outlineLvl w:val="9"/>
        <w:rPr>
          <w:rFonts w:hint="eastAsia" w:eastAsia="宋体"/>
          <w:color w:val="auto"/>
          <w:sz w:val="28"/>
          <w:lang w:val="en-US" w:eastAsia="zh-CN"/>
        </w:rPr>
      </w:pPr>
      <w:r>
        <w:rPr>
          <w:color w:val="auto"/>
          <w:sz w:val="28"/>
        </w:rPr>
        <mc:AlternateContent>
          <mc:Choice Requires="wps">
            <w:drawing>
              <wp:anchor distT="0" distB="0" distL="114300" distR="114300" simplePos="0" relativeHeight="251715584" behindDoc="0" locked="0" layoutInCell="1" allowOverlap="1">
                <wp:simplePos x="0" y="0"/>
                <wp:positionH relativeFrom="column">
                  <wp:posOffset>1753235</wp:posOffset>
                </wp:positionH>
                <wp:positionV relativeFrom="paragraph">
                  <wp:posOffset>5684520</wp:posOffset>
                </wp:positionV>
                <wp:extent cx="762000" cy="317500"/>
                <wp:effectExtent l="7620" t="7620" r="22860" b="497840"/>
                <wp:wrapNone/>
                <wp:docPr id="145" name="圆角矩形标注 145"/>
                <wp:cNvGraphicFramePr/>
                <a:graphic xmlns:a="http://schemas.openxmlformats.org/drawingml/2006/main">
                  <a:graphicData uri="http://schemas.microsoft.com/office/word/2010/wordprocessingShape">
                    <wps:wsp>
                      <wps:cNvSpPr/>
                      <wps:spPr>
                        <a:xfrm>
                          <a:off x="3395345" y="2803525"/>
                          <a:ext cx="762000" cy="317500"/>
                        </a:xfrm>
                        <a:prstGeom prst="wedgeRoundRectCallout">
                          <a:avLst>
                            <a:gd name="adj1" fmla="val -34833"/>
                            <a:gd name="adj2" fmla="val 190400"/>
                            <a:gd name="adj3" fmla="val 16667"/>
                          </a:avLst>
                        </a:prstGeom>
                        <a:solidFill>
                          <a:srgbClr val="00B0F0"/>
                        </a:solidFill>
                        <a:ln w="15875" cap="flat" cmpd="sng">
                          <a:solidFill>
                            <a:srgbClr val="00B0F0"/>
                          </a:solidFill>
                          <a:prstDash val="solid"/>
                          <a:miter/>
                          <a:headEnd type="none" w="med" len="med"/>
                          <a:tailEnd type="none" w="med" len="med"/>
                        </a:ln>
                      </wps:spPr>
                      <wps:txbx>
                        <w:txbxContent>
                          <w:p w14:paraId="2762DF5E">
                            <w:pPr>
                              <w:overflowPunct/>
                              <w:spacing w:line="240" w:lineRule="auto"/>
                              <w:ind w:firstLine="0" w:firstLineChars="0"/>
                              <w:jc w:val="center"/>
                              <w:rPr>
                                <w:rFonts w:hint="default" w:ascii="Calibri" w:hAnsi="Calibri" w:eastAsia="宋体" w:cs="宋体"/>
                                <w:kern w:val="2"/>
                                <w:sz w:val="21"/>
                                <w:szCs w:val="24"/>
                                <w:lang w:val="en-US" w:eastAsia="zh-CN"/>
                              </w:rPr>
                            </w:pPr>
                            <w:r>
                              <w:rPr>
                                <w:rFonts w:hint="eastAsia" w:ascii="Calibri" w:hAnsi="Calibri" w:eastAsia="宋体" w:cs="宋体"/>
                                <w:kern w:val="2"/>
                                <w:sz w:val="21"/>
                                <w:szCs w:val="24"/>
                                <w:lang w:val="en-US" w:eastAsia="zh-CN"/>
                              </w:rPr>
                              <w:t>本项目</w:t>
                            </w:r>
                          </w:p>
                        </w:txbxContent>
                      </wps:txbx>
                      <wps:bodyPr upright="1"/>
                    </wps:wsp>
                  </a:graphicData>
                </a:graphic>
              </wp:anchor>
            </w:drawing>
          </mc:Choice>
          <mc:Fallback>
            <w:pict>
              <v:shape id="_x0000_s1026" o:spid="_x0000_s1026" o:spt="62" type="#_x0000_t62" style="position:absolute;left:0pt;margin-left:138.05pt;margin-top:447.6pt;height:25pt;width:60pt;z-index:251715584;mso-width-relative:page;mso-height-relative:page;" fillcolor="#00B0F0" filled="t" stroked="t" coordsize="21600,21600" o:gfxdata="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hoeG49gAAAALAQAADwAAAAAAAAABACAAAAAiAAAAZHJzL2Rvd25yZXYueG1sUEsBAhQAFAAAAAgA&#10;h07iQJttAy1eAgAAzQQAAA4AAAAAAAAAAQAgAAAAJwEAAGRycy9lMm9Eb2MueG1sUEsFBgAAAAAG&#10;AAYAWQEAAPcFAAAAAA==&#10;" adj="3276,51926,14400">
                <v:fill on="t" focussize="0,0"/>
                <v:stroke weight="1.25pt" color="#00B0F0" joinstyle="miter"/>
                <v:imagedata o:title=""/>
                <o:lock v:ext="edit" aspectratio="f"/>
                <v:textbox>
                  <w:txbxContent>
                    <w:p w14:paraId="2762DF5E">
                      <w:pPr>
                        <w:overflowPunct/>
                        <w:spacing w:line="240" w:lineRule="auto"/>
                        <w:ind w:firstLine="0" w:firstLineChars="0"/>
                        <w:jc w:val="center"/>
                        <w:rPr>
                          <w:rFonts w:hint="default" w:ascii="Calibri" w:hAnsi="Calibri" w:eastAsia="宋体" w:cs="宋体"/>
                          <w:kern w:val="2"/>
                          <w:sz w:val="21"/>
                          <w:szCs w:val="24"/>
                          <w:lang w:val="en-US" w:eastAsia="zh-CN"/>
                        </w:rPr>
                      </w:pPr>
                      <w:r>
                        <w:rPr>
                          <w:rFonts w:hint="eastAsia" w:ascii="Calibri" w:hAnsi="Calibri" w:eastAsia="宋体" w:cs="宋体"/>
                          <w:kern w:val="2"/>
                          <w:sz w:val="21"/>
                          <w:szCs w:val="24"/>
                          <w:lang w:val="en-US" w:eastAsia="zh-CN"/>
                        </w:rPr>
                        <w:t>本项目</w:t>
                      </w:r>
                    </w:p>
                  </w:txbxContent>
                </v:textbox>
              </v:shape>
            </w:pict>
          </mc:Fallback>
        </mc:AlternateContent>
      </w:r>
      <w:r>
        <w:rPr>
          <w:color w:val="auto"/>
        </w:rPr>
        <w:drawing>
          <wp:anchor distT="0" distB="0" distL="114300" distR="114300" simplePos="0" relativeHeight="251728896" behindDoc="0" locked="0" layoutInCell="1" allowOverlap="1">
            <wp:simplePos x="0" y="0"/>
            <wp:positionH relativeFrom="column">
              <wp:posOffset>4730115</wp:posOffset>
            </wp:positionH>
            <wp:positionV relativeFrom="paragraph">
              <wp:posOffset>939165</wp:posOffset>
            </wp:positionV>
            <wp:extent cx="906780" cy="781685"/>
            <wp:effectExtent l="0" t="0" r="7620" b="10795"/>
            <wp:wrapNone/>
            <wp:docPr id="1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2"/>
                    <pic:cNvPicPr>
                      <a:picLocks noChangeAspect="1"/>
                    </pic:cNvPicPr>
                  </pic:nvPicPr>
                  <pic:blipFill>
                    <a:blip r:embed="rId38"/>
                    <a:stretch>
                      <a:fillRect/>
                    </a:stretch>
                  </pic:blipFill>
                  <pic:spPr>
                    <a:xfrm>
                      <a:off x="0" y="0"/>
                      <a:ext cx="906780" cy="781685"/>
                    </a:xfrm>
                    <a:prstGeom prst="rect">
                      <a:avLst/>
                    </a:prstGeom>
                    <a:noFill/>
                    <a:ln>
                      <a:noFill/>
                    </a:ln>
                  </pic:spPr>
                </pic:pic>
              </a:graphicData>
            </a:graphic>
          </wp:anchor>
        </w:drawing>
      </w:r>
      <w:r>
        <w:rPr>
          <w:rFonts w:hint="eastAsia" w:eastAsia="宋体"/>
          <w:color w:val="auto"/>
          <w:sz w:val="28"/>
          <w:lang w:val="en-US" w:eastAsia="zh-CN"/>
        </w:rPr>
        <w:drawing>
          <wp:inline distT="0" distB="0" distL="114300" distR="114300">
            <wp:extent cx="5892165" cy="8332470"/>
            <wp:effectExtent l="9525" t="9525" r="11430" b="9525"/>
            <wp:docPr id="147" name="图片 147" descr="02附图_页面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47" descr="02附图_页面_11"/>
                    <pic:cNvPicPr>
                      <a:picLocks noChangeAspect="1"/>
                    </pic:cNvPicPr>
                  </pic:nvPicPr>
                  <pic:blipFill>
                    <a:blip r:embed="rId51"/>
                    <a:stretch>
                      <a:fillRect/>
                    </a:stretch>
                  </pic:blipFill>
                  <pic:spPr>
                    <a:xfrm>
                      <a:off x="0" y="0"/>
                      <a:ext cx="5892165" cy="8332470"/>
                    </a:xfrm>
                    <a:prstGeom prst="rect">
                      <a:avLst/>
                    </a:prstGeom>
                    <a:ln>
                      <a:solidFill>
                        <a:schemeClr val="tx1"/>
                      </a:solidFill>
                    </a:ln>
                  </pic:spPr>
                </pic:pic>
              </a:graphicData>
            </a:graphic>
          </wp:inline>
        </w:drawing>
      </w:r>
      <w:r>
        <w:rPr>
          <w:color w:val="auto"/>
          <w:sz w:val="28"/>
        </w:rPr>
        <mc:AlternateContent>
          <mc:Choice Requires="wps">
            <w:drawing>
              <wp:anchor distT="0" distB="0" distL="114300" distR="114300" simplePos="0" relativeHeight="251716608" behindDoc="0" locked="0" layoutInCell="1" allowOverlap="1">
                <wp:simplePos x="0" y="0"/>
                <wp:positionH relativeFrom="column">
                  <wp:posOffset>2562860</wp:posOffset>
                </wp:positionH>
                <wp:positionV relativeFrom="paragraph">
                  <wp:posOffset>3538855</wp:posOffset>
                </wp:positionV>
                <wp:extent cx="177165" cy="184150"/>
                <wp:effectExtent l="13970" t="13335" r="22225" b="31115"/>
                <wp:wrapNone/>
                <wp:docPr id="146" name="任意多边形 146"/>
                <wp:cNvGraphicFramePr/>
                <a:graphic xmlns:a="http://schemas.openxmlformats.org/drawingml/2006/main">
                  <a:graphicData uri="http://schemas.microsoft.com/office/word/2010/wordprocessingShape">
                    <wps:wsp>
                      <wps:cNvSpPr/>
                      <wps:spPr>
                        <a:xfrm flipH="1" flipV="1">
                          <a:off x="0" y="0"/>
                          <a:ext cx="177165" cy="184150"/>
                        </a:xfrm>
                        <a:custGeom>
                          <a:avLst/>
                          <a:gdLst>
                            <a:gd name="txL" fmla="*/ 0 w 76200"/>
                            <a:gd name="txT" fmla="*/ 0 h 76200"/>
                            <a:gd name="txR" fmla="*/ 76200 w 76200"/>
                            <a:gd name="txB" fmla="*/ 76200 h 76200"/>
                          </a:gdLst>
                          <a:ahLst/>
                          <a:cxnLst>
                            <a:cxn ang="16187392">
                              <a:pos x="38100" y="0"/>
                            </a:cxn>
                            <a:cxn ang="10747904">
                              <a:pos x="0" y="29105"/>
                            </a:cxn>
                            <a:cxn ang="5373952">
                              <a:pos x="14552" y="76199"/>
                            </a:cxn>
                            <a:cxn ang="5373952">
                              <a:pos x="61647" y="76199"/>
                            </a:cxn>
                            <a:cxn ang="0">
                              <a:pos x="76199" y="29105"/>
                            </a:cxn>
                          </a:cxnLst>
                          <a:rect l="txL" t="txT" r="txR" b="txB"/>
                          <a:pathLst>
                            <a:path w="76200" h="76200">
                              <a:moveTo>
                                <a:pt x="0" y="29105"/>
                              </a:moveTo>
                              <a:lnTo>
                                <a:pt x="29105" y="29105"/>
                              </a:lnTo>
                              <a:lnTo>
                                <a:pt x="38100" y="0"/>
                              </a:lnTo>
                              <a:lnTo>
                                <a:pt x="47094" y="29105"/>
                              </a:lnTo>
                              <a:lnTo>
                                <a:pt x="76199" y="29105"/>
                              </a:lnTo>
                              <a:lnTo>
                                <a:pt x="52652" y="47093"/>
                              </a:lnTo>
                              <a:lnTo>
                                <a:pt x="61647" y="76199"/>
                              </a:lnTo>
                              <a:lnTo>
                                <a:pt x="38100" y="58211"/>
                              </a:lnTo>
                              <a:lnTo>
                                <a:pt x="14552" y="76199"/>
                              </a:lnTo>
                              <a:lnTo>
                                <a:pt x="23547" y="47093"/>
                              </a:lnTo>
                              <a:close/>
                            </a:path>
                          </a:pathLst>
                        </a:custGeom>
                        <a:solidFill>
                          <a:srgbClr val="FFFF00"/>
                        </a:solidFill>
                        <a:ln w="0" cap="flat" cmpd="sng">
                          <a:solidFill>
                            <a:srgbClr val="FFFF00"/>
                          </a:solidFill>
                          <a:prstDash val="solid"/>
                          <a:miter/>
                          <a:headEnd type="none" w="med" len="med"/>
                          <a:tailEnd type="none" w="med" len="med"/>
                        </a:ln>
                      </wps:spPr>
                      <wps:txbx>
                        <w:txbxContent>
                          <w:p w14:paraId="1F2D44DF">
                            <w:pPr>
                              <w:overflowPunct/>
                              <w:spacing w:line="240" w:lineRule="auto"/>
                              <w:ind w:firstLine="0" w:firstLineChars="0"/>
                              <w:jc w:val="center"/>
                              <w:rPr>
                                <w:rFonts w:ascii="Calibri" w:hAnsi="Calibri" w:eastAsia="宋体" w:cs="宋体"/>
                                <w:kern w:val="2"/>
                                <w:sz w:val="21"/>
                                <w:szCs w:val="24"/>
                              </w:rPr>
                            </w:pPr>
                          </w:p>
                        </w:txbxContent>
                      </wps:txbx>
                      <wps:bodyPr upright="1"/>
                    </wps:wsp>
                  </a:graphicData>
                </a:graphic>
              </wp:anchor>
            </w:drawing>
          </mc:Choice>
          <mc:Fallback>
            <w:pict>
              <v:shape id="_x0000_s1026" o:spid="_x0000_s1026" o:spt="100" style="position:absolute;left:0pt;flip:x y;margin-left:201.8pt;margin-top:278.65pt;height:14.5pt;width:13.95pt;z-index:251716608;mso-width-relative:page;mso-height-relative:page;" fillcolor="#FFFF00" filled="t" stroked="t" coordsize="76200,76200" o:gfxdata="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" path="m0,29105l29105,29105,38100,0,47094,29105,76199,29105,52652,47093,61647,76199,38100,58211,14552,76199,23547,47093xe">
                <v:path textboxrect="0,0,76200,76200" o:connectlocs="38100,0;0,29105;14552,76199;61647,76199;76199,29105" o:connectangles="247,164,82,82,0"/>
                <v:fill on="t" focussize="0,0"/>
                <v:stroke weight="0pt" color="#FFFF00" joinstyle="miter"/>
                <v:imagedata o:title=""/>
                <o:lock v:ext="edit" aspectratio="f"/>
                <v:textbox>
                  <w:txbxContent>
                    <w:p w14:paraId="1F2D44DF">
                      <w:pPr>
                        <w:overflowPunct/>
                        <w:spacing w:line="240" w:lineRule="auto"/>
                        <w:ind w:firstLine="0" w:firstLineChars="0"/>
                        <w:jc w:val="center"/>
                        <w:rPr>
                          <w:rFonts w:ascii="Calibri" w:hAnsi="Calibri" w:eastAsia="宋体" w:cs="宋体"/>
                          <w:kern w:val="2"/>
                          <w:sz w:val="21"/>
                          <w:szCs w:val="24"/>
                        </w:rPr>
                      </w:pPr>
                    </w:p>
                  </w:txbxContent>
                </v:textbox>
              </v:shape>
            </w:pict>
          </mc:Fallback>
        </mc:AlternateContent>
      </w:r>
    </w:p>
    <w:p w14:paraId="7AB9C835">
      <w:pPr>
        <w:jc w:val="center"/>
        <w:outlineLvl w:val="0"/>
        <w:rPr>
          <w:rFonts w:hint="default" w:ascii="Times New Roman" w:hAnsi="Times New Roman" w:eastAsia="宋体" w:cs="Times New Roman"/>
          <w:b/>
          <w:bCs/>
          <w:color w:val="auto"/>
          <w:sz w:val="24"/>
          <w:szCs w:val="22"/>
          <w:lang w:val="en-US" w:eastAsia="zh-CN"/>
        </w:rPr>
        <w:sectPr>
          <w:pgSz w:w="11850" w:h="16783"/>
          <w:pgMar w:top="1287" w:right="1287" w:bottom="1287" w:left="1287" w:header="851" w:footer="567" w:gutter="0"/>
          <w:pgBorders>
            <w:top w:val="none" w:sz="0" w:space="0"/>
            <w:left w:val="none" w:sz="0" w:space="0"/>
            <w:bottom w:val="none" w:sz="0" w:space="0"/>
            <w:right w:val="none" w:sz="0" w:space="0"/>
          </w:pgBorders>
          <w:pgNumType w:fmt="decimal"/>
          <w:cols w:space="720" w:num="1"/>
          <w:docGrid w:type="lines" w:linePitch="312" w:charSpace="0"/>
        </w:sectPr>
      </w:pPr>
      <w:bookmarkStart w:id="54" w:name="_Toc29580"/>
      <w:r>
        <w:rPr>
          <w:rFonts w:hint="eastAsia" w:ascii="Times New Roman" w:hAnsi="Times New Roman" w:eastAsia="宋体" w:cs="Times New Roman"/>
          <w:b/>
          <w:bCs/>
          <w:color w:val="auto"/>
          <w:sz w:val="24"/>
          <w:szCs w:val="22"/>
          <w:lang w:val="en-US" w:eastAsia="zh-CN"/>
        </w:rPr>
        <w:t>附图13 乐平市环境管控单元划定示意图</w:t>
      </w:r>
      <w:bookmarkEnd w:id="54"/>
    </w:p>
    <w:p w14:paraId="57574123">
      <w:pPr>
        <w:pStyle w:val="18"/>
        <w:jc w:val="center"/>
        <w:outlineLvl w:val="0"/>
        <w:rPr>
          <w:rFonts w:hint="eastAsia" w:ascii="宋体" w:hAnsi="宋体" w:eastAsia="宋体" w:cs="宋体"/>
          <w:b/>
          <w:bCs/>
          <w:snapToGrid w:val="0"/>
          <w:color w:val="auto"/>
          <w:sz w:val="24"/>
          <w:szCs w:val="24"/>
          <w:highlight w:val="none"/>
          <w:lang w:val="en-US" w:eastAsia="zh-CN"/>
        </w:rPr>
        <w:sectPr>
          <w:pgSz w:w="16838" w:h="11906" w:orient="landscape"/>
          <w:pgMar w:top="964" w:right="1134" w:bottom="964" w:left="1134" w:header="851" w:footer="567" w:gutter="0"/>
          <w:pgBorders>
            <w:top w:val="none" w:sz="0" w:space="0"/>
            <w:left w:val="none" w:sz="0" w:space="0"/>
            <w:bottom w:val="none" w:sz="0" w:space="0"/>
            <w:right w:val="none" w:sz="0" w:space="0"/>
          </w:pgBorders>
          <w:pgNumType w:fmt="decimal"/>
          <w:cols w:space="425" w:num="1"/>
          <w:docGrid w:type="lines" w:linePitch="312" w:charSpace="0"/>
        </w:sectPr>
      </w:pPr>
      <w:bookmarkStart w:id="55" w:name="_Toc28803"/>
      <w:r>
        <w:rPr>
          <w:color w:val="auto"/>
        </w:rPr>
        <w:drawing>
          <wp:anchor distT="0" distB="0" distL="114300" distR="114300" simplePos="0" relativeHeight="251746304" behindDoc="0" locked="0" layoutInCell="1" allowOverlap="1">
            <wp:simplePos x="0" y="0"/>
            <wp:positionH relativeFrom="column">
              <wp:posOffset>8129905</wp:posOffset>
            </wp:positionH>
            <wp:positionV relativeFrom="paragraph">
              <wp:posOffset>186690</wp:posOffset>
            </wp:positionV>
            <wp:extent cx="768350" cy="662940"/>
            <wp:effectExtent l="0" t="0" r="8890" b="7620"/>
            <wp:wrapNone/>
            <wp:docPr id="2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
                    <pic:cNvPicPr>
                      <a:picLocks noChangeAspect="1"/>
                    </pic:cNvPicPr>
                  </pic:nvPicPr>
                  <pic:blipFill>
                    <a:blip r:embed="rId38"/>
                    <a:stretch>
                      <a:fillRect/>
                    </a:stretch>
                  </pic:blipFill>
                  <pic:spPr>
                    <a:xfrm>
                      <a:off x="0" y="0"/>
                      <a:ext cx="768350" cy="662940"/>
                    </a:xfrm>
                    <a:prstGeom prst="rect">
                      <a:avLst/>
                    </a:prstGeom>
                    <a:noFill/>
                    <a:ln>
                      <a:noFill/>
                    </a:ln>
                  </pic:spPr>
                </pic:pic>
              </a:graphicData>
            </a:graphic>
          </wp:anchor>
        </w:drawing>
      </w:r>
      <w:r>
        <w:rPr>
          <w:color w:val="auto"/>
        </w:rPr>
        <mc:AlternateContent>
          <mc:Choice Requires="wps">
            <w:drawing>
              <wp:anchor distT="0" distB="0" distL="114300" distR="114300" simplePos="0" relativeHeight="251751424" behindDoc="0" locked="0" layoutInCell="1" allowOverlap="1">
                <wp:simplePos x="0" y="0"/>
                <wp:positionH relativeFrom="column">
                  <wp:posOffset>5164455</wp:posOffset>
                </wp:positionH>
                <wp:positionV relativeFrom="paragraph">
                  <wp:posOffset>2688590</wp:posOffset>
                </wp:positionV>
                <wp:extent cx="793115" cy="285750"/>
                <wp:effectExtent l="0" t="0" r="0" b="0"/>
                <wp:wrapNone/>
                <wp:docPr id="34" name="矩形 34"/>
                <wp:cNvGraphicFramePr/>
                <a:graphic xmlns:a="http://schemas.openxmlformats.org/drawingml/2006/main">
                  <a:graphicData uri="http://schemas.microsoft.com/office/word/2010/wordprocessingShape">
                    <wps:wsp>
                      <wps:cNvSpPr/>
                      <wps:spPr>
                        <a:xfrm>
                          <a:off x="0" y="0"/>
                          <a:ext cx="793115" cy="285750"/>
                        </a:xfrm>
                        <a:prstGeom prst="rect">
                          <a:avLst/>
                        </a:prstGeom>
                        <a:noFill/>
                        <a:ln w="15875">
                          <a:noFill/>
                        </a:ln>
                      </wps:spPr>
                      <wps:txbx>
                        <w:txbxContent>
                          <w:p w14:paraId="409FAA2F">
                            <w:pPr>
                              <w:rPr>
                                <w:rFonts w:hint="default" w:eastAsia="宋体"/>
                                <w:b/>
                                <w:bCs/>
                                <w:color w:val="FF0000"/>
                                <w:lang w:val="en-US" w:eastAsia="zh-CN"/>
                              </w:rPr>
                            </w:pPr>
                            <w:r>
                              <w:rPr>
                                <w:rFonts w:hint="eastAsia"/>
                                <w:b/>
                                <w:bCs/>
                                <w:color w:val="FF0000"/>
                                <w:lang w:val="en-US" w:eastAsia="zh-CN"/>
                              </w:rPr>
                              <w:t>3150m</w:t>
                            </w:r>
                          </w:p>
                        </w:txbxContent>
                      </wps:txbx>
                      <wps:bodyPr upright="1"/>
                    </wps:wsp>
                  </a:graphicData>
                </a:graphic>
              </wp:anchor>
            </w:drawing>
          </mc:Choice>
          <mc:Fallback>
            <w:pict>
              <v:rect id="_x0000_s1026" o:spid="_x0000_s1026" o:spt="1" style="position:absolute;left:0pt;margin-left:406.65pt;margin-top:211.7pt;height:22.5pt;width:62.45pt;z-index:251751424;mso-width-relative:page;mso-height-relative:page;" filled="f" stroked="f" coordsize="21600,21600" o:gfxdata="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lOPl&#10;sdsAAAALAQAADwAAAAAAAAABACAAAAAiAAAAZHJzL2Rvd25yZXYueG1sUEsBAhQAFAAAAAgAh07i&#10;QO/1c3GtAQAATAMAAA4AAAAAAAAAAQAgAAAAKgEAAGRycy9lMm9Eb2MueG1sUEsFBgAAAAAGAAYA&#10;WQEAAEkFAAAAAA==&#10;">
                <v:fill on="f" focussize="0,0"/>
                <v:stroke on="f" weight="1.25pt"/>
                <v:imagedata o:title=""/>
                <o:lock v:ext="edit" aspectratio="f"/>
                <v:textbox>
                  <w:txbxContent>
                    <w:p w14:paraId="409FAA2F">
                      <w:pPr>
                        <w:rPr>
                          <w:rFonts w:hint="default" w:eastAsia="宋体"/>
                          <w:b/>
                          <w:bCs/>
                          <w:color w:val="FF0000"/>
                          <w:lang w:val="en-US" w:eastAsia="zh-CN"/>
                        </w:rPr>
                      </w:pPr>
                      <w:r>
                        <w:rPr>
                          <w:rFonts w:hint="eastAsia"/>
                          <w:b/>
                          <w:bCs/>
                          <w:color w:val="FF0000"/>
                          <w:lang w:val="en-US" w:eastAsia="zh-CN"/>
                        </w:rPr>
                        <w:t>3150m</w:t>
                      </w:r>
                    </w:p>
                  </w:txbxContent>
                </v:textbox>
              </v:rect>
            </w:pict>
          </mc:Fallback>
        </mc:AlternateContent>
      </w:r>
      <w:r>
        <w:rPr>
          <w:color w:val="auto"/>
        </w:rPr>
        <mc:AlternateContent>
          <mc:Choice Requires="wps">
            <w:drawing>
              <wp:anchor distT="0" distB="0" distL="114300" distR="114300" simplePos="0" relativeHeight="251748352" behindDoc="0" locked="0" layoutInCell="1" allowOverlap="1">
                <wp:simplePos x="0" y="0"/>
                <wp:positionH relativeFrom="column">
                  <wp:posOffset>7844790</wp:posOffset>
                </wp:positionH>
                <wp:positionV relativeFrom="paragraph">
                  <wp:posOffset>3177540</wp:posOffset>
                </wp:positionV>
                <wp:extent cx="76200" cy="76200"/>
                <wp:effectExtent l="7620" t="7620" r="22860" b="22860"/>
                <wp:wrapNone/>
                <wp:docPr id="615" name="流程图: 联系 615"/>
                <wp:cNvGraphicFramePr/>
                <a:graphic xmlns:a="http://schemas.openxmlformats.org/drawingml/2006/main">
                  <a:graphicData uri="http://schemas.microsoft.com/office/word/2010/wordprocessingShape">
                    <wps:wsp>
                      <wps:cNvSpPr/>
                      <wps:spPr>
                        <a:xfrm>
                          <a:off x="0" y="0"/>
                          <a:ext cx="76200" cy="76200"/>
                        </a:xfrm>
                        <a:prstGeom prst="flowChartConnector">
                          <a:avLst/>
                        </a:prstGeom>
                        <a:solidFill>
                          <a:srgbClr val="FFC000"/>
                        </a:solidFill>
                        <a:ln w="15875" cap="flat" cmpd="sng">
                          <a:solidFill>
                            <a:srgbClr val="739CC3"/>
                          </a:solidFill>
                          <a:prstDash val="solid"/>
                          <a:headEnd type="none" w="med" len="med"/>
                          <a:tailEnd type="none" w="med" len="med"/>
                        </a:ln>
                      </wps:spPr>
                      <wps:bodyPr upright="1"/>
                    </wps:wsp>
                  </a:graphicData>
                </a:graphic>
              </wp:anchor>
            </w:drawing>
          </mc:Choice>
          <mc:Fallback>
            <w:pict>
              <v:shape id="_x0000_s1026" o:spid="_x0000_s1026" o:spt="120" type="#_x0000_t120" style="position:absolute;left:0pt;margin-left:617.7pt;margin-top:250.2pt;height:6pt;width:6pt;z-index:251748352;mso-width-relative:page;mso-height-relative:page;" fillcolor="#FFC000" filled="t" stroked="t" coordsize="21600,21600" o:gfxdata="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NLHJlfYAAAADQEAAA8AAAAA&#10;AAAAAQAgAAAAIgAAAGRycy9kb3ducmV2LnhtbFBLAQIUABQAAAAIAIdO4kBYZ2alFAIAAC8EAAAO&#10;AAAAAAAAAAEAIAAAACcBAABkcnMvZTJvRG9jLnhtbFBLBQYAAAAABgAGAFkBAACtBQAAAAA=&#10;">
                <v:fill on="t" focussize="0,0"/>
                <v:stroke weight="1.25pt" color="#739CC3" joinstyle="round"/>
                <v:imagedata o:title=""/>
                <o:lock v:ext="edit" aspectratio="f"/>
              </v:shape>
            </w:pict>
          </mc:Fallback>
        </mc:AlternateContent>
      </w:r>
      <w:r>
        <w:rPr>
          <w:color w:val="auto"/>
        </w:rPr>
        <mc:AlternateContent>
          <mc:Choice Requires="wps">
            <w:drawing>
              <wp:anchor distT="0" distB="0" distL="114300" distR="114300" simplePos="0" relativeHeight="251749376" behindDoc="0" locked="0" layoutInCell="1" allowOverlap="1">
                <wp:simplePos x="0" y="0"/>
                <wp:positionH relativeFrom="column">
                  <wp:posOffset>6948170</wp:posOffset>
                </wp:positionH>
                <wp:positionV relativeFrom="paragraph">
                  <wp:posOffset>2329180</wp:posOffset>
                </wp:positionV>
                <wp:extent cx="1072515" cy="333375"/>
                <wp:effectExtent l="7620" t="8255" r="17145" b="557530"/>
                <wp:wrapNone/>
                <wp:docPr id="29" name="圆角矩形标注 29"/>
                <wp:cNvGraphicFramePr/>
                <a:graphic xmlns:a="http://schemas.openxmlformats.org/drawingml/2006/main">
                  <a:graphicData uri="http://schemas.microsoft.com/office/word/2010/wordprocessingShape">
                    <wps:wsp>
                      <wps:cNvSpPr/>
                      <wps:spPr>
                        <a:xfrm>
                          <a:off x="0" y="0"/>
                          <a:ext cx="1072515" cy="333375"/>
                        </a:xfrm>
                        <a:prstGeom prst="wedgeRoundRectCallout">
                          <a:avLst>
                            <a:gd name="adj1" fmla="val 35120"/>
                            <a:gd name="adj2" fmla="val 204285"/>
                            <a:gd name="adj3" fmla="val 16667"/>
                          </a:avLst>
                        </a:prstGeom>
                        <a:noFill/>
                        <a:ln w="15875" cap="flat" cmpd="sng">
                          <a:solidFill>
                            <a:srgbClr val="FFC000"/>
                          </a:solidFill>
                          <a:prstDash val="solid"/>
                          <a:miter/>
                          <a:headEnd type="none" w="med" len="med"/>
                          <a:tailEnd type="none" w="med" len="med"/>
                        </a:ln>
                      </wps:spPr>
                      <wps:txbx>
                        <w:txbxContent>
                          <w:p w14:paraId="36EFA92D">
                            <w:pPr>
                              <w:rPr>
                                <w:rFonts w:hint="default"/>
                                <w:color w:val="FFC000"/>
                                <w:lang w:val="en-US"/>
                              </w:rPr>
                            </w:pPr>
                            <w:r>
                              <w:rPr>
                                <w:rFonts w:hint="eastAsia"/>
                                <w:b/>
                                <w:bCs/>
                                <w:color w:val="FFC000"/>
                                <w:lang w:val="en-US" w:eastAsia="zh-CN"/>
                              </w:rPr>
                              <w:t>引用监测点位</w:t>
                            </w:r>
                          </w:p>
                        </w:txbxContent>
                      </wps:txbx>
                      <wps:bodyPr upright="1"/>
                    </wps:wsp>
                  </a:graphicData>
                </a:graphic>
              </wp:anchor>
            </w:drawing>
          </mc:Choice>
          <mc:Fallback>
            <w:pict>
              <v:shape id="_x0000_s1026" o:spid="_x0000_s1026" o:spt="62" type="#_x0000_t62" style="position:absolute;left:0pt;margin-left:547.1pt;margin-top:183.4pt;height:26.25pt;width:84.45pt;z-index:251749376;mso-width-relative:page;mso-height-relative:page;" filled="f" stroked="t" coordsize="21600,21600" o:gfxdata="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QyqpMNwA&#10;AAANAQAADwAAAAAAAAABACAAAAAiAAAAZHJzL2Rvd25yZXYueG1sUEsBAhQAFAAAAAgAh07iQIyZ&#10;zhxUAgAAlgQAAA4AAAAAAAAAAQAgAAAAKwEAAGRycy9lMm9Eb2MueG1sUEsFBgAAAAAGAAYAWQEA&#10;APEFAAAAAA==&#10;" adj="18386,54926,14400">
                <v:fill on="f" focussize="0,0"/>
                <v:stroke weight="1.25pt" color="#FFC000" joinstyle="miter"/>
                <v:imagedata o:title=""/>
                <o:lock v:ext="edit" aspectratio="f"/>
                <v:textbox>
                  <w:txbxContent>
                    <w:p w14:paraId="36EFA92D">
                      <w:pPr>
                        <w:rPr>
                          <w:rFonts w:hint="default"/>
                          <w:color w:val="FFC000"/>
                          <w:lang w:val="en-US"/>
                        </w:rPr>
                      </w:pPr>
                      <w:r>
                        <w:rPr>
                          <w:rFonts w:hint="eastAsia"/>
                          <w:b/>
                          <w:bCs/>
                          <w:color w:val="FFC000"/>
                          <w:lang w:val="en-US" w:eastAsia="zh-CN"/>
                        </w:rPr>
                        <w:t>引用监测点位</w:t>
                      </w:r>
                    </w:p>
                  </w:txbxContent>
                </v:textbox>
              </v:shape>
            </w:pict>
          </mc:Fallback>
        </mc:AlternateContent>
      </w:r>
      <w:r>
        <w:rPr>
          <w:rFonts w:hint="eastAsia" w:ascii="宋体" w:hAnsi="宋体" w:eastAsia="宋体" w:cs="宋体"/>
          <w:b/>
          <w:bCs/>
          <w:snapToGrid w:val="0"/>
          <w:color w:val="auto"/>
          <w:sz w:val="24"/>
          <w:szCs w:val="24"/>
          <w:highlight w:val="none"/>
          <w:lang w:val="en-US" w:eastAsia="zh-CN"/>
        </w:rPr>
        <w:drawing>
          <wp:inline distT="0" distB="0" distL="114300" distR="114300">
            <wp:extent cx="9245600" cy="5537200"/>
            <wp:effectExtent l="9525" t="9525" r="22225" b="15875"/>
            <wp:docPr id="26" name="图片 26" descr="05d7bedd-f84e-4626-810c-b633342a43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05d7bedd-f84e-4626-810c-b633342a43ef"/>
                    <pic:cNvPicPr>
                      <a:picLocks noChangeAspect="1"/>
                    </pic:cNvPicPr>
                  </pic:nvPicPr>
                  <pic:blipFill>
                    <a:blip r:embed="rId52"/>
                    <a:stretch>
                      <a:fillRect/>
                    </a:stretch>
                  </pic:blipFill>
                  <pic:spPr>
                    <a:xfrm>
                      <a:off x="0" y="0"/>
                      <a:ext cx="9245600" cy="5537200"/>
                    </a:xfrm>
                    <a:prstGeom prst="rect">
                      <a:avLst/>
                    </a:prstGeom>
                    <a:ln>
                      <a:solidFill>
                        <a:schemeClr val="tx1"/>
                      </a:solidFill>
                    </a:ln>
                  </pic:spPr>
                </pic:pic>
              </a:graphicData>
            </a:graphic>
          </wp:inline>
        </w:drawing>
      </w:r>
      <w:r>
        <w:rPr>
          <w:color w:val="auto"/>
          <w:sz w:val="21"/>
        </w:rPr>
        <mc:AlternateContent>
          <mc:Choice Requires="wps">
            <w:drawing>
              <wp:anchor distT="0" distB="0" distL="114300" distR="114300" simplePos="0" relativeHeight="251750400" behindDoc="0" locked="0" layoutInCell="1" allowOverlap="1">
                <wp:simplePos x="0" y="0"/>
                <wp:positionH relativeFrom="column">
                  <wp:posOffset>2583815</wp:posOffset>
                </wp:positionH>
                <wp:positionV relativeFrom="paragraph">
                  <wp:posOffset>2719705</wp:posOffset>
                </wp:positionV>
                <wp:extent cx="5260975" cy="495935"/>
                <wp:effectExtent l="0" t="41910" r="12065" b="56515"/>
                <wp:wrapNone/>
                <wp:docPr id="33" name="直接箭头连接符 33"/>
                <wp:cNvGraphicFramePr/>
                <a:graphic xmlns:a="http://schemas.openxmlformats.org/drawingml/2006/main">
                  <a:graphicData uri="http://schemas.microsoft.com/office/word/2010/wordprocessingShape">
                    <wps:wsp>
                      <wps:cNvCnPr>
                        <a:stCxn id="615" idx="2"/>
                      </wps:cNvCnPr>
                      <wps:spPr>
                        <a:xfrm flipH="1" flipV="1">
                          <a:off x="0" y="0"/>
                          <a:ext cx="5260975" cy="495935"/>
                        </a:xfrm>
                        <a:prstGeom prst="straightConnector1">
                          <a:avLst/>
                        </a:prstGeom>
                        <a:ln w="12700">
                          <a:solidFill>
                            <a:srgbClr val="FF0000"/>
                          </a:solidFill>
                          <a:headEnd type="arrow"/>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x y;margin-left:203.45pt;margin-top:214.15pt;height:39.05pt;width:414.25pt;z-index:251750400;mso-width-relative:page;mso-height-relative:page;" filled="f" stroked="t" coordsize="21600,21600" o:gfxdata="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DWtLbfbAAAADAEAAA8AAAAAAAAAAQAgAAAAIgAAAGRycy9kb3ducmV2LnhtbFBLAQIUABQA&#10;AAAIAIdO4kARS2YcJgIAACQEAAAOAAAAAAAAAAEAIAAAACoBAABkcnMvZTJvRG9jLnhtbFBLBQYA&#10;AAAABgAGAFkBAADCBQAAAAA=&#10;">
                <v:fill on="f" focussize="0,0"/>
                <v:stroke weight="1pt" color="#FF0000 [3204]" joinstyle="round" startarrow="open" endarrow="open"/>
                <v:imagedata o:title=""/>
                <o:lock v:ext="edit" aspectratio="f"/>
              </v:shape>
            </w:pict>
          </mc:Fallback>
        </mc:AlternateContent>
      </w:r>
      <w:r>
        <w:rPr>
          <w:color w:val="auto"/>
        </w:rPr>
        <mc:AlternateContent>
          <mc:Choice Requires="wps">
            <w:drawing>
              <wp:anchor distT="0" distB="0" distL="114300" distR="114300" simplePos="0" relativeHeight="251747328" behindDoc="0" locked="0" layoutInCell="1" allowOverlap="1">
                <wp:simplePos x="0" y="0"/>
                <wp:positionH relativeFrom="column">
                  <wp:posOffset>1173480</wp:posOffset>
                </wp:positionH>
                <wp:positionV relativeFrom="paragraph">
                  <wp:posOffset>1406525</wp:posOffset>
                </wp:positionV>
                <wp:extent cx="1067435" cy="418465"/>
                <wp:effectExtent l="7620" t="7620" r="22225" b="518795"/>
                <wp:wrapNone/>
                <wp:docPr id="28" name="圆角矩形标注 28"/>
                <wp:cNvGraphicFramePr/>
                <a:graphic xmlns:a="http://schemas.openxmlformats.org/drawingml/2006/main">
                  <a:graphicData uri="http://schemas.microsoft.com/office/word/2010/wordprocessingShape">
                    <wps:wsp>
                      <wps:cNvSpPr/>
                      <wps:spPr>
                        <a:xfrm>
                          <a:off x="0" y="0"/>
                          <a:ext cx="1067435" cy="418465"/>
                        </a:xfrm>
                        <a:prstGeom prst="wedgeRoundRectCallout">
                          <a:avLst>
                            <a:gd name="adj1" fmla="val 32391"/>
                            <a:gd name="adj2" fmla="val 164112"/>
                            <a:gd name="adj3" fmla="val 16667"/>
                          </a:avLst>
                        </a:prstGeom>
                        <a:noFill/>
                        <a:ln w="15875" cap="flat" cmpd="sng">
                          <a:solidFill>
                            <a:srgbClr val="FF0000"/>
                          </a:solidFill>
                          <a:prstDash val="solid"/>
                          <a:miter/>
                          <a:headEnd type="none" w="med" len="med"/>
                          <a:tailEnd type="none" w="med" len="med"/>
                        </a:ln>
                      </wps:spPr>
                      <wps:txbx>
                        <w:txbxContent>
                          <w:p w14:paraId="2053440E">
                            <w:pPr>
                              <w:keepNext w:val="0"/>
                              <w:keepLines w:val="0"/>
                              <w:pageBreakBefore w:val="0"/>
                              <w:widowControl w:val="0"/>
                              <w:kinsoku/>
                              <w:wordWrap/>
                              <w:overflowPunct/>
                              <w:topLinePunct w:val="0"/>
                              <w:bidi w:val="0"/>
                              <w:adjustRightInd/>
                              <w:snapToGrid/>
                              <w:spacing w:line="360" w:lineRule="auto"/>
                              <w:jc w:val="center"/>
                              <w:textAlignment w:val="auto"/>
                              <w:rPr>
                                <w:rFonts w:hint="default" w:eastAsia="宋体"/>
                                <w:b/>
                                <w:bCs/>
                                <w:color w:val="FF0000"/>
                                <w:sz w:val="21"/>
                                <w:szCs w:val="20"/>
                                <w:lang w:val="en-US" w:eastAsia="zh-CN"/>
                              </w:rPr>
                            </w:pPr>
                            <w:r>
                              <w:rPr>
                                <w:rFonts w:hint="eastAsia"/>
                                <w:b/>
                                <w:bCs/>
                                <w:color w:val="FF0000"/>
                                <w:sz w:val="21"/>
                                <w:szCs w:val="20"/>
                                <w:lang w:val="en-US" w:eastAsia="zh-CN"/>
                              </w:rPr>
                              <w:t>本项目厂界</w:t>
                            </w:r>
                          </w:p>
                        </w:txbxContent>
                      </wps:txbx>
                      <wps:bodyPr upright="1"/>
                    </wps:wsp>
                  </a:graphicData>
                </a:graphic>
              </wp:anchor>
            </w:drawing>
          </mc:Choice>
          <mc:Fallback>
            <w:pict>
              <v:shape id="_x0000_s1026" o:spid="_x0000_s1026" o:spt="62" type="#_x0000_t62" style="position:absolute;left:0pt;margin-left:92.4pt;margin-top:110.75pt;height:32.95pt;width:84.05pt;z-index:251747328;mso-width-relative:page;mso-height-relative:page;" filled="f" stroked="t" coordsize="21600,21600" o:gfxdata="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DJ0mTjbAAAACwEAAA8A&#10;AAAAAAAAAQAgAAAAIgAAAGRycy9kb3ducmV2LnhtbFBLAQIUABQAAAAIAIdO4kCUI84VTQIAAJYE&#10;AAAOAAAAAAAAAAEAIAAAACoBAABkcnMvZTJvRG9jLnhtbFBLBQYAAAAABgAGAFkBAADpBQAAAAA=&#10;" adj="17796,46248,14400">
                <v:fill on="f" focussize="0,0"/>
                <v:stroke weight="1.25pt" color="#FF0000" joinstyle="miter"/>
                <v:imagedata o:title=""/>
                <o:lock v:ext="edit" aspectratio="f"/>
                <v:textbox>
                  <w:txbxContent>
                    <w:p w14:paraId="2053440E">
                      <w:pPr>
                        <w:keepNext w:val="0"/>
                        <w:keepLines w:val="0"/>
                        <w:pageBreakBefore w:val="0"/>
                        <w:widowControl w:val="0"/>
                        <w:kinsoku/>
                        <w:wordWrap/>
                        <w:overflowPunct/>
                        <w:topLinePunct w:val="0"/>
                        <w:bidi w:val="0"/>
                        <w:adjustRightInd/>
                        <w:snapToGrid/>
                        <w:spacing w:line="360" w:lineRule="auto"/>
                        <w:jc w:val="center"/>
                        <w:textAlignment w:val="auto"/>
                        <w:rPr>
                          <w:rFonts w:hint="default" w:eastAsia="宋体"/>
                          <w:b/>
                          <w:bCs/>
                          <w:color w:val="FF0000"/>
                          <w:sz w:val="21"/>
                          <w:szCs w:val="20"/>
                          <w:lang w:val="en-US" w:eastAsia="zh-CN"/>
                        </w:rPr>
                      </w:pPr>
                      <w:r>
                        <w:rPr>
                          <w:rFonts w:hint="eastAsia"/>
                          <w:b/>
                          <w:bCs/>
                          <w:color w:val="FF0000"/>
                          <w:sz w:val="21"/>
                          <w:szCs w:val="20"/>
                          <w:lang w:val="en-US" w:eastAsia="zh-CN"/>
                        </w:rPr>
                        <w:t>本项目厂界</w:t>
                      </w:r>
                    </w:p>
                  </w:txbxContent>
                </v:textbox>
              </v:shape>
            </w:pict>
          </mc:Fallback>
        </mc:AlternateContent>
      </w:r>
      <w:r>
        <w:rPr>
          <w:rFonts w:hint="eastAsia" w:ascii="宋体" w:hAnsi="宋体" w:eastAsia="宋体" w:cs="宋体"/>
          <w:b/>
          <w:bCs/>
          <w:snapToGrid w:val="0"/>
          <w:color w:val="auto"/>
          <w:sz w:val="24"/>
          <w:szCs w:val="24"/>
          <w:highlight w:val="none"/>
          <w:lang w:val="en-US" w:eastAsia="zh-CN"/>
        </w:rPr>
        <w:t>附图</w:t>
      </w:r>
      <w:r>
        <w:rPr>
          <w:rFonts w:hint="default" w:ascii="Times New Roman" w:hAnsi="Times New Roman" w:eastAsia="宋体" w:cs="Times New Roman"/>
          <w:b/>
          <w:bCs/>
          <w:snapToGrid w:val="0"/>
          <w:color w:val="auto"/>
          <w:sz w:val="24"/>
          <w:szCs w:val="24"/>
          <w:highlight w:val="none"/>
          <w:lang w:val="en-US" w:eastAsia="zh-CN"/>
        </w:rPr>
        <w:t>1</w:t>
      </w:r>
      <w:r>
        <w:rPr>
          <w:rFonts w:hint="eastAsia" w:ascii="Times New Roman" w:hAnsi="Times New Roman" w:cs="Times New Roman"/>
          <w:b/>
          <w:bCs/>
          <w:snapToGrid w:val="0"/>
          <w:color w:val="auto"/>
          <w:sz w:val="24"/>
          <w:szCs w:val="24"/>
          <w:highlight w:val="none"/>
          <w:lang w:val="en-US" w:eastAsia="zh-CN"/>
        </w:rPr>
        <w:t>4</w:t>
      </w:r>
      <w:r>
        <w:rPr>
          <w:rFonts w:hint="eastAsia" w:ascii="宋体" w:hAnsi="宋体" w:eastAsia="宋体" w:cs="宋体"/>
          <w:b/>
          <w:bCs/>
          <w:snapToGrid w:val="0"/>
          <w:color w:val="auto"/>
          <w:sz w:val="24"/>
          <w:szCs w:val="24"/>
          <w:highlight w:val="none"/>
          <w:lang w:val="en-US" w:eastAsia="zh-CN"/>
        </w:rPr>
        <w:t xml:space="preserve"> 大气环境现状监测点位图</w:t>
      </w:r>
      <w:bookmarkEnd w:id="55"/>
    </w:p>
    <w:p w14:paraId="1753928B">
      <w:pPr>
        <w:rPr>
          <w:rFonts w:hint="eastAsia" w:eastAsia="宋体"/>
          <w:color w:val="auto"/>
          <w:lang w:val="en-US" w:eastAsia="zh-CN"/>
        </w:rPr>
      </w:pPr>
      <w:r>
        <w:rPr>
          <w:color w:val="auto"/>
        </w:rPr>
        <mc:AlternateContent>
          <mc:Choice Requires="wps">
            <w:drawing>
              <wp:anchor distT="0" distB="0" distL="114300" distR="114300" simplePos="0" relativeHeight="251780096" behindDoc="0" locked="0" layoutInCell="1" allowOverlap="1">
                <wp:simplePos x="0" y="0"/>
                <wp:positionH relativeFrom="column">
                  <wp:posOffset>3883660</wp:posOffset>
                </wp:positionH>
                <wp:positionV relativeFrom="paragraph">
                  <wp:posOffset>1483995</wp:posOffset>
                </wp:positionV>
                <wp:extent cx="977265" cy="333375"/>
                <wp:effectExtent l="7620" t="7620" r="20955" b="695325"/>
                <wp:wrapNone/>
                <wp:docPr id="254" name="圆角矩形标注 254"/>
                <wp:cNvGraphicFramePr/>
                <a:graphic xmlns:a="http://schemas.openxmlformats.org/drawingml/2006/main">
                  <a:graphicData uri="http://schemas.microsoft.com/office/word/2010/wordprocessingShape">
                    <wps:wsp>
                      <wps:cNvSpPr/>
                      <wps:spPr>
                        <a:xfrm>
                          <a:off x="0" y="0"/>
                          <a:ext cx="977265" cy="333375"/>
                        </a:xfrm>
                        <a:prstGeom prst="wedgeRoundRectCallout">
                          <a:avLst>
                            <a:gd name="adj1" fmla="val 31481"/>
                            <a:gd name="adj2" fmla="val 242000"/>
                            <a:gd name="adj3" fmla="val 16667"/>
                          </a:avLst>
                        </a:prstGeom>
                        <a:noFill/>
                        <a:ln w="15875" cap="flat" cmpd="sng">
                          <a:solidFill>
                            <a:srgbClr val="FFC000"/>
                          </a:solidFill>
                          <a:prstDash val="solid"/>
                          <a:miter/>
                          <a:headEnd type="none" w="med" len="med"/>
                          <a:tailEnd type="none" w="med" len="med"/>
                        </a:ln>
                      </wps:spPr>
                      <wps:txbx>
                        <w:txbxContent>
                          <w:p w14:paraId="026421EB">
                            <w:pPr>
                              <w:rPr>
                                <w:rFonts w:hint="eastAsia" w:eastAsia="宋体"/>
                                <w:b/>
                                <w:bCs/>
                                <w:lang w:val="en-US" w:eastAsia="zh-CN"/>
                              </w:rPr>
                            </w:pPr>
                            <w:r>
                              <w:rPr>
                                <w:rFonts w:hint="eastAsia"/>
                                <w:b/>
                                <w:bCs/>
                                <w:lang w:val="en-US" w:eastAsia="zh-CN"/>
                              </w:rPr>
                              <w:t>本项目位置</w:t>
                            </w:r>
                          </w:p>
                          <w:p w14:paraId="6F5CB51D"/>
                        </w:txbxContent>
                      </wps:txbx>
                      <wps:bodyPr upright="1"/>
                    </wps:wsp>
                  </a:graphicData>
                </a:graphic>
              </wp:anchor>
            </w:drawing>
          </mc:Choice>
          <mc:Fallback>
            <w:pict>
              <v:shape id="_x0000_s1026" o:spid="_x0000_s1026" o:spt="62" type="#_x0000_t62" style="position:absolute;left:0pt;margin-left:305.8pt;margin-top:116.85pt;height:26.25pt;width:76.95pt;z-index:251780096;mso-width-relative:page;mso-height-relative:page;" filled="f" stroked="t" coordsize="21600,21600" o:gfxdata="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GM2YD/ZAAAACwEAAA8A&#10;AAAAAAAAAQAgAAAAIgAAAGRycy9kb3ducmV2LnhtbFBLAQIUABQAAAAIAIdO4kAKCN5cTwIAAJcE&#10;AAAOAAAAAAAAAAEAIAAAACgBAABkcnMvZTJvRG9jLnhtbFBLBQYAAAAABgAGAFkBAADpBQAAAAA=&#10;" adj="17600,63072,14400">
                <v:fill on="f" focussize="0,0"/>
                <v:stroke weight="1.25pt" color="#FFC000" joinstyle="miter"/>
                <v:imagedata o:title=""/>
                <o:lock v:ext="edit" aspectratio="f"/>
                <v:textbox>
                  <w:txbxContent>
                    <w:p w14:paraId="026421EB">
                      <w:pPr>
                        <w:rPr>
                          <w:rFonts w:hint="eastAsia" w:eastAsia="宋体"/>
                          <w:b/>
                          <w:bCs/>
                          <w:lang w:val="en-US" w:eastAsia="zh-CN"/>
                        </w:rPr>
                      </w:pPr>
                      <w:r>
                        <w:rPr>
                          <w:rFonts w:hint="eastAsia"/>
                          <w:b/>
                          <w:bCs/>
                          <w:lang w:val="en-US" w:eastAsia="zh-CN"/>
                        </w:rPr>
                        <w:t>本项目位置</w:t>
                      </w:r>
                    </w:p>
                    <w:p w14:paraId="6F5CB51D"/>
                  </w:txbxContent>
                </v:textbox>
              </v:shape>
            </w:pict>
          </mc:Fallback>
        </mc:AlternateContent>
      </w:r>
      <w:r>
        <w:rPr>
          <w:color w:val="auto"/>
        </w:rPr>
        <w:drawing>
          <wp:anchor distT="0" distB="0" distL="114300" distR="114300" simplePos="0" relativeHeight="251782144" behindDoc="0" locked="0" layoutInCell="1" allowOverlap="1">
            <wp:simplePos x="0" y="0"/>
            <wp:positionH relativeFrom="column">
              <wp:posOffset>8109585</wp:posOffset>
            </wp:positionH>
            <wp:positionV relativeFrom="paragraph">
              <wp:posOffset>2737485</wp:posOffset>
            </wp:positionV>
            <wp:extent cx="709930" cy="612775"/>
            <wp:effectExtent l="0" t="0" r="6350" b="12065"/>
            <wp:wrapNone/>
            <wp:docPr id="2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片 2"/>
                    <pic:cNvPicPr>
                      <a:picLocks noChangeAspect="1"/>
                    </pic:cNvPicPr>
                  </pic:nvPicPr>
                  <pic:blipFill>
                    <a:blip r:embed="rId38"/>
                    <a:stretch>
                      <a:fillRect/>
                    </a:stretch>
                  </pic:blipFill>
                  <pic:spPr>
                    <a:xfrm>
                      <a:off x="0" y="0"/>
                      <a:ext cx="709930" cy="612775"/>
                    </a:xfrm>
                    <a:prstGeom prst="rect">
                      <a:avLst/>
                    </a:prstGeom>
                    <a:noFill/>
                    <a:ln>
                      <a:noFill/>
                    </a:ln>
                  </pic:spPr>
                </pic:pic>
              </a:graphicData>
            </a:graphic>
          </wp:anchor>
        </w:drawing>
      </w:r>
      <w:r>
        <w:rPr>
          <w:rFonts w:hint="eastAsia"/>
          <w:color w:val="auto"/>
          <w:lang w:val="en-US" w:eastAsia="zh-CN"/>
        </w:rPr>
        <w:drawing>
          <wp:anchor distT="0" distB="0" distL="114300" distR="114300" simplePos="0" relativeHeight="251779072" behindDoc="0" locked="0" layoutInCell="1" allowOverlap="1">
            <wp:simplePos x="0" y="0"/>
            <wp:positionH relativeFrom="column">
              <wp:posOffset>7795895</wp:posOffset>
            </wp:positionH>
            <wp:positionV relativeFrom="paragraph">
              <wp:posOffset>3449955</wp:posOffset>
            </wp:positionV>
            <wp:extent cx="1234440" cy="634365"/>
            <wp:effectExtent l="0" t="0" r="0" b="5715"/>
            <wp:wrapNone/>
            <wp:docPr id="256" name="图片 256" descr="840c3a98-0ff8-44d2-ae6b-c92e36dd05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56" descr="840c3a98-0ff8-44d2-ae6b-c92e36dd05a4"/>
                    <pic:cNvPicPr>
                      <a:picLocks noChangeAspect="1"/>
                    </pic:cNvPicPr>
                  </pic:nvPicPr>
                  <pic:blipFill>
                    <a:blip r:embed="rId53"/>
                    <a:stretch>
                      <a:fillRect/>
                    </a:stretch>
                  </pic:blipFill>
                  <pic:spPr>
                    <a:xfrm>
                      <a:off x="0" y="0"/>
                      <a:ext cx="1234440" cy="634365"/>
                    </a:xfrm>
                    <a:prstGeom prst="rect">
                      <a:avLst/>
                    </a:prstGeom>
                  </pic:spPr>
                </pic:pic>
              </a:graphicData>
            </a:graphic>
          </wp:anchor>
        </w:drawing>
      </w:r>
      <w:r>
        <w:rPr>
          <w:rFonts w:ascii="宋体" w:hAnsi="宋体" w:eastAsia="宋体" w:cs="宋体"/>
          <w:color w:val="auto"/>
          <w:kern w:val="0"/>
          <w:sz w:val="24"/>
          <w:szCs w:val="24"/>
        </w:rPr>
        <mc:AlternateContent>
          <mc:Choice Requires="wps">
            <w:drawing>
              <wp:anchor distT="0" distB="0" distL="114300" distR="114300" simplePos="0" relativeHeight="251781120" behindDoc="0" locked="0" layoutInCell="1" allowOverlap="1">
                <wp:simplePos x="0" y="0"/>
                <wp:positionH relativeFrom="column">
                  <wp:posOffset>7755890</wp:posOffset>
                </wp:positionH>
                <wp:positionV relativeFrom="paragraph">
                  <wp:posOffset>4107180</wp:posOffset>
                </wp:positionV>
                <wp:extent cx="1340485" cy="278130"/>
                <wp:effectExtent l="0" t="0" r="0" b="0"/>
                <wp:wrapNone/>
                <wp:docPr id="253" name="文本框 253"/>
                <wp:cNvGraphicFramePr/>
                <a:graphic xmlns:a="http://schemas.openxmlformats.org/drawingml/2006/main">
                  <a:graphicData uri="http://schemas.microsoft.com/office/word/2010/wordprocessingShape">
                    <wps:wsp>
                      <wps:cNvSpPr txBox="1"/>
                      <wps:spPr>
                        <a:xfrm>
                          <a:off x="0" y="0"/>
                          <a:ext cx="1340485" cy="278130"/>
                        </a:xfrm>
                        <a:prstGeom prst="rect">
                          <a:avLst/>
                        </a:prstGeom>
                        <a:noFill/>
                        <a:ln w="6350">
                          <a:noFill/>
                        </a:ln>
                        <a:effectLst/>
                      </wps:spPr>
                      <wps:txbx>
                        <w:txbxContent>
                          <w:p w14:paraId="1CF7F16C">
                            <w:pPr>
                              <w:rPr>
                                <w:rFonts w:ascii="Times New Roman" w:hAnsi="Times New Roman" w:eastAsia="宋体" w:cs="Times New Roman"/>
                                <w:b/>
                                <w:bCs/>
                                <w:color w:val="0000FF"/>
                                <w:sz w:val="24"/>
                                <w:szCs w:val="28"/>
                              </w:rPr>
                            </w:pPr>
                            <w:r>
                              <w:rPr>
                                <w:rFonts w:hint="eastAsia" w:ascii="Times New Roman" w:hAnsi="Times New Roman" w:eastAsia="宋体" w:cs="Times New Roman"/>
                                <w:b/>
                                <w:bCs/>
                                <w:color w:val="0000FF"/>
                                <w:sz w:val="24"/>
                                <w:szCs w:val="28"/>
                              </w:rPr>
                              <w:t>比例尺</w:t>
                            </w:r>
                            <w:r>
                              <w:rPr>
                                <w:rFonts w:ascii="Times New Roman" w:hAnsi="Times New Roman" w:eastAsia="宋体" w:cs="Times New Roman"/>
                                <w:b/>
                                <w:bCs/>
                                <w:color w:val="0000FF"/>
                                <w:sz w:val="24"/>
                                <w:szCs w:val="28"/>
                              </w:rPr>
                              <w:t xml:space="preserve">  1:</w:t>
                            </w:r>
                            <w:r>
                              <w:rPr>
                                <w:rFonts w:hint="eastAsia" w:cs="Times New Roman"/>
                                <w:b/>
                                <w:bCs/>
                                <w:color w:val="0000FF"/>
                                <w:sz w:val="24"/>
                                <w:szCs w:val="28"/>
                                <w:lang w:val="en-US" w:eastAsia="zh-CN"/>
                              </w:rPr>
                              <w:t>3</w:t>
                            </w:r>
                            <w:r>
                              <w:rPr>
                                <w:rFonts w:ascii="Times New Roman" w:hAnsi="Times New Roman" w:eastAsia="宋体" w:cs="Times New Roman"/>
                                <w:b/>
                                <w:bCs/>
                                <w:color w:val="0000FF"/>
                                <w:sz w:val="24"/>
                                <w:szCs w:val="28"/>
                              </w:rPr>
                              <w:t>00</w:t>
                            </w:r>
                          </w:p>
                        </w:txbxContent>
                      </wps:txbx>
                      <wps:bodyPr rot="0" spcFirstLastPara="0" vertOverflow="clip" horzOverflow="clip"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10.7pt;margin-top:323.4pt;height:21.9pt;width:105.55pt;z-index:251781120;mso-width-relative:page;mso-height-relative:page;" filled="f" stroked="f" coordsize="21600,21600" o:gfxdata="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CtXews3AAAAA0BAAAPAAAAAAAAAAEA&#10;IAAAACIAAABkcnMvZG93bnJldi54bWxQSwECFAAUAAAACACHTuJAlyoVC0QCAABwBAAADgAAAAAA&#10;AAABACAAAAArAQAAZHJzL2Uyb0RvYy54bWxQSwUGAAAAAAYABgBZAQAA4QUAAAAA&#10;">
                <v:fill on="f" focussize="0,0"/>
                <v:stroke on="f" weight="0.5pt"/>
                <v:imagedata o:title=""/>
                <o:lock v:ext="edit" aspectratio="f"/>
                <v:textbox>
                  <w:txbxContent>
                    <w:p w14:paraId="1CF7F16C">
                      <w:pPr>
                        <w:rPr>
                          <w:rFonts w:ascii="Times New Roman" w:hAnsi="Times New Roman" w:eastAsia="宋体" w:cs="Times New Roman"/>
                          <w:b/>
                          <w:bCs/>
                          <w:color w:val="0000FF"/>
                          <w:sz w:val="24"/>
                          <w:szCs w:val="28"/>
                        </w:rPr>
                      </w:pPr>
                      <w:r>
                        <w:rPr>
                          <w:rFonts w:hint="eastAsia" w:ascii="Times New Roman" w:hAnsi="Times New Roman" w:eastAsia="宋体" w:cs="Times New Roman"/>
                          <w:b/>
                          <w:bCs/>
                          <w:color w:val="0000FF"/>
                          <w:sz w:val="24"/>
                          <w:szCs w:val="28"/>
                        </w:rPr>
                        <w:t>比例尺</w:t>
                      </w:r>
                      <w:r>
                        <w:rPr>
                          <w:rFonts w:ascii="Times New Roman" w:hAnsi="Times New Roman" w:eastAsia="宋体" w:cs="Times New Roman"/>
                          <w:b/>
                          <w:bCs/>
                          <w:color w:val="0000FF"/>
                          <w:sz w:val="24"/>
                          <w:szCs w:val="28"/>
                        </w:rPr>
                        <w:t xml:space="preserve">  1:</w:t>
                      </w:r>
                      <w:r>
                        <w:rPr>
                          <w:rFonts w:hint="eastAsia" w:cs="Times New Roman"/>
                          <w:b/>
                          <w:bCs/>
                          <w:color w:val="0000FF"/>
                          <w:sz w:val="24"/>
                          <w:szCs w:val="28"/>
                          <w:lang w:val="en-US" w:eastAsia="zh-CN"/>
                        </w:rPr>
                        <w:t>3</w:t>
                      </w:r>
                      <w:r>
                        <w:rPr>
                          <w:rFonts w:ascii="Times New Roman" w:hAnsi="Times New Roman" w:eastAsia="宋体" w:cs="Times New Roman"/>
                          <w:b/>
                          <w:bCs/>
                          <w:color w:val="0000FF"/>
                          <w:sz w:val="24"/>
                          <w:szCs w:val="28"/>
                        </w:rPr>
                        <w:t>00</w:t>
                      </w:r>
                    </w:p>
                  </w:txbxContent>
                </v:textbox>
              </v:shape>
            </w:pict>
          </mc:Fallback>
        </mc:AlternateContent>
      </w:r>
      <w:r>
        <w:rPr>
          <w:rFonts w:hint="eastAsia" w:eastAsia="宋体"/>
          <w:color w:val="auto"/>
          <w:lang w:val="en-US" w:eastAsia="zh-CN"/>
        </w:rPr>
        <w:drawing>
          <wp:inline distT="0" distB="0" distL="114300" distR="114300">
            <wp:extent cx="9240520" cy="4384040"/>
            <wp:effectExtent l="9525" t="9525" r="15875" b="10795"/>
            <wp:docPr id="259" name="图片 259" descr="2322d463-acf7-4280-b367-a978a2c287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259" descr="2322d463-acf7-4280-b367-a978a2c287f1"/>
                    <pic:cNvPicPr>
                      <a:picLocks noChangeAspect="1"/>
                    </pic:cNvPicPr>
                  </pic:nvPicPr>
                  <pic:blipFill>
                    <a:blip r:embed="rId54"/>
                    <a:stretch>
                      <a:fillRect/>
                    </a:stretch>
                  </pic:blipFill>
                  <pic:spPr>
                    <a:xfrm>
                      <a:off x="0" y="0"/>
                      <a:ext cx="9240520" cy="4384040"/>
                    </a:xfrm>
                    <a:prstGeom prst="rect">
                      <a:avLst/>
                    </a:prstGeom>
                    <a:ln>
                      <a:solidFill>
                        <a:schemeClr val="tx1"/>
                      </a:solidFill>
                    </a:ln>
                  </pic:spPr>
                </pic:pic>
              </a:graphicData>
            </a:graphic>
          </wp:inline>
        </w:drawing>
      </w:r>
    </w:p>
    <w:p w14:paraId="51A8C6B5">
      <w:pPr>
        <w:pStyle w:val="18"/>
        <w:jc w:val="center"/>
        <w:outlineLvl w:val="0"/>
        <w:rPr>
          <w:rFonts w:hint="eastAsia"/>
          <w:color w:val="auto"/>
          <w:lang w:val="en-US" w:eastAsia="zh-CN"/>
        </w:rPr>
      </w:pPr>
      <w:bookmarkStart w:id="56" w:name="_Toc16987"/>
      <w:r>
        <w:rPr>
          <w:rFonts w:hint="eastAsia" w:ascii="宋体" w:hAnsi="宋体" w:eastAsia="宋体" w:cs="宋体"/>
          <w:b/>
          <w:bCs/>
          <w:snapToGrid w:val="0"/>
          <w:color w:val="auto"/>
          <w:sz w:val="24"/>
          <w:szCs w:val="24"/>
          <w:highlight w:val="none"/>
          <w:lang w:val="en-US" w:eastAsia="zh-CN"/>
        </w:rPr>
        <w:t>附</w:t>
      </w:r>
      <w:r>
        <w:rPr>
          <w:rFonts w:hint="default" w:ascii="宋体" w:hAnsi="宋体" w:eastAsia="宋体" w:cs="宋体"/>
          <w:b/>
          <w:bCs/>
          <w:snapToGrid w:val="0"/>
          <w:color w:val="auto"/>
          <w:sz w:val="24"/>
          <w:szCs w:val="24"/>
          <w:highlight w:val="none"/>
          <w:lang w:val="en-US" w:eastAsia="zh-CN"/>
        </w:rPr>
        <w:t>图</w:t>
      </w:r>
      <w:r>
        <w:rPr>
          <w:rFonts w:hint="default" w:ascii="Times New Roman" w:hAnsi="Times New Roman" w:eastAsia="宋体" w:cs="Times New Roman"/>
          <w:b/>
          <w:bCs/>
          <w:snapToGrid w:val="0"/>
          <w:color w:val="auto"/>
          <w:sz w:val="24"/>
          <w:szCs w:val="24"/>
          <w:highlight w:val="none"/>
          <w:lang w:val="en-US" w:eastAsia="zh-CN"/>
        </w:rPr>
        <w:t>1</w:t>
      </w:r>
      <w:r>
        <w:rPr>
          <w:rFonts w:hint="eastAsia" w:ascii="Times New Roman" w:hAnsi="Times New Roman" w:cs="Times New Roman"/>
          <w:b/>
          <w:bCs/>
          <w:snapToGrid w:val="0"/>
          <w:color w:val="auto"/>
          <w:sz w:val="24"/>
          <w:szCs w:val="24"/>
          <w:highlight w:val="none"/>
          <w:lang w:val="en-US" w:eastAsia="zh-CN"/>
        </w:rPr>
        <w:t>5</w:t>
      </w:r>
      <w:r>
        <w:rPr>
          <w:rFonts w:hint="default" w:ascii="宋体" w:hAnsi="宋体" w:eastAsia="宋体" w:cs="宋体"/>
          <w:b/>
          <w:bCs/>
          <w:snapToGrid w:val="0"/>
          <w:color w:val="auto"/>
          <w:sz w:val="24"/>
          <w:szCs w:val="24"/>
          <w:highlight w:val="none"/>
          <w:lang w:val="en-US" w:eastAsia="zh-CN"/>
        </w:rPr>
        <w:t xml:space="preserve"> </w:t>
      </w:r>
      <w:r>
        <w:rPr>
          <w:rFonts w:hint="eastAsia" w:ascii="宋体" w:hAnsi="宋体" w:eastAsia="宋体" w:cs="宋体"/>
          <w:b/>
          <w:bCs/>
          <w:snapToGrid w:val="0"/>
          <w:color w:val="auto"/>
          <w:sz w:val="24"/>
          <w:szCs w:val="24"/>
          <w:highlight w:val="none"/>
          <w:lang w:val="en-US" w:eastAsia="zh-CN"/>
        </w:rPr>
        <w:t>本项目与江西省生态环境分区管控信息平台比对图</w:t>
      </w:r>
      <w:bookmarkEnd w:id="56"/>
    </w:p>
    <w:p w14:paraId="3F3750E7">
      <w:pPr>
        <w:pStyle w:val="18"/>
        <w:jc w:val="center"/>
        <w:outlineLvl w:val="0"/>
        <w:rPr>
          <w:rFonts w:hint="eastAsia" w:ascii="宋体" w:hAnsi="宋体" w:eastAsia="宋体" w:cs="宋体"/>
          <w:b/>
          <w:bCs/>
          <w:snapToGrid w:val="0"/>
          <w:color w:val="auto"/>
          <w:sz w:val="24"/>
          <w:szCs w:val="24"/>
          <w:highlight w:val="none"/>
          <w:lang w:val="en-US" w:eastAsia="zh-CN"/>
        </w:rPr>
        <w:sectPr>
          <w:pgSz w:w="16838" w:h="11906" w:orient="landscape"/>
          <w:pgMar w:top="964" w:right="1134" w:bottom="964" w:left="1134" w:header="851" w:footer="567" w:gutter="0"/>
          <w:pgBorders>
            <w:top w:val="none" w:sz="0" w:space="0"/>
            <w:left w:val="none" w:sz="0" w:space="0"/>
            <w:bottom w:val="none" w:sz="0" w:space="0"/>
            <w:right w:val="none" w:sz="0" w:space="0"/>
          </w:pgBorders>
          <w:pgNumType w:fmt="decimal"/>
          <w:cols w:space="425" w:num="1"/>
          <w:docGrid w:type="lines" w:linePitch="312" w:charSpace="0"/>
        </w:sectPr>
      </w:pPr>
    </w:p>
    <w:p w14:paraId="5FFD98B4">
      <w:pPr>
        <w:bidi w:val="0"/>
        <w:jc w:val="center"/>
        <w:rPr>
          <w:rFonts w:hint="eastAsia"/>
          <w:color w:val="auto"/>
          <w:lang w:val="en-US" w:eastAsia="zh-CN"/>
        </w:rPr>
      </w:pPr>
      <w:r>
        <w:rPr>
          <w:color w:val="auto"/>
        </w:rPr>
        <mc:AlternateContent>
          <mc:Choice Requires="wps">
            <w:drawing>
              <wp:anchor distT="0" distB="0" distL="114300" distR="114300" simplePos="0" relativeHeight="251880448" behindDoc="0" locked="0" layoutInCell="1" allowOverlap="1">
                <wp:simplePos x="0" y="0"/>
                <wp:positionH relativeFrom="column">
                  <wp:posOffset>5698490</wp:posOffset>
                </wp:positionH>
                <wp:positionV relativeFrom="paragraph">
                  <wp:posOffset>1717675</wp:posOffset>
                </wp:positionV>
                <wp:extent cx="466090" cy="701675"/>
                <wp:effectExtent l="0" t="0" r="0" b="0"/>
                <wp:wrapNone/>
                <wp:docPr id="320" name="矩形 320"/>
                <wp:cNvGraphicFramePr/>
                <a:graphic xmlns:a="http://schemas.openxmlformats.org/drawingml/2006/main">
                  <a:graphicData uri="http://schemas.microsoft.com/office/word/2010/wordprocessingShape">
                    <wps:wsp>
                      <wps:cNvSpPr/>
                      <wps:spPr>
                        <a:xfrm>
                          <a:off x="0" y="0"/>
                          <a:ext cx="466090" cy="701675"/>
                        </a:xfrm>
                        <a:prstGeom prst="rect">
                          <a:avLst/>
                        </a:prstGeom>
                        <a:noFill/>
                        <a:ln w="15875">
                          <a:noFill/>
                        </a:ln>
                      </wps:spPr>
                      <wps:txbx>
                        <w:txbxContent>
                          <w:p w14:paraId="205DB066">
                            <w:pPr>
                              <w:keepNext w:val="0"/>
                              <w:keepLines w:val="0"/>
                              <w:pageBreakBefore w:val="0"/>
                              <w:widowControl w:val="0"/>
                              <w:kinsoku/>
                              <w:wordWrap/>
                              <w:overflowPunct/>
                              <w:topLinePunct w:val="0"/>
                              <w:bidi w:val="0"/>
                              <w:adjustRightInd/>
                              <w:snapToGrid/>
                              <w:spacing w:line="240" w:lineRule="atLeast"/>
                              <w:jc w:val="center"/>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鞋垫制造线</w:t>
                            </w:r>
                          </w:p>
                        </w:txbxContent>
                      </wps:txbx>
                      <wps:bodyPr upright="1"/>
                    </wps:wsp>
                  </a:graphicData>
                </a:graphic>
              </wp:anchor>
            </w:drawing>
          </mc:Choice>
          <mc:Fallback>
            <w:pict>
              <v:rect id="_x0000_s1026" o:spid="_x0000_s1026" o:spt="1" style="position:absolute;left:0pt;margin-left:448.7pt;margin-top:135.25pt;height:55.25pt;width:36.7pt;z-index:251880448;mso-width-relative:page;mso-height-relative:page;" filled="f" stroked="f" coordsize="21600,21600" o:gfxdata="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">
                <v:fill on="f" focussize="0,0"/>
                <v:stroke on="f" weight="1.25pt"/>
                <v:imagedata o:title=""/>
                <o:lock v:ext="edit" aspectratio="f"/>
                <v:textbox>
                  <w:txbxContent>
                    <w:p w14:paraId="205DB066">
                      <w:pPr>
                        <w:keepNext w:val="0"/>
                        <w:keepLines w:val="0"/>
                        <w:pageBreakBefore w:val="0"/>
                        <w:widowControl w:val="0"/>
                        <w:kinsoku/>
                        <w:wordWrap/>
                        <w:overflowPunct/>
                        <w:topLinePunct w:val="0"/>
                        <w:bidi w:val="0"/>
                        <w:adjustRightInd/>
                        <w:snapToGrid/>
                        <w:spacing w:line="240" w:lineRule="atLeast"/>
                        <w:jc w:val="center"/>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鞋垫制造线</w:t>
                      </w:r>
                    </w:p>
                  </w:txbxContent>
                </v:textbox>
              </v:rect>
            </w:pict>
          </mc:Fallback>
        </mc:AlternateContent>
      </w:r>
      <w:r>
        <w:rPr>
          <w:color w:val="auto"/>
        </w:rPr>
        <mc:AlternateContent>
          <mc:Choice Requires="wps">
            <w:drawing>
              <wp:anchor distT="0" distB="0" distL="114300" distR="114300" simplePos="0" relativeHeight="251885568" behindDoc="0" locked="0" layoutInCell="1" allowOverlap="1">
                <wp:simplePos x="0" y="0"/>
                <wp:positionH relativeFrom="column">
                  <wp:posOffset>5614670</wp:posOffset>
                </wp:positionH>
                <wp:positionV relativeFrom="paragraph">
                  <wp:posOffset>2405380</wp:posOffset>
                </wp:positionV>
                <wp:extent cx="440690" cy="1054100"/>
                <wp:effectExtent l="0" t="0" r="0" b="0"/>
                <wp:wrapNone/>
                <wp:docPr id="319" name="矩形 319"/>
                <wp:cNvGraphicFramePr/>
                <a:graphic xmlns:a="http://schemas.openxmlformats.org/drawingml/2006/main">
                  <a:graphicData uri="http://schemas.microsoft.com/office/word/2010/wordprocessingShape">
                    <wps:wsp>
                      <wps:cNvSpPr/>
                      <wps:spPr>
                        <a:xfrm>
                          <a:off x="0" y="0"/>
                          <a:ext cx="440690" cy="1054100"/>
                        </a:xfrm>
                        <a:prstGeom prst="rect">
                          <a:avLst/>
                        </a:prstGeom>
                        <a:noFill/>
                        <a:ln w="15875">
                          <a:noFill/>
                        </a:ln>
                      </wps:spPr>
                      <wps:txbx>
                        <w:txbxContent>
                          <w:p w14:paraId="6C07E1F4">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皮</w:t>
                            </w:r>
                          </w:p>
                          <w:p w14:paraId="09730189">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鞋</w:t>
                            </w:r>
                          </w:p>
                          <w:p w14:paraId="3C30E908">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生</w:t>
                            </w:r>
                          </w:p>
                          <w:p w14:paraId="7DCCF14B">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产</w:t>
                            </w:r>
                          </w:p>
                          <w:p w14:paraId="04AA113E">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线</w:t>
                            </w:r>
                          </w:p>
                        </w:txbxContent>
                      </wps:txbx>
                      <wps:bodyPr upright="1"/>
                    </wps:wsp>
                  </a:graphicData>
                </a:graphic>
              </wp:anchor>
            </w:drawing>
          </mc:Choice>
          <mc:Fallback>
            <w:pict>
              <v:rect id="_x0000_s1026" o:spid="_x0000_s1026" o:spt="1" style="position:absolute;left:0pt;margin-left:442.1pt;margin-top:189.4pt;height:83pt;width:34.7pt;z-index:251885568;mso-width-relative:page;mso-height-relative:page;" filled="f" stroked="f" coordsize="21600,21600" o:gfxdata="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CQ&#10;S7JZ3AAAAAsBAAAPAAAAAAAAAAEAIAAAACIAAABkcnMvZG93bnJldi54bWxQSwECFAAUAAAACACH&#10;TuJAKqWuQK4BAABPAwAADgAAAAAAAAABACAAAAArAQAAZHJzL2Uyb0RvYy54bWxQSwUGAAAAAAYA&#10;BgBZAQAASwUAAAAA&#10;">
                <v:fill on="f" focussize="0,0"/>
                <v:stroke on="f" weight="1.25pt"/>
                <v:imagedata o:title=""/>
                <o:lock v:ext="edit" aspectratio="f"/>
                <v:textbox>
                  <w:txbxContent>
                    <w:p w14:paraId="6C07E1F4">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皮</w:t>
                      </w:r>
                    </w:p>
                    <w:p w14:paraId="09730189">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鞋</w:t>
                      </w:r>
                    </w:p>
                    <w:p w14:paraId="3C30E908">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生</w:t>
                      </w:r>
                    </w:p>
                    <w:p w14:paraId="7DCCF14B">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产</w:t>
                      </w:r>
                    </w:p>
                    <w:p w14:paraId="04AA113E">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线</w:t>
                      </w:r>
                    </w:p>
                  </w:txbxContent>
                </v:textbox>
              </v:rect>
            </w:pict>
          </mc:Fallback>
        </mc:AlternateContent>
      </w:r>
      <w:r>
        <w:rPr>
          <w:color w:val="auto"/>
        </w:rPr>
        <mc:AlternateContent>
          <mc:Choice Requires="wps">
            <w:drawing>
              <wp:anchor distT="0" distB="0" distL="114300" distR="114300" simplePos="0" relativeHeight="251884544" behindDoc="0" locked="0" layoutInCell="1" allowOverlap="1">
                <wp:simplePos x="0" y="0"/>
                <wp:positionH relativeFrom="column">
                  <wp:posOffset>5106670</wp:posOffset>
                </wp:positionH>
                <wp:positionV relativeFrom="paragraph">
                  <wp:posOffset>2307590</wp:posOffset>
                </wp:positionV>
                <wp:extent cx="440690" cy="1333500"/>
                <wp:effectExtent l="0" t="0" r="0" b="0"/>
                <wp:wrapNone/>
                <wp:docPr id="318" name="矩形 318"/>
                <wp:cNvGraphicFramePr/>
                <a:graphic xmlns:a="http://schemas.openxmlformats.org/drawingml/2006/main">
                  <a:graphicData uri="http://schemas.microsoft.com/office/word/2010/wordprocessingShape">
                    <wps:wsp>
                      <wps:cNvSpPr/>
                      <wps:spPr>
                        <a:xfrm>
                          <a:off x="0" y="0"/>
                          <a:ext cx="440690" cy="1333500"/>
                        </a:xfrm>
                        <a:prstGeom prst="rect">
                          <a:avLst/>
                        </a:prstGeom>
                        <a:noFill/>
                        <a:ln w="15875">
                          <a:noFill/>
                        </a:ln>
                      </wps:spPr>
                      <wps:txbx>
                        <w:txbxContent>
                          <w:p w14:paraId="17611D1A">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高</w:t>
                            </w:r>
                          </w:p>
                          <w:p w14:paraId="573D12B9">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跟</w:t>
                            </w:r>
                          </w:p>
                          <w:p w14:paraId="1A143D34">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鞋</w:t>
                            </w:r>
                          </w:p>
                          <w:p w14:paraId="67CD49B6">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生</w:t>
                            </w:r>
                          </w:p>
                          <w:p w14:paraId="28A6E93F">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产</w:t>
                            </w:r>
                          </w:p>
                          <w:p w14:paraId="0F2F309C">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线</w:t>
                            </w:r>
                          </w:p>
                        </w:txbxContent>
                      </wps:txbx>
                      <wps:bodyPr upright="1"/>
                    </wps:wsp>
                  </a:graphicData>
                </a:graphic>
              </wp:anchor>
            </w:drawing>
          </mc:Choice>
          <mc:Fallback>
            <w:pict>
              <v:rect id="_x0000_s1026" o:spid="_x0000_s1026" o:spt="1" style="position:absolute;left:0pt;margin-left:402.1pt;margin-top:181.7pt;height:105pt;width:34.7pt;z-index:251884544;mso-width-relative:page;mso-height-relative:page;" filled="f" stroked="f" coordsize="21600,21600" o:gfxdata="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B+&#10;Owxl3AAAAAsBAAAPAAAAAAAAAAEAIAAAACIAAABkcnMvZG93bnJldi54bWxQSwECFAAUAAAACACH&#10;TuJASgkOVK4BAABPAwAADgAAAAAAAAABACAAAAArAQAAZHJzL2Uyb0RvYy54bWxQSwUGAAAAAAYA&#10;BgBZAQAASwUAAAAA&#10;">
                <v:fill on="f" focussize="0,0"/>
                <v:stroke on="f" weight="1.25pt"/>
                <v:imagedata o:title=""/>
                <o:lock v:ext="edit" aspectratio="f"/>
                <v:textbox>
                  <w:txbxContent>
                    <w:p w14:paraId="17611D1A">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高</w:t>
                      </w:r>
                    </w:p>
                    <w:p w14:paraId="573D12B9">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跟</w:t>
                      </w:r>
                    </w:p>
                    <w:p w14:paraId="1A143D34">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鞋</w:t>
                      </w:r>
                    </w:p>
                    <w:p w14:paraId="67CD49B6">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生</w:t>
                      </w:r>
                    </w:p>
                    <w:p w14:paraId="28A6E93F">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产</w:t>
                      </w:r>
                    </w:p>
                    <w:p w14:paraId="0F2F309C">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线</w:t>
                      </w:r>
                    </w:p>
                  </w:txbxContent>
                </v:textbox>
              </v:rect>
            </w:pict>
          </mc:Fallback>
        </mc:AlternateContent>
      </w:r>
      <w:r>
        <w:rPr>
          <w:color w:val="auto"/>
        </w:rPr>
        <mc:AlternateContent>
          <mc:Choice Requires="wps">
            <w:drawing>
              <wp:anchor distT="0" distB="0" distL="114300" distR="114300" simplePos="0" relativeHeight="251883520" behindDoc="0" locked="0" layoutInCell="1" allowOverlap="1">
                <wp:simplePos x="0" y="0"/>
                <wp:positionH relativeFrom="column">
                  <wp:posOffset>4331335</wp:posOffset>
                </wp:positionH>
                <wp:positionV relativeFrom="paragraph">
                  <wp:posOffset>3335020</wp:posOffset>
                </wp:positionV>
                <wp:extent cx="814070" cy="298450"/>
                <wp:effectExtent l="0" t="0" r="0" b="0"/>
                <wp:wrapNone/>
                <wp:docPr id="316" name="矩形 316"/>
                <wp:cNvGraphicFramePr/>
                <a:graphic xmlns:a="http://schemas.openxmlformats.org/drawingml/2006/main">
                  <a:graphicData uri="http://schemas.microsoft.com/office/word/2010/wordprocessingShape">
                    <wps:wsp>
                      <wps:cNvSpPr/>
                      <wps:spPr>
                        <a:xfrm>
                          <a:off x="0" y="0"/>
                          <a:ext cx="814070" cy="298450"/>
                        </a:xfrm>
                        <a:prstGeom prst="rect">
                          <a:avLst/>
                        </a:prstGeom>
                        <a:noFill/>
                        <a:ln w="15875">
                          <a:noFill/>
                        </a:ln>
                      </wps:spPr>
                      <wps:txbx>
                        <w:txbxContent>
                          <w:p w14:paraId="4DFFAB15">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丝网印花区</w:t>
                            </w:r>
                          </w:p>
                        </w:txbxContent>
                      </wps:txbx>
                      <wps:bodyPr upright="1"/>
                    </wps:wsp>
                  </a:graphicData>
                </a:graphic>
              </wp:anchor>
            </w:drawing>
          </mc:Choice>
          <mc:Fallback>
            <w:pict>
              <v:rect id="_x0000_s1026" o:spid="_x0000_s1026" o:spt="1" style="position:absolute;left:0pt;margin-left:341.05pt;margin-top:262.6pt;height:23.5pt;width:64.1pt;z-index:251883520;mso-width-relative:page;mso-height-relative:page;" filled="f" stroked="f" coordsize="21600,21600" o:gfxdata="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Bhm&#10;twPbAAAACwEAAA8AAAAAAAAAAQAgAAAAIgAAAGRycy9kb3ducmV2LnhtbFBLAQIUABQAAAAIAIdO&#10;4kCykENkrgEAAE4DAAAOAAAAAAAAAAEAIAAAACoBAABkcnMvZTJvRG9jLnhtbFBLBQYAAAAABgAG&#10;AFkBAABKBQAAAAA=&#10;">
                <v:fill on="f" focussize="0,0"/>
                <v:stroke on="f" weight="1.25pt"/>
                <v:imagedata o:title=""/>
                <o:lock v:ext="edit" aspectratio="f"/>
                <v:textbox>
                  <w:txbxContent>
                    <w:p w14:paraId="4DFFAB15">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丝网印花区</w:t>
                      </w:r>
                    </w:p>
                  </w:txbxContent>
                </v:textbox>
              </v:rect>
            </w:pict>
          </mc:Fallback>
        </mc:AlternateContent>
      </w:r>
      <w:r>
        <w:rPr>
          <w:color w:val="auto"/>
        </w:rPr>
        <mc:AlternateContent>
          <mc:Choice Requires="wps">
            <w:drawing>
              <wp:anchor distT="0" distB="0" distL="114300" distR="114300" simplePos="0" relativeHeight="251882496" behindDoc="0" locked="0" layoutInCell="1" allowOverlap="1">
                <wp:simplePos x="0" y="0"/>
                <wp:positionH relativeFrom="column">
                  <wp:posOffset>4135755</wp:posOffset>
                </wp:positionH>
                <wp:positionV relativeFrom="paragraph">
                  <wp:posOffset>2748280</wp:posOffset>
                </wp:positionV>
                <wp:extent cx="1056005" cy="511175"/>
                <wp:effectExtent l="0" t="0" r="0" b="0"/>
                <wp:wrapNone/>
                <wp:docPr id="315" name="矩形 315"/>
                <wp:cNvGraphicFramePr/>
                <a:graphic xmlns:a="http://schemas.openxmlformats.org/drawingml/2006/main">
                  <a:graphicData uri="http://schemas.microsoft.com/office/word/2010/wordprocessingShape">
                    <wps:wsp>
                      <wps:cNvSpPr/>
                      <wps:spPr>
                        <a:xfrm>
                          <a:off x="0" y="0"/>
                          <a:ext cx="1056005" cy="511175"/>
                        </a:xfrm>
                        <a:prstGeom prst="rect">
                          <a:avLst/>
                        </a:prstGeom>
                        <a:noFill/>
                        <a:ln w="15875">
                          <a:noFill/>
                        </a:ln>
                      </wps:spPr>
                      <wps:txbx>
                        <w:txbxContent>
                          <w:p w14:paraId="6103A7FD">
                            <w:pPr>
                              <w:keepNext w:val="0"/>
                              <w:keepLines w:val="0"/>
                              <w:pageBreakBefore w:val="0"/>
                              <w:widowControl w:val="0"/>
                              <w:kinsoku/>
                              <w:wordWrap/>
                              <w:overflowPunct/>
                              <w:topLinePunct w:val="0"/>
                              <w:bidi w:val="0"/>
                              <w:adjustRightInd/>
                              <w:snapToGrid/>
                              <w:spacing w:line="240" w:lineRule="atLeast"/>
                              <w:jc w:val="center"/>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原材料及半成品堆放区</w:t>
                            </w:r>
                          </w:p>
                        </w:txbxContent>
                      </wps:txbx>
                      <wps:bodyPr upright="1"/>
                    </wps:wsp>
                  </a:graphicData>
                </a:graphic>
              </wp:anchor>
            </w:drawing>
          </mc:Choice>
          <mc:Fallback>
            <w:pict>
              <v:rect id="_x0000_s1026" o:spid="_x0000_s1026" o:spt="1" style="position:absolute;left:0pt;margin-left:325.65pt;margin-top:216.4pt;height:40.25pt;width:83.15pt;z-index:251882496;mso-width-relative:page;mso-height-relative:page;" filled="f" stroked="f" coordsize="21600,21600" o:gfxdata="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">
                <v:fill on="f" focussize="0,0"/>
                <v:stroke on="f" weight="1.25pt"/>
                <v:imagedata o:title=""/>
                <o:lock v:ext="edit" aspectratio="f"/>
                <v:textbox>
                  <w:txbxContent>
                    <w:p w14:paraId="6103A7FD">
                      <w:pPr>
                        <w:keepNext w:val="0"/>
                        <w:keepLines w:val="0"/>
                        <w:pageBreakBefore w:val="0"/>
                        <w:widowControl w:val="0"/>
                        <w:kinsoku/>
                        <w:wordWrap/>
                        <w:overflowPunct/>
                        <w:topLinePunct w:val="0"/>
                        <w:bidi w:val="0"/>
                        <w:adjustRightInd/>
                        <w:snapToGrid/>
                        <w:spacing w:line="240" w:lineRule="atLeast"/>
                        <w:jc w:val="center"/>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原材料及半成品堆放区</w:t>
                      </w:r>
                    </w:p>
                  </w:txbxContent>
                </v:textbox>
              </v:rect>
            </w:pict>
          </mc:Fallback>
        </mc:AlternateContent>
      </w:r>
      <w:r>
        <w:rPr>
          <w:color w:val="auto"/>
        </w:rPr>
        <mc:AlternateContent>
          <mc:Choice Requires="wps">
            <w:drawing>
              <wp:anchor distT="0" distB="0" distL="114300" distR="114300" simplePos="0" relativeHeight="251881472" behindDoc="0" locked="0" layoutInCell="1" allowOverlap="1">
                <wp:simplePos x="0" y="0"/>
                <wp:positionH relativeFrom="column">
                  <wp:posOffset>3554095</wp:posOffset>
                </wp:positionH>
                <wp:positionV relativeFrom="paragraph">
                  <wp:posOffset>2360930</wp:posOffset>
                </wp:positionV>
                <wp:extent cx="860425" cy="335915"/>
                <wp:effectExtent l="0" t="0" r="0" b="0"/>
                <wp:wrapNone/>
                <wp:docPr id="314" name="矩形 314"/>
                <wp:cNvGraphicFramePr/>
                <a:graphic xmlns:a="http://schemas.openxmlformats.org/drawingml/2006/main">
                  <a:graphicData uri="http://schemas.microsoft.com/office/word/2010/wordprocessingShape">
                    <wps:wsp>
                      <wps:cNvSpPr/>
                      <wps:spPr>
                        <a:xfrm>
                          <a:off x="0" y="0"/>
                          <a:ext cx="860425" cy="335915"/>
                        </a:xfrm>
                        <a:prstGeom prst="rect">
                          <a:avLst/>
                        </a:prstGeom>
                        <a:noFill/>
                        <a:ln w="15875">
                          <a:noFill/>
                        </a:ln>
                      </wps:spPr>
                      <wps:txbx>
                        <w:txbxContent>
                          <w:p w14:paraId="04CA0D4F">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化学品仓库</w:t>
                            </w:r>
                          </w:p>
                        </w:txbxContent>
                      </wps:txbx>
                      <wps:bodyPr upright="1"/>
                    </wps:wsp>
                  </a:graphicData>
                </a:graphic>
              </wp:anchor>
            </w:drawing>
          </mc:Choice>
          <mc:Fallback>
            <w:pict>
              <v:rect id="_x0000_s1026" o:spid="_x0000_s1026" o:spt="1" style="position:absolute;left:0pt;margin-left:279.85pt;margin-top:185.9pt;height:26.45pt;width:67.75pt;z-index:251881472;mso-width-relative:page;mso-height-relative:page;" filled="f" stroked="f" coordsize="21600,21600" o:gfxdata="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VJ6G8twAAAALAQAADwAAAAAAAAABACAAAAAiAAAAZHJzL2Rvd25yZXYueG1sUEsBAhQAFAAAAAgA&#10;h07iQL62HTGvAQAATgMAAA4AAAAAAAAAAQAgAAAAKwEAAGRycy9lMm9Eb2MueG1sUEsFBgAAAAAG&#10;AAYAWQEAAEwFAAAAAA==&#10;">
                <v:fill on="f" focussize="0,0"/>
                <v:stroke on="f" weight="1.25pt"/>
                <v:imagedata o:title=""/>
                <o:lock v:ext="edit" aspectratio="f"/>
                <v:textbox>
                  <w:txbxContent>
                    <w:p w14:paraId="04CA0D4F">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化学品仓库</w:t>
                      </w:r>
                    </w:p>
                  </w:txbxContent>
                </v:textbox>
              </v:rect>
            </w:pict>
          </mc:Fallback>
        </mc:AlternateContent>
      </w:r>
      <w:r>
        <w:rPr>
          <w:color w:val="auto"/>
        </w:rPr>
        <mc:AlternateContent>
          <mc:Choice Requires="wps">
            <w:drawing>
              <wp:anchor distT="0" distB="0" distL="114300" distR="114300" simplePos="0" relativeHeight="251879424" behindDoc="0" locked="0" layoutInCell="1" allowOverlap="1">
                <wp:simplePos x="0" y="0"/>
                <wp:positionH relativeFrom="column">
                  <wp:posOffset>6127750</wp:posOffset>
                </wp:positionH>
                <wp:positionV relativeFrom="paragraph">
                  <wp:posOffset>4055110</wp:posOffset>
                </wp:positionV>
                <wp:extent cx="860425" cy="335915"/>
                <wp:effectExtent l="0" t="0" r="0" b="0"/>
                <wp:wrapNone/>
                <wp:docPr id="313" name="矩形 313"/>
                <wp:cNvGraphicFramePr/>
                <a:graphic xmlns:a="http://schemas.openxmlformats.org/drawingml/2006/main">
                  <a:graphicData uri="http://schemas.microsoft.com/office/word/2010/wordprocessingShape">
                    <wps:wsp>
                      <wps:cNvSpPr/>
                      <wps:spPr>
                        <a:xfrm>
                          <a:off x="0" y="0"/>
                          <a:ext cx="860425" cy="335915"/>
                        </a:xfrm>
                        <a:prstGeom prst="rect">
                          <a:avLst/>
                        </a:prstGeom>
                        <a:noFill/>
                        <a:ln w="15875">
                          <a:noFill/>
                        </a:ln>
                      </wps:spPr>
                      <wps:txbx>
                        <w:txbxContent>
                          <w:p w14:paraId="15DF6516">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一般固废间</w:t>
                            </w:r>
                          </w:p>
                        </w:txbxContent>
                      </wps:txbx>
                      <wps:bodyPr upright="1"/>
                    </wps:wsp>
                  </a:graphicData>
                </a:graphic>
              </wp:anchor>
            </w:drawing>
          </mc:Choice>
          <mc:Fallback>
            <w:pict>
              <v:rect id="_x0000_s1026" o:spid="_x0000_s1026" o:spt="1" style="position:absolute;left:0pt;margin-left:482.5pt;margin-top:319.3pt;height:26.45pt;width:67.75pt;z-index:251879424;mso-width-relative:page;mso-height-relative:page;" filled="f" stroked="f" coordsize="21600,21600" o:gfxdata="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Bj&#10;EMMB3AAAAAwBAAAPAAAAAAAAAAEAIAAAACIAAABkcnMvZG93bnJldi54bWxQSwECFAAUAAAACACH&#10;TuJA6yIvtK4BAABOAwAADgAAAAAAAAABACAAAAArAQAAZHJzL2Uyb0RvYy54bWxQSwUGAAAAAAYA&#10;BgBZAQAASwUAAAAA&#10;">
                <v:fill on="f" focussize="0,0"/>
                <v:stroke on="f" weight="1.25pt"/>
                <v:imagedata o:title=""/>
                <o:lock v:ext="edit" aspectratio="f"/>
                <v:textbox>
                  <w:txbxContent>
                    <w:p w14:paraId="15DF6516">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一般固废间</w:t>
                      </w:r>
                    </w:p>
                  </w:txbxContent>
                </v:textbox>
              </v:rect>
            </w:pict>
          </mc:Fallback>
        </mc:AlternateContent>
      </w:r>
      <w:r>
        <w:rPr>
          <w:color w:val="auto"/>
        </w:rPr>
        <mc:AlternateContent>
          <mc:Choice Requires="wps">
            <w:drawing>
              <wp:anchor distT="0" distB="0" distL="114300" distR="114300" simplePos="0" relativeHeight="251878400" behindDoc="0" locked="0" layoutInCell="1" allowOverlap="1">
                <wp:simplePos x="0" y="0"/>
                <wp:positionH relativeFrom="column">
                  <wp:posOffset>6062345</wp:posOffset>
                </wp:positionH>
                <wp:positionV relativeFrom="paragraph">
                  <wp:posOffset>3815715</wp:posOffset>
                </wp:positionV>
                <wp:extent cx="860425" cy="335915"/>
                <wp:effectExtent l="0" t="0" r="0" b="0"/>
                <wp:wrapNone/>
                <wp:docPr id="312" name="矩形 312"/>
                <wp:cNvGraphicFramePr/>
                <a:graphic xmlns:a="http://schemas.openxmlformats.org/drawingml/2006/main">
                  <a:graphicData uri="http://schemas.microsoft.com/office/word/2010/wordprocessingShape">
                    <wps:wsp>
                      <wps:cNvSpPr/>
                      <wps:spPr>
                        <a:xfrm>
                          <a:off x="0" y="0"/>
                          <a:ext cx="860425" cy="335915"/>
                        </a:xfrm>
                        <a:prstGeom prst="rect">
                          <a:avLst/>
                        </a:prstGeom>
                        <a:noFill/>
                        <a:ln w="15875">
                          <a:noFill/>
                        </a:ln>
                      </wps:spPr>
                      <wps:txbx>
                        <w:txbxContent>
                          <w:p w14:paraId="021EAE7C">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危废暂存间</w:t>
                            </w:r>
                          </w:p>
                        </w:txbxContent>
                      </wps:txbx>
                      <wps:bodyPr upright="1"/>
                    </wps:wsp>
                  </a:graphicData>
                </a:graphic>
              </wp:anchor>
            </w:drawing>
          </mc:Choice>
          <mc:Fallback>
            <w:pict>
              <v:rect id="_x0000_s1026" o:spid="_x0000_s1026" o:spt="1" style="position:absolute;left:0pt;margin-left:477.35pt;margin-top:300.45pt;height:26.45pt;width:67.75pt;z-index:251878400;mso-width-relative:page;mso-height-relative:page;" filled="f" stroked="f" coordsize="21600,21600" o:gfxdata="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D9&#10;UL3l3AAAAAwBAAAPAAAAAAAAAAEAIAAAACIAAABkcnMvZG93bnJldi54bWxQSwECFAAUAAAACACH&#10;TuJAGnwECa4BAABOAwAADgAAAAAAAAABACAAAAArAQAAZHJzL2Uyb0RvYy54bWxQSwUGAAAAAAYA&#10;BgBZAQAASwUAAAAA&#10;">
                <v:fill on="f" focussize="0,0"/>
                <v:stroke on="f" weight="1.25pt"/>
                <v:imagedata o:title=""/>
                <o:lock v:ext="edit" aspectratio="f"/>
                <v:textbox>
                  <w:txbxContent>
                    <w:p w14:paraId="021EAE7C">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危废暂存间</w:t>
                      </w:r>
                    </w:p>
                  </w:txbxContent>
                </v:textbox>
              </v:rect>
            </w:pict>
          </mc:Fallback>
        </mc:AlternateContent>
      </w:r>
      <w:r>
        <w:rPr>
          <w:color w:val="auto"/>
        </w:rPr>
        <mc:AlternateContent>
          <mc:Choice Requires="wps">
            <w:drawing>
              <wp:anchor distT="0" distB="0" distL="114300" distR="114300" simplePos="0" relativeHeight="251877376" behindDoc="0" locked="0" layoutInCell="1" allowOverlap="1">
                <wp:simplePos x="0" y="0"/>
                <wp:positionH relativeFrom="column">
                  <wp:posOffset>5283835</wp:posOffset>
                </wp:positionH>
                <wp:positionV relativeFrom="paragraph">
                  <wp:posOffset>3775710</wp:posOffset>
                </wp:positionV>
                <wp:extent cx="635000" cy="335915"/>
                <wp:effectExtent l="0" t="0" r="0" b="0"/>
                <wp:wrapNone/>
                <wp:docPr id="311" name="矩形 311"/>
                <wp:cNvGraphicFramePr/>
                <a:graphic xmlns:a="http://schemas.openxmlformats.org/drawingml/2006/main">
                  <a:graphicData uri="http://schemas.microsoft.com/office/word/2010/wordprocessingShape">
                    <wps:wsp>
                      <wps:cNvSpPr/>
                      <wps:spPr>
                        <a:xfrm>
                          <a:off x="0" y="0"/>
                          <a:ext cx="635000" cy="335915"/>
                        </a:xfrm>
                        <a:prstGeom prst="rect">
                          <a:avLst/>
                        </a:prstGeom>
                        <a:noFill/>
                        <a:ln w="15875">
                          <a:noFill/>
                        </a:ln>
                      </wps:spPr>
                      <wps:txbx>
                        <w:txbxContent>
                          <w:p w14:paraId="4F5F6A82">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裁断区</w:t>
                            </w:r>
                          </w:p>
                        </w:txbxContent>
                      </wps:txbx>
                      <wps:bodyPr upright="1"/>
                    </wps:wsp>
                  </a:graphicData>
                </a:graphic>
              </wp:anchor>
            </w:drawing>
          </mc:Choice>
          <mc:Fallback>
            <w:pict>
              <v:rect id="_x0000_s1026" o:spid="_x0000_s1026" o:spt="1" style="position:absolute;left:0pt;margin-left:416.05pt;margin-top:297.3pt;height:26.45pt;width:50pt;z-index:251877376;mso-width-relative:page;mso-height-relative:page;" filled="f" stroked="f" coordsize="21600,21600" o:gfxdata="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">
                <v:fill on="f" focussize="0,0"/>
                <v:stroke on="f" weight="1.25pt"/>
                <v:imagedata o:title=""/>
                <o:lock v:ext="edit" aspectratio="f"/>
                <v:textbox>
                  <w:txbxContent>
                    <w:p w14:paraId="4F5F6A82">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裁断区</w:t>
                      </w:r>
                    </w:p>
                  </w:txbxContent>
                </v:textbox>
              </v:rect>
            </w:pict>
          </mc:Fallback>
        </mc:AlternateContent>
      </w:r>
      <w:r>
        <w:rPr>
          <w:color w:val="auto"/>
        </w:rPr>
        <mc:AlternateContent>
          <mc:Choice Requires="wps">
            <w:drawing>
              <wp:anchor distT="0" distB="0" distL="114300" distR="114300" simplePos="0" relativeHeight="251876352" behindDoc="0" locked="0" layoutInCell="1" allowOverlap="1">
                <wp:simplePos x="0" y="0"/>
                <wp:positionH relativeFrom="column">
                  <wp:posOffset>4634230</wp:posOffset>
                </wp:positionH>
                <wp:positionV relativeFrom="paragraph">
                  <wp:posOffset>1489075</wp:posOffset>
                </wp:positionV>
                <wp:extent cx="1154430" cy="335915"/>
                <wp:effectExtent l="0" t="0" r="0" b="0"/>
                <wp:wrapNone/>
                <wp:docPr id="310" name="矩形 310"/>
                <wp:cNvGraphicFramePr/>
                <a:graphic xmlns:a="http://schemas.openxmlformats.org/drawingml/2006/main">
                  <a:graphicData uri="http://schemas.microsoft.com/office/word/2010/wordprocessingShape">
                    <wps:wsp>
                      <wps:cNvSpPr/>
                      <wps:spPr>
                        <a:xfrm>
                          <a:off x="0" y="0"/>
                          <a:ext cx="1154430" cy="335915"/>
                        </a:xfrm>
                        <a:prstGeom prst="rect">
                          <a:avLst/>
                        </a:prstGeom>
                        <a:noFill/>
                        <a:ln w="15875">
                          <a:noFill/>
                        </a:ln>
                      </wps:spPr>
                      <wps:txbx>
                        <w:txbxContent>
                          <w:p w14:paraId="2CFDA114">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注塑鞋底制造线</w:t>
                            </w:r>
                          </w:p>
                        </w:txbxContent>
                      </wps:txbx>
                      <wps:bodyPr upright="1"/>
                    </wps:wsp>
                  </a:graphicData>
                </a:graphic>
              </wp:anchor>
            </w:drawing>
          </mc:Choice>
          <mc:Fallback>
            <w:pict>
              <v:rect id="_x0000_s1026" o:spid="_x0000_s1026" o:spt="1" style="position:absolute;left:0pt;margin-left:364.9pt;margin-top:117.25pt;height:26.45pt;width:90.9pt;z-index:251876352;mso-width-relative:page;mso-height-relative:page;" filled="f" stroked="f" coordsize="21600,21600" o:gfxdata="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Cj&#10;z6JI3AAAAAsBAAAPAAAAAAAAAAEAIAAAACIAAABkcnMvZG93bnJldi54bWxQSwECFAAUAAAACACH&#10;TuJAChetAa4BAABPAwAADgAAAAAAAAABACAAAAArAQAAZHJzL2Uyb0RvYy54bWxQSwUGAAAAAAYA&#10;BgBZAQAASwUAAAAA&#10;">
                <v:fill on="f" focussize="0,0"/>
                <v:stroke on="f" weight="1.25pt"/>
                <v:imagedata o:title=""/>
                <o:lock v:ext="edit" aspectratio="f"/>
                <v:textbox>
                  <w:txbxContent>
                    <w:p w14:paraId="2CFDA114">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注塑鞋底制造线</w:t>
                      </w:r>
                    </w:p>
                  </w:txbxContent>
                </v:textbox>
              </v:rect>
            </w:pict>
          </mc:Fallback>
        </mc:AlternateContent>
      </w:r>
      <w:r>
        <w:rPr>
          <w:color w:val="auto"/>
        </w:rPr>
        <mc:AlternateContent>
          <mc:Choice Requires="wps">
            <w:drawing>
              <wp:anchor distT="0" distB="0" distL="114300" distR="114300" simplePos="0" relativeHeight="251875328" behindDoc="0" locked="0" layoutInCell="1" allowOverlap="1">
                <wp:simplePos x="0" y="0"/>
                <wp:positionH relativeFrom="column">
                  <wp:posOffset>4568825</wp:posOffset>
                </wp:positionH>
                <wp:positionV relativeFrom="paragraph">
                  <wp:posOffset>1917065</wp:posOffset>
                </wp:positionV>
                <wp:extent cx="1154430" cy="335915"/>
                <wp:effectExtent l="0" t="0" r="0" b="0"/>
                <wp:wrapNone/>
                <wp:docPr id="309" name="矩形 309"/>
                <wp:cNvGraphicFramePr/>
                <a:graphic xmlns:a="http://schemas.openxmlformats.org/drawingml/2006/main">
                  <a:graphicData uri="http://schemas.microsoft.com/office/word/2010/wordprocessingShape">
                    <wps:wsp>
                      <wps:cNvSpPr/>
                      <wps:spPr>
                        <a:xfrm>
                          <a:off x="0" y="0"/>
                          <a:ext cx="1154430" cy="335915"/>
                        </a:xfrm>
                        <a:prstGeom prst="rect">
                          <a:avLst/>
                        </a:prstGeom>
                        <a:noFill/>
                        <a:ln w="15875">
                          <a:noFill/>
                        </a:ln>
                      </wps:spPr>
                      <wps:txbx>
                        <w:txbxContent>
                          <w:p w14:paraId="7C358CD6">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PVC注塑鞋生产线</w:t>
                            </w:r>
                          </w:p>
                        </w:txbxContent>
                      </wps:txbx>
                      <wps:bodyPr upright="1"/>
                    </wps:wsp>
                  </a:graphicData>
                </a:graphic>
              </wp:anchor>
            </w:drawing>
          </mc:Choice>
          <mc:Fallback>
            <w:pict>
              <v:rect id="_x0000_s1026" o:spid="_x0000_s1026" o:spt="1" style="position:absolute;left:0pt;margin-left:359.75pt;margin-top:150.95pt;height:26.45pt;width:90.9pt;z-index:251875328;mso-width-relative:page;mso-height-relative:page;" filled="f" stroked="f" coordsize="21600,21600" o:gfxdata="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DI&#10;8cnO3AAAAAsBAAAPAAAAAAAAAAEAIAAAACIAAABkcnMvZG93bnJldi54bWxQSwECFAAUAAAACACH&#10;TuJAH75UrK4BAABPAwAADgAAAAAAAAABACAAAAArAQAAZHJzL2Uyb0RvYy54bWxQSwUGAAAAAAYA&#10;BgBZAQAASwUAAAAA&#10;">
                <v:fill on="f" focussize="0,0"/>
                <v:stroke on="f" weight="1.25pt"/>
                <v:imagedata o:title=""/>
                <o:lock v:ext="edit" aspectratio="f"/>
                <v:textbox>
                  <w:txbxContent>
                    <w:p w14:paraId="7C358CD6">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PVC注塑鞋生产线</w:t>
                      </w:r>
                    </w:p>
                  </w:txbxContent>
                </v:textbox>
              </v:rect>
            </w:pict>
          </mc:Fallback>
        </mc:AlternateContent>
      </w:r>
      <w:r>
        <w:rPr>
          <w:color w:val="auto"/>
        </w:rPr>
        <mc:AlternateContent>
          <mc:Choice Requires="wps">
            <w:drawing>
              <wp:anchor distT="0" distB="0" distL="114300" distR="114300" simplePos="0" relativeHeight="251874304" behindDoc="0" locked="0" layoutInCell="1" allowOverlap="1">
                <wp:simplePos x="0" y="0"/>
                <wp:positionH relativeFrom="column">
                  <wp:posOffset>3931920</wp:posOffset>
                </wp:positionH>
                <wp:positionV relativeFrom="paragraph">
                  <wp:posOffset>1955165</wp:posOffset>
                </wp:positionV>
                <wp:extent cx="436245" cy="551815"/>
                <wp:effectExtent l="0" t="0" r="0" b="0"/>
                <wp:wrapNone/>
                <wp:docPr id="307" name="矩形 307"/>
                <wp:cNvGraphicFramePr/>
                <a:graphic xmlns:a="http://schemas.openxmlformats.org/drawingml/2006/main">
                  <a:graphicData uri="http://schemas.microsoft.com/office/word/2010/wordprocessingShape">
                    <wps:wsp>
                      <wps:cNvSpPr/>
                      <wps:spPr>
                        <a:xfrm>
                          <a:off x="0" y="0"/>
                          <a:ext cx="436245" cy="551815"/>
                        </a:xfrm>
                        <a:prstGeom prst="rect">
                          <a:avLst/>
                        </a:prstGeom>
                        <a:noFill/>
                        <a:ln w="15875">
                          <a:noFill/>
                        </a:ln>
                      </wps:spPr>
                      <wps:txbx>
                        <w:txbxContent>
                          <w:p w14:paraId="22146E68">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办公区</w:t>
                            </w:r>
                          </w:p>
                        </w:txbxContent>
                      </wps:txbx>
                      <wps:bodyPr upright="1"/>
                    </wps:wsp>
                  </a:graphicData>
                </a:graphic>
              </wp:anchor>
            </w:drawing>
          </mc:Choice>
          <mc:Fallback>
            <w:pict>
              <v:rect id="_x0000_s1026" o:spid="_x0000_s1026" o:spt="1" style="position:absolute;left:0pt;margin-left:309.6pt;margin-top:153.95pt;height:43.45pt;width:34.35pt;z-index:251874304;mso-width-relative:page;mso-height-relative:page;" filled="f" stroked="f" coordsize="21600,21600" o:gfxdata="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lRcc&#10;sdoAAAALAQAADwAAAAAAAAABACAAAAAiAAAAZHJzL2Rvd25yZXYueG1sUEsBAhQAFAAAAAgAh07i&#10;QKqRrw+uAQAATgMAAA4AAAAAAAAAAQAgAAAAKQEAAGRycy9lMm9Eb2MueG1sUEsFBgAAAAAGAAYA&#10;WQEAAEkFAAAAAA==&#10;">
                <v:fill on="f" focussize="0,0"/>
                <v:stroke on="f" weight="1.25pt"/>
                <v:imagedata o:title=""/>
                <o:lock v:ext="edit" aspectratio="f"/>
                <v:textbox>
                  <w:txbxContent>
                    <w:p w14:paraId="22146E68">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办公区</w:t>
                      </w:r>
                    </w:p>
                  </w:txbxContent>
                </v:textbox>
              </v:rect>
            </w:pict>
          </mc:Fallback>
        </mc:AlternateContent>
      </w:r>
      <w:r>
        <w:rPr>
          <w:color w:val="auto"/>
        </w:rPr>
        <mc:AlternateContent>
          <mc:Choice Requires="wps">
            <w:drawing>
              <wp:anchor distT="0" distB="0" distL="114300" distR="114300" simplePos="0" relativeHeight="251873280" behindDoc="0" locked="0" layoutInCell="1" allowOverlap="1">
                <wp:simplePos x="0" y="0"/>
                <wp:positionH relativeFrom="column">
                  <wp:posOffset>3970020</wp:posOffset>
                </wp:positionH>
                <wp:positionV relativeFrom="paragraph">
                  <wp:posOffset>1464945</wp:posOffset>
                </wp:positionV>
                <wp:extent cx="367665" cy="551815"/>
                <wp:effectExtent l="0" t="0" r="0" b="0"/>
                <wp:wrapNone/>
                <wp:docPr id="306" name="矩形 306"/>
                <wp:cNvGraphicFramePr/>
                <a:graphic xmlns:a="http://schemas.openxmlformats.org/drawingml/2006/main">
                  <a:graphicData uri="http://schemas.microsoft.com/office/word/2010/wordprocessingShape">
                    <wps:wsp>
                      <wps:cNvSpPr/>
                      <wps:spPr>
                        <a:xfrm>
                          <a:off x="0" y="0"/>
                          <a:ext cx="367665" cy="551815"/>
                        </a:xfrm>
                        <a:prstGeom prst="rect">
                          <a:avLst/>
                        </a:prstGeom>
                        <a:noFill/>
                        <a:ln w="15875">
                          <a:noFill/>
                        </a:ln>
                      </wps:spPr>
                      <wps:txbx>
                        <w:txbxContent>
                          <w:p w14:paraId="0C59100E">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食</w:t>
                            </w:r>
                          </w:p>
                          <w:p w14:paraId="43399DD3">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堂</w:t>
                            </w:r>
                          </w:p>
                        </w:txbxContent>
                      </wps:txbx>
                      <wps:bodyPr upright="1"/>
                    </wps:wsp>
                  </a:graphicData>
                </a:graphic>
              </wp:anchor>
            </w:drawing>
          </mc:Choice>
          <mc:Fallback>
            <w:pict>
              <v:rect id="_x0000_s1026" o:spid="_x0000_s1026" o:spt="1" style="position:absolute;left:0pt;margin-left:312.6pt;margin-top:115.35pt;height:43.45pt;width:28.95pt;z-index:251873280;mso-width-relative:page;mso-height-relative:page;" filled="f" stroked="f" coordsize="21600,21600" o:gfxdata="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LMm&#10;dTLbAAAACwEAAA8AAAAAAAAAAQAgAAAAIgAAAGRycy9kb3ducmV2LnhtbFBLAQIUABQAAAAIAIdO&#10;4kA2wLTprgEAAE4DAAAOAAAAAAAAAAEAIAAAACoBAABkcnMvZTJvRG9jLnhtbFBLBQYAAAAABgAG&#10;AFkBAABKBQAAAAA=&#10;">
                <v:fill on="f" focussize="0,0"/>
                <v:stroke on="f" weight="1.25pt"/>
                <v:imagedata o:title=""/>
                <o:lock v:ext="edit" aspectratio="f"/>
                <v:textbox>
                  <w:txbxContent>
                    <w:p w14:paraId="0C59100E">
                      <w:pPr>
                        <w:keepNext w:val="0"/>
                        <w:keepLines w:val="0"/>
                        <w:pageBreakBefore w:val="0"/>
                        <w:widowControl w:val="0"/>
                        <w:kinsoku/>
                        <w:wordWrap/>
                        <w:overflowPunct/>
                        <w:topLinePunct w:val="0"/>
                        <w:bidi w:val="0"/>
                        <w:adjustRightInd/>
                        <w:snapToGrid/>
                        <w:spacing w:line="240" w:lineRule="atLeast"/>
                        <w:textAlignment w:val="auto"/>
                        <w:rPr>
                          <w:rFonts w:hint="eastAsia"/>
                          <w:b w:val="0"/>
                          <w:bCs w:val="0"/>
                          <w:color w:val="FF0000"/>
                          <w:sz w:val="18"/>
                          <w:szCs w:val="21"/>
                          <w:lang w:val="en-US" w:eastAsia="zh-CN"/>
                        </w:rPr>
                      </w:pPr>
                      <w:r>
                        <w:rPr>
                          <w:rFonts w:hint="eastAsia"/>
                          <w:b w:val="0"/>
                          <w:bCs w:val="0"/>
                          <w:color w:val="FF0000"/>
                          <w:sz w:val="18"/>
                          <w:szCs w:val="21"/>
                          <w:lang w:val="en-US" w:eastAsia="zh-CN"/>
                        </w:rPr>
                        <w:t>食</w:t>
                      </w:r>
                    </w:p>
                    <w:p w14:paraId="43399DD3">
                      <w:pPr>
                        <w:keepNext w:val="0"/>
                        <w:keepLines w:val="0"/>
                        <w:pageBreakBefore w:val="0"/>
                        <w:widowControl w:val="0"/>
                        <w:kinsoku/>
                        <w:wordWrap/>
                        <w:overflowPunct/>
                        <w:topLinePunct w:val="0"/>
                        <w:bidi w:val="0"/>
                        <w:adjustRightInd/>
                        <w:snapToGrid/>
                        <w:spacing w:line="240" w:lineRule="atLeast"/>
                        <w:textAlignment w:val="auto"/>
                        <w:rPr>
                          <w:rFonts w:hint="default"/>
                          <w:b w:val="0"/>
                          <w:bCs w:val="0"/>
                          <w:color w:val="FF0000"/>
                          <w:sz w:val="18"/>
                          <w:szCs w:val="21"/>
                          <w:lang w:val="en-US" w:eastAsia="zh-CN"/>
                        </w:rPr>
                      </w:pPr>
                      <w:r>
                        <w:rPr>
                          <w:rFonts w:hint="eastAsia"/>
                          <w:b w:val="0"/>
                          <w:bCs w:val="0"/>
                          <w:color w:val="FF0000"/>
                          <w:sz w:val="18"/>
                          <w:szCs w:val="21"/>
                          <w:lang w:val="en-US" w:eastAsia="zh-CN"/>
                        </w:rPr>
                        <w:t>堂</w:t>
                      </w:r>
                    </w:p>
                  </w:txbxContent>
                </v:textbox>
              </v:rect>
            </w:pict>
          </mc:Fallback>
        </mc:AlternateContent>
      </w:r>
      <w:r>
        <w:rPr>
          <w:rFonts w:hint="eastAsia"/>
          <w:color w:val="auto"/>
          <w:lang w:val="en-US" w:eastAsia="zh-CN"/>
        </w:rPr>
        <w:drawing>
          <wp:inline distT="0" distB="0" distL="114300" distR="114300">
            <wp:extent cx="8336280" cy="5899150"/>
            <wp:effectExtent l="0" t="0" r="0" b="13970"/>
            <wp:docPr id="281" name="图片 281" descr="包露线红鲤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图片 281" descr="包露线红鲤鱼"/>
                    <pic:cNvPicPr>
                      <a:picLocks noChangeAspect="1"/>
                    </pic:cNvPicPr>
                  </pic:nvPicPr>
                  <pic:blipFill>
                    <a:blip r:embed="rId55"/>
                    <a:stretch>
                      <a:fillRect/>
                    </a:stretch>
                  </pic:blipFill>
                  <pic:spPr>
                    <a:xfrm>
                      <a:off x="0" y="0"/>
                      <a:ext cx="8336280" cy="5899150"/>
                    </a:xfrm>
                    <a:prstGeom prst="rect">
                      <a:avLst/>
                    </a:prstGeom>
                  </pic:spPr>
                </pic:pic>
              </a:graphicData>
            </a:graphic>
          </wp:inline>
        </w:drawing>
      </w:r>
      <w:r>
        <w:rPr>
          <w:color w:val="auto"/>
        </w:rPr>
        <mc:AlternateContent>
          <mc:Choice Requires="wps">
            <w:drawing>
              <wp:anchor distT="0" distB="0" distL="114300" distR="114300" simplePos="0" relativeHeight="251871232" behindDoc="0" locked="0" layoutInCell="1" allowOverlap="1">
                <wp:simplePos x="0" y="0"/>
                <wp:positionH relativeFrom="column">
                  <wp:posOffset>3618230</wp:posOffset>
                </wp:positionH>
                <wp:positionV relativeFrom="paragraph">
                  <wp:posOffset>1551305</wp:posOffset>
                </wp:positionV>
                <wp:extent cx="508635" cy="285750"/>
                <wp:effectExtent l="0" t="0" r="0" b="0"/>
                <wp:wrapNone/>
                <wp:docPr id="302" name="矩形 302"/>
                <wp:cNvGraphicFramePr/>
                <a:graphic xmlns:a="http://schemas.openxmlformats.org/drawingml/2006/main">
                  <a:graphicData uri="http://schemas.microsoft.com/office/word/2010/wordprocessingShape">
                    <wps:wsp>
                      <wps:cNvSpPr/>
                      <wps:spPr>
                        <a:xfrm rot="19080000">
                          <a:off x="0" y="0"/>
                          <a:ext cx="508635" cy="285750"/>
                        </a:xfrm>
                        <a:prstGeom prst="rect">
                          <a:avLst/>
                        </a:prstGeom>
                        <a:noFill/>
                        <a:ln w="15875">
                          <a:noFill/>
                        </a:ln>
                      </wps:spPr>
                      <wps:txbx>
                        <w:txbxContent>
                          <w:p w14:paraId="4FC7A402">
                            <w:pPr>
                              <w:rPr>
                                <w:rFonts w:hint="default" w:eastAsia="宋体"/>
                                <w:b/>
                                <w:bCs/>
                                <w:color w:val="FF0000"/>
                                <w:lang w:val="en-US" w:eastAsia="zh-CN"/>
                              </w:rPr>
                            </w:pPr>
                            <w:r>
                              <w:rPr>
                                <w:rFonts w:hint="eastAsia"/>
                                <w:b/>
                                <w:bCs/>
                                <w:color w:val="FF0000"/>
                                <w:lang w:val="en-US" w:eastAsia="zh-CN"/>
                              </w:rPr>
                              <w:t>50m</w:t>
                            </w:r>
                          </w:p>
                        </w:txbxContent>
                      </wps:txbx>
                      <wps:bodyPr upright="1"/>
                    </wps:wsp>
                  </a:graphicData>
                </a:graphic>
              </wp:anchor>
            </w:drawing>
          </mc:Choice>
          <mc:Fallback>
            <w:pict>
              <v:rect id="_x0000_s1026" o:spid="_x0000_s1026" o:spt="1" style="position:absolute;left:0pt;margin-left:284.9pt;margin-top:122.15pt;height:22.5pt;width:40.05pt;rotation:-2752512f;z-index:251871232;mso-width-relative:page;mso-height-relative:page;" filled="f" stroked="f" coordsize="21600,21600" o:gfxdata="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">
                <v:fill on="f" focussize="0,0"/>
                <v:stroke on="f" weight="1.25pt"/>
                <v:imagedata o:title=""/>
                <o:lock v:ext="edit" aspectratio="f"/>
                <v:textbox>
                  <w:txbxContent>
                    <w:p w14:paraId="4FC7A402">
                      <w:pPr>
                        <w:rPr>
                          <w:rFonts w:hint="default" w:eastAsia="宋体"/>
                          <w:b/>
                          <w:bCs/>
                          <w:color w:val="FF0000"/>
                          <w:lang w:val="en-US" w:eastAsia="zh-CN"/>
                        </w:rPr>
                      </w:pPr>
                      <w:r>
                        <w:rPr>
                          <w:rFonts w:hint="eastAsia"/>
                          <w:b/>
                          <w:bCs/>
                          <w:color w:val="FF0000"/>
                          <w:lang w:val="en-US" w:eastAsia="zh-CN"/>
                        </w:rPr>
                        <w:t>50m</w:t>
                      </w:r>
                    </w:p>
                  </w:txbxContent>
                </v:textbox>
              </v:rect>
            </w:pict>
          </mc:Fallback>
        </mc:AlternateContent>
      </w:r>
      <w:r>
        <w:rPr>
          <w:color w:val="auto"/>
        </w:rPr>
        <mc:AlternateContent>
          <mc:Choice Requires="wps">
            <w:drawing>
              <wp:anchor distT="0" distB="0" distL="114300" distR="114300" simplePos="0" relativeHeight="251872256" behindDoc="0" locked="0" layoutInCell="1" allowOverlap="1">
                <wp:simplePos x="0" y="0"/>
                <wp:positionH relativeFrom="column">
                  <wp:posOffset>6304915</wp:posOffset>
                </wp:positionH>
                <wp:positionV relativeFrom="paragraph">
                  <wp:posOffset>2035810</wp:posOffset>
                </wp:positionV>
                <wp:extent cx="508635" cy="285750"/>
                <wp:effectExtent l="0" t="0" r="0" b="0"/>
                <wp:wrapNone/>
                <wp:docPr id="303" name="矩形 303"/>
                <wp:cNvGraphicFramePr/>
                <a:graphic xmlns:a="http://schemas.openxmlformats.org/drawingml/2006/main">
                  <a:graphicData uri="http://schemas.microsoft.com/office/word/2010/wordprocessingShape">
                    <wps:wsp>
                      <wps:cNvSpPr/>
                      <wps:spPr>
                        <a:xfrm rot="19080000">
                          <a:off x="0" y="0"/>
                          <a:ext cx="508635" cy="285750"/>
                        </a:xfrm>
                        <a:prstGeom prst="rect">
                          <a:avLst/>
                        </a:prstGeom>
                        <a:noFill/>
                        <a:ln w="15875">
                          <a:noFill/>
                        </a:ln>
                      </wps:spPr>
                      <wps:txbx>
                        <w:txbxContent>
                          <w:p w14:paraId="0C6264F4">
                            <w:pPr>
                              <w:rPr>
                                <w:rFonts w:hint="default" w:eastAsia="宋体"/>
                                <w:b/>
                                <w:bCs/>
                                <w:color w:val="FF0000"/>
                                <w:lang w:val="en-US" w:eastAsia="zh-CN"/>
                              </w:rPr>
                            </w:pPr>
                            <w:r>
                              <w:rPr>
                                <w:rFonts w:hint="eastAsia"/>
                                <w:b/>
                                <w:bCs/>
                                <w:color w:val="FF0000"/>
                                <w:lang w:val="en-US" w:eastAsia="zh-CN"/>
                              </w:rPr>
                              <w:t>50m</w:t>
                            </w:r>
                          </w:p>
                        </w:txbxContent>
                      </wps:txbx>
                      <wps:bodyPr upright="1"/>
                    </wps:wsp>
                  </a:graphicData>
                </a:graphic>
              </wp:anchor>
            </w:drawing>
          </mc:Choice>
          <mc:Fallback>
            <w:pict>
              <v:rect id="_x0000_s1026" o:spid="_x0000_s1026" o:spt="1" style="position:absolute;left:0pt;margin-left:496.45pt;margin-top:160.3pt;height:22.5pt;width:40.05pt;rotation:-2752512f;z-index:251872256;mso-width-relative:page;mso-height-relative:page;" filled="f" stroked="f" coordsize="21600,21600" o:gfxdata="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">
                <v:fill on="f" focussize="0,0"/>
                <v:stroke on="f" weight="1.25pt"/>
                <v:imagedata o:title=""/>
                <o:lock v:ext="edit" aspectratio="f"/>
                <v:textbox>
                  <w:txbxContent>
                    <w:p w14:paraId="0C6264F4">
                      <w:pPr>
                        <w:rPr>
                          <w:rFonts w:hint="default" w:eastAsia="宋体"/>
                          <w:b/>
                          <w:bCs/>
                          <w:color w:val="FF0000"/>
                          <w:lang w:val="en-US" w:eastAsia="zh-CN"/>
                        </w:rPr>
                      </w:pPr>
                      <w:r>
                        <w:rPr>
                          <w:rFonts w:hint="eastAsia"/>
                          <w:b/>
                          <w:bCs/>
                          <w:color w:val="FF0000"/>
                          <w:lang w:val="en-US" w:eastAsia="zh-CN"/>
                        </w:rPr>
                        <w:t>50m</w:t>
                      </w:r>
                    </w:p>
                  </w:txbxContent>
                </v:textbox>
              </v:rect>
            </w:pict>
          </mc:Fallback>
        </mc:AlternateContent>
      </w:r>
      <w:r>
        <w:rPr>
          <w:color w:val="auto"/>
          <w:sz w:val="21"/>
        </w:rPr>
        <mc:AlternateContent>
          <mc:Choice Requires="wps">
            <w:drawing>
              <wp:anchor distT="0" distB="0" distL="114300" distR="114300" simplePos="0" relativeHeight="251869184" behindDoc="0" locked="0" layoutInCell="1" allowOverlap="1">
                <wp:simplePos x="0" y="0"/>
                <wp:positionH relativeFrom="column">
                  <wp:posOffset>6042025</wp:posOffset>
                </wp:positionH>
                <wp:positionV relativeFrom="paragraph">
                  <wp:posOffset>2067560</wp:posOffset>
                </wp:positionV>
                <wp:extent cx="820420" cy="3175"/>
                <wp:effectExtent l="0" t="56515" r="2540" b="62230"/>
                <wp:wrapNone/>
                <wp:docPr id="299" name="直接箭头连接符 299"/>
                <wp:cNvGraphicFramePr/>
                <a:graphic xmlns:a="http://schemas.openxmlformats.org/drawingml/2006/main">
                  <a:graphicData uri="http://schemas.microsoft.com/office/word/2010/wordprocessingShape">
                    <wps:wsp>
                      <wps:cNvCnPr/>
                      <wps:spPr>
                        <a:xfrm flipH="1" flipV="1">
                          <a:off x="0" y="0"/>
                          <a:ext cx="820420" cy="3175"/>
                        </a:xfrm>
                        <a:prstGeom prst="straightConnector1">
                          <a:avLst/>
                        </a:prstGeom>
                        <a:ln>
                          <a:solidFill>
                            <a:srgbClr val="FF0000"/>
                          </a:solidFill>
                          <a:headEnd type="arrow"/>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x y;margin-left:475.75pt;margin-top:162.8pt;height:0.25pt;width:64.6pt;z-index:251869184;mso-width-relative:page;mso-height-relative:page;" filled="f" stroked="t" coordsize="21600,21600" o:gfxdata="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DoKwUQ2QAAAAwBAAAPAAAAAAAA&#10;AAEAIAAAACIAAABkcnMvZG93bnJldi54bWxQSwECFAAUAAAACACHTuJAQDVmjhECAAD7AwAADgAA&#10;AAAAAAABACAAAAAoAQAAZHJzL2Uyb0RvYy54bWxQSwUGAAAAAAYABgBZAQAAqwUAAAAA&#10;">
                <v:fill on="f" focussize="0,0"/>
                <v:stroke weight="2pt" color="#FF0000 [3204]" joinstyle="round" startarrow="open" endarrow="open"/>
                <v:imagedata o:title=""/>
                <o:lock v:ext="edit" aspectratio="f"/>
              </v:shape>
            </w:pict>
          </mc:Fallback>
        </mc:AlternateContent>
      </w:r>
      <w:r>
        <w:rPr>
          <w:color w:val="auto"/>
        </w:rPr>
        <mc:AlternateContent>
          <mc:Choice Requires="wps">
            <w:drawing>
              <wp:anchor distT="0" distB="0" distL="114300" distR="114300" simplePos="0" relativeHeight="251867136" behindDoc="0" locked="0" layoutInCell="1" allowOverlap="1">
                <wp:simplePos x="0" y="0"/>
                <wp:positionH relativeFrom="column">
                  <wp:posOffset>5059680</wp:posOffset>
                </wp:positionH>
                <wp:positionV relativeFrom="paragraph">
                  <wp:posOffset>889635</wp:posOffset>
                </wp:positionV>
                <wp:extent cx="508635" cy="285750"/>
                <wp:effectExtent l="0" t="0" r="0" b="0"/>
                <wp:wrapNone/>
                <wp:docPr id="297" name="矩形 297"/>
                <wp:cNvGraphicFramePr/>
                <a:graphic xmlns:a="http://schemas.openxmlformats.org/drawingml/2006/main">
                  <a:graphicData uri="http://schemas.microsoft.com/office/word/2010/wordprocessingShape">
                    <wps:wsp>
                      <wps:cNvSpPr/>
                      <wps:spPr>
                        <a:xfrm rot="19080000">
                          <a:off x="0" y="0"/>
                          <a:ext cx="508635" cy="285750"/>
                        </a:xfrm>
                        <a:prstGeom prst="rect">
                          <a:avLst/>
                        </a:prstGeom>
                        <a:noFill/>
                        <a:ln w="15875">
                          <a:noFill/>
                        </a:ln>
                      </wps:spPr>
                      <wps:txbx>
                        <w:txbxContent>
                          <w:p w14:paraId="6B17C911">
                            <w:pPr>
                              <w:rPr>
                                <w:rFonts w:hint="default" w:eastAsia="宋体"/>
                                <w:b/>
                                <w:bCs/>
                                <w:color w:val="FF0000"/>
                                <w:lang w:val="en-US" w:eastAsia="zh-CN"/>
                              </w:rPr>
                            </w:pPr>
                            <w:r>
                              <w:rPr>
                                <w:rFonts w:hint="eastAsia"/>
                                <w:b/>
                                <w:bCs/>
                                <w:color w:val="FF0000"/>
                                <w:lang w:val="en-US" w:eastAsia="zh-CN"/>
                              </w:rPr>
                              <w:t>50m</w:t>
                            </w:r>
                          </w:p>
                        </w:txbxContent>
                      </wps:txbx>
                      <wps:bodyPr upright="1"/>
                    </wps:wsp>
                  </a:graphicData>
                </a:graphic>
              </wp:anchor>
            </w:drawing>
          </mc:Choice>
          <mc:Fallback>
            <w:pict>
              <v:rect id="_x0000_s1026" o:spid="_x0000_s1026" o:spt="1" style="position:absolute;left:0pt;margin-left:398.4pt;margin-top:70.05pt;height:22.5pt;width:40.05pt;rotation:-2752512f;z-index:251867136;mso-width-relative:page;mso-height-relative:page;" filled="f" stroked="f" coordsize="21600,21600" o:gfxdata="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">
                <v:fill on="f" focussize="0,0"/>
                <v:stroke on="f" weight="1.25pt"/>
                <v:imagedata o:title=""/>
                <o:lock v:ext="edit" aspectratio="f"/>
                <v:textbox>
                  <w:txbxContent>
                    <w:p w14:paraId="6B17C911">
                      <w:pPr>
                        <w:rPr>
                          <w:rFonts w:hint="default" w:eastAsia="宋体"/>
                          <w:b/>
                          <w:bCs/>
                          <w:color w:val="FF0000"/>
                          <w:lang w:val="en-US" w:eastAsia="zh-CN"/>
                        </w:rPr>
                      </w:pPr>
                      <w:r>
                        <w:rPr>
                          <w:rFonts w:hint="eastAsia"/>
                          <w:b/>
                          <w:bCs/>
                          <w:color w:val="FF0000"/>
                          <w:lang w:val="en-US" w:eastAsia="zh-CN"/>
                        </w:rPr>
                        <w:t>50m</w:t>
                      </w:r>
                    </w:p>
                  </w:txbxContent>
                </v:textbox>
              </v:rect>
            </w:pict>
          </mc:Fallback>
        </mc:AlternateContent>
      </w:r>
      <w:r>
        <w:rPr>
          <w:color w:val="auto"/>
          <w:sz w:val="21"/>
        </w:rPr>
        <mc:AlternateContent>
          <mc:Choice Requires="wps">
            <w:drawing>
              <wp:anchor distT="0" distB="0" distL="114300" distR="114300" simplePos="0" relativeHeight="251870208" behindDoc="0" locked="0" layoutInCell="1" allowOverlap="1">
                <wp:simplePos x="0" y="0"/>
                <wp:positionH relativeFrom="column">
                  <wp:posOffset>5516245</wp:posOffset>
                </wp:positionH>
                <wp:positionV relativeFrom="paragraph">
                  <wp:posOffset>710565</wp:posOffset>
                </wp:positionV>
                <wp:extent cx="1270" cy="800735"/>
                <wp:effectExtent l="57150" t="0" r="63500" b="6985"/>
                <wp:wrapNone/>
                <wp:docPr id="300" name="直接箭头连接符 300"/>
                <wp:cNvGraphicFramePr/>
                <a:graphic xmlns:a="http://schemas.openxmlformats.org/drawingml/2006/main">
                  <a:graphicData uri="http://schemas.microsoft.com/office/word/2010/wordprocessingShape">
                    <wps:wsp>
                      <wps:cNvCnPr/>
                      <wps:spPr>
                        <a:xfrm>
                          <a:off x="0" y="0"/>
                          <a:ext cx="1270" cy="800735"/>
                        </a:xfrm>
                        <a:prstGeom prst="straightConnector1">
                          <a:avLst/>
                        </a:prstGeom>
                        <a:ln>
                          <a:solidFill>
                            <a:srgbClr val="FF0000"/>
                          </a:solidFill>
                          <a:headEnd type="arrow"/>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margin-left:434.35pt;margin-top:55.95pt;height:63.05pt;width:0.1pt;z-index:251870208;mso-width-relative:page;mso-height-relative:page;" filled="f" stroked="t" coordsize="21600,21600" o:gfxdata="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Oj2XI2QAAAAsBAAAPAAAAAAAAAAEAIAAAACIAAABk&#10;cnMvZG93bnJldi54bWxQSwECFAAUAAAACACHTuJAuBdTIAUCAADnAwAADgAAAAAAAAABACAAAAAo&#10;AQAAZHJzL2Uyb0RvYy54bWxQSwUGAAAAAAYABgBZAQAAnwUAAAAA&#10;">
                <v:fill on="f" focussize="0,0"/>
                <v:stroke weight="2pt" color="#FF0000 [3204]" joinstyle="round" startarrow="open" endarrow="open"/>
                <v:imagedata o:title=""/>
                <o:lock v:ext="edit" aspectratio="f"/>
              </v:shape>
            </w:pict>
          </mc:Fallback>
        </mc:AlternateContent>
      </w:r>
      <w:r>
        <w:rPr>
          <w:color w:val="auto"/>
          <w:sz w:val="21"/>
        </w:rPr>
        <mc:AlternateContent>
          <mc:Choice Requires="wps">
            <w:drawing>
              <wp:anchor distT="0" distB="0" distL="114300" distR="114300" simplePos="0" relativeHeight="251868160" behindDoc="0" locked="0" layoutInCell="1" allowOverlap="1">
                <wp:simplePos x="0" y="0"/>
                <wp:positionH relativeFrom="column">
                  <wp:posOffset>3564890</wp:posOffset>
                </wp:positionH>
                <wp:positionV relativeFrom="paragraph">
                  <wp:posOffset>1904365</wp:posOffset>
                </wp:positionV>
                <wp:extent cx="809625" cy="5080"/>
                <wp:effectExtent l="0" t="56515" r="13335" b="60325"/>
                <wp:wrapNone/>
                <wp:docPr id="298" name="直接箭头连接符 298"/>
                <wp:cNvGraphicFramePr/>
                <a:graphic xmlns:a="http://schemas.openxmlformats.org/drawingml/2006/main">
                  <a:graphicData uri="http://schemas.microsoft.com/office/word/2010/wordprocessingShape">
                    <wps:wsp>
                      <wps:cNvCnPr/>
                      <wps:spPr>
                        <a:xfrm flipH="1" flipV="1">
                          <a:off x="0" y="0"/>
                          <a:ext cx="809625" cy="5080"/>
                        </a:xfrm>
                        <a:prstGeom prst="straightConnector1">
                          <a:avLst/>
                        </a:prstGeom>
                        <a:ln>
                          <a:solidFill>
                            <a:srgbClr val="FF0000"/>
                          </a:solidFill>
                          <a:headEnd type="arrow"/>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x y;margin-left:280.7pt;margin-top:149.95pt;height:0.4pt;width:63.75pt;z-index:251868160;mso-width-relative:page;mso-height-relative:page;" filled="f" stroked="t" coordsize="21600,21600" o:gfxdata="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66umF9kAAAALAQAADwAAAAAA&#10;AAABACAAAAAiAAAAZHJzL2Rvd25yZXYueG1sUEsBAhQAFAAAAAgAh07iQE5Tw0ASAgAA+wMAAA4A&#10;AAAAAAAAAQAgAAAAKAEAAGRycy9lMm9Eb2MueG1sUEsFBgAAAAAGAAYAWQEAAKwFAAAAAA==&#10;">
                <v:fill on="f" focussize="0,0"/>
                <v:stroke weight="2pt" color="#FF0000 [3204]" joinstyle="round" startarrow="open" endarrow="open"/>
                <v:imagedata o:title=""/>
                <o:lock v:ext="edit" aspectratio="f"/>
              </v:shape>
            </w:pict>
          </mc:Fallback>
        </mc:AlternateContent>
      </w:r>
      <w:r>
        <w:rPr>
          <w:color w:val="auto"/>
        </w:rPr>
        <mc:AlternateContent>
          <mc:Choice Requires="wps">
            <w:drawing>
              <wp:anchor distT="0" distB="0" distL="114300" distR="114300" simplePos="0" relativeHeight="251866112" behindDoc="0" locked="0" layoutInCell="1" allowOverlap="1">
                <wp:simplePos x="0" y="0"/>
                <wp:positionH relativeFrom="column">
                  <wp:posOffset>4418965</wp:posOffset>
                </wp:positionH>
                <wp:positionV relativeFrom="paragraph">
                  <wp:posOffset>3900805</wp:posOffset>
                </wp:positionV>
                <wp:extent cx="508635" cy="285750"/>
                <wp:effectExtent l="0" t="0" r="0" b="0"/>
                <wp:wrapNone/>
                <wp:docPr id="294" name="矩形 294"/>
                <wp:cNvGraphicFramePr/>
                <a:graphic xmlns:a="http://schemas.openxmlformats.org/drawingml/2006/main">
                  <a:graphicData uri="http://schemas.microsoft.com/office/word/2010/wordprocessingShape">
                    <wps:wsp>
                      <wps:cNvSpPr/>
                      <wps:spPr>
                        <a:xfrm rot="19080000">
                          <a:off x="0" y="0"/>
                          <a:ext cx="508635" cy="285750"/>
                        </a:xfrm>
                        <a:prstGeom prst="rect">
                          <a:avLst/>
                        </a:prstGeom>
                        <a:noFill/>
                        <a:ln w="15875">
                          <a:noFill/>
                        </a:ln>
                      </wps:spPr>
                      <wps:txbx>
                        <w:txbxContent>
                          <w:p w14:paraId="04D1ADF4">
                            <w:pPr>
                              <w:rPr>
                                <w:rFonts w:hint="default" w:eastAsia="宋体"/>
                                <w:b/>
                                <w:bCs/>
                                <w:color w:val="FF0000"/>
                                <w:lang w:val="en-US" w:eastAsia="zh-CN"/>
                              </w:rPr>
                            </w:pPr>
                            <w:r>
                              <w:rPr>
                                <w:rFonts w:hint="eastAsia"/>
                                <w:b/>
                                <w:bCs/>
                                <w:color w:val="FF0000"/>
                                <w:lang w:val="en-US" w:eastAsia="zh-CN"/>
                              </w:rPr>
                              <w:t>50m</w:t>
                            </w:r>
                          </w:p>
                        </w:txbxContent>
                      </wps:txbx>
                      <wps:bodyPr upright="1"/>
                    </wps:wsp>
                  </a:graphicData>
                </a:graphic>
              </wp:anchor>
            </w:drawing>
          </mc:Choice>
          <mc:Fallback>
            <w:pict>
              <v:rect id="_x0000_s1026" o:spid="_x0000_s1026" o:spt="1" style="position:absolute;left:0pt;margin-left:347.95pt;margin-top:307.15pt;height:22.5pt;width:40.05pt;rotation:-2752512f;z-index:251866112;mso-width-relative:page;mso-height-relative:page;" filled="f" stroked="f" coordsize="21600,21600" o:gfxdata="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">
                <v:fill on="f" focussize="0,0"/>
                <v:stroke on="f" weight="1.25pt"/>
                <v:imagedata o:title=""/>
                <o:lock v:ext="edit" aspectratio="f"/>
                <v:textbox>
                  <w:txbxContent>
                    <w:p w14:paraId="04D1ADF4">
                      <w:pPr>
                        <w:rPr>
                          <w:rFonts w:hint="default" w:eastAsia="宋体"/>
                          <w:b/>
                          <w:bCs/>
                          <w:color w:val="FF0000"/>
                          <w:lang w:val="en-US" w:eastAsia="zh-CN"/>
                        </w:rPr>
                      </w:pPr>
                      <w:r>
                        <w:rPr>
                          <w:rFonts w:hint="eastAsia"/>
                          <w:b/>
                          <w:bCs/>
                          <w:color w:val="FF0000"/>
                          <w:lang w:val="en-US" w:eastAsia="zh-CN"/>
                        </w:rPr>
                        <w:t>50m</w:t>
                      </w:r>
                    </w:p>
                  </w:txbxContent>
                </v:textbox>
              </v:rect>
            </w:pict>
          </mc:Fallback>
        </mc:AlternateContent>
      </w:r>
      <w:r>
        <w:rPr>
          <w:color w:val="auto"/>
          <w:sz w:val="21"/>
        </w:rPr>
        <mc:AlternateContent>
          <mc:Choice Requires="wps">
            <w:drawing>
              <wp:anchor distT="0" distB="0" distL="114300" distR="114300" simplePos="0" relativeHeight="251865088" behindDoc="0" locked="0" layoutInCell="1" allowOverlap="1">
                <wp:simplePos x="0" y="0"/>
                <wp:positionH relativeFrom="column">
                  <wp:posOffset>4271010</wp:posOffset>
                </wp:positionH>
                <wp:positionV relativeFrom="paragraph">
                  <wp:posOffset>3592195</wp:posOffset>
                </wp:positionV>
                <wp:extent cx="628650" cy="427355"/>
                <wp:effectExtent l="0" t="0" r="11430" b="14605"/>
                <wp:wrapNone/>
                <wp:docPr id="285" name="直接箭头连接符 285"/>
                <wp:cNvGraphicFramePr/>
                <a:graphic xmlns:a="http://schemas.openxmlformats.org/drawingml/2006/main">
                  <a:graphicData uri="http://schemas.microsoft.com/office/word/2010/wordprocessingShape">
                    <wps:wsp>
                      <wps:cNvCnPr/>
                      <wps:spPr>
                        <a:xfrm flipH="1">
                          <a:off x="0" y="0"/>
                          <a:ext cx="628650" cy="427355"/>
                        </a:xfrm>
                        <a:prstGeom prst="straightConnector1">
                          <a:avLst/>
                        </a:prstGeom>
                        <a:ln>
                          <a:solidFill>
                            <a:srgbClr val="FF0000"/>
                          </a:solidFill>
                          <a:headEnd type="arrow"/>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x;margin-left:336.3pt;margin-top:282.85pt;height:33.65pt;width:49.5pt;z-index:251865088;mso-width-relative:page;mso-height-relative:page;" filled="f" stroked="t" coordsize="21600,21600" o:gfxdata="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oX6m9YAAAALAQAADwAAAAAAAAABACAA&#10;AAAiAAAAZHJzL2Rvd25yZXYueG1sUEsBAhQAFAAAAAgAh07iQAvhQZIPAgAA8wMAAA4AAAAAAAAA&#10;AQAgAAAAJQEAAGRycy9lMm9Eb2MueG1sUEsFBgAAAAAGAAYAWQEAAKYFAAAAAA==&#10;">
                <v:fill on="f" focussize="0,0"/>
                <v:stroke weight="2pt" color="#FF0000 [3204]" joinstyle="round" startarrow="open" endarrow="open"/>
                <v:imagedata o:title=""/>
                <o:lock v:ext="edit" aspectratio="f"/>
              </v:shape>
            </w:pict>
          </mc:Fallback>
        </mc:AlternateContent>
      </w:r>
      <w:r>
        <w:rPr>
          <w:color w:val="auto"/>
        </w:rPr>
        <mc:AlternateContent>
          <mc:Choice Requires="wps">
            <w:drawing>
              <wp:anchor distT="0" distB="0" distL="114300" distR="114300" simplePos="0" relativeHeight="251864064" behindDoc="0" locked="0" layoutInCell="1" allowOverlap="1">
                <wp:simplePos x="0" y="0"/>
                <wp:positionH relativeFrom="column">
                  <wp:posOffset>6206490</wp:posOffset>
                </wp:positionH>
                <wp:positionV relativeFrom="paragraph">
                  <wp:posOffset>3038475</wp:posOffset>
                </wp:positionV>
                <wp:extent cx="508635" cy="285750"/>
                <wp:effectExtent l="0" t="0" r="0" b="0"/>
                <wp:wrapNone/>
                <wp:docPr id="710" name="矩形 710"/>
                <wp:cNvGraphicFramePr/>
                <a:graphic xmlns:a="http://schemas.openxmlformats.org/drawingml/2006/main">
                  <a:graphicData uri="http://schemas.microsoft.com/office/word/2010/wordprocessingShape">
                    <wps:wsp>
                      <wps:cNvSpPr/>
                      <wps:spPr>
                        <a:xfrm rot="19080000">
                          <a:off x="0" y="0"/>
                          <a:ext cx="508635" cy="285750"/>
                        </a:xfrm>
                        <a:prstGeom prst="rect">
                          <a:avLst/>
                        </a:prstGeom>
                        <a:noFill/>
                        <a:ln w="15875">
                          <a:noFill/>
                        </a:ln>
                      </wps:spPr>
                      <wps:txbx>
                        <w:txbxContent>
                          <w:p w14:paraId="34EE4EB2">
                            <w:pPr>
                              <w:rPr>
                                <w:rFonts w:hint="default" w:eastAsia="宋体"/>
                                <w:b/>
                                <w:bCs/>
                                <w:color w:val="FF0000"/>
                                <w:lang w:val="en-US" w:eastAsia="zh-CN"/>
                              </w:rPr>
                            </w:pPr>
                            <w:r>
                              <w:rPr>
                                <w:rFonts w:hint="eastAsia"/>
                                <w:b/>
                                <w:bCs/>
                                <w:color w:val="FF0000"/>
                                <w:lang w:val="en-US" w:eastAsia="zh-CN"/>
                              </w:rPr>
                              <w:t>50m</w:t>
                            </w:r>
                          </w:p>
                        </w:txbxContent>
                      </wps:txbx>
                      <wps:bodyPr upright="1"/>
                    </wps:wsp>
                  </a:graphicData>
                </a:graphic>
              </wp:anchor>
            </w:drawing>
          </mc:Choice>
          <mc:Fallback>
            <w:pict>
              <v:rect id="_x0000_s1026" o:spid="_x0000_s1026" o:spt="1" style="position:absolute;left:0pt;margin-left:488.7pt;margin-top:239.25pt;height:22.5pt;width:40.05pt;rotation:-2752512f;z-index:251864064;mso-width-relative:page;mso-height-relative:page;" filled="f" stroked="f" coordsize="21600,21600" o:gfxdata="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">
                <v:fill on="f" focussize="0,0"/>
                <v:stroke on="f" weight="1.25pt"/>
                <v:imagedata o:title=""/>
                <o:lock v:ext="edit" aspectratio="f"/>
                <v:textbox>
                  <w:txbxContent>
                    <w:p w14:paraId="34EE4EB2">
                      <w:pPr>
                        <w:rPr>
                          <w:rFonts w:hint="default" w:eastAsia="宋体"/>
                          <w:b/>
                          <w:bCs/>
                          <w:color w:val="FF0000"/>
                          <w:lang w:val="en-US" w:eastAsia="zh-CN"/>
                        </w:rPr>
                      </w:pPr>
                      <w:r>
                        <w:rPr>
                          <w:rFonts w:hint="eastAsia"/>
                          <w:b/>
                          <w:bCs/>
                          <w:color w:val="FF0000"/>
                          <w:lang w:val="en-US" w:eastAsia="zh-CN"/>
                        </w:rPr>
                        <w:t>50m</w:t>
                      </w:r>
                    </w:p>
                  </w:txbxContent>
                </v:textbox>
              </v:rect>
            </w:pict>
          </mc:Fallback>
        </mc:AlternateContent>
      </w:r>
      <w:r>
        <w:rPr>
          <w:color w:val="auto"/>
          <w:sz w:val="21"/>
        </w:rPr>
        <mc:AlternateContent>
          <mc:Choice Requires="wps">
            <w:drawing>
              <wp:anchor distT="0" distB="0" distL="114300" distR="114300" simplePos="0" relativeHeight="251863040" behindDoc="0" locked="0" layoutInCell="1" allowOverlap="1">
                <wp:simplePos x="0" y="0"/>
                <wp:positionH relativeFrom="column">
                  <wp:posOffset>5990590</wp:posOffset>
                </wp:positionH>
                <wp:positionV relativeFrom="paragraph">
                  <wp:posOffset>2941955</wp:posOffset>
                </wp:positionV>
                <wp:extent cx="782955" cy="12700"/>
                <wp:effectExtent l="0" t="55245" r="9525" b="69215"/>
                <wp:wrapNone/>
                <wp:docPr id="709" name="直接箭头连接符 709"/>
                <wp:cNvGraphicFramePr/>
                <a:graphic xmlns:a="http://schemas.openxmlformats.org/drawingml/2006/main">
                  <a:graphicData uri="http://schemas.microsoft.com/office/word/2010/wordprocessingShape">
                    <wps:wsp>
                      <wps:cNvCnPr/>
                      <wps:spPr>
                        <a:xfrm flipH="1" flipV="1">
                          <a:off x="0" y="0"/>
                          <a:ext cx="782955" cy="12700"/>
                        </a:xfrm>
                        <a:prstGeom prst="straightConnector1">
                          <a:avLst/>
                        </a:prstGeom>
                        <a:ln>
                          <a:solidFill>
                            <a:srgbClr val="FF0000"/>
                          </a:solidFill>
                          <a:headEnd type="arrow"/>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x y;margin-left:471.7pt;margin-top:231.65pt;height:1pt;width:61.65pt;z-index:251863040;mso-width-relative:page;mso-height-relative:page;" filled="f" stroked="t" coordsize="21600,21600" o:gfxdata="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K6YkjtoAAAAMAQAADwAA&#10;AAAAAAABACAAAAAiAAAAZHJzL2Rvd25yZXYueG1sUEsBAhQAFAAAAAgAh07iQCIfXLUUAgAA/AMA&#10;AA4AAAAAAAAAAQAgAAAAKQEAAGRycy9lMm9Eb2MueG1sUEsFBgAAAAAGAAYAWQEAAK8FAAAAAA==&#10;">
                <v:fill on="f" focussize="0,0"/>
                <v:stroke weight="2pt" color="#FF0000 [3204]" joinstyle="round" startarrow="open" endarrow="open"/>
                <v:imagedata o:title=""/>
                <o:lock v:ext="edit" aspectratio="f"/>
              </v:shape>
            </w:pict>
          </mc:Fallback>
        </mc:AlternateContent>
      </w:r>
      <w:r>
        <w:rPr>
          <w:color w:val="auto"/>
          <w:sz w:val="21"/>
        </w:rPr>
        <mc:AlternateContent>
          <mc:Choice Requires="wps">
            <w:drawing>
              <wp:anchor distT="0" distB="0" distL="114300" distR="114300" simplePos="0" relativeHeight="251860992" behindDoc="0" locked="0" layoutInCell="1" allowOverlap="1">
                <wp:simplePos x="0" y="0"/>
                <wp:positionH relativeFrom="column">
                  <wp:posOffset>627380</wp:posOffset>
                </wp:positionH>
                <wp:positionV relativeFrom="paragraph">
                  <wp:posOffset>4599305</wp:posOffset>
                </wp:positionV>
                <wp:extent cx="257175" cy="133350"/>
                <wp:effectExtent l="9525" t="9525" r="22860" b="9525"/>
                <wp:wrapNone/>
                <wp:docPr id="469" name="矩形 469"/>
                <wp:cNvGraphicFramePr/>
                <a:graphic xmlns:a="http://schemas.openxmlformats.org/drawingml/2006/main">
                  <a:graphicData uri="http://schemas.microsoft.com/office/word/2010/wordprocessingShape">
                    <wps:wsp>
                      <wps:cNvSpPr/>
                      <wps:spPr>
                        <a:xfrm>
                          <a:off x="0" y="0"/>
                          <a:ext cx="257175" cy="13335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_x0000_s1026" o:spid="_x0000_s1026" o:spt="1" style="position:absolute;left:0pt;margin-left:49.4pt;margin-top:362.15pt;height:10.5pt;width:20.25pt;z-index:251860992;mso-width-relative:page;mso-height-relative:page;" filled="f" stroked="t" coordsize="21600,21600" o:gfxdata="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e1+LcNoAAAAKAQAADwAAAAAAAAABACAAAAAiAAAAZHJzL2Rvd25y&#10;ZXYueG1sUEsBAhQAFAAAAAgAh07iQJbl9MH8AQAA+QMAAA4AAAAAAAAAAQAgAAAAKQEAAGRycy9l&#10;Mm9Eb2MueG1sUEsFBgAAAAAGAAYAWQEAAJcFAAAAAA==&#10;">
                <v:fill on="f" focussize="0,0"/>
                <v:stroke weight="1.5pt" color="#FF0000" joinstyle="miter"/>
                <v:imagedata o:title=""/>
                <o:lock v:ext="edit" aspectratio="f"/>
              </v:rect>
            </w:pict>
          </mc:Fallback>
        </mc:AlternateContent>
      </w:r>
      <w:r>
        <w:rPr>
          <w:color w:val="auto"/>
          <w:sz w:val="21"/>
        </w:rPr>
        <mc:AlternateContent>
          <mc:Choice Requires="wps">
            <w:drawing>
              <wp:anchor distT="0" distB="0" distL="114300" distR="114300" simplePos="0" relativeHeight="251859968" behindDoc="0" locked="0" layoutInCell="1" allowOverlap="1">
                <wp:simplePos x="0" y="0"/>
                <wp:positionH relativeFrom="column">
                  <wp:posOffset>601345</wp:posOffset>
                </wp:positionH>
                <wp:positionV relativeFrom="paragraph">
                  <wp:posOffset>4272280</wp:posOffset>
                </wp:positionV>
                <wp:extent cx="1330960" cy="886460"/>
                <wp:effectExtent l="0" t="0" r="10160" b="12700"/>
                <wp:wrapNone/>
                <wp:docPr id="473" name="文本框 473"/>
                <wp:cNvGraphicFramePr/>
                <a:graphic xmlns:a="http://schemas.openxmlformats.org/drawingml/2006/main">
                  <a:graphicData uri="http://schemas.microsoft.com/office/word/2010/wordprocessingShape">
                    <wps:wsp>
                      <wps:cNvSpPr txBox="1"/>
                      <wps:spPr>
                        <a:xfrm>
                          <a:off x="0" y="0"/>
                          <a:ext cx="1330960" cy="886460"/>
                        </a:xfrm>
                        <a:prstGeom prst="rect">
                          <a:avLst/>
                        </a:prstGeom>
                        <a:solidFill>
                          <a:srgbClr val="F2F2F2"/>
                        </a:solidFill>
                        <a:ln>
                          <a:noFill/>
                        </a:ln>
                      </wps:spPr>
                      <wps:txbx>
                        <w:txbxContent>
                          <w:p w14:paraId="6238373F">
                            <w:pPr>
                              <w:rPr>
                                <w:rFonts w:hint="eastAsia"/>
                                <w:b/>
                                <w:bCs/>
                                <w:lang w:val="en-US" w:eastAsia="zh-CN"/>
                              </w:rPr>
                            </w:pPr>
                            <w:r>
                              <w:rPr>
                                <w:rFonts w:hint="eastAsia"/>
                                <w:b/>
                                <w:bCs/>
                                <w:lang w:val="en-US" w:eastAsia="zh-CN"/>
                              </w:rPr>
                              <w:t>图例：</w:t>
                            </w:r>
                          </w:p>
                          <w:p w14:paraId="7C228D91">
                            <w:pPr>
                              <w:keepNext w:val="0"/>
                              <w:keepLines w:val="0"/>
                              <w:pageBreakBefore w:val="0"/>
                              <w:widowControl w:val="0"/>
                              <w:kinsoku/>
                              <w:wordWrap/>
                              <w:overflowPunct/>
                              <w:topLinePunct w:val="0"/>
                              <w:bidi w:val="0"/>
                              <w:adjustRightInd/>
                              <w:snapToGrid/>
                              <w:spacing w:line="360" w:lineRule="auto"/>
                              <w:ind w:firstLine="420" w:firstLineChars="200"/>
                              <w:textAlignment w:val="auto"/>
                              <w:rPr>
                                <w:rFonts w:hint="default"/>
                                <w:b w:val="0"/>
                                <w:bCs w:val="0"/>
                                <w:lang w:val="en-US" w:eastAsia="zh-CN"/>
                              </w:rPr>
                            </w:pPr>
                            <w:r>
                              <w:rPr>
                                <w:rFonts w:hint="eastAsia"/>
                                <w:lang w:val="en-US" w:eastAsia="zh-CN"/>
                              </w:rPr>
                              <w:t>：</w:t>
                            </w:r>
                            <w:r>
                              <w:rPr>
                                <w:rFonts w:hint="eastAsia"/>
                                <w:b w:val="0"/>
                                <w:bCs w:val="0"/>
                                <w:lang w:val="en-US" w:eastAsia="zh-CN"/>
                              </w:rPr>
                              <w:t>厂界</w:t>
                            </w:r>
                          </w:p>
                          <w:p w14:paraId="63C06F98">
                            <w:pPr>
                              <w:keepNext w:val="0"/>
                              <w:keepLines w:val="0"/>
                              <w:pageBreakBefore w:val="0"/>
                              <w:widowControl w:val="0"/>
                              <w:kinsoku/>
                              <w:wordWrap/>
                              <w:overflowPunct/>
                              <w:topLinePunct w:val="0"/>
                              <w:bidi w:val="0"/>
                              <w:adjustRightInd/>
                              <w:snapToGrid/>
                              <w:spacing w:line="360" w:lineRule="auto"/>
                              <w:ind w:firstLine="420" w:firstLineChars="200"/>
                              <w:textAlignment w:val="auto"/>
                              <w:rPr>
                                <w:rFonts w:hint="default"/>
                                <w:b w:val="0"/>
                                <w:bCs w:val="0"/>
                                <w:lang w:val="en-US" w:eastAsia="zh-CN"/>
                              </w:rPr>
                            </w:pPr>
                            <w:r>
                              <w:rPr>
                                <w:rFonts w:hint="eastAsia"/>
                                <w:b w:val="0"/>
                                <w:bCs w:val="0"/>
                                <w:lang w:val="en-US" w:eastAsia="zh-CN"/>
                              </w:rPr>
                              <w:t>：全场包络线</w:t>
                            </w:r>
                          </w:p>
                        </w:txbxContent>
                      </wps:txbx>
                      <wps:bodyPr upright="0"/>
                    </wps:wsp>
                  </a:graphicData>
                </a:graphic>
              </wp:anchor>
            </w:drawing>
          </mc:Choice>
          <mc:Fallback>
            <w:pict>
              <v:shape id="_x0000_s1026" o:spid="_x0000_s1026" o:spt="202" type="#_x0000_t202" style="position:absolute;left:0pt;margin-left:47.35pt;margin-top:336.4pt;height:69.8pt;width:104.8pt;z-index:251859968;mso-width-relative:page;mso-height-relative:page;" fillcolor="#F2F2F2" filled="t" stroked="f" coordsize="21600,21600" o:gfxdata="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AakQvaAAAACgEAAA8AAAAAAAAAAQAgAAAAIgAAAGRycy9kb3du&#10;cmV2LnhtbFBLAQIUABQAAAAIAIdO4kDfNj2YxAEAAHsDAAAOAAAAAAAAAAEAIAAAACkBAABkcnMv&#10;ZTJvRG9jLnhtbFBLBQYAAAAABgAGAFkBAABfBQAAAAA=&#10;">
                <v:fill on="t" focussize="0,0"/>
                <v:stroke on="f"/>
                <v:imagedata o:title=""/>
                <o:lock v:ext="edit" aspectratio="f"/>
                <v:textbox>
                  <w:txbxContent>
                    <w:p w14:paraId="6238373F">
                      <w:pPr>
                        <w:rPr>
                          <w:rFonts w:hint="eastAsia"/>
                          <w:b/>
                          <w:bCs/>
                          <w:lang w:val="en-US" w:eastAsia="zh-CN"/>
                        </w:rPr>
                      </w:pPr>
                      <w:r>
                        <w:rPr>
                          <w:rFonts w:hint="eastAsia"/>
                          <w:b/>
                          <w:bCs/>
                          <w:lang w:val="en-US" w:eastAsia="zh-CN"/>
                        </w:rPr>
                        <w:t>图例：</w:t>
                      </w:r>
                    </w:p>
                    <w:p w14:paraId="7C228D91">
                      <w:pPr>
                        <w:keepNext w:val="0"/>
                        <w:keepLines w:val="0"/>
                        <w:pageBreakBefore w:val="0"/>
                        <w:widowControl w:val="0"/>
                        <w:kinsoku/>
                        <w:wordWrap/>
                        <w:overflowPunct/>
                        <w:topLinePunct w:val="0"/>
                        <w:bidi w:val="0"/>
                        <w:adjustRightInd/>
                        <w:snapToGrid/>
                        <w:spacing w:line="360" w:lineRule="auto"/>
                        <w:ind w:firstLine="420" w:firstLineChars="200"/>
                        <w:textAlignment w:val="auto"/>
                        <w:rPr>
                          <w:rFonts w:hint="default"/>
                          <w:b w:val="0"/>
                          <w:bCs w:val="0"/>
                          <w:lang w:val="en-US" w:eastAsia="zh-CN"/>
                        </w:rPr>
                      </w:pPr>
                      <w:r>
                        <w:rPr>
                          <w:rFonts w:hint="eastAsia"/>
                          <w:lang w:val="en-US" w:eastAsia="zh-CN"/>
                        </w:rPr>
                        <w:t>：</w:t>
                      </w:r>
                      <w:r>
                        <w:rPr>
                          <w:rFonts w:hint="eastAsia"/>
                          <w:b w:val="0"/>
                          <w:bCs w:val="0"/>
                          <w:lang w:val="en-US" w:eastAsia="zh-CN"/>
                        </w:rPr>
                        <w:t>厂界</w:t>
                      </w:r>
                    </w:p>
                    <w:p w14:paraId="63C06F98">
                      <w:pPr>
                        <w:keepNext w:val="0"/>
                        <w:keepLines w:val="0"/>
                        <w:pageBreakBefore w:val="0"/>
                        <w:widowControl w:val="0"/>
                        <w:kinsoku/>
                        <w:wordWrap/>
                        <w:overflowPunct/>
                        <w:topLinePunct w:val="0"/>
                        <w:bidi w:val="0"/>
                        <w:adjustRightInd/>
                        <w:snapToGrid/>
                        <w:spacing w:line="360" w:lineRule="auto"/>
                        <w:ind w:firstLine="420" w:firstLineChars="200"/>
                        <w:textAlignment w:val="auto"/>
                        <w:rPr>
                          <w:rFonts w:hint="default"/>
                          <w:b w:val="0"/>
                          <w:bCs w:val="0"/>
                          <w:lang w:val="en-US" w:eastAsia="zh-CN"/>
                        </w:rPr>
                      </w:pPr>
                      <w:r>
                        <w:rPr>
                          <w:rFonts w:hint="eastAsia"/>
                          <w:b w:val="0"/>
                          <w:bCs w:val="0"/>
                          <w:lang w:val="en-US" w:eastAsia="zh-CN"/>
                        </w:rPr>
                        <w:t>：全场包络线</w:t>
                      </w:r>
                    </w:p>
                  </w:txbxContent>
                </v:textbox>
              </v:shape>
            </w:pict>
          </mc:Fallback>
        </mc:AlternateContent>
      </w:r>
      <w:r>
        <w:rPr>
          <w:color w:val="auto"/>
          <w:sz w:val="21"/>
        </w:rPr>
        <mc:AlternateContent>
          <mc:Choice Requires="wps">
            <w:drawing>
              <wp:anchor distT="0" distB="0" distL="114300" distR="114300" simplePos="0" relativeHeight="251862016" behindDoc="0" locked="0" layoutInCell="1" allowOverlap="1">
                <wp:simplePos x="0" y="0"/>
                <wp:positionH relativeFrom="column">
                  <wp:posOffset>641350</wp:posOffset>
                </wp:positionH>
                <wp:positionV relativeFrom="paragraph">
                  <wp:posOffset>4891405</wp:posOffset>
                </wp:positionV>
                <wp:extent cx="257175" cy="133350"/>
                <wp:effectExtent l="9525" t="9525" r="22860" b="9525"/>
                <wp:wrapNone/>
                <wp:docPr id="470" name="矩形 470"/>
                <wp:cNvGraphicFramePr/>
                <a:graphic xmlns:a="http://schemas.openxmlformats.org/drawingml/2006/main">
                  <a:graphicData uri="http://schemas.microsoft.com/office/word/2010/wordprocessingShape">
                    <wps:wsp>
                      <wps:cNvSpPr/>
                      <wps:spPr>
                        <a:xfrm>
                          <a:off x="0" y="0"/>
                          <a:ext cx="257175" cy="133350"/>
                        </a:xfrm>
                        <a:prstGeom prst="rect">
                          <a:avLst/>
                        </a:prstGeom>
                        <a:noFill/>
                        <a:ln w="19050" cap="flat" cmpd="sng">
                          <a:solidFill>
                            <a:srgbClr val="00B050"/>
                          </a:solidFill>
                          <a:prstDash val="dash"/>
                          <a:miter/>
                          <a:headEnd type="none" w="med" len="med"/>
                          <a:tailEnd type="none" w="med" len="med"/>
                        </a:ln>
                      </wps:spPr>
                      <wps:bodyPr upright="1"/>
                    </wps:wsp>
                  </a:graphicData>
                </a:graphic>
              </wp:anchor>
            </w:drawing>
          </mc:Choice>
          <mc:Fallback>
            <w:pict>
              <v:rect id="_x0000_s1026" o:spid="_x0000_s1026" o:spt="1" style="position:absolute;left:0pt;margin-left:50.5pt;margin-top:385.15pt;height:10.5pt;width:20.25pt;z-index:251862016;mso-width-relative:page;mso-height-relative:page;" filled="f" stroked="t" coordsize="21600,21600" o:gfxdata="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y77jCNgAAAALAQAADwAAAAAAAAABACAAAAAiAAAAZHJzL2Rvd25yZXYueG1s&#10;UEsBAhQAFAAAAAgAh07iQNs6QIr4AQAA+AMAAA4AAAAAAAAAAQAgAAAAJwEAAGRycy9lMm9Eb2Mu&#10;eG1sUEsFBgAAAAAGAAYAWQEAAJEFAAAAAA==&#10;">
                <v:fill on="f" focussize="0,0"/>
                <v:stroke weight="1.5pt" color="#00B050" joinstyle="miter" dashstyle="dash"/>
                <v:imagedata o:title=""/>
                <o:lock v:ext="edit" aspectratio="f"/>
              </v:rect>
            </w:pict>
          </mc:Fallback>
        </mc:AlternateContent>
      </w:r>
      <w:r>
        <w:rPr>
          <w:color w:val="auto"/>
        </w:rPr>
        <w:drawing>
          <wp:anchor distT="0" distB="0" distL="114300" distR="114300" simplePos="0" relativeHeight="251858944" behindDoc="0" locked="0" layoutInCell="1" allowOverlap="1">
            <wp:simplePos x="0" y="0"/>
            <wp:positionH relativeFrom="column">
              <wp:posOffset>7740650</wp:posOffset>
            </wp:positionH>
            <wp:positionV relativeFrom="paragraph">
              <wp:posOffset>307975</wp:posOffset>
            </wp:positionV>
            <wp:extent cx="768350" cy="662940"/>
            <wp:effectExtent l="0" t="0" r="8890" b="7620"/>
            <wp:wrapNone/>
            <wp:docPr id="28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图片 2"/>
                    <pic:cNvPicPr>
                      <a:picLocks noChangeAspect="1"/>
                    </pic:cNvPicPr>
                  </pic:nvPicPr>
                  <pic:blipFill>
                    <a:blip r:embed="rId38"/>
                    <a:stretch>
                      <a:fillRect/>
                    </a:stretch>
                  </pic:blipFill>
                  <pic:spPr>
                    <a:xfrm>
                      <a:off x="0" y="0"/>
                      <a:ext cx="768350" cy="662940"/>
                    </a:xfrm>
                    <a:prstGeom prst="rect">
                      <a:avLst/>
                    </a:prstGeom>
                    <a:noFill/>
                    <a:ln>
                      <a:noFill/>
                    </a:ln>
                  </pic:spPr>
                </pic:pic>
              </a:graphicData>
            </a:graphic>
          </wp:anchor>
        </w:drawing>
      </w:r>
    </w:p>
    <w:p w14:paraId="760F7421">
      <w:pPr>
        <w:pStyle w:val="18"/>
        <w:keepNext w:val="0"/>
        <w:keepLines w:val="0"/>
        <w:pageBreakBefore w:val="0"/>
        <w:widowControl/>
        <w:kinsoku/>
        <w:wordWrap/>
        <w:overflowPunct/>
        <w:topLinePunct w:val="0"/>
        <w:autoSpaceDE/>
        <w:autoSpaceDN/>
        <w:bidi w:val="0"/>
        <w:adjustRightInd/>
        <w:snapToGrid/>
        <w:spacing w:before="0" w:beforeAutospacing="0" w:after="0" w:afterAutospacing="0"/>
        <w:jc w:val="center"/>
        <w:textAlignment w:val="auto"/>
        <w:outlineLvl w:val="0"/>
        <w:rPr>
          <w:rFonts w:hint="eastAsia" w:ascii="宋体" w:hAnsi="宋体" w:eastAsia="宋体" w:cs="宋体"/>
          <w:b/>
          <w:bCs/>
          <w:snapToGrid w:val="0"/>
          <w:color w:val="auto"/>
          <w:sz w:val="24"/>
          <w:szCs w:val="24"/>
          <w:highlight w:val="none"/>
          <w:lang w:val="en-US" w:eastAsia="zh-CN"/>
        </w:rPr>
        <w:sectPr>
          <w:pgSz w:w="16838" w:h="11906" w:orient="landscape"/>
          <w:pgMar w:top="964" w:right="1134" w:bottom="964" w:left="1134" w:header="851" w:footer="567" w:gutter="0"/>
          <w:pgBorders>
            <w:top w:val="none" w:sz="0" w:space="0"/>
            <w:left w:val="none" w:sz="0" w:space="0"/>
            <w:bottom w:val="none" w:sz="0" w:space="0"/>
            <w:right w:val="none" w:sz="0" w:space="0"/>
          </w:pgBorders>
          <w:pgNumType w:fmt="decimal"/>
          <w:cols w:space="425" w:num="1"/>
          <w:docGrid w:type="lines" w:linePitch="312" w:charSpace="0"/>
        </w:sectPr>
      </w:pPr>
      <w:bookmarkStart w:id="57" w:name="_Toc17285"/>
      <w:r>
        <w:rPr>
          <w:rFonts w:hint="eastAsia" w:ascii="宋体" w:hAnsi="宋体" w:eastAsia="宋体" w:cs="宋体"/>
          <w:b/>
          <w:bCs/>
          <w:snapToGrid w:val="0"/>
          <w:color w:val="auto"/>
          <w:sz w:val="24"/>
          <w:szCs w:val="24"/>
          <w:highlight w:val="none"/>
          <w:lang w:val="en-US" w:eastAsia="zh-CN"/>
        </w:rPr>
        <w:t>附图16 本项目卫生防护距离图</w:t>
      </w:r>
      <w:bookmarkEnd w:id="57"/>
    </w:p>
    <w:p w14:paraId="556BA2C9">
      <w:pPr>
        <w:pStyle w:val="18"/>
        <w:jc w:val="both"/>
        <w:outlineLvl w:val="0"/>
        <w:rPr>
          <w:rFonts w:hint="eastAsia" w:ascii="宋体" w:hAnsi="宋体" w:eastAsia="宋体" w:cs="宋体"/>
          <w:b/>
          <w:bCs/>
          <w:snapToGrid w:val="0"/>
          <w:color w:val="auto"/>
          <w:sz w:val="24"/>
          <w:szCs w:val="24"/>
          <w:highlight w:val="none"/>
          <w:lang w:val="en-US" w:eastAsia="zh-CN"/>
        </w:rPr>
      </w:pPr>
      <w:bookmarkStart w:id="58" w:name="_Toc10532"/>
      <w:r>
        <w:rPr>
          <w:rFonts w:hint="eastAsia" w:ascii="宋体" w:hAnsi="宋体" w:eastAsia="宋体" w:cs="宋体"/>
          <w:b/>
          <w:bCs/>
          <w:snapToGrid w:val="0"/>
          <w:color w:val="auto"/>
          <w:sz w:val="24"/>
          <w:szCs w:val="24"/>
          <w:highlight w:val="none"/>
          <w:lang w:val="en-US" w:eastAsia="zh-CN"/>
        </w:rPr>
        <w:t>附件</w:t>
      </w:r>
      <w:r>
        <w:rPr>
          <w:rFonts w:hint="default" w:ascii="Times New Roman" w:hAnsi="Times New Roman" w:eastAsia="宋体" w:cs="Times New Roman"/>
          <w:b/>
          <w:bCs/>
          <w:snapToGrid w:val="0"/>
          <w:color w:val="auto"/>
          <w:sz w:val="24"/>
          <w:szCs w:val="24"/>
          <w:highlight w:val="none"/>
          <w:lang w:val="en-US" w:eastAsia="zh-CN"/>
        </w:rPr>
        <w:t>1</w:t>
      </w:r>
      <w:r>
        <w:rPr>
          <w:rFonts w:hint="eastAsia" w:ascii="Times New Roman" w:hAnsi="Times New Roman" w:cs="Times New Roman"/>
          <w:b/>
          <w:bCs/>
          <w:snapToGrid w:val="0"/>
          <w:color w:val="auto"/>
          <w:sz w:val="24"/>
          <w:szCs w:val="24"/>
          <w:highlight w:val="none"/>
          <w:lang w:val="en-US" w:eastAsia="zh-CN"/>
        </w:rPr>
        <w:t xml:space="preserve">  </w:t>
      </w:r>
      <w:r>
        <w:rPr>
          <w:rFonts w:hint="eastAsia" w:ascii="宋体" w:hAnsi="宋体" w:eastAsia="宋体" w:cs="宋体"/>
          <w:b/>
          <w:bCs/>
          <w:snapToGrid w:val="0"/>
          <w:color w:val="auto"/>
          <w:sz w:val="24"/>
          <w:szCs w:val="24"/>
          <w:highlight w:val="none"/>
          <w:lang w:val="en-US" w:eastAsia="zh-CN"/>
        </w:rPr>
        <w:t>项目环评委托书</w:t>
      </w:r>
      <w:bookmarkEnd w:id="58"/>
    </w:p>
    <w:p w14:paraId="02CDA59C">
      <w:pPr>
        <w:pStyle w:val="34"/>
        <w:ind w:left="0" w:leftChars="0" w:firstLine="0" w:firstLineChars="0"/>
        <w:jc w:val="center"/>
        <w:rPr>
          <w:rFonts w:hint="eastAsia"/>
          <w:color w:val="auto"/>
          <w:lang w:val="en-US" w:eastAsia="zh-CN"/>
        </w:rPr>
      </w:pPr>
      <w:r>
        <w:rPr>
          <w:color w:val="auto"/>
        </w:rPr>
        <w:drawing>
          <wp:inline distT="0" distB="0" distL="114300" distR="114300">
            <wp:extent cx="6038850" cy="6997700"/>
            <wp:effectExtent l="0" t="0" r="11430" b="12700"/>
            <wp:docPr id="1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
                    <pic:cNvPicPr>
                      <a:picLocks noChangeAspect="1"/>
                    </pic:cNvPicPr>
                  </pic:nvPicPr>
                  <pic:blipFill>
                    <a:blip r:embed="rId56"/>
                    <a:stretch>
                      <a:fillRect/>
                    </a:stretch>
                  </pic:blipFill>
                  <pic:spPr>
                    <a:xfrm>
                      <a:off x="0" y="0"/>
                      <a:ext cx="6038850" cy="6997700"/>
                    </a:xfrm>
                    <a:prstGeom prst="rect">
                      <a:avLst/>
                    </a:prstGeom>
                    <a:noFill/>
                    <a:ln>
                      <a:noFill/>
                    </a:ln>
                  </pic:spPr>
                </pic:pic>
              </a:graphicData>
            </a:graphic>
          </wp:inline>
        </w:drawing>
      </w:r>
    </w:p>
    <w:p w14:paraId="592BC1E5">
      <w:pPr>
        <w:bidi w:val="0"/>
        <w:rPr>
          <w:rFonts w:hint="eastAsia"/>
          <w:color w:val="auto"/>
          <w:lang w:val="en-US" w:eastAsia="zh-CN"/>
        </w:rPr>
      </w:pPr>
    </w:p>
    <w:p w14:paraId="1296C401">
      <w:pPr>
        <w:pStyle w:val="18"/>
        <w:jc w:val="both"/>
        <w:outlineLvl w:val="0"/>
        <w:rPr>
          <w:rFonts w:hint="eastAsia" w:ascii="宋体" w:hAnsi="宋体" w:eastAsia="宋体" w:cs="宋体"/>
          <w:b/>
          <w:bCs/>
          <w:snapToGrid w:val="0"/>
          <w:color w:val="auto"/>
          <w:sz w:val="24"/>
          <w:szCs w:val="24"/>
          <w:highlight w:val="none"/>
          <w:lang w:val="en-US" w:eastAsia="zh-CN"/>
        </w:rPr>
        <w:sectPr>
          <w:pgSz w:w="11906" w:h="16838"/>
          <w:pgMar w:top="1440" w:right="1531" w:bottom="1440" w:left="1531"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0C915D20">
      <w:pPr>
        <w:pStyle w:val="18"/>
        <w:jc w:val="both"/>
        <w:outlineLvl w:val="0"/>
        <w:rPr>
          <w:rFonts w:hint="default" w:ascii="宋体" w:hAnsi="宋体" w:eastAsia="宋体" w:cs="宋体"/>
          <w:b/>
          <w:bCs/>
          <w:snapToGrid w:val="0"/>
          <w:color w:val="auto"/>
          <w:sz w:val="24"/>
          <w:szCs w:val="24"/>
          <w:highlight w:val="none"/>
          <w:lang w:val="en-US" w:eastAsia="zh-CN"/>
        </w:rPr>
      </w:pPr>
      <w:bookmarkStart w:id="59" w:name="_Toc5477"/>
      <w:r>
        <w:rPr>
          <w:rFonts w:hint="eastAsia" w:ascii="宋体" w:hAnsi="宋体" w:eastAsia="宋体" w:cs="宋体"/>
          <w:b/>
          <w:bCs/>
          <w:snapToGrid w:val="0"/>
          <w:color w:val="auto"/>
          <w:sz w:val="24"/>
          <w:szCs w:val="24"/>
          <w:highlight w:val="none"/>
          <w:lang w:val="en-US" w:eastAsia="zh-CN"/>
        </w:rPr>
        <w:t>附件</w:t>
      </w:r>
      <w:r>
        <w:rPr>
          <w:rFonts w:hint="default" w:ascii="Times New Roman" w:hAnsi="Times New Roman" w:eastAsia="宋体" w:cs="Times New Roman"/>
          <w:b/>
          <w:bCs/>
          <w:snapToGrid w:val="0"/>
          <w:color w:val="auto"/>
          <w:sz w:val="24"/>
          <w:szCs w:val="24"/>
          <w:highlight w:val="none"/>
          <w:lang w:val="en-US" w:eastAsia="zh-CN"/>
        </w:rPr>
        <w:t>2</w:t>
      </w:r>
      <w:r>
        <w:rPr>
          <w:rFonts w:hint="eastAsia" w:ascii="Times New Roman" w:hAnsi="Times New Roman" w:cs="Times New Roman"/>
          <w:b/>
          <w:bCs/>
          <w:snapToGrid w:val="0"/>
          <w:color w:val="auto"/>
          <w:sz w:val="24"/>
          <w:szCs w:val="24"/>
          <w:highlight w:val="none"/>
          <w:lang w:val="en-US" w:eastAsia="zh-CN"/>
        </w:rPr>
        <w:t xml:space="preserve">  </w:t>
      </w:r>
      <w:r>
        <w:rPr>
          <w:rFonts w:hint="eastAsia" w:ascii="宋体" w:hAnsi="宋体" w:eastAsia="宋体" w:cs="宋体"/>
          <w:b/>
          <w:bCs/>
          <w:snapToGrid w:val="0"/>
          <w:color w:val="auto"/>
          <w:sz w:val="24"/>
          <w:szCs w:val="24"/>
          <w:highlight w:val="none"/>
          <w:lang w:val="en-US" w:eastAsia="zh-CN"/>
        </w:rPr>
        <w:t>项目备案文件</w:t>
      </w:r>
      <w:bookmarkEnd w:id="59"/>
    </w:p>
    <w:p w14:paraId="4C821BAF">
      <w:pPr>
        <w:pStyle w:val="34"/>
        <w:ind w:left="0" w:leftChars="0" w:firstLine="0" w:firstLineChars="0"/>
        <w:rPr>
          <w:rFonts w:hint="eastAsia"/>
          <w:color w:val="auto"/>
          <w:lang w:val="en-US" w:eastAsia="zh-CN"/>
        </w:rPr>
      </w:pPr>
      <w:r>
        <w:rPr>
          <w:rFonts w:hint="eastAsia"/>
          <w:color w:val="auto"/>
          <w:lang w:val="en-US" w:eastAsia="zh-CN"/>
        </w:rPr>
        <w:drawing>
          <wp:inline distT="0" distB="0" distL="114300" distR="114300">
            <wp:extent cx="5610860" cy="7584440"/>
            <wp:effectExtent l="0" t="0" r="12700" b="5080"/>
            <wp:docPr id="13" name="图片 13" descr="3600002025002EYJT2(1)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3600002025002EYJT2(1)_01"/>
                    <pic:cNvPicPr>
                      <a:picLocks noChangeAspect="1"/>
                    </pic:cNvPicPr>
                  </pic:nvPicPr>
                  <pic:blipFill>
                    <a:blip r:embed="rId57"/>
                    <a:srcRect t="4471"/>
                    <a:stretch>
                      <a:fillRect/>
                    </a:stretch>
                  </pic:blipFill>
                  <pic:spPr>
                    <a:xfrm>
                      <a:off x="0" y="0"/>
                      <a:ext cx="5610860" cy="7584440"/>
                    </a:xfrm>
                    <a:prstGeom prst="rect">
                      <a:avLst/>
                    </a:prstGeom>
                  </pic:spPr>
                </pic:pic>
              </a:graphicData>
            </a:graphic>
          </wp:inline>
        </w:drawing>
      </w:r>
    </w:p>
    <w:p w14:paraId="49BF4E76">
      <w:pPr>
        <w:pStyle w:val="34"/>
        <w:ind w:left="0" w:leftChars="0" w:firstLine="0" w:firstLineChars="0"/>
        <w:rPr>
          <w:rFonts w:hint="eastAsia" w:ascii="宋体" w:hAnsi="宋体" w:eastAsia="宋体" w:cs="宋体"/>
          <w:b/>
          <w:bCs/>
          <w:snapToGrid w:val="0"/>
          <w:color w:val="auto"/>
          <w:sz w:val="24"/>
          <w:szCs w:val="24"/>
          <w:highlight w:val="none"/>
          <w:lang w:val="en-US" w:eastAsia="zh-CN"/>
        </w:rPr>
        <w:sectPr>
          <w:pgSz w:w="11906" w:h="16838"/>
          <w:pgMar w:top="1440" w:right="1531" w:bottom="1440" w:left="1531" w:header="851" w:footer="992" w:gutter="0"/>
          <w:pgBorders>
            <w:top w:val="none" w:sz="0" w:space="0"/>
            <w:left w:val="none" w:sz="0" w:space="0"/>
            <w:bottom w:val="none" w:sz="0" w:space="0"/>
            <w:right w:val="none" w:sz="0" w:space="0"/>
          </w:pgBorders>
          <w:pgNumType w:fmt="decimal"/>
          <w:cols w:space="425" w:num="1"/>
          <w:docGrid w:type="lines" w:linePitch="312" w:charSpace="0"/>
        </w:sectPr>
      </w:pPr>
      <w:r>
        <w:rPr>
          <w:rFonts w:hint="eastAsia"/>
          <w:color w:val="auto"/>
          <w:lang w:val="en-US" w:eastAsia="zh-CN"/>
        </w:rPr>
        <w:drawing>
          <wp:inline distT="0" distB="0" distL="114300" distR="114300">
            <wp:extent cx="5610860" cy="7939405"/>
            <wp:effectExtent l="0" t="0" r="12700" b="635"/>
            <wp:docPr id="12" name="图片 12" descr="3600002025002EYJT2(1)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3600002025002EYJT2(1)_02"/>
                    <pic:cNvPicPr>
                      <a:picLocks noChangeAspect="1"/>
                    </pic:cNvPicPr>
                  </pic:nvPicPr>
                  <pic:blipFill>
                    <a:blip r:embed="rId58"/>
                    <a:stretch>
                      <a:fillRect/>
                    </a:stretch>
                  </pic:blipFill>
                  <pic:spPr>
                    <a:xfrm>
                      <a:off x="0" y="0"/>
                      <a:ext cx="5610860" cy="7939405"/>
                    </a:xfrm>
                    <a:prstGeom prst="rect">
                      <a:avLst/>
                    </a:prstGeom>
                  </pic:spPr>
                </pic:pic>
              </a:graphicData>
            </a:graphic>
          </wp:inline>
        </w:drawing>
      </w:r>
    </w:p>
    <w:p w14:paraId="5F86484E">
      <w:pPr>
        <w:pStyle w:val="18"/>
        <w:keepNext w:val="0"/>
        <w:keepLines w:val="0"/>
        <w:pageBreakBefore w:val="0"/>
        <w:widowControl/>
        <w:kinsoku/>
        <w:wordWrap/>
        <w:overflowPunct/>
        <w:topLinePunct w:val="0"/>
        <w:autoSpaceDE/>
        <w:autoSpaceDN/>
        <w:bidi w:val="0"/>
        <w:adjustRightInd/>
        <w:snapToGrid/>
        <w:spacing w:before="0" w:beforeAutospacing="0" w:after="0" w:afterAutospacing="0"/>
        <w:jc w:val="both"/>
        <w:textAlignment w:val="auto"/>
        <w:outlineLvl w:val="0"/>
        <w:rPr>
          <w:rFonts w:hint="eastAsia" w:ascii="宋体" w:hAnsi="宋体" w:eastAsia="宋体" w:cs="宋体"/>
          <w:b/>
          <w:bCs/>
          <w:snapToGrid w:val="0"/>
          <w:color w:val="auto"/>
          <w:sz w:val="24"/>
          <w:szCs w:val="24"/>
          <w:highlight w:val="none"/>
          <w:lang w:val="en-US" w:eastAsia="zh-CN"/>
        </w:rPr>
      </w:pPr>
      <w:bookmarkStart w:id="60" w:name="_Toc12280"/>
      <w:r>
        <w:rPr>
          <w:rFonts w:hint="eastAsia" w:ascii="宋体" w:hAnsi="宋体" w:eastAsia="宋体" w:cs="宋体"/>
          <w:b/>
          <w:bCs/>
          <w:snapToGrid w:val="0"/>
          <w:color w:val="auto"/>
          <w:sz w:val="24"/>
          <w:szCs w:val="24"/>
          <w:highlight w:val="none"/>
          <w:lang w:val="en-US" w:eastAsia="zh-CN"/>
        </w:rPr>
        <w:t>附件</w:t>
      </w:r>
      <w:r>
        <w:rPr>
          <w:rFonts w:hint="default" w:ascii="Times New Roman" w:hAnsi="Times New Roman" w:eastAsia="宋体" w:cs="Times New Roman"/>
          <w:b/>
          <w:bCs/>
          <w:snapToGrid w:val="0"/>
          <w:color w:val="auto"/>
          <w:sz w:val="24"/>
          <w:szCs w:val="24"/>
          <w:highlight w:val="none"/>
          <w:lang w:val="en-US" w:eastAsia="zh-CN"/>
        </w:rPr>
        <w:t>3</w:t>
      </w:r>
      <w:r>
        <w:rPr>
          <w:rFonts w:hint="eastAsia" w:ascii="宋体" w:hAnsi="宋体" w:eastAsia="宋体" w:cs="宋体"/>
          <w:b/>
          <w:bCs/>
          <w:snapToGrid w:val="0"/>
          <w:color w:val="auto"/>
          <w:sz w:val="24"/>
          <w:szCs w:val="24"/>
          <w:highlight w:val="none"/>
          <w:lang w:val="en-US" w:eastAsia="zh-CN"/>
        </w:rPr>
        <w:t xml:space="preserve">  企业营业执照</w:t>
      </w:r>
      <w:bookmarkEnd w:id="60"/>
    </w:p>
    <w:p w14:paraId="28C93DAD">
      <w:pPr>
        <w:bidi w:val="0"/>
        <w:jc w:val="center"/>
        <w:rPr>
          <w:rFonts w:hint="default"/>
          <w:color w:val="auto"/>
          <w:lang w:val="en-US" w:eastAsia="zh-CN"/>
        </w:rPr>
        <w:sectPr>
          <w:pgSz w:w="16838" w:h="11906" w:orient="landscape"/>
          <w:pgMar w:top="964" w:right="1440" w:bottom="964" w:left="1440" w:header="851" w:footer="992" w:gutter="0"/>
          <w:pgBorders>
            <w:top w:val="none" w:sz="0" w:space="0"/>
            <w:left w:val="none" w:sz="0" w:space="0"/>
            <w:bottom w:val="none" w:sz="0" w:space="0"/>
            <w:right w:val="none" w:sz="0" w:space="0"/>
          </w:pgBorders>
          <w:pgNumType w:fmt="decimal"/>
          <w:cols w:space="425" w:num="1"/>
          <w:docGrid w:type="lines" w:linePitch="312" w:charSpace="0"/>
        </w:sectPr>
      </w:pPr>
      <w:r>
        <w:rPr>
          <w:color w:val="auto"/>
        </w:rPr>
        <w:drawing>
          <wp:inline distT="0" distB="0" distL="114300" distR="114300">
            <wp:extent cx="8054340" cy="5787390"/>
            <wp:effectExtent l="0" t="0" r="7620" b="3810"/>
            <wp:docPr id="3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8"/>
                    <pic:cNvPicPr>
                      <a:picLocks noChangeAspect="1"/>
                    </pic:cNvPicPr>
                  </pic:nvPicPr>
                  <pic:blipFill>
                    <a:blip r:embed="rId59"/>
                    <a:stretch>
                      <a:fillRect/>
                    </a:stretch>
                  </pic:blipFill>
                  <pic:spPr>
                    <a:xfrm>
                      <a:off x="0" y="0"/>
                      <a:ext cx="8054340" cy="5787390"/>
                    </a:xfrm>
                    <a:prstGeom prst="rect">
                      <a:avLst/>
                    </a:prstGeom>
                    <a:noFill/>
                    <a:ln>
                      <a:noFill/>
                    </a:ln>
                  </pic:spPr>
                </pic:pic>
              </a:graphicData>
            </a:graphic>
          </wp:inline>
        </w:drawing>
      </w:r>
    </w:p>
    <w:p w14:paraId="16E8A549">
      <w:pPr>
        <w:pStyle w:val="18"/>
        <w:jc w:val="both"/>
        <w:outlineLvl w:val="0"/>
        <w:rPr>
          <w:rFonts w:hint="eastAsia" w:ascii="宋体" w:hAnsi="宋体" w:eastAsia="宋体" w:cs="宋体"/>
          <w:b/>
          <w:bCs/>
          <w:snapToGrid w:val="0"/>
          <w:color w:val="auto"/>
          <w:sz w:val="24"/>
          <w:szCs w:val="24"/>
          <w:highlight w:val="none"/>
          <w:lang w:val="en-US" w:eastAsia="zh-CN"/>
        </w:rPr>
      </w:pPr>
      <w:bookmarkStart w:id="61" w:name="_Toc24108"/>
      <w:r>
        <w:rPr>
          <w:rFonts w:hint="eastAsia" w:ascii="宋体" w:hAnsi="宋体" w:eastAsia="宋体" w:cs="宋体"/>
          <w:b/>
          <w:bCs/>
          <w:snapToGrid w:val="0"/>
          <w:color w:val="auto"/>
          <w:sz w:val="24"/>
          <w:szCs w:val="24"/>
          <w:highlight w:val="none"/>
          <w:lang w:val="en-US" w:eastAsia="zh-CN"/>
        </w:rPr>
        <w:t>附件</w:t>
      </w:r>
      <w:r>
        <w:rPr>
          <w:rFonts w:hint="default" w:ascii="Times New Roman" w:hAnsi="Times New Roman" w:eastAsia="宋体" w:cs="Times New Roman"/>
          <w:b/>
          <w:bCs/>
          <w:snapToGrid w:val="0"/>
          <w:color w:val="auto"/>
          <w:sz w:val="24"/>
          <w:szCs w:val="24"/>
          <w:highlight w:val="none"/>
          <w:lang w:val="en-US" w:eastAsia="zh-CN"/>
        </w:rPr>
        <w:t>4</w:t>
      </w:r>
      <w:r>
        <w:rPr>
          <w:rFonts w:hint="eastAsia" w:ascii="宋体" w:hAnsi="宋体" w:eastAsia="宋体" w:cs="宋体"/>
          <w:b/>
          <w:bCs/>
          <w:snapToGrid w:val="0"/>
          <w:color w:val="auto"/>
          <w:sz w:val="24"/>
          <w:szCs w:val="24"/>
          <w:highlight w:val="none"/>
          <w:lang w:val="en-US" w:eastAsia="zh-CN"/>
        </w:rPr>
        <w:t xml:space="preserve">  项目租赁协议及用地证明</w:t>
      </w:r>
      <w:bookmarkEnd w:id="61"/>
    </w:p>
    <w:p w14:paraId="37EB9261">
      <w:pPr>
        <w:jc w:val="center"/>
        <w:rPr>
          <w:rFonts w:hint="eastAsia" w:eastAsia="宋体"/>
          <w:color w:val="auto"/>
          <w:lang w:val="en-US" w:eastAsia="zh-CN"/>
        </w:rPr>
        <w:sectPr>
          <w:pgSz w:w="11906" w:h="16838"/>
          <w:pgMar w:top="720" w:right="720" w:bottom="720" w:left="720" w:header="851" w:footer="992" w:gutter="0"/>
          <w:pgBorders>
            <w:top w:val="none" w:sz="0" w:space="0"/>
            <w:left w:val="none" w:sz="0" w:space="0"/>
            <w:bottom w:val="none" w:sz="0" w:space="0"/>
            <w:right w:val="none" w:sz="0" w:space="0"/>
          </w:pgBorders>
          <w:pgNumType w:fmt="decimal"/>
          <w:cols w:space="720" w:num="1"/>
          <w:docGrid w:type="lines" w:linePitch="312" w:charSpace="0"/>
        </w:sectPr>
      </w:pPr>
      <w:r>
        <w:rPr>
          <w:color w:val="auto"/>
        </w:rPr>
        <w:drawing>
          <wp:inline distT="0" distB="0" distL="114300" distR="114300">
            <wp:extent cx="6638925" cy="7402830"/>
            <wp:effectExtent l="0" t="0" r="5715" b="3810"/>
            <wp:docPr id="7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5"/>
                    <pic:cNvPicPr>
                      <a:picLocks noChangeAspect="1"/>
                    </pic:cNvPicPr>
                  </pic:nvPicPr>
                  <pic:blipFill>
                    <a:blip r:embed="rId60"/>
                    <a:stretch>
                      <a:fillRect/>
                    </a:stretch>
                  </pic:blipFill>
                  <pic:spPr>
                    <a:xfrm>
                      <a:off x="0" y="0"/>
                      <a:ext cx="6638925" cy="7402830"/>
                    </a:xfrm>
                    <a:prstGeom prst="rect">
                      <a:avLst/>
                    </a:prstGeom>
                    <a:noFill/>
                    <a:ln>
                      <a:noFill/>
                    </a:ln>
                  </pic:spPr>
                </pic:pic>
              </a:graphicData>
            </a:graphic>
          </wp:inline>
        </w:drawing>
      </w:r>
      <w:r>
        <w:rPr>
          <w:color w:val="auto"/>
        </w:rPr>
        <w:drawing>
          <wp:inline distT="0" distB="0" distL="114300" distR="114300">
            <wp:extent cx="6211570" cy="8211820"/>
            <wp:effectExtent l="0" t="0" r="6350" b="2540"/>
            <wp:docPr id="7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16"/>
                    <pic:cNvPicPr>
                      <a:picLocks noChangeAspect="1"/>
                    </pic:cNvPicPr>
                  </pic:nvPicPr>
                  <pic:blipFill>
                    <a:blip r:embed="rId61"/>
                    <a:stretch>
                      <a:fillRect/>
                    </a:stretch>
                  </pic:blipFill>
                  <pic:spPr>
                    <a:xfrm>
                      <a:off x="0" y="0"/>
                      <a:ext cx="6211570" cy="8211820"/>
                    </a:xfrm>
                    <a:prstGeom prst="rect">
                      <a:avLst/>
                    </a:prstGeom>
                    <a:noFill/>
                    <a:ln>
                      <a:noFill/>
                    </a:ln>
                  </pic:spPr>
                </pic:pic>
              </a:graphicData>
            </a:graphic>
          </wp:inline>
        </w:drawing>
      </w:r>
      <w:r>
        <w:rPr>
          <w:color w:val="auto"/>
        </w:rPr>
        <w:drawing>
          <wp:inline distT="0" distB="0" distL="114300" distR="114300">
            <wp:extent cx="6323330" cy="8805545"/>
            <wp:effectExtent l="0" t="0" r="1270" b="3175"/>
            <wp:docPr id="8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7"/>
                    <pic:cNvPicPr>
                      <a:picLocks noChangeAspect="1"/>
                    </pic:cNvPicPr>
                  </pic:nvPicPr>
                  <pic:blipFill>
                    <a:blip r:embed="rId62"/>
                    <a:stretch>
                      <a:fillRect/>
                    </a:stretch>
                  </pic:blipFill>
                  <pic:spPr>
                    <a:xfrm>
                      <a:off x="0" y="0"/>
                      <a:ext cx="6323330" cy="8805545"/>
                    </a:xfrm>
                    <a:prstGeom prst="rect">
                      <a:avLst/>
                    </a:prstGeom>
                    <a:noFill/>
                    <a:ln>
                      <a:noFill/>
                    </a:ln>
                  </pic:spPr>
                </pic:pic>
              </a:graphicData>
            </a:graphic>
          </wp:inline>
        </w:drawing>
      </w:r>
      <w:r>
        <w:rPr>
          <w:color w:val="auto"/>
        </w:rPr>
        <w:drawing>
          <wp:inline distT="0" distB="0" distL="114300" distR="114300">
            <wp:extent cx="6193155" cy="8274050"/>
            <wp:effectExtent l="0" t="0" r="9525" b="1270"/>
            <wp:docPr id="8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18"/>
                    <pic:cNvPicPr>
                      <a:picLocks noChangeAspect="1"/>
                    </pic:cNvPicPr>
                  </pic:nvPicPr>
                  <pic:blipFill>
                    <a:blip r:embed="rId63"/>
                    <a:stretch>
                      <a:fillRect/>
                    </a:stretch>
                  </pic:blipFill>
                  <pic:spPr>
                    <a:xfrm>
                      <a:off x="0" y="0"/>
                      <a:ext cx="6193155" cy="8274050"/>
                    </a:xfrm>
                    <a:prstGeom prst="rect">
                      <a:avLst/>
                    </a:prstGeom>
                    <a:noFill/>
                    <a:ln>
                      <a:noFill/>
                    </a:ln>
                  </pic:spPr>
                </pic:pic>
              </a:graphicData>
            </a:graphic>
          </wp:inline>
        </w:drawing>
      </w:r>
      <w:r>
        <w:rPr>
          <w:rFonts w:hint="eastAsia" w:eastAsia="宋体"/>
          <w:color w:val="auto"/>
          <w:lang w:val="en-US" w:eastAsia="zh-CN"/>
        </w:rPr>
        <w:drawing>
          <wp:inline distT="0" distB="0" distL="114300" distR="114300">
            <wp:extent cx="5324475" cy="8238490"/>
            <wp:effectExtent l="0" t="0" r="9525" b="10160"/>
            <wp:docPr id="5" name="图片 5" descr="局部截取_20260126_110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局部截取_20260126_110451"/>
                    <pic:cNvPicPr>
                      <a:picLocks noChangeAspect="1"/>
                    </pic:cNvPicPr>
                  </pic:nvPicPr>
                  <pic:blipFill>
                    <a:blip r:embed="rId64"/>
                    <a:stretch>
                      <a:fillRect/>
                    </a:stretch>
                  </pic:blipFill>
                  <pic:spPr>
                    <a:xfrm>
                      <a:off x="0" y="0"/>
                      <a:ext cx="5324475" cy="8238490"/>
                    </a:xfrm>
                    <a:prstGeom prst="rect">
                      <a:avLst/>
                    </a:prstGeom>
                  </pic:spPr>
                </pic:pic>
              </a:graphicData>
            </a:graphic>
          </wp:inline>
        </w:drawing>
      </w:r>
      <w:r>
        <w:rPr>
          <w:rFonts w:hint="eastAsia" w:eastAsia="宋体"/>
          <w:color w:val="auto"/>
          <w:lang w:val="en-US" w:eastAsia="zh-CN"/>
        </w:rPr>
        <w:drawing>
          <wp:inline distT="0" distB="0" distL="114300" distR="114300">
            <wp:extent cx="4939030" cy="7737475"/>
            <wp:effectExtent l="0" t="0" r="13970" b="15875"/>
            <wp:docPr id="6" name="图片 6" descr="局部截取_20260126_110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局部截取_20260126_110513"/>
                    <pic:cNvPicPr>
                      <a:picLocks noChangeAspect="1"/>
                    </pic:cNvPicPr>
                  </pic:nvPicPr>
                  <pic:blipFill>
                    <a:blip r:embed="rId65"/>
                    <a:stretch>
                      <a:fillRect/>
                    </a:stretch>
                  </pic:blipFill>
                  <pic:spPr>
                    <a:xfrm>
                      <a:off x="0" y="0"/>
                      <a:ext cx="4939030" cy="7737475"/>
                    </a:xfrm>
                    <a:prstGeom prst="rect">
                      <a:avLst/>
                    </a:prstGeom>
                  </pic:spPr>
                </pic:pic>
              </a:graphicData>
            </a:graphic>
          </wp:inline>
        </w:drawing>
      </w:r>
      <w:r>
        <w:rPr>
          <w:rFonts w:hint="eastAsia" w:eastAsia="宋体"/>
          <w:color w:val="auto"/>
          <w:lang w:val="en-US" w:eastAsia="zh-CN"/>
        </w:rPr>
        <w:drawing>
          <wp:inline distT="0" distB="0" distL="114300" distR="114300">
            <wp:extent cx="5368290" cy="7687310"/>
            <wp:effectExtent l="0" t="0" r="3810" b="8890"/>
            <wp:docPr id="9" name="图片 9" descr="局部截取_20260126_110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局部截取_20260126_110535"/>
                    <pic:cNvPicPr>
                      <a:picLocks noChangeAspect="1"/>
                    </pic:cNvPicPr>
                  </pic:nvPicPr>
                  <pic:blipFill>
                    <a:blip r:embed="rId66"/>
                    <a:stretch>
                      <a:fillRect/>
                    </a:stretch>
                  </pic:blipFill>
                  <pic:spPr>
                    <a:xfrm>
                      <a:off x="0" y="0"/>
                      <a:ext cx="5368290" cy="7687310"/>
                    </a:xfrm>
                    <a:prstGeom prst="rect">
                      <a:avLst/>
                    </a:prstGeom>
                  </pic:spPr>
                </pic:pic>
              </a:graphicData>
            </a:graphic>
          </wp:inline>
        </w:drawing>
      </w:r>
      <w:r>
        <w:rPr>
          <w:rFonts w:hint="eastAsia" w:eastAsia="宋体"/>
          <w:color w:val="auto"/>
          <w:lang w:val="en-US" w:eastAsia="zh-CN"/>
        </w:rPr>
        <w:drawing>
          <wp:inline distT="0" distB="0" distL="114300" distR="114300">
            <wp:extent cx="4838700" cy="7467600"/>
            <wp:effectExtent l="0" t="0" r="0" b="0"/>
            <wp:docPr id="11" name="图片 11" descr="局部截取_20260126_110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局部截取_20260126_110603"/>
                    <pic:cNvPicPr>
                      <a:picLocks noChangeAspect="1"/>
                    </pic:cNvPicPr>
                  </pic:nvPicPr>
                  <pic:blipFill>
                    <a:blip r:embed="rId67"/>
                    <a:stretch>
                      <a:fillRect/>
                    </a:stretch>
                  </pic:blipFill>
                  <pic:spPr>
                    <a:xfrm>
                      <a:off x="0" y="0"/>
                      <a:ext cx="4838700" cy="7467600"/>
                    </a:xfrm>
                    <a:prstGeom prst="rect">
                      <a:avLst/>
                    </a:prstGeom>
                  </pic:spPr>
                </pic:pic>
              </a:graphicData>
            </a:graphic>
          </wp:inline>
        </w:drawing>
      </w:r>
      <w:r>
        <w:rPr>
          <w:rFonts w:hint="eastAsia" w:eastAsia="宋体"/>
          <w:color w:val="auto"/>
          <w:lang w:val="en-US" w:eastAsia="zh-CN"/>
        </w:rPr>
        <w:drawing>
          <wp:inline distT="0" distB="0" distL="114300" distR="114300">
            <wp:extent cx="5584825" cy="7889875"/>
            <wp:effectExtent l="0" t="0" r="15875" b="15875"/>
            <wp:docPr id="83" name="图片 83" descr="局部截取_20260126_110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局部截取_20260126_110618"/>
                    <pic:cNvPicPr>
                      <a:picLocks noChangeAspect="1"/>
                    </pic:cNvPicPr>
                  </pic:nvPicPr>
                  <pic:blipFill>
                    <a:blip r:embed="rId68"/>
                    <a:stretch>
                      <a:fillRect/>
                    </a:stretch>
                  </pic:blipFill>
                  <pic:spPr>
                    <a:xfrm>
                      <a:off x="0" y="0"/>
                      <a:ext cx="5584825" cy="7889875"/>
                    </a:xfrm>
                    <a:prstGeom prst="rect">
                      <a:avLst/>
                    </a:prstGeom>
                  </pic:spPr>
                </pic:pic>
              </a:graphicData>
            </a:graphic>
          </wp:inline>
        </w:drawing>
      </w:r>
    </w:p>
    <w:p w14:paraId="1B190678">
      <w:pPr>
        <w:pStyle w:val="18"/>
        <w:jc w:val="both"/>
        <w:outlineLvl w:val="0"/>
        <w:rPr>
          <w:rFonts w:hint="default" w:ascii="宋体" w:hAnsi="宋体" w:eastAsia="宋体" w:cs="宋体"/>
          <w:b/>
          <w:bCs/>
          <w:snapToGrid w:val="0"/>
          <w:color w:val="auto"/>
          <w:sz w:val="24"/>
          <w:szCs w:val="24"/>
          <w:highlight w:val="none"/>
          <w:lang w:val="en-US" w:eastAsia="zh-CN"/>
        </w:rPr>
      </w:pPr>
      <w:bookmarkStart w:id="62" w:name="_Toc17912"/>
      <w:r>
        <w:rPr>
          <w:rFonts w:hint="default" w:ascii="宋体" w:hAnsi="宋体" w:eastAsia="宋体" w:cs="宋体"/>
          <w:b/>
          <w:bCs/>
          <w:snapToGrid w:val="0"/>
          <w:color w:val="auto"/>
          <w:sz w:val="24"/>
          <w:szCs w:val="24"/>
          <w:highlight w:val="none"/>
          <w:lang w:val="en-US" w:eastAsia="zh-CN"/>
        </w:rPr>
        <w:t>附件</w:t>
      </w:r>
      <w:r>
        <w:rPr>
          <w:rFonts w:hint="default" w:ascii="Times New Roman" w:hAnsi="Times New Roman" w:eastAsia="宋体" w:cs="Times New Roman"/>
          <w:b/>
          <w:bCs/>
          <w:snapToGrid w:val="0"/>
          <w:color w:val="auto"/>
          <w:sz w:val="24"/>
          <w:szCs w:val="24"/>
          <w:highlight w:val="none"/>
          <w:lang w:val="en-US" w:eastAsia="zh-CN"/>
        </w:rPr>
        <w:t>5</w:t>
      </w:r>
      <w:r>
        <w:rPr>
          <w:rFonts w:hint="eastAsia" w:ascii="宋体" w:hAnsi="宋体" w:eastAsia="宋体" w:cs="宋体"/>
          <w:b/>
          <w:bCs/>
          <w:snapToGrid w:val="0"/>
          <w:color w:val="auto"/>
          <w:sz w:val="24"/>
          <w:szCs w:val="24"/>
          <w:highlight w:val="none"/>
          <w:lang w:val="en-US" w:eastAsia="zh-CN"/>
        </w:rPr>
        <w:t xml:space="preserve">  </w:t>
      </w:r>
      <w:r>
        <w:rPr>
          <w:rFonts w:hint="default" w:ascii="宋体" w:hAnsi="宋体" w:eastAsia="宋体" w:cs="宋体"/>
          <w:b/>
          <w:bCs/>
          <w:snapToGrid w:val="0"/>
          <w:color w:val="auto"/>
          <w:sz w:val="24"/>
          <w:szCs w:val="24"/>
          <w:highlight w:val="none"/>
          <w:lang w:val="en-US" w:eastAsia="zh-CN"/>
        </w:rPr>
        <w:t>规划环评审查意见</w:t>
      </w:r>
      <w:bookmarkEnd w:id="62"/>
    </w:p>
    <w:p w14:paraId="42DC76CE">
      <w:pPr>
        <w:jc w:val="center"/>
        <w:rPr>
          <w:rFonts w:hint="default"/>
          <w:color w:val="auto"/>
          <w:lang w:val="en-US" w:eastAsia="zh-CN"/>
        </w:rPr>
        <w:sectPr>
          <w:pgSz w:w="11906" w:h="16838"/>
          <w:pgMar w:top="720" w:right="720" w:bottom="720" w:left="720" w:header="851" w:footer="992" w:gutter="0"/>
          <w:pgBorders>
            <w:top w:val="none" w:sz="0" w:space="0"/>
            <w:left w:val="none" w:sz="0" w:space="0"/>
            <w:bottom w:val="none" w:sz="0" w:space="0"/>
            <w:right w:val="none" w:sz="0" w:space="0"/>
          </w:pgBorders>
          <w:pgNumType w:fmt="decimal"/>
          <w:cols w:space="720" w:num="1"/>
          <w:docGrid w:type="lines" w:linePitch="312" w:charSpace="0"/>
        </w:sectPr>
      </w:pPr>
      <w:r>
        <w:rPr>
          <w:color w:val="auto"/>
        </w:rPr>
        <w:drawing>
          <wp:inline distT="0" distB="0" distL="114300" distR="114300">
            <wp:extent cx="6461125" cy="7885430"/>
            <wp:effectExtent l="0" t="0" r="635" b="8890"/>
            <wp:docPr id="7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9"/>
                    <pic:cNvPicPr>
                      <a:picLocks noChangeAspect="1"/>
                    </pic:cNvPicPr>
                  </pic:nvPicPr>
                  <pic:blipFill>
                    <a:blip r:embed="rId69"/>
                    <a:stretch>
                      <a:fillRect/>
                    </a:stretch>
                  </pic:blipFill>
                  <pic:spPr>
                    <a:xfrm>
                      <a:off x="0" y="0"/>
                      <a:ext cx="6461125" cy="7885430"/>
                    </a:xfrm>
                    <a:prstGeom prst="rect">
                      <a:avLst/>
                    </a:prstGeom>
                    <a:noFill/>
                    <a:ln>
                      <a:noFill/>
                    </a:ln>
                  </pic:spPr>
                </pic:pic>
              </a:graphicData>
            </a:graphic>
          </wp:inline>
        </w:drawing>
      </w:r>
      <w:r>
        <w:rPr>
          <w:color w:val="auto"/>
        </w:rPr>
        <w:drawing>
          <wp:inline distT="0" distB="0" distL="114300" distR="114300">
            <wp:extent cx="6370320" cy="9130030"/>
            <wp:effectExtent l="0" t="0" r="0" b="13970"/>
            <wp:docPr id="7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0"/>
                    <pic:cNvPicPr>
                      <a:picLocks noChangeAspect="1"/>
                    </pic:cNvPicPr>
                  </pic:nvPicPr>
                  <pic:blipFill>
                    <a:blip r:embed="rId70"/>
                    <a:stretch>
                      <a:fillRect/>
                    </a:stretch>
                  </pic:blipFill>
                  <pic:spPr>
                    <a:xfrm>
                      <a:off x="0" y="0"/>
                      <a:ext cx="6370320" cy="9130030"/>
                    </a:xfrm>
                    <a:prstGeom prst="rect">
                      <a:avLst/>
                    </a:prstGeom>
                    <a:noFill/>
                    <a:ln>
                      <a:noFill/>
                    </a:ln>
                  </pic:spPr>
                </pic:pic>
              </a:graphicData>
            </a:graphic>
          </wp:inline>
        </w:drawing>
      </w:r>
      <w:r>
        <w:rPr>
          <w:color w:val="auto"/>
        </w:rPr>
        <w:drawing>
          <wp:inline distT="0" distB="0" distL="114300" distR="114300">
            <wp:extent cx="6228715" cy="8975090"/>
            <wp:effectExtent l="0" t="0" r="4445" b="1270"/>
            <wp:docPr id="7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1"/>
                    <pic:cNvPicPr>
                      <a:picLocks noChangeAspect="1"/>
                    </pic:cNvPicPr>
                  </pic:nvPicPr>
                  <pic:blipFill>
                    <a:blip r:embed="rId71"/>
                    <a:stretch>
                      <a:fillRect/>
                    </a:stretch>
                  </pic:blipFill>
                  <pic:spPr>
                    <a:xfrm>
                      <a:off x="0" y="0"/>
                      <a:ext cx="6228715" cy="8975090"/>
                    </a:xfrm>
                    <a:prstGeom prst="rect">
                      <a:avLst/>
                    </a:prstGeom>
                    <a:noFill/>
                    <a:ln>
                      <a:noFill/>
                    </a:ln>
                  </pic:spPr>
                </pic:pic>
              </a:graphicData>
            </a:graphic>
          </wp:inline>
        </w:drawing>
      </w:r>
      <w:r>
        <w:rPr>
          <w:color w:val="auto"/>
        </w:rPr>
        <w:drawing>
          <wp:inline distT="0" distB="0" distL="114300" distR="114300">
            <wp:extent cx="6316980" cy="9244965"/>
            <wp:effectExtent l="0" t="0" r="7620" b="5715"/>
            <wp:docPr id="6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2"/>
                    <pic:cNvPicPr>
                      <a:picLocks noChangeAspect="1"/>
                    </pic:cNvPicPr>
                  </pic:nvPicPr>
                  <pic:blipFill>
                    <a:blip r:embed="rId72"/>
                    <a:stretch>
                      <a:fillRect/>
                    </a:stretch>
                  </pic:blipFill>
                  <pic:spPr>
                    <a:xfrm>
                      <a:off x="0" y="0"/>
                      <a:ext cx="6316980" cy="9244965"/>
                    </a:xfrm>
                    <a:prstGeom prst="rect">
                      <a:avLst/>
                    </a:prstGeom>
                    <a:noFill/>
                    <a:ln>
                      <a:noFill/>
                    </a:ln>
                  </pic:spPr>
                </pic:pic>
              </a:graphicData>
            </a:graphic>
          </wp:inline>
        </w:drawing>
      </w:r>
      <w:r>
        <w:rPr>
          <w:color w:val="auto"/>
        </w:rPr>
        <w:drawing>
          <wp:inline distT="0" distB="0" distL="114300" distR="114300">
            <wp:extent cx="6316980" cy="9161145"/>
            <wp:effectExtent l="0" t="0" r="7620" b="13335"/>
            <wp:docPr id="6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3"/>
                    <pic:cNvPicPr>
                      <a:picLocks noChangeAspect="1"/>
                    </pic:cNvPicPr>
                  </pic:nvPicPr>
                  <pic:blipFill>
                    <a:blip r:embed="rId73"/>
                    <a:stretch>
                      <a:fillRect/>
                    </a:stretch>
                  </pic:blipFill>
                  <pic:spPr>
                    <a:xfrm>
                      <a:off x="0" y="0"/>
                      <a:ext cx="6316980" cy="9161145"/>
                    </a:xfrm>
                    <a:prstGeom prst="rect">
                      <a:avLst/>
                    </a:prstGeom>
                    <a:noFill/>
                    <a:ln>
                      <a:noFill/>
                    </a:ln>
                  </pic:spPr>
                </pic:pic>
              </a:graphicData>
            </a:graphic>
          </wp:inline>
        </w:drawing>
      </w:r>
      <w:r>
        <w:rPr>
          <w:color w:val="auto"/>
        </w:rPr>
        <w:drawing>
          <wp:inline distT="0" distB="0" distL="114300" distR="114300">
            <wp:extent cx="6598285" cy="9202420"/>
            <wp:effectExtent l="0" t="0" r="635" b="2540"/>
            <wp:docPr id="7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4"/>
                    <pic:cNvPicPr>
                      <a:picLocks noChangeAspect="1"/>
                    </pic:cNvPicPr>
                  </pic:nvPicPr>
                  <pic:blipFill>
                    <a:blip r:embed="rId74"/>
                    <a:stretch>
                      <a:fillRect/>
                    </a:stretch>
                  </pic:blipFill>
                  <pic:spPr>
                    <a:xfrm>
                      <a:off x="0" y="0"/>
                      <a:ext cx="6598285" cy="9202420"/>
                    </a:xfrm>
                    <a:prstGeom prst="rect">
                      <a:avLst/>
                    </a:prstGeom>
                    <a:noFill/>
                    <a:ln>
                      <a:noFill/>
                    </a:ln>
                  </pic:spPr>
                </pic:pic>
              </a:graphicData>
            </a:graphic>
          </wp:inline>
        </w:drawing>
      </w:r>
    </w:p>
    <w:p w14:paraId="212D1573">
      <w:pPr>
        <w:pStyle w:val="18"/>
        <w:jc w:val="both"/>
        <w:outlineLvl w:val="0"/>
        <w:rPr>
          <w:rFonts w:hint="default" w:ascii="宋体" w:hAnsi="宋体" w:eastAsia="宋体" w:cs="宋体"/>
          <w:b/>
          <w:bCs/>
          <w:snapToGrid w:val="0"/>
          <w:color w:val="auto"/>
          <w:sz w:val="24"/>
          <w:szCs w:val="24"/>
          <w:highlight w:val="none"/>
          <w:lang w:val="en-US" w:eastAsia="zh-CN"/>
        </w:rPr>
      </w:pPr>
      <w:bookmarkStart w:id="63" w:name="_Toc13003"/>
      <w:r>
        <w:rPr>
          <w:rFonts w:hint="eastAsia" w:ascii="宋体" w:hAnsi="宋体" w:eastAsia="宋体" w:cs="宋体"/>
          <w:b/>
          <w:bCs/>
          <w:snapToGrid w:val="0"/>
          <w:color w:val="auto"/>
          <w:sz w:val="24"/>
          <w:szCs w:val="24"/>
          <w:highlight w:val="none"/>
          <w:lang w:val="en-US" w:eastAsia="zh-CN"/>
        </w:rPr>
        <w:t>附件</w:t>
      </w:r>
      <w:r>
        <w:rPr>
          <w:rFonts w:hint="default" w:ascii="Times New Roman" w:hAnsi="Times New Roman" w:eastAsia="宋体" w:cs="Times New Roman"/>
          <w:b/>
          <w:bCs/>
          <w:snapToGrid w:val="0"/>
          <w:color w:val="auto"/>
          <w:sz w:val="24"/>
          <w:szCs w:val="24"/>
          <w:highlight w:val="none"/>
          <w:lang w:val="en-US" w:eastAsia="zh-CN"/>
        </w:rPr>
        <w:t>6</w:t>
      </w:r>
      <w:r>
        <w:rPr>
          <w:rFonts w:hint="eastAsia" w:ascii="宋体" w:hAnsi="宋体" w:eastAsia="宋体" w:cs="宋体"/>
          <w:b/>
          <w:bCs/>
          <w:snapToGrid w:val="0"/>
          <w:color w:val="auto"/>
          <w:sz w:val="24"/>
          <w:szCs w:val="24"/>
          <w:highlight w:val="none"/>
          <w:lang w:val="en-US" w:eastAsia="zh-CN"/>
        </w:rPr>
        <w:t xml:space="preserve">  原料</w:t>
      </w:r>
      <w:r>
        <w:rPr>
          <w:rFonts w:hint="default" w:ascii="Times New Roman" w:hAnsi="Times New Roman" w:eastAsia="宋体" w:cs="Times New Roman"/>
          <w:b/>
          <w:bCs/>
          <w:snapToGrid w:val="0"/>
          <w:color w:val="auto"/>
          <w:sz w:val="24"/>
          <w:szCs w:val="24"/>
          <w:highlight w:val="none"/>
          <w:lang w:val="en-US" w:eastAsia="zh-CN"/>
        </w:rPr>
        <w:t>MSDS</w:t>
      </w:r>
      <w:bookmarkEnd w:id="63"/>
    </w:p>
    <w:p w14:paraId="018CDCB2">
      <w:pPr>
        <w:rPr>
          <w:rFonts w:hint="eastAsia" w:ascii="宋体" w:hAnsi="宋体" w:eastAsia="宋体" w:cs="宋体"/>
          <w:b/>
          <w:bCs/>
          <w:snapToGrid w:val="0"/>
          <w:color w:val="auto"/>
          <w:sz w:val="24"/>
          <w:szCs w:val="24"/>
          <w:highlight w:val="none"/>
          <w:lang w:val="en-US" w:eastAsia="zh-CN"/>
        </w:rPr>
      </w:pPr>
    </w:p>
    <w:p w14:paraId="6F3DEDAD">
      <w:pPr>
        <w:rPr>
          <w:rFonts w:hint="eastAsia" w:ascii="宋体" w:hAnsi="宋体" w:eastAsia="宋体" w:cs="宋体"/>
          <w:b/>
          <w:bCs/>
          <w:snapToGrid w:val="0"/>
          <w:color w:val="auto"/>
          <w:sz w:val="24"/>
          <w:szCs w:val="24"/>
          <w:highlight w:val="none"/>
          <w:lang w:val="en-US" w:eastAsia="zh-CN"/>
        </w:rPr>
        <w:sectPr>
          <w:pgSz w:w="11906" w:h="16838"/>
          <w:pgMar w:top="1440" w:right="1531" w:bottom="1440" w:left="1531" w:header="851" w:footer="992" w:gutter="0"/>
          <w:pgBorders>
            <w:top w:val="none" w:sz="0" w:space="0"/>
            <w:left w:val="none" w:sz="0" w:space="0"/>
            <w:bottom w:val="none" w:sz="0" w:space="0"/>
            <w:right w:val="none" w:sz="0" w:space="0"/>
          </w:pgBorders>
          <w:pgNumType w:fmt="decimal"/>
          <w:cols w:space="425" w:num="1"/>
          <w:docGrid w:type="lines" w:linePitch="312" w:charSpace="0"/>
        </w:sectPr>
      </w:pPr>
      <w:r>
        <w:rPr>
          <w:rFonts w:hint="eastAsia" w:ascii="宋体" w:hAnsi="宋体" w:eastAsia="宋体" w:cs="宋体"/>
          <w:b/>
          <w:bCs/>
          <w:snapToGrid w:val="0"/>
          <w:color w:val="auto"/>
          <w:sz w:val="24"/>
          <w:szCs w:val="24"/>
          <w:highlight w:val="none"/>
          <w:lang w:val="en-US" w:eastAsia="zh-CN"/>
        </w:rPr>
        <w:drawing>
          <wp:inline distT="0" distB="0" distL="114300" distR="114300">
            <wp:extent cx="5615305" cy="7266940"/>
            <wp:effectExtent l="0" t="0" r="8255" b="2540"/>
            <wp:docPr id="156" name="图片 156" descr="SDS of NU-700H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56" descr="SDS of NU-700H_01"/>
                    <pic:cNvPicPr>
                      <a:picLocks noChangeAspect="1"/>
                    </pic:cNvPicPr>
                  </pic:nvPicPr>
                  <pic:blipFill>
                    <a:blip r:embed="rId75"/>
                    <a:stretch>
                      <a:fillRect/>
                    </a:stretch>
                  </pic:blipFill>
                  <pic:spPr>
                    <a:xfrm>
                      <a:off x="0" y="0"/>
                      <a:ext cx="5615305" cy="7266940"/>
                    </a:xfrm>
                    <a:prstGeom prst="rect">
                      <a:avLst/>
                    </a:prstGeom>
                  </pic:spPr>
                </pic:pic>
              </a:graphicData>
            </a:graphic>
          </wp:inline>
        </w:drawing>
      </w:r>
      <w:r>
        <w:rPr>
          <w:rFonts w:hint="eastAsia" w:ascii="宋体" w:hAnsi="宋体" w:eastAsia="宋体" w:cs="宋体"/>
          <w:b/>
          <w:bCs/>
          <w:snapToGrid w:val="0"/>
          <w:color w:val="auto"/>
          <w:sz w:val="24"/>
          <w:szCs w:val="24"/>
          <w:highlight w:val="none"/>
          <w:lang w:val="en-US" w:eastAsia="zh-CN"/>
        </w:rPr>
        <w:drawing>
          <wp:inline distT="0" distB="0" distL="114300" distR="114300">
            <wp:extent cx="5615305" cy="7266940"/>
            <wp:effectExtent l="0" t="0" r="8255" b="2540"/>
            <wp:docPr id="155" name="图片 155" descr="SDS of NU-700H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55" descr="SDS of NU-700H_02"/>
                    <pic:cNvPicPr>
                      <a:picLocks noChangeAspect="1"/>
                    </pic:cNvPicPr>
                  </pic:nvPicPr>
                  <pic:blipFill>
                    <a:blip r:embed="rId76"/>
                    <a:stretch>
                      <a:fillRect/>
                    </a:stretch>
                  </pic:blipFill>
                  <pic:spPr>
                    <a:xfrm>
                      <a:off x="0" y="0"/>
                      <a:ext cx="5615305" cy="7266940"/>
                    </a:xfrm>
                    <a:prstGeom prst="rect">
                      <a:avLst/>
                    </a:prstGeom>
                  </pic:spPr>
                </pic:pic>
              </a:graphicData>
            </a:graphic>
          </wp:inline>
        </w:drawing>
      </w:r>
      <w:r>
        <w:rPr>
          <w:rFonts w:hint="eastAsia" w:ascii="宋体" w:hAnsi="宋体" w:eastAsia="宋体" w:cs="宋体"/>
          <w:b/>
          <w:bCs/>
          <w:snapToGrid w:val="0"/>
          <w:color w:val="auto"/>
          <w:sz w:val="24"/>
          <w:szCs w:val="24"/>
          <w:highlight w:val="none"/>
          <w:lang w:val="en-US" w:eastAsia="zh-CN"/>
        </w:rPr>
        <w:drawing>
          <wp:inline distT="0" distB="0" distL="114300" distR="114300">
            <wp:extent cx="5615305" cy="7266940"/>
            <wp:effectExtent l="0" t="0" r="8255" b="2540"/>
            <wp:docPr id="154" name="图片 154" descr="SDS of NU-700H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54" descr="SDS of NU-700H_03"/>
                    <pic:cNvPicPr>
                      <a:picLocks noChangeAspect="1"/>
                    </pic:cNvPicPr>
                  </pic:nvPicPr>
                  <pic:blipFill>
                    <a:blip r:embed="rId77"/>
                    <a:stretch>
                      <a:fillRect/>
                    </a:stretch>
                  </pic:blipFill>
                  <pic:spPr>
                    <a:xfrm>
                      <a:off x="0" y="0"/>
                      <a:ext cx="5615305" cy="7266940"/>
                    </a:xfrm>
                    <a:prstGeom prst="rect">
                      <a:avLst/>
                    </a:prstGeom>
                  </pic:spPr>
                </pic:pic>
              </a:graphicData>
            </a:graphic>
          </wp:inline>
        </w:drawing>
      </w:r>
      <w:r>
        <w:rPr>
          <w:rFonts w:hint="eastAsia" w:ascii="宋体" w:hAnsi="宋体" w:eastAsia="宋体" w:cs="宋体"/>
          <w:b/>
          <w:bCs/>
          <w:snapToGrid w:val="0"/>
          <w:color w:val="auto"/>
          <w:sz w:val="24"/>
          <w:szCs w:val="24"/>
          <w:highlight w:val="none"/>
          <w:lang w:val="en-US" w:eastAsia="zh-CN"/>
        </w:rPr>
        <w:drawing>
          <wp:inline distT="0" distB="0" distL="114300" distR="114300">
            <wp:extent cx="5615305" cy="7266940"/>
            <wp:effectExtent l="0" t="0" r="8255" b="2540"/>
            <wp:docPr id="153" name="图片 153" descr="SDS of NU-700H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53" descr="SDS of NU-700H_04"/>
                    <pic:cNvPicPr>
                      <a:picLocks noChangeAspect="1"/>
                    </pic:cNvPicPr>
                  </pic:nvPicPr>
                  <pic:blipFill>
                    <a:blip r:embed="rId78"/>
                    <a:stretch>
                      <a:fillRect/>
                    </a:stretch>
                  </pic:blipFill>
                  <pic:spPr>
                    <a:xfrm>
                      <a:off x="0" y="0"/>
                      <a:ext cx="5615305" cy="7266940"/>
                    </a:xfrm>
                    <a:prstGeom prst="rect">
                      <a:avLst/>
                    </a:prstGeom>
                  </pic:spPr>
                </pic:pic>
              </a:graphicData>
            </a:graphic>
          </wp:inline>
        </w:drawing>
      </w:r>
      <w:r>
        <w:rPr>
          <w:rFonts w:hint="eastAsia" w:ascii="宋体" w:hAnsi="宋体" w:eastAsia="宋体" w:cs="宋体"/>
          <w:b/>
          <w:bCs/>
          <w:snapToGrid w:val="0"/>
          <w:color w:val="auto"/>
          <w:sz w:val="24"/>
          <w:szCs w:val="24"/>
          <w:highlight w:val="none"/>
          <w:lang w:val="en-US" w:eastAsia="zh-CN"/>
        </w:rPr>
        <w:drawing>
          <wp:inline distT="0" distB="0" distL="114300" distR="114300">
            <wp:extent cx="5615305" cy="7266940"/>
            <wp:effectExtent l="0" t="0" r="8255" b="2540"/>
            <wp:docPr id="152" name="图片 152" descr="SDS of NU-700H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52" descr="SDS of NU-700H_05"/>
                    <pic:cNvPicPr>
                      <a:picLocks noChangeAspect="1"/>
                    </pic:cNvPicPr>
                  </pic:nvPicPr>
                  <pic:blipFill>
                    <a:blip r:embed="rId79"/>
                    <a:stretch>
                      <a:fillRect/>
                    </a:stretch>
                  </pic:blipFill>
                  <pic:spPr>
                    <a:xfrm>
                      <a:off x="0" y="0"/>
                      <a:ext cx="5615305" cy="7266940"/>
                    </a:xfrm>
                    <a:prstGeom prst="rect">
                      <a:avLst/>
                    </a:prstGeom>
                  </pic:spPr>
                </pic:pic>
              </a:graphicData>
            </a:graphic>
          </wp:inline>
        </w:drawing>
      </w:r>
      <w:r>
        <w:rPr>
          <w:rFonts w:hint="eastAsia" w:ascii="宋体" w:hAnsi="宋体" w:eastAsia="宋体" w:cs="宋体"/>
          <w:b/>
          <w:bCs/>
          <w:snapToGrid w:val="0"/>
          <w:color w:val="auto"/>
          <w:sz w:val="24"/>
          <w:szCs w:val="24"/>
          <w:highlight w:val="none"/>
          <w:lang w:val="en-US" w:eastAsia="zh-CN"/>
        </w:rPr>
        <w:drawing>
          <wp:inline distT="0" distB="0" distL="114300" distR="114300">
            <wp:extent cx="5615305" cy="7266940"/>
            <wp:effectExtent l="0" t="0" r="8255" b="2540"/>
            <wp:docPr id="151" name="图片 151" descr="SDS of NU-700H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51" descr="SDS of NU-700H_06"/>
                    <pic:cNvPicPr>
                      <a:picLocks noChangeAspect="1"/>
                    </pic:cNvPicPr>
                  </pic:nvPicPr>
                  <pic:blipFill>
                    <a:blip r:embed="rId80"/>
                    <a:stretch>
                      <a:fillRect/>
                    </a:stretch>
                  </pic:blipFill>
                  <pic:spPr>
                    <a:xfrm>
                      <a:off x="0" y="0"/>
                      <a:ext cx="5615305" cy="7266940"/>
                    </a:xfrm>
                    <a:prstGeom prst="rect">
                      <a:avLst/>
                    </a:prstGeom>
                  </pic:spPr>
                </pic:pic>
              </a:graphicData>
            </a:graphic>
          </wp:inline>
        </w:drawing>
      </w:r>
      <w:r>
        <w:rPr>
          <w:rFonts w:hint="eastAsia" w:ascii="宋体" w:hAnsi="宋体" w:eastAsia="宋体" w:cs="宋体"/>
          <w:b/>
          <w:bCs/>
          <w:snapToGrid w:val="0"/>
          <w:color w:val="auto"/>
          <w:sz w:val="24"/>
          <w:szCs w:val="24"/>
          <w:highlight w:val="none"/>
          <w:lang w:val="en-US" w:eastAsia="zh-CN"/>
        </w:rPr>
        <w:drawing>
          <wp:inline distT="0" distB="0" distL="114300" distR="114300">
            <wp:extent cx="5615305" cy="7266940"/>
            <wp:effectExtent l="0" t="0" r="8255" b="2540"/>
            <wp:docPr id="150" name="图片 150" descr="SDS of NU-700H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50" descr="SDS of NU-700H_07"/>
                    <pic:cNvPicPr>
                      <a:picLocks noChangeAspect="1"/>
                    </pic:cNvPicPr>
                  </pic:nvPicPr>
                  <pic:blipFill>
                    <a:blip r:embed="rId81"/>
                    <a:stretch>
                      <a:fillRect/>
                    </a:stretch>
                  </pic:blipFill>
                  <pic:spPr>
                    <a:xfrm>
                      <a:off x="0" y="0"/>
                      <a:ext cx="5615305" cy="7266940"/>
                    </a:xfrm>
                    <a:prstGeom prst="rect">
                      <a:avLst/>
                    </a:prstGeom>
                  </pic:spPr>
                </pic:pic>
              </a:graphicData>
            </a:graphic>
          </wp:inline>
        </w:drawing>
      </w:r>
      <w:r>
        <w:rPr>
          <w:rFonts w:hint="eastAsia" w:ascii="宋体" w:hAnsi="宋体" w:eastAsia="宋体" w:cs="宋体"/>
          <w:b/>
          <w:bCs/>
          <w:snapToGrid w:val="0"/>
          <w:color w:val="auto"/>
          <w:sz w:val="24"/>
          <w:szCs w:val="24"/>
          <w:highlight w:val="none"/>
          <w:lang w:val="en-US" w:eastAsia="zh-CN"/>
        </w:rPr>
        <w:drawing>
          <wp:inline distT="0" distB="0" distL="114300" distR="114300">
            <wp:extent cx="5615305" cy="7266940"/>
            <wp:effectExtent l="0" t="0" r="8255" b="2540"/>
            <wp:docPr id="149" name="图片 149" descr="SDS of NU-700H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49" descr="SDS of NU-700H_08"/>
                    <pic:cNvPicPr>
                      <a:picLocks noChangeAspect="1"/>
                    </pic:cNvPicPr>
                  </pic:nvPicPr>
                  <pic:blipFill>
                    <a:blip r:embed="rId82"/>
                    <a:stretch>
                      <a:fillRect/>
                    </a:stretch>
                  </pic:blipFill>
                  <pic:spPr>
                    <a:xfrm>
                      <a:off x="0" y="0"/>
                      <a:ext cx="5615305" cy="7266940"/>
                    </a:xfrm>
                    <a:prstGeom prst="rect">
                      <a:avLst/>
                    </a:prstGeom>
                  </pic:spPr>
                </pic:pic>
              </a:graphicData>
            </a:graphic>
          </wp:inline>
        </w:drawing>
      </w:r>
      <w:r>
        <w:rPr>
          <w:rFonts w:hint="eastAsia" w:ascii="宋体" w:hAnsi="宋体" w:eastAsia="宋体" w:cs="宋体"/>
          <w:b/>
          <w:bCs/>
          <w:snapToGrid w:val="0"/>
          <w:color w:val="auto"/>
          <w:sz w:val="24"/>
          <w:szCs w:val="24"/>
          <w:highlight w:val="none"/>
          <w:lang w:val="en-US" w:eastAsia="zh-CN"/>
        </w:rPr>
        <w:drawing>
          <wp:inline distT="0" distB="0" distL="114300" distR="114300">
            <wp:extent cx="5615305" cy="7266940"/>
            <wp:effectExtent l="0" t="0" r="8255" b="2540"/>
            <wp:docPr id="148" name="图片 148" descr="SDS of NU-700H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8" descr="SDS of NU-700H_09"/>
                    <pic:cNvPicPr>
                      <a:picLocks noChangeAspect="1"/>
                    </pic:cNvPicPr>
                  </pic:nvPicPr>
                  <pic:blipFill>
                    <a:blip r:embed="rId83"/>
                    <a:stretch>
                      <a:fillRect/>
                    </a:stretch>
                  </pic:blipFill>
                  <pic:spPr>
                    <a:xfrm>
                      <a:off x="0" y="0"/>
                      <a:ext cx="5615305" cy="7266940"/>
                    </a:xfrm>
                    <a:prstGeom prst="rect">
                      <a:avLst/>
                    </a:prstGeom>
                  </pic:spPr>
                </pic:pic>
              </a:graphicData>
            </a:graphic>
          </wp:inline>
        </w:drawing>
      </w:r>
      <w:r>
        <w:rPr>
          <w:rFonts w:hint="eastAsia" w:ascii="宋体" w:hAnsi="宋体" w:eastAsia="宋体" w:cs="宋体"/>
          <w:b/>
          <w:bCs/>
          <w:snapToGrid w:val="0"/>
          <w:color w:val="auto"/>
          <w:sz w:val="24"/>
          <w:szCs w:val="24"/>
          <w:highlight w:val="none"/>
          <w:lang w:val="en-US" w:eastAsia="zh-CN"/>
        </w:rPr>
        <w:drawing>
          <wp:inline distT="0" distB="0" distL="114300" distR="114300">
            <wp:extent cx="5615305" cy="7266940"/>
            <wp:effectExtent l="0" t="0" r="8255" b="2540"/>
            <wp:docPr id="165" name="图片 165" descr="SDS of PF-283EC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65" descr="SDS of PF-283EC_01"/>
                    <pic:cNvPicPr>
                      <a:picLocks noChangeAspect="1"/>
                    </pic:cNvPicPr>
                  </pic:nvPicPr>
                  <pic:blipFill>
                    <a:blip r:embed="rId84"/>
                    <a:stretch>
                      <a:fillRect/>
                    </a:stretch>
                  </pic:blipFill>
                  <pic:spPr>
                    <a:xfrm>
                      <a:off x="0" y="0"/>
                      <a:ext cx="5615305" cy="7266940"/>
                    </a:xfrm>
                    <a:prstGeom prst="rect">
                      <a:avLst/>
                    </a:prstGeom>
                  </pic:spPr>
                </pic:pic>
              </a:graphicData>
            </a:graphic>
          </wp:inline>
        </w:drawing>
      </w:r>
      <w:r>
        <w:rPr>
          <w:rFonts w:hint="eastAsia" w:ascii="宋体" w:hAnsi="宋体" w:eastAsia="宋体" w:cs="宋体"/>
          <w:b/>
          <w:bCs/>
          <w:snapToGrid w:val="0"/>
          <w:color w:val="auto"/>
          <w:sz w:val="24"/>
          <w:szCs w:val="24"/>
          <w:highlight w:val="none"/>
          <w:lang w:val="en-US" w:eastAsia="zh-CN"/>
        </w:rPr>
        <w:drawing>
          <wp:inline distT="0" distB="0" distL="114300" distR="114300">
            <wp:extent cx="5615305" cy="7266940"/>
            <wp:effectExtent l="0" t="0" r="8255" b="2540"/>
            <wp:docPr id="164" name="图片 164" descr="SDS of PF-283EC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64" descr="SDS of PF-283EC_02"/>
                    <pic:cNvPicPr>
                      <a:picLocks noChangeAspect="1"/>
                    </pic:cNvPicPr>
                  </pic:nvPicPr>
                  <pic:blipFill>
                    <a:blip r:embed="rId85"/>
                    <a:stretch>
                      <a:fillRect/>
                    </a:stretch>
                  </pic:blipFill>
                  <pic:spPr>
                    <a:xfrm>
                      <a:off x="0" y="0"/>
                      <a:ext cx="5615305" cy="7266940"/>
                    </a:xfrm>
                    <a:prstGeom prst="rect">
                      <a:avLst/>
                    </a:prstGeom>
                  </pic:spPr>
                </pic:pic>
              </a:graphicData>
            </a:graphic>
          </wp:inline>
        </w:drawing>
      </w:r>
      <w:r>
        <w:rPr>
          <w:rFonts w:hint="eastAsia" w:ascii="宋体" w:hAnsi="宋体" w:eastAsia="宋体" w:cs="宋体"/>
          <w:b/>
          <w:bCs/>
          <w:snapToGrid w:val="0"/>
          <w:color w:val="auto"/>
          <w:sz w:val="24"/>
          <w:szCs w:val="24"/>
          <w:highlight w:val="none"/>
          <w:lang w:val="en-US" w:eastAsia="zh-CN"/>
        </w:rPr>
        <w:drawing>
          <wp:inline distT="0" distB="0" distL="114300" distR="114300">
            <wp:extent cx="5615305" cy="7266940"/>
            <wp:effectExtent l="0" t="0" r="8255" b="2540"/>
            <wp:docPr id="163" name="图片 163" descr="SDS of PF-283EC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63" descr="SDS of PF-283EC_03"/>
                    <pic:cNvPicPr>
                      <a:picLocks noChangeAspect="1"/>
                    </pic:cNvPicPr>
                  </pic:nvPicPr>
                  <pic:blipFill>
                    <a:blip r:embed="rId86"/>
                    <a:stretch>
                      <a:fillRect/>
                    </a:stretch>
                  </pic:blipFill>
                  <pic:spPr>
                    <a:xfrm>
                      <a:off x="0" y="0"/>
                      <a:ext cx="5615305" cy="7266940"/>
                    </a:xfrm>
                    <a:prstGeom prst="rect">
                      <a:avLst/>
                    </a:prstGeom>
                  </pic:spPr>
                </pic:pic>
              </a:graphicData>
            </a:graphic>
          </wp:inline>
        </w:drawing>
      </w:r>
      <w:r>
        <w:rPr>
          <w:rFonts w:hint="eastAsia" w:ascii="宋体" w:hAnsi="宋体" w:eastAsia="宋体" w:cs="宋体"/>
          <w:b/>
          <w:bCs/>
          <w:snapToGrid w:val="0"/>
          <w:color w:val="auto"/>
          <w:sz w:val="24"/>
          <w:szCs w:val="24"/>
          <w:highlight w:val="none"/>
          <w:lang w:val="en-US" w:eastAsia="zh-CN"/>
        </w:rPr>
        <w:drawing>
          <wp:inline distT="0" distB="0" distL="114300" distR="114300">
            <wp:extent cx="5615305" cy="7266940"/>
            <wp:effectExtent l="0" t="0" r="8255" b="2540"/>
            <wp:docPr id="162" name="图片 162" descr="SDS of PF-283EC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62" descr="SDS of PF-283EC_04"/>
                    <pic:cNvPicPr>
                      <a:picLocks noChangeAspect="1"/>
                    </pic:cNvPicPr>
                  </pic:nvPicPr>
                  <pic:blipFill>
                    <a:blip r:embed="rId87"/>
                    <a:stretch>
                      <a:fillRect/>
                    </a:stretch>
                  </pic:blipFill>
                  <pic:spPr>
                    <a:xfrm>
                      <a:off x="0" y="0"/>
                      <a:ext cx="5615305" cy="7266940"/>
                    </a:xfrm>
                    <a:prstGeom prst="rect">
                      <a:avLst/>
                    </a:prstGeom>
                  </pic:spPr>
                </pic:pic>
              </a:graphicData>
            </a:graphic>
          </wp:inline>
        </w:drawing>
      </w:r>
      <w:r>
        <w:rPr>
          <w:rFonts w:hint="eastAsia" w:ascii="宋体" w:hAnsi="宋体" w:eastAsia="宋体" w:cs="宋体"/>
          <w:b/>
          <w:bCs/>
          <w:snapToGrid w:val="0"/>
          <w:color w:val="auto"/>
          <w:sz w:val="24"/>
          <w:szCs w:val="24"/>
          <w:highlight w:val="none"/>
          <w:lang w:val="en-US" w:eastAsia="zh-CN"/>
        </w:rPr>
        <w:drawing>
          <wp:inline distT="0" distB="0" distL="114300" distR="114300">
            <wp:extent cx="5615305" cy="7266940"/>
            <wp:effectExtent l="0" t="0" r="8255" b="2540"/>
            <wp:docPr id="161" name="图片 161" descr="SDS of PF-283EC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61" descr="SDS of PF-283EC_05"/>
                    <pic:cNvPicPr>
                      <a:picLocks noChangeAspect="1"/>
                    </pic:cNvPicPr>
                  </pic:nvPicPr>
                  <pic:blipFill>
                    <a:blip r:embed="rId88"/>
                    <a:stretch>
                      <a:fillRect/>
                    </a:stretch>
                  </pic:blipFill>
                  <pic:spPr>
                    <a:xfrm>
                      <a:off x="0" y="0"/>
                      <a:ext cx="5615305" cy="7266940"/>
                    </a:xfrm>
                    <a:prstGeom prst="rect">
                      <a:avLst/>
                    </a:prstGeom>
                  </pic:spPr>
                </pic:pic>
              </a:graphicData>
            </a:graphic>
          </wp:inline>
        </w:drawing>
      </w:r>
      <w:r>
        <w:rPr>
          <w:rFonts w:hint="eastAsia" w:ascii="宋体" w:hAnsi="宋体" w:eastAsia="宋体" w:cs="宋体"/>
          <w:b/>
          <w:bCs/>
          <w:snapToGrid w:val="0"/>
          <w:color w:val="auto"/>
          <w:sz w:val="24"/>
          <w:szCs w:val="24"/>
          <w:highlight w:val="none"/>
          <w:lang w:val="en-US" w:eastAsia="zh-CN"/>
        </w:rPr>
        <w:drawing>
          <wp:inline distT="0" distB="0" distL="114300" distR="114300">
            <wp:extent cx="5615305" cy="7266940"/>
            <wp:effectExtent l="0" t="0" r="8255" b="2540"/>
            <wp:docPr id="160" name="图片 160" descr="SDS of PF-283EC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60" descr="SDS of PF-283EC_06"/>
                    <pic:cNvPicPr>
                      <a:picLocks noChangeAspect="1"/>
                    </pic:cNvPicPr>
                  </pic:nvPicPr>
                  <pic:blipFill>
                    <a:blip r:embed="rId89"/>
                    <a:stretch>
                      <a:fillRect/>
                    </a:stretch>
                  </pic:blipFill>
                  <pic:spPr>
                    <a:xfrm>
                      <a:off x="0" y="0"/>
                      <a:ext cx="5615305" cy="7266940"/>
                    </a:xfrm>
                    <a:prstGeom prst="rect">
                      <a:avLst/>
                    </a:prstGeom>
                  </pic:spPr>
                </pic:pic>
              </a:graphicData>
            </a:graphic>
          </wp:inline>
        </w:drawing>
      </w:r>
      <w:r>
        <w:rPr>
          <w:rFonts w:hint="eastAsia" w:ascii="宋体" w:hAnsi="宋体" w:eastAsia="宋体" w:cs="宋体"/>
          <w:b/>
          <w:bCs/>
          <w:snapToGrid w:val="0"/>
          <w:color w:val="auto"/>
          <w:sz w:val="24"/>
          <w:szCs w:val="24"/>
          <w:highlight w:val="none"/>
          <w:lang w:val="en-US" w:eastAsia="zh-CN"/>
        </w:rPr>
        <w:drawing>
          <wp:inline distT="0" distB="0" distL="114300" distR="114300">
            <wp:extent cx="5615305" cy="7266940"/>
            <wp:effectExtent l="0" t="0" r="8255" b="2540"/>
            <wp:docPr id="159" name="图片 159" descr="SDS of PF-283EC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59" descr="SDS of PF-283EC_07"/>
                    <pic:cNvPicPr>
                      <a:picLocks noChangeAspect="1"/>
                    </pic:cNvPicPr>
                  </pic:nvPicPr>
                  <pic:blipFill>
                    <a:blip r:embed="rId90"/>
                    <a:stretch>
                      <a:fillRect/>
                    </a:stretch>
                  </pic:blipFill>
                  <pic:spPr>
                    <a:xfrm>
                      <a:off x="0" y="0"/>
                      <a:ext cx="5615305" cy="7266940"/>
                    </a:xfrm>
                    <a:prstGeom prst="rect">
                      <a:avLst/>
                    </a:prstGeom>
                  </pic:spPr>
                </pic:pic>
              </a:graphicData>
            </a:graphic>
          </wp:inline>
        </w:drawing>
      </w:r>
      <w:r>
        <w:rPr>
          <w:rFonts w:hint="eastAsia" w:ascii="宋体" w:hAnsi="宋体" w:eastAsia="宋体" w:cs="宋体"/>
          <w:b/>
          <w:bCs/>
          <w:snapToGrid w:val="0"/>
          <w:color w:val="auto"/>
          <w:sz w:val="24"/>
          <w:szCs w:val="24"/>
          <w:highlight w:val="none"/>
          <w:lang w:val="en-US" w:eastAsia="zh-CN"/>
        </w:rPr>
        <w:drawing>
          <wp:inline distT="0" distB="0" distL="114300" distR="114300">
            <wp:extent cx="5615305" cy="7266940"/>
            <wp:effectExtent l="0" t="0" r="8255" b="2540"/>
            <wp:docPr id="158" name="图片 158" descr="SDS of PF-283EC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58" descr="SDS of PF-283EC_08"/>
                    <pic:cNvPicPr>
                      <a:picLocks noChangeAspect="1"/>
                    </pic:cNvPicPr>
                  </pic:nvPicPr>
                  <pic:blipFill>
                    <a:blip r:embed="rId91"/>
                    <a:stretch>
                      <a:fillRect/>
                    </a:stretch>
                  </pic:blipFill>
                  <pic:spPr>
                    <a:xfrm>
                      <a:off x="0" y="0"/>
                      <a:ext cx="5615305" cy="7266940"/>
                    </a:xfrm>
                    <a:prstGeom prst="rect">
                      <a:avLst/>
                    </a:prstGeom>
                  </pic:spPr>
                </pic:pic>
              </a:graphicData>
            </a:graphic>
          </wp:inline>
        </w:drawing>
      </w:r>
      <w:r>
        <w:rPr>
          <w:rFonts w:hint="eastAsia" w:ascii="宋体" w:hAnsi="宋体" w:eastAsia="宋体" w:cs="宋体"/>
          <w:b/>
          <w:bCs/>
          <w:snapToGrid w:val="0"/>
          <w:color w:val="auto"/>
          <w:sz w:val="24"/>
          <w:szCs w:val="24"/>
          <w:highlight w:val="none"/>
          <w:lang w:val="en-US" w:eastAsia="zh-CN"/>
        </w:rPr>
        <w:drawing>
          <wp:inline distT="0" distB="0" distL="114300" distR="114300">
            <wp:extent cx="5615305" cy="7266940"/>
            <wp:effectExtent l="0" t="0" r="8255" b="2540"/>
            <wp:docPr id="157" name="图片 157" descr="SDS of PF-283EC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57" descr="SDS of PF-283EC_09"/>
                    <pic:cNvPicPr>
                      <a:picLocks noChangeAspect="1"/>
                    </pic:cNvPicPr>
                  </pic:nvPicPr>
                  <pic:blipFill>
                    <a:blip r:embed="rId92"/>
                    <a:stretch>
                      <a:fillRect/>
                    </a:stretch>
                  </pic:blipFill>
                  <pic:spPr>
                    <a:xfrm>
                      <a:off x="0" y="0"/>
                      <a:ext cx="5615305" cy="7266940"/>
                    </a:xfrm>
                    <a:prstGeom prst="rect">
                      <a:avLst/>
                    </a:prstGeom>
                  </pic:spPr>
                </pic:pic>
              </a:graphicData>
            </a:graphic>
          </wp:inline>
        </w:drawing>
      </w:r>
      <w:r>
        <w:rPr>
          <w:rFonts w:hint="eastAsia" w:ascii="宋体" w:hAnsi="宋体" w:eastAsia="宋体" w:cs="宋体"/>
          <w:b/>
          <w:bCs/>
          <w:snapToGrid w:val="0"/>
          <w:color w:val="auto"/>
          <w:sz w:val="24"/>
          <w:szCs w:val="24"/>
          <w:highlight w:val="none"/>
          <w:lang w:val="en-US" w:eastAsia="zh-CN"/>
        </w:rPr>
        <w:drawing>
          <wp:inline distT="0" distB="0" distL="114300" distR="114300">
            <wp:extent cx="5615305" cy="7266940"/>
            <wp:effectExtent l="0" t="0" r="8255" b="2540"/>
            <wp:docPr id="174" name="图片 174" descr="SDS of PF-233B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74" descr="SDS of PF-233B_01"/>
                    <pic:cNvPicPr>
                      <a:picLocks noChangeAspect="1"/>
                    </pic:cNvPicPr>
                  </pic:nvPicPr>
                  <pic:blipFill>
                    <a:blip r:embed="rId93"/>
                    <a:stretch>
                      <a:fillRect/>
                    </a:stretch>
                  </pic:blipFill>
                  <pic:spPr>
                    <a:xfrm>
                      <a:off x="0" y="0"/>
                      <a:ext cx="5615305" cy="7266940"/>
                    </a:xfrm>
                    <a:prstGeom prst="rect">
                      <a:avLst/>
                    </a:prstGeom>
                  </pic:spPr>
                </pic:pic>
              </a:graphicData>
            </a:graphic>
          </wp:inline>
        </w:drawing>
      </w:r>
      <w:r>
        <w:rPr>
          <w:rFonts w:hint="eastAsia" w:ascii="宋体" w:hAnsi="宋体" w:eastAsia="宋体" w:cs="宋体"/>
          <w:b/>
          <w:bCs/>
          <w:snapToGrid w:val="0"/>
          <w:color w:val="auto"/>
          <w:sz w:val="24"/>
          <w:szCs w:val="24"/>
          <w:highlight w:val="none"/>
          <w:lang w:val="en-US" w:eastAsia="zh-CN"/>
        </w:rPr>
        <w:drawing>
          <wp:inline distT="0" distB="0" distL="114300" distR="114300">
            <wp:extent cx="5615305" cy="7266940"/>
            <wp:effectExtent l="0" t="0" r="8255" b="2540"/>
            <wp:docPr id="173" name="图片 173" descr="SDS of PF-233B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73" descr="SDS of PF-233B_02"/>
                    <pic:cNvPicPr>
                      <a:picLocks noChangeAspect="1"/>
                    </pic:cNvPicPr>
                  </pic:nvPicPr>
                  <pic:blipFill>
                    <a:blip r:embed="rId94"/>
                    <a:stretch>
                      <a:fillRect/>
                    </a:stretch>
                  </pic:blipFill>
                  <pic:spPr>
                    <a:xfrm>
                      <a:off x="0" y="0"/>
                      <a:ext cx="5615305" cy="7266940"/>
                    </a:xfrm>
                    <a:prstGeom prst="rect">
                      <a:avLst/>
                    </a:prstGeom>
                  </pic:spPr>
                </pic:pic>
              </a:graphicData>
            </a:graphic>
          </wp:inline>
        </w:drawing>
      </w:r>
      <w:r>
        <w:rPr>
          <w:rFonts w:hint="eastAsia" w:ascii="宋体" w:hAnsi="宋体" w:eastAsia="宋体" w:cs="宋体"/>
          <w:b/>
          <w:bCs/>
          <w:snapToGrid w:val="0"/>
          <w:color w:val="auto"/>
          <w:sz w:val="24"/>
          <w:szCs w:val="24"/>
          <w:highlight w:val="none"/>
          <w:lang w:val="en-US" w:eastAsia="zh-CN"/>
        </w:rPr>
        <w:drawing>
          <wp:inline distT="0" distB="0" distL="114300" distR="114300">
            <wp:extent cx="5615305" cy="7266940"/>
            <wp:effectExtent l="0" t="0" r="8255" b="2540"/>
            <wp:docPr id="172" name="图片 172" descr="SDS of PF-233B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72" descr="SDS of PF-233B_03"/>
                    <pic:cNvPicPr>
                      <a:picLocks noChangeAspect="1"/>
                    </pic:cNvPicPr>
                  </pic:nvPicPr>
                  <pic:blipFill>
                    <a:blip r:embed="rId95"/>
                    <a:stretch>
                      <a:fillRect/>
                    </a:stretch>
                  </pic:blipFill>
                  <pic:spPr>
                    <a:xfrm>
                      <a:off x="0" y="0"/>
                      <a:ext cx="5615305" cy="7266940"/>
                    </a:xfrm>
                    <a:prstGeom prst="rect">
                      <a:avLst/>
                    </a:prstGeom>
                  </pic:spPr>
                </pic:pic>
              </a:graphicData>
            </a:graphic>
          </wp:inline>
        </w:drawing>
      </w:r>
      <w:r>
        <w:rPr>
          <w:rFonts w:hint="eastAsia" w:ascii="宋体" w:hAnsi="宋体" w:eastAsia="宋体" w:cs="宋体"/>
          <w:b/>
          <w:bCs/>
          <w:snapToGrid w:val="0"/>
          <w:color w:val="auto"/>
          <w:sz w:val="24"/>
          <w:szCs w:val="24"/>
          <w:highlight w:val="none"/>
          <w:lang w:val="en-US" w:eastAsia="zh-CN"/>
        </w:rPr>
        <w:drawing>
          <wp:inline distT="0" distB="0" distL="114300" distR="114300">
            <wp:extent cx="5615305" cy="7266940"/>
            <wp:effectExtent l="0" t="0" r="8255" b="2540"/>
            <wp:docPr id="171" name="图片 171" descr="SDS of PF-233B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71" descr="SDS of PF-233B_04"/>
                    <pic:cNvPicPr>
                      <a:picLocks noChangeAspect="1"/>
                    </pic:cNvPicPr>
                  </pic:nvPicPr>
                  <pic:blipFill>
                    <a:blip r:embed="rId96"/>
                    <a:stretch>
                      <a:fillRect/>
                    </a:stretch>
                  </pic:blipFill>
                  <pic:spPr>
                    <a:xfrm>
                      <a:off x="0" y="0"/>
                      <a:ext cx="5615305" cy="7266940"/>
                    </a:xfrm>
                    <a:prstGeom prst="rect">
                      <a:avLst/>
                    </a:prstGeom>
                  </pic:spPr>
                </pic:pic>
              </a:graphicData>
            </a:graphic>
          </wp:inline>
        </w:drawing>
      </w:r>
      <w:r>
        <w:rPr>
          <w:rFonts w:hint="eastAsia" w:ascii="宋体" w:hAnsi="宋体" w:eastAsia="宋体" w:cs="宋体"/>
          <w:b/>
          <w:bCs/>
          <w:snapToGrid w:val="0"/>
          <w:color w:val="auto"/>
          <w:sz w:val="24"/>
          <w:szCs w:val="24"/>
          <w:highlight w:val="none"/>
          <w:lang w:val="en-US" w:eastAsia="zh-CN"/>
        </w:rPr>
        <w:drawing>
          <wp:inline distT="0" distB="0" distL="114300" distR="114300">
            <wp:extent cx="5615305" cy="7266940"/>
            <wp:effectExtent l="0" t="0" r="8255" b="2540"/>
            <wp:docPr id="170" name="图片 170" descr="SDS of PF-233B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70" descr="SDS of PF-233B_05"/>
                    <pic:cNvPicPr>
                      <a:picLocks noChangeAspect="1"/>
                    </pic:cNvPicPr>
                  </pic:nvPicPr>
                  <pic:blipFill>
                    <a:blip r:embed="rId97"/>
                    <a:stretch>
                      <a:fillRect/>
                    </a:stretch>
                  </pic:blipFill>
                  <pic:spPr>
                    <a:xfrm>
                      <a:off x="0" y="0"/>
                      <a:ext cx="5615305" cy="7266940"/>
                    </a:xfrm>
                    <a:prstGeom prst="rect">
                      <a:avLst/>
                    </a:prstGeom>
                  </pic:spPr>
                </pic:pic>
              </a:graphicData>
            </a:graphic>
          </wp:inline>
        </w:drawing>
      </w:r>
      <w:r>
        <w:rPr>
          <w:rFonts w:hint="eastAsia" w:ascii="宋体" w:hAnsi="宋体" w:eastAsia="宋体" w:cs="宋体"/>
          <w:b/>
          <w:bCs/>
          <w:snapToGrid w:val="0"/>
          <w:color w:val="auto"/>
          <w:sz w:val="24"/>
          <w:szCs w:val="24"/>
          <w:highlight w:val="none"/>
          <w:lang w:val="en-US" w:eastAsia="zh-CN"/>
        </w:rPr>
        <w:drawing>
          <wp:inline distT="0" distB="0" distL="114300" distR="114300">
            <wp:extent cx="5615305" cy="7266940"/>
            <wp:effectExtent l="0" t="0" r="8255" b="2540"/>
            <wp:docPr id="169" name="图片 169" descr="SDS of PF-233B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69" descr="SDS of PF-233B_06"/>
                    <pic:cNvPicPr>
                      <a:picLocks noChangeAspect="1"/>
                    </pic:cNvPicPr>
                  </pic:nvPicPr>
                  <pic:blipFill>
                    <a:blip r:embed="rId98"/>
                    <a:stretch>
                      <a:fillRect/>
                    </a:stretch>
                  </pic:blipFill>
                  <pic:spPr>
                    <a:xfrm>
                      <a:off x="0" y="0"/>
                      <a:ext cx="5615305" cy="7266940"/>
                    </a:xfrm>
                    <a:prstGeom prst="rect">
                      <a:avLst/>
                    </a:prstGeom>
                  </pic:spPr>
                </pic:pic>
              </a:graphicData>
            </a:graphic>
          </wp:inline>
        </w:drawing>
      </w:r>
      <w:r>
        <w:rPr>
          <w:rFonts w:hint="eastAsia" w:ascii="宋体" w:hAnsi="宋体" w:eastAsia="宋体" w:cs="宋体"/>
          <w:b/>
          <w:bCs/>
          <w:snapToGrid w:val="0"/>
          <w:color w:val="auto"/>
          <w:sz w:val="24"/>
          <w:szCs w:val="24"/>
          <w:highlight w:val="none"/>
          <w:lang w:val="en-US" w:eastAsia="zh-CN"/>
        </w:rPr>
        <w:drawing>
          <wp:inline distT="0" distB="0" distL="114300" distR="114300">
            <wp:extent cx="5615305" cy="7266940"/>
            <wp:effectExtent l="0" t="0" r="8255" b="2540"/>
            <wp:docPr id="168" name="图片 168" descr="SDS of PF-233B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168" descr="SDS of PF-233B_07"/>
                    <pic:cNvPicPr>
                      <a:picLocks noChangeAspect="1"/>
                    </pic:cNvPicPr>
                  </pic:nvPicPr>
                  <pic:blipFill>
                    <a:blip r:embed="rId99"/>
                    <a:stretch>
                      <a:fillRect/>
                    </a:stretch>
                  </pic:blipFill>
                  <pic:spPr>
                    <a:xfrm>
                      <a:off x="0" y="0"/>
                      <a:ext cx="5615305" cy="7266940"/>
                    </a:xfrm>
                    <a:prstGeom prst="rect">
                      <a:avLst/>
                    </a:prstGeom>
                  </pic:spPr>
                </pic:pic>
              </a:graphicData>
            </a:graphic>
          </wp:inline>
        </w:drawing>
      </w:r>
      <w:r>
        <w:rPr>
          <w:rFonts w:hint="eastAsia" w:ascii="宋体" w:hAnsi="宋体" w:eastAsia="宋体" w:cs="宋体"/>
          <w:b/>
          <w:bCs/>
          <w:snapToGrid w:val="0"/>
          <w:color w:val="auto"/>
          <w:sz w:val="24"/>
          <w:szCs w:val="24"/>
          <w:highlight w:val="none"/>
          <w:lang w:val="en-US" w:eastAsia="zh-CN"/>
        </w:rPr>
        <w:drawing>
          <wp:inline distT="0" distB="0" distL="114300" distR="114300">
            <wp:extent cx="5615305" cy="7266940"/>
            <wp:effectExtent l="0" t="0" r="8255" b="2540"/>
            <wp:docPr id="167" name="图片 167" descr="SDS of PF-233B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67" descr="SDS of PF-233B_08"/>
                    <pic:cNvPicPr>
                      <a:picLocks noChangeAspect="1"/>
                    </pic:cNvPicPr>
                  </pic:nvPicPr>
                  <pic:blipFill>
                    <a:blip r:embed="rId100"/>
                    <a:stretch>
                      <a:fillRect/>
                    </a:stretch>
                  </pic:blipFill>
                  <pic:spPr>
                    <a:xfrm>
                      <a:off x="0" y="0"/>
                      <a:ext cx="5615305" cy="7266940"/>
                    </a:xfrm>
                    <a:prstGeom prst="rect">
                      <a:avLst/>
                    </a:prstGeom>
                  </pic:spPr>
                </pic:pic>
              </a:graphicData>
            </a:graphic>
          </wp:inline>
        </w:drawing>
      </w:r>
      <w:r>
        <w:rPr>
          <w:rFonts w:hint="eastAsia" w:ascii="宋体" w:hAnsi="宋体" w:eastAsia="宋体" w:cs="宋体"/>
          <w:b/>
          <w:bCs/>
          <w:snapToGrid w:val="0"/>
          <w:color w:val="auto"/>
          <w:sz w:val="24"/>
          <w:szCs w:val="24"/>
          <w:highlight w:val="none"/>
          <w:lang w:val="en-US" w:eastAsia="zh-CN"/>
        </w:rPr>
        <w:drawing>
          <wp:inline distT="0" distB="0" distL="114300" distR="114300">
            <wp:extent cx="5615305" cy="7266940"/>
            <wp:effectExtent l="0" t="0" r="8255" b="2540"/>
            <wp:docPr id="166" name="图片 166" descr="SDS of PF-233B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66" descr="SDS of PF-233B_09"/>
                    <pic:cNvPicPr>
                      <a:picLocks noChangeAspect="1"/>
                    </pic:cNvPicPr>
                  </pic:nvPicPr>
                  <pic:blipFill>
                    <a:blip r:embed="rId101"/>
                    <a:stretch>
                      <a:fillRect/>
                    </a:stretch>
                  </pic:blipFill>
                  <pic:spPr>
                    <a:xfrm>
                      <a:off x="0" y="0"/>
                      <a:ext cx="5615305" cy="7266940"/>
                    </a:xfrm>
                    <a:prstGeom prst="rect">
                      <a:avLst/>
                    </a:prstGeom>
                  </pic:spPr>
                </pic:pic>
              </a:graphicData>
            </a:graphic>
          </wp:inline>
        </w:drawing>
      </w:r>
    </w:p>
    <w:p w14:paraId="28E8C41E">
      <w:pPr>
        <w:pStyle w:val="18"/>
        <w:jc w:val="both"/>
        <w:outlineLvl w:val="0"/>
        <w:rPr>
          <w:rFonts w:hint="default" w:ascii="宋体" w:hAnsi="宋体" w:eastAsia="宋体" w:cs="宋体"/>
          <w:b/>
          <w:bCs/>
          <w:snapToGrid w:val="0"/>
          <w:color w:val="auto"/>
          <w:sz w:val="24"/>
          <w:szCs w:val="24"/>
          <w:highlight w:val="none"/>
          <w:lang w:val="en-US" w:eastAsia="zh-CN"/>
        </w:rPr>
      </w:pPr>
      <w:bookmarkStart w:id="64" w:name="_Toc19805"/>
      <w:r>
        <w:rPr>
          <w:rFonts w:hint="eastAsia" w:ascii="宋体" w:hAnsi="宋体" w:eastAsia="宋体" w:cs="宋体"/>
          <w:b/>
          <w:bCs/>
          <w:snapToGrid w:val="0"/>
          <w:color w:val="auto"/>
          <w:sz w:val="24"/>
          <w:szCs w:val="24"/>
          <w:highlight w:val="none"/>
          <w:lang w:val="en-US" w:eastAsia="zh-CN"/>
        </w:rPr>
        <w:t>附件</w:t>
      </w:r>
      <w:r>
        <w:rPr>
          <w:rFonts w:hint="default" w:ascii="Times New Roman" w:hAnsi="Times New Roman" w:eastAsia="宋体" w:cs="Times New Roman"/>
          <w:b/>
          <w:bCs/>
          <w:snapToGrid w:val="0"/>
          <w:color w:val="auto"/>
          <w:sz w:val="24"/>
          <w:szCs w:val="24"/>
          <w:highlight w:val="none"/>
          <w:lang w:val="en-US" w:eastAsia="zh-CN"/>
        </w:rPr>
        <w:t>7</w:t>
      </w:r>
      <w:r>
        <w:rPr>
          <w:rFonts w:hint="eastAsia" w:ascii="宋体" w:hAnsi="宋体" w:eastAsia="宋体" w:cs="宋体"/>
          <w:b/>
          <w:bCs/>
          <w:snapToGrid w:val="0"/>
          <w:color w:val="auto"/>
          <w:sz w:val="24"/>
          <w:szCs w:val="24"/>
          <w:highlight w:val="none"/>
          <w:lang w:val="en-US" w:eastAsia="zh-CN"/>
        </w:rPr>
        <w:t xml:space="preserve">  原料</w:t>
      </w:r>
      <w:r>
        <w:rPr>
          <w:rFonts w:hint="default" w:ascii="宋体" w:hAnsi="宋体" w:eastAsia="宋体" w:cs="宋体"/>
          <w:b/>
          <w:bCs/>
          <w:snapToGrid w:val="0"/>
          <w:color w:val="auto"/>
          <w:sz w:val="24"/>
          <w:szCs w:val="24"/>
          <w:highlight w:val="none"/>
          <w:lang w:val="en-US" w:eastAsia="zh-CN"/>
        </w:rPr>
        <w:t>检测报告</w:t>
      </w:r>
      <w:bookmarkEnd w:id="64"/>
    </w:p>
    <w:p w14:paraId="7752EADC">
      <w:pPr>
        <w:bidi w:val="0"/>
        <w:rPr>
          <w:rFonts w:hint="default"/>
          <w:lang w:val="en-US" w:eastAsia="zh-CN"/>
        </w:rPr>
      </w:pPr>
      <w:r>
        <w:rPr>
          <w:rFonts w:hint="default"/>
          <w:lang w:val="en-US" w:eastAsia="zh-CN"/>
        </w:rPr>
        <w:drawing>
          <wp:inline distT="0" distB="0" distL="114300" distR="114300">
            <wp:extent cx="5612765" cy="7940675"/>
            <wp:effectExtent l="0" t="0" r="10795" b="14605"/>
            <wp:docPr id="179" name="图片 179" descr="700H&amp;700HB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179" descr="700H&amp;700HB_01"/>
                    <pic:cNvPicPr>
                      <a:picLocks noChangeAspect="1"/>
                    </pic:cNvPicPr>
                  </pic:nvPicPr>
                  <pic:blipFill>
                    <a:blip r:embed="rId102"/>
                    <a:stretch>
                      <a:fillRect/>
                    </a:stretch>
                  </pic:blipFill>
                  <pic:spPr>
                    <a:xfrm>
                      <a:off x="0" y="0"/>
                      <a:ext cx="5612765" cy="7940675"/>
                    </a:xfrm>
                    <a:prstGeom prst="rect">
                      <a:avLst/>
                    </a:prstGeom>
                  </pic:spPr>
                </pic:pic>
              </a:graphicData>
            </a:graphic>
          </wp:inline>
        </w:drawing>
      </w:r>
    </w:p>
    <w:p w14:paraId="565B5FBC">
      <w:pPr>
        <w:pStyle w:val="18"/>
        <w:jc w:val="center"/>
        <w:outlineLvl w:val="0"/>
        <w:rPr>
          <w:rFonts w:hint="default"/>
          <w:color w:val="auto"/>
          <w:lang w:val="en-US" w:eastAsia="zh-CN"/>
        </w:rPr>
        <w:sectPr>
          <w:pgSz w:w="11906" w:h="16838"/>
          <w:pgMar w:top="1440" w:right="1531" w:bottom="1440" w:left="1531" w:header="851" w:footer="992" w:gutter="0"/>
          <w:pgBorders>
            <w:top w:val="none" w:sz="0" w:space="0"/>
            <w:left w:val="none" w:sz="0" w:space="0"/>
            <w:bottom w:val="none" w:sz="0" w:space="0"/>
            <w:right w:val="none" w:sz="0" w:space="0"/>
          </w:pgBorders>
          <w:pgNumType w:fmt="decimal"/>
          <w:cols w:space="425" w:num="1"/>
          <w:docGrid w:type="lines" w:linePitch="312" w:charSpace="0"/>
        </w:sectPr>
      </w:pPr>
      <w:bookmarkStart w:id="65" w:name="_Toc12668"/>
      <w:r>
        <w:rPr>
          <w:rFonts w:hint="default"/>
          <w:color w:val="auto"/>
          <w:lang w:val="en-US" w:eastAsia="zh-CN"/>
        </w:rPr>
        <w:drawing>
          <wp:inline distT="0" distB="0" distL="114300" distR="114300">
            <wp:extent cx="5612765" cy="7940675"/>
            <wp:effectExtent l="0" t="0" r="10795" b="14605"/>
            <wp:docPr id="178" name="图片 178" descr="700H&amp;700HB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178" descr="700H&amp;700HB_02"/>
                    <pic:cNvPicPr>
                      <a:picLocks noChangeAspect="1"/>
                    </pic:cNvPicPr>
                  </pic:nvPicPr>
                  <pic:blipFill>
                    <a:blip r:embed="rId103"/>
                    <a:stretch>
                      <a:fillRect/>
                    </a:stretch>
                  </pic:blipFill>
                  <pic:spPr>
                    <a:xfrm>
                      <a:off x="0" y="0"/>
                      <a:ext cx="5612765" cy="7940675"/>
                    </a:xfrm>
                    <a:prstGeom prst="rect">
                      <a:avLst/>
                    </a:prstGeom>
                  </pic:spPr>
                </pic:pic>
              </a:graphicData>
            </a:graphic>
          </wp:inline>
        </w:drawing>
      </w:r>
      <w:r>
        <w:rPr>
          <w:rFonts w:hint="default"/>
          <w:color w:val="auto"/>
          <w:lang w:val="en-US" w:eastAsia="zh-CN"/>
        </w:rPr>
        <w:drawing>
          <wp:inline distT="0" distB="0" distL="114300" distR="114300">
            <wp:extent cx="5612765" cy="7940675"/>
            <wp:effectExtent l="0" t="0" r="10795" b="14605"/>
            <wp:docPr id="177" name="图片 177" descr="700H&amp;700HB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177" descr="700H&amp;700HB_03"/>
                    <pic:cNvPicPr>
                      <a:picLocks noChangeAspect="1"/>
                    </pic:cNvPicPr>
                  </pic:nvPicPr>
                  <pic:blipFill>
                    <a:blip r:embed="rId104"/>
                    <a:stretch>
                      <a:fillRect/>
                    </a:stretch>
                  </pic:blipFill>
                  <pic:spPr>
                    <a:xfrm>
                      <a:off x="0" y="0"/>
                      <a:ext cx="5612765" cy="7940675"/>
                    </a:xfrm>
                    <a:prstGeom prst="rect">
                      <a:avLst/>
                    </a:prstGeom>
                  </pic:spPr>
                </pic:pic>
              </a:graphicData>
            </a:graphic>
          </wp:inline>
        </w:drawing>
      </w:r>
      <w:r>
        <w:rPr>
          <w:rFonts w:hint="default"/>
          <w:color w:val="auto"/>
          <w:lang w:val="en-US" w:eastAsia="zh-CN"/>
        </w:rPr>
        <w:drawing>
          <wp:inline distT="0" distB="0" distL="114300" distR="114300">
            <wp:extent cx="5612765" cy="7940675"/>
            <wp:effectExtent l="0" t="0" r="10795" b="14605"/>
            <wp:docPr id="176" name="图片 176" descr="700H&amp;700HB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176" descr="700H&amp;700HB_04"/>
                    <pic:cNvPicPr>
                      <a:picLocks noChangeAspect="1"/>
                    </pic:cNvPicPr>
                  </pic:nvPicPr>
                  <pic:blipFill>
                    <a:blip r:embed="rId105"/>
                    <a:stretch>
                      <a:fillRect/>
                    </a:stretch>
                  </pic:blipFill>
                  <pic:spPr>
                    <a:xfrm>
                      <a:off x="0" y="0"/>
                      <a:ext cx="5612765" cy="7940675"/>
                    </a:xfrm>
                    <a:prstGeom prst="rect">
                      <a:avLst/>
                    </a:prstGeom>
                  </pic:spPr>
                </pic:pic>
              </a:graphicData>
            </a:graphic>
          </wp:inline>
        </w:drawing>
      </w:r>
      <w:r>
        <w:rPr>
          <w:rFonts w:hint="default"/>
          <w:color w:val="auto"/>
          <w:lang w:val="en-US" w:eastAsia="zh-CN"/>
        </w:rPr>
        <w:drawing>
          <wp:inline distT="0" distB="0" distL="114300" distR="114300">
            <wp:extent cx="5612765" cy="7940675"/>
            <wp:effectExtent l="0" t="0" r="10795" b="14605"/>
            <wp:docPr id="175" name="图片 175" descr="700H&amp;700HB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75" descr="700H&amp;700HB_05"/>
                    <pic:cNvPicPr>
                      <a:picLocks noChangeAspect="1"/>
                    </pic:cNvPicPr>
                  </pic:nvPicPr>
                  <pic:blipFill>
                    <a:blip r:embed="rId106"/>
                    <a:stretch>
                      <a:fillRect/>
                    </a:stretch>
                  </pic:blipFill>
                  <pic:spPr>
                    <a:xfrm>
                      <a:off x="0" y="0"/>
                      <a:ext cx="5612765" cy="7940675"/>
                    </a:xfrm>
                    <a:prstGeom prst="rect">
                      <a:avLst/>
                    </a:prstGeom>
                  </pic:spPr>
                </pic:pic>
              </a:graphicData>
            </a:graphic>
          </wp:inline>
        </w:drawing>
      </w:r>
      <w:r>
        <w:rPr>
          <w:rFonts w:hint="default"/>
          <w:color w:val="auto"/>
          <w:lang w:val="en-US" w:eastAsia="zh-CN"/>
        </w:rPr>
        <w:drawing>
          <wp:inline distT="0" distB="0" distL="114300" distR="114300">
            <wp:extent cx="5612765" cy="7940675"/>
            <wp:effectExtent l="0" t="0" r="10795" b="14605"/>
            <wp:docPr id="185" name="图片 185" descr="PF-283EC EVA处理剂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85" descr="PF-283EC EVA处理剂_01"/>
                    <pic:cNvPicPr>
                      <a:picLocks noChangeAspect="1"/>
                    </pic:cNvPicPr>
                  </pic:nvPicPr>
                  <pic:blipFill>
                    <a:blip r:embed="rId107"/>
                    <a:stretch>
                      <a:fillRect/>
                    </a:stretch>
                  </pic:blipFill>
                  <pic:spPr>
                    <a:xfrm>
                      <a:off x="0" y="0"/>
                      <a:ext cx="5612765" cy="7940675"/>
                    </a:xfrm>
                    <a:prstGeom prst="rect">
                      <a:avLst/>
                    </a:prstGeom>
                  </pic:spPr>
                </pic:pic>
              </a:graphicData>
            </a:graphic>
          </wp:inline>
        </w:drawing>
      </w:r>
      <w:r>
        <w:rPr>
          <w:rFonts w:hint="default"/>
          <w:color w:val="auto"/>
          <w:lang w:val="en-US" w:eastAsia="zh-CN"/>
        </w:rPr>
        <w:drawing>
          <wp:inline distT="0" distB="0" distL="114300" distR="114300">
            <wp:extent cx="5612765" cy="7940675"/>
            <wp:effectExtent l="0" t="0" r="10795" b="14605"/>
            <wp:docPr id="184" name="图片 184" descr="PF-283EC EVA处理剂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84" descr="PF-283EC EVA处理剂_02"/>
                    <pic:cNvPicPr>
                      <a:picLocks noChangeAspect="1"/>
                    </pic:cNvPicPr>
                  </pic:nvPicPr>
                  <pic:blipFill>
                    <a:blip r:embed="rId108"/>
                    <a:stretch>
                      <a:fillRect/>
                    </a:stretch>
                  </pic:blipFill>
                  <pic:spPr>
                    <a:xfrm>
                      <a:off x="0" y="0"/>
                      <a:ext cx="5612765" cy="7940675"/>
                    </a:xfrm>
                    <a:prstGeom prst="rect">
                      <a:avLst/>
                    </a:prstGeom>
                  </pic:spPr>
                </pic:pic>
              </a:graphicData>
            </a:graphic>
          </wp:inline>
        </w:drawing>
      </w:r>
      <w:r>
        <w:rPr>
          <w:rFonts w:hint="default"/>
          <w:color w:val="auto"/>
          <w:lang w:val="en-US" w:eastAsia="zh-CN"/>
        </w:rPr>
        <w:drawing>
          <wp:inline distT="0" distB="0" distL="114300" distR="114300">
            <wp:extent cx="5612765" cy="7940675"/>
            <wp:effectExtent l="0" t="0" r="10795" b="14605"/>
            <wp:docPr id="183" name="图片 183" descr="PF-283EC EVA处理剂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83" descr="PF-283EC EVA处理剂_03"/>
                    <pic:cNvPicPr>
                      <a:picLocks noChangeAspect="1"/>
                    </pic:cNvPicPr>
                  </pic:nvPicPr>
                  <pic:blipFill>
                    <a:blip r:embed="rId109"/>
                    <a:stretch>
                      <a:fillRect/>
                    </a:stretch>
                  </pic:blipFill>
                  <pic:spPr>
                    <a:xfrm>
                      <a:off x="0" y="0"/>
                      <a:ext cx="5612765" cy="7940675"/>
                    </a:xfrm>
                    <a:prstGeom prst="rect">
                      <a:avLst/>
                    </a:prstGeom>
                  </pic:spPr>
                </pic:pic>
              </a:graphicData>
            </a:graphic>
          </wp:inline>
        </w:drawing>
      </w:r>
      <w:r>
        <w:rPr>
          <w:rFonts w:hint="default"/>
          <w:color w:val="auto"/>
          <w:lang w:val="en-US" w:eastAsia="zh-CN"/>
        </w:rPr>
        <w:drawing>
          <wp:inline distT="0" distB="0" distL="114300" distR="114300">
            <wp:extent cx="5612765" cy="7940675"/>
            <wp:effectExtent l="0" t="0" r="10795" b="14605"/>
            <wp:docPr id="182" name="图片 182" descr="PF-283EC EVA处理剂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82" descr="PF-283EC EVA处理剂_04"/>
                    <pic:cNvPicPr>
                      <a:picLocks noChangeAspect="1"/>
                    </pic:cNvPicPr>
                  </pic:nvPicPr>
                  <pic:blipFill>
                    <a:blip r:embed="rId110"/>
                    <a:stretch>
                      <a:fillRect/>
                    </a:stretch>
                  </pic:blipFill>
                  <pic:spPr>
                    <a:xfrm>
                      <a:off x="0" y="0"/>
                      <a:ext cx="5612765" cy="7940675"/>
                    </a:xfrm>
                    <a:prstGeom prst="rect">
                      <a:avLst/>
                    </a:prstGeom>
                  </pic:spPr>
                </pic:pic>
              </a:graphicData>
            </a:graphic>
          </wp:inline>
        </w:drawing>
      </w:r>
      <w:r>
        <w:rPr>
          <w:rFonts w:hint="default"/>
          <w:color w:val="auto"/>
          <w:lang w:val="en-US" w:eastAsia="zh-CN"/>
        </w:rPr>
        <w:drawing>
          <wp:inline distT="0" distB="0" distL="114300" distR="114300">
            <wp:extent cx="5612765" cy="7940675"/>
            <wp:effectExtent l="0" t="0" r="10795" b="14605"/>
            <wp:docPr id="181" name="图片 181" descr="PF-283EC EVA处理剂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81" descr="PF-283EC EVA处理剂_05"/>
                    <pic:cNvPicPr>
                      <a:picLocks noChangeAspect="1"/>
                    </pic:cNvPicPr>
                  </pic:nvPicPr>
                  <pic:blipFill>
                    <a:blip r:embed="rId111"/>
                    <a:stretch>
                      <a:fillRect/>
                    </a:stretch>
                  </pic:blipFill>
                  <pic:spPr>
                    <a:xfrm>
                      <a:off x="0" y="0"/>
                      <a:ext cx="5612765" cy="7940675"/>
                    </a:xfrm>
                    <a:prstGeom prst="rect">
                      <a:avLst/>
                    </a:prstGeom>
                  </pic:spPr>
                </pic:pic>
              </a:graphicData>
            </a:graphic>
          </wp:inline>
        </w:drawing>
      </w:r>
      <w:r>
        <w:rPr>
          <w:rFonts w:hint="default"/>
          <w:color w:val="auto"/>
          <w:lang w:val="en-US" w:eastAsia="zh-CN"/>
        </w:rPr>
        <w:drawing>
          <wp:inline distT="0" distB="0" distL="114300" distR="114300">
            <wp:extent cx="5612765" cy="7940675"/>
            <wp:effectExtent l="0" t="0" r="10795" b="14605"/>
            <wp:docPr id="180" name="图片 180" descr="PF-283EC EVA处理剂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180" descr="PF-283EC EVA处理剂_06"/>
                    <pic:cNvPicPr>
                      <a:picLocks noChangeAspect="1"/>
                    </pic:cNvPicPr>
                  </pic:nvPicPr>
                  <pic:blipFill>
                    <a:blip r:embed="rId112"/>
                    <a:stretch>
                      <a:fillRect/>
                    </a:stretch>
                  </pic:blipFill>
                  <pic:spPr>
                    <a:xfrm>
                      <a:off x="0" y="0"/>
                      <a:ext cx="5612765" cy="7940675"/>
                    </a:xfrm>
                    <a:prstGeom prst="rect">
                      <a:avLst/>
                    </a:prstGeom>
                  </pic:spPr>
                </pic:pic>
              </a:graphicData>
            </a:graphic>
          </wp:inline>
        </w:drawing>
      </w:r>
      <w:r>
        <w:rPr>
          <w:rFonts w:hint="default"/>
          <w:color w:val="auto"/>
          <w:lang w:val="en-US" w:eastAsia="zh-CN"/>
        </w:rPr>
        <w:drawing>
          <wp:inline distT="0" distB="0" distL="114300" distR="114300">
            <wp:extent cx="5612765" cy="7940675"/>
            <wp:effectExtent l="0" t="0" r="10795" b="14605"/>
            <wp:docPr id="190" name="图片 190" descr="PF-233  TPR处理剂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190" descr="PF-233  TPR处理剂_01"/>
                    <pic:cNvPicPr>
                      <a:picLocks noChangeAspect="1"/>
                    </pic:cNvPicPr>
                  </pic:nvPicPr>
                  <pic:blipFill>
                    <a:blip r:embed="rId113"/>
                    <a:stretch>
                      <a:fillRect/>
                    </a:stretch>
                  </pic:blipFill>
                  <pic:spPr>
                    <a:xfrm>
                      <a:off x="0" y="0"/>
                      <a:ext cx="5612765" cy="7940675"/>
                    </a:xfrm>
                    <a:prstGeom prst="rect">
                      <a:avLst/>
                    </a:prstGeom>
                  </pic:spPr>
                </pic:pic>
              </a:graphicData>
            </a:graphic>
          </wp:inline>
        </w:drawing>
      </w:r>
      <w:r>
        <w:rPr>
          <w:rFonts w:hint="default"/>
          <w:color w:val="auto"/>
          <w:lang w:val="en-US" w:eastAsia="zh-CN"/>
        </w:rPr>
        <w:drawing>
          <wp:inline distT="0" distB="0" distL="114300" distR="114300">
            <wp:extent cx="5612765" cy="7940675"/>
            <wp:effectExtent l="0" t="0" r="10795" b="14605"/>
            <wp:docPr id="189" name="图片 189" descr="PF-233  TPR处理剂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189" descr="PF-233  TPR处理剂_02"/>
                    <pic:cNvPicPr>
                      <a:picLocks noChangeAspect="1"/>
                    </pic:cNvPicPr>
                  </pic:nvPicPr>
                  <pic:blipFill>
                    <a:blip r:embed="rId108"/>
                    <a:stretch>
                      <a:fillRect/>
                    </a:stretch>
                  </pic:blipFill>
                  <pic:spPr>
                    <a:xfrm>
                      <a:off x="0" y="0"/>
                      <a:ext cx="5612765" cy="7940675"/>
                    </a:xfrm>
                    <a:prstGeom prst="rect">
                      <a:avLst/>
                    </a:prstGeom>
                  </pic:spPr>
                </pic:pic>
              </a:graphicData>
            </a:graphic>
          </wp:inline>
        </w:drawing>
      </w:r>
      <w:r>
        <w:rPr>
          <w:rFonts w:hint="default"/>
          <w:color w:val="auto"/>
          <w:lang w:val="en-US" w:eastAsia="zh-CN"/>
        </w:rPr>
        <w:drawing>
          <wp:inline distT="0" distB="0" distL="114300" distR="114300">
            <wp:extent cx="5612765" cy="7940675"/>
            <wp:effectExtent l="0" t="0" r="10795" b="14605"/>
            <wp:docPr id="188" name="图片 188" descr="PF-233  TPR处理剂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88" descr="PF-233  TPR处理剂_03"/>
                    <pic:cNvPicPr>
                      <a:picLocks noChangeAspect="1"/>
                    </pic:cNvPicPr>
                  </pic:nvPicPr>
                  <pic:blipFill>
                    <a:blip r:embed="rId114"/>
                    <a:stretch>
                      <a:fillRect/>
                    </a:stretch>
                  </pic:blipFill>
                  <pic:spPr>
                    <a:xfrm>
                      <a:off x="0" y="0"/>
                      <a:ext cx="5612765" cy="7940675"/>
                    </a:xfrm>
                    <a:prstGeom prst="rect">
                      <a:avLst/>
                    </a:prstGeom>
                  </pic:spPr>
                </pic:pic>
              </a:graphicData>
            </a:graphic>
          </wp:inline>
        </w:drawing>
      </w:r>
      <w:r>
        <w:rPr>
          <w:rFonts w:hint="default"/>
          <w:color w:val="auto"/>
          <w:lang w:val="en-US" w:eastAsia="zh-CN"/>
        </w:rPr>
        <w:drawing>
          <wp:inline distT="0" distB="0" distL="114300" distR="114300">
            <wp:extent cx="5612765" cy="7940675"/>
            <wp:effectExtent l="0" t="0" r="10795" b="14605"/>
            <wp:docPr id="187" name="图片 187" descr="PF-233  TPR处理剂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87" descr="PF-233  TPR处理剂_04"/>
                    <pic:cNvPicPr>
                      <a:picLocks noChangeAspect="1"/>
                    </pic:cNvPicPr>
                  </pic:nvPicPr>
                  <pic:blipFill>
                    <a:blip r:embed="rId115"/>
                    <a:stretch>
                      <a:fillRect/>
                    </a:stretch>
                  </pic:blipFill>
                  <pic:spPr>
                    <a:xfrm>
                      <a:off x="0" y="0"/>
                      <a:ext cx="5612765" cy="7940675"/>
                    </a:xfrm>
                    <a:prstGeom prst="rect">
                      <a:avLst/>
                    </a:prstGeom>
                  </pic:spPr>
                </pic:pic>
              </a:graphicData>
            </a:graphic>
          </wp:inline>
        </w:drawing>
      </w:r>
      <w:r>
        <w:rPr>
          <w:rFonts w:hint="default"/>
          <w:color w:val="auto"/>
          <w:lang w:val="en-US" w:eastAsia="zh-CN"/>
        </w:rPr>
        <w:drawing>
          <wp:inline distT="0" distB="0" distL="114300" distR="114300">
            <wp:extent cx="5612765" cy="7940675"/>
            <wp:effectExtent l="0" t="0" r="10795" b="14605"/>
            <wp:docPr id="186" name="图片 186" descr="PF-233  TPR处理剂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86" descr="PF-233  TPR处理剂_05"/>
                    <pic:cNvPicPr>
                      <a:picLocks noChangeAspect="1"/>
                    </pic:cNvPicPr>
                  </pic:nvPicPr>
                  <pic:blipFill>
                    <a:blip r:embed="rId116"/>
                    <a:stretch>
                      <a:fillRect/>
                    </a:stretch>
                  </pic:blipFill>
                  <pic:spPr>
                    <a:xfrm>
                      <a:off x="0" y="0"/>
                      <a:ext cx="5612765" cy="7940675"/>
                    </a:xfrm>
                    <a:prstGeom prst="rect">
                      <a:avLst/>
                    </a:prstGeom>
                  </pic:spPr>
                </pic:pic>
              </a:graphicData>
            </a:graphic>
          </wp:inline>
        </w:drawing>
      </w:r>
      <w:r>
        <w:rPr>
          <w:color w:val="auto"/>
        </w:rPr>
        <w:drawing>
          <wp:inline distT="0" distB="0" distL="114300" distR="114300">
            <wp:extent cx="5370830" cy="7573645"/>
            <wp:effectExtent l="0" t="0" r="8890" b="635"/>
            <wp:docPr id="20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6"/>
                    <pic:cNvPicPr>
                      <a:picLocks noChangeAspect="1"/>
                    </pic:cNvPicPr>
                  </pic:nvPicPr>
                  <pic:blipFill>
                    <a:blip r:embed="rId117"/>
                    <a:stretch>
                      <a:fillRect/>
                    </a:stretch>
                  </pic:blipFill>
                  <pic:spPr>
                    <a:xfrm>
                      <a:off x="0" y="0"/>
                      <a:ext cx="5370830" cy="7573645"/>
                    </a:xfrm>
                    <a:prstGeom prst="rect">
                      <a:avLst/>
                    </a:prstGeom>
                    <a:noFill/>
                    <a:ln>
                      <a:noFill/>
                    </a:ln>
                  </pic:spPr>
                </pic:pic>
              </a:graphicData>
            </a:graphic>
          </wp:inline>
        </w:drawing>
      </w:r>
      <w:r>
        <w:rPr>
          <w:color w:val="auto"/>
        </w:rPr>
        <w:drawing>
          <wp:inline distT="0" distB="0" distL="114300" distR="114300">
            <wp:extent cx="5452110" cy="7659370"/>
            <wp:effectExtent l="0" t="0" r="3810" b="6350"/>
            <wp:docPr id="20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7"/>
                    <pic:cNvPicPr>
                      <a:picLocks noChangeAspect="1"/>
                    </pic:cNvPicPr>
                  </pic:nvPicPr>
                  <pic:blipFill>
                    <a:blip r:embed="rId118"/>
                    <a:stretch>
                      <a:fillRect/>
                    </a:stretch>
                  </pic:blipFill>
                  <pic:spPr>
                    <a:xfrm>
                      <a:off x="0" y="0"/>
                      <a:ext cx="5452110" cy="7659370"/>
                    </a:xfrm>
                    <a:prstGeom prst="rect">
                      <a:avLst/>
                    </a:prstGeom>
                    <a:noFill/>
                    <a:ln>
                      <a:noFill/>
                    </a:ln>
                  </pic:spPr>
                </pic:pic>
              </a:graphicData>
            </a:graphic>
          </wp:inline>
        </w:drawing>
      </w:r>
      <w:r>
        <w:rPr>
          <w:color w:val="auto"/>
        </w:rPr>
        <w:drawing>
          <wp:inline distT="0" distB="0" distL="114300" distR="114300">
            <wp:extent cx="5440045" cy="7615555"/>
            <wp:effectExtent l="0" t="0" r="635" b="4445"/>
            <wp:docPr id="20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8"/>
                    <pic:cNvPicPr>
                      <a:picLocks noChangeAspect="1"/>
                    </pic:cNvPicPr>
                  </pic:nvPicPr>
                  <pic:blipFill>
                    <a:blip r:embed="rId119"/>
                    <a:stretch>
                      <a:fillRect/>
                    </a:stretch>
                  </pic:blipFill>
                  <pic:spPr>
                    <a:xfrm>
                      <a:off x="0" y="0"/>
                      <a:ext cx="5440045" cy="7615555"/>
                    </a:xfrm>
                    <a:prstGeom prst="rect">
                      <a:avLst/>
                    </a:prstGeom>
                    <a:noFill/>
                    <a:ln>
                      <a:noFill/>
                    </a:ln>
                  </pic:spPr>
                </pic:pic>
              </a:graphicData>
            </a:graphic>
          </wp:inline>
        </w:drawing>
      </w:r>
      <w:bookmarkEnd w:id="65"/>
    </w:p>
    <w:p w14:paraId="7EAF152A">
      <w:pPr>
        <w:pStyle w:val="18"/>
        <w:jc w:val="both"/>
        <w:outlineLvl w:val="0"/>
        <w:rPr>
          <w:rFonts w:hint="eastAsia" w:ascii="宋体" w:hAnsi="宋体" w:eastAsia="宋体" w:cs="宋体"/>
          <w:b/>
          <w:bCs/>
          <w:snapToGrid w:val="0"/>
          <w:color w:val="auto"/>
          <w:sz w:val="24"/>
          <w:szCs w:val="24"/>
          <w:highlight w:val="none"/>
          <w:lang w:val="en-US" w:eastAsia="zh-CN"/>
        </w:rPr>
      </w:pPr>
      <w:bookmarkStart w:id="66" w:name="_Toc9423"/>
      <w:r>
        <w:rPr>
          <w:rFonts w:hint="eastAsia" w:ascii="宋体" w:hAnsi="宋体" w:eastAsia="宋体" w:cs="宋体"/>
          <w:b/>
          <w:bCs/>
          <w:snapToGrid w:val="0"/>
          <w:color w:val="auto"/>
          <w:sz w:val="24"/>
          <w:szCs w:val="24"/>
          <w:highlight w:val="none"/>
          <w:lang w:val="en-US" w:eastAsia="zh-CN"/>
        </w:rPr>
        <w:t>附件</w:t>
      </w:r>
      <w:r>
        <w:rPr>
          <w:rFonts w:hint="eastAsia" w:ascii="Times New Roman" w:hAnsi="Times New Roman" w:cs="Times New Roman"/>
          <w:b/>
          <w:bCs/>
          <w:snapToGrid w:val="0"/>
          <w:color w:val="auto"/>
          <w:sz w:val="24"/>
          <w:szCs w:val="24"/>
          <w:highlight w:val="none"/>
          <w:lang w:val="en-US" w:eastAsia="zh-CN"/>
        </w:rPr>
        <w:t>8</w:t>
      </w:r>
      <w:r>
        <w:rPr>
          <w:rFonts w:hint="eastAsia" w:ascii="宋体" w:hAnsi="宋体" w:eastAsia="宋体" w:cs="宋体"/>
          <w:b/>
          <w:bCs/>
          <w:snapToGrid w:val="0"/>
          <w:color w:val="auto"/>
          <w:sz w:val="24"/>
          <w:szCs w:val="24"/>
          <w:highlight w:val="none"/>
          <w:lang w:val="en-US" w:eastAsia="zh-CN"/>
        </w:rPr>
        <w:t xml:space="preserve">  基础资料真实性承诺书</w:t>
      </w:r>
      <w:bookmarkEnd w:id="66"/>
    </w:p>
    <w:p w14:paraId="23B6705A">
      <w:pPr>
        <w:pStyle w:val="18"/>
        <w:jc w:val="both"/>
        <w:outlineLvl w:val="0"/>
        <w:rPr>
          <w:rFonts w:hint="default" w:ascii="宋体" w:hAnsi="宋体" w:eastAsia="宋体" w:cs="宋体"/>
          <w:b/>
          <w:bCs/>
          <w:snapToGrid w:val="0"/>
          <w:color w:val="auto"/>
          <w:sz w:val="24"/>
          <w:szCs w:val="24"/>
          <w:highlight w:val="none"/>
          <w:lang w:val="en-US" w:eastAsia="zh-CN"/>
        </w:rPr>
        <w:sectPr>
          <w:pgSz w:w="11906" w:h="16838"/>
          <w:pgMar w:top="1440" w:right="1531" w:bottom="1440" w:left="1531" w:header="851" w:footer="992" w:gutter="0"/>
          <w:pgBorders>
            <w:top w:val="none" w:sz="0" w:space="0"/>
            <w:left w:val="none" w:sz="0" w:space="0"/>
            <w:bottom w:val="none" w:sz="0" w:space="0"/>
            <w:right w:val="none" w:sz="0" w:space="0"/>
          </w:pgBorders>
          <w:pgNumType w:fmt="decimal"/>
          <w:cols w:space="425" w:num="1"/>
          <w:docGrid w:type="lines" w:linePitch="312" w:charSpace="0"/>
        </w:sectPr>
      </w:pPr>
      <w:bookmarkStart w:id="67" w:name="_Toc31282"/>
      <w:r>
        <w:rPr>
          <w:rFonts w:hint="default" w:ascii="宋体" w:hAnsi="宋体" w:eastAsia="宋体" w:cs="宋体"/>
          <w:b/>
          <w:bCs/>
          <w:snapToGrid w:val="0"/>
          <w:color w:val="auto"/>
          <w:sz w:val="24"/>
          <w:szCs w:val="24"/>
          <w:highlight w:val="none"/>
          <w:lang w:val="en-US" w:eastAsia="zh-CN"/>
        </w:rPr>
        <w:drawing>
          <wp:inline distT="0" distB="0" distL="114300" distR="114300">
            <wp:extent cx="5614035" cy="7077075"/>
            <wp:effectExtent l="0" t="0" r="9525" b="9525"/>
            <wp:docPr id="7" name="图片 7" descr="268d57d0-de5b-4163-a1f2-4f2b1acddc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268d57d0-de5b-4163-a1f2-4f2b1acddc79"/>
                    <pic:cNvPicPr>
                      <a:picLocks noChangeAspect="1"/>
                    </pic:cNvPicPr>
                  </pic:nvPicPr>
                  <pic:blipFill>
                    <a:blip r:embed="rId120"/>
                    <a:stretch>
                      <a:fillRect/>
                    </a:stretch>
                  </pic:blipFill>
                  <pic:spPr>
                    <a:xfrm>
                      <a:off x="0" y="0"/>
                      <a:ext cx="5614035" cy="7077075"/>
                    </a:xfrm>
                    <a:prstGeom prst="rect">
                      <a:avLst/>
                    </a:prstGeom>
                  </pic:spPr>
                </pic:pic>
              </a:graphicData>
            </a:graphic>
          </wp:inline>
        </w:drawing>
      </w:r>
      <w:bookmarkEnd w:id="67"/>
    </w:p>
    <w:p w14:paraId="022CC677">
      <w:pPr>
        <w:pStyle w:val="18"/>
        <w:jc w:val="both"/>
        <w:outlineLvl w:val="0"/>
        <w:rPr>
          <w:rFonts w:hint="default" w:ascii="宋体" w:hAnsi="宋体" w:eastAsia="宋体" w:cs="宋体"/>
          <w:b/>
          <w:bCs/>
          <w:snapToGrid w:val="0"/>
          <w:color w:val="auto"/>
          <w:sz w:val="24"/>
          <w:szCs w:val="24"/>
          <w:highlight w:val="none"/>
          <w:lang w:val="en-US" w:eastAsia="zh-CN"/>
        </w:rPr>
      </w:pPr>
      <w:bookmarkStart w:id="68" w:name="_Toc161"/>
      <w:r>
        <w:rPr>
          <w:rFonts w:hint="eastAsia" w:ascii="宋体" w:hAnsi="宋体" w:eastAsia="宋体" w:cs="宋体"/>
          <w:b/>
          <w:bCs/>
          <w:snapToGrid w:val="0"/>
          <w:color w:val="auto"/>
          <w:sz w:val="24"/>
          <w:szCs w:val="24"/>
          <w:highlight w:val="none"/>
          <w:lang w:val="en-US" w:eastAsia="zh-CN"/>
        </w:rPr>
        <w:t>附件</w:t>
      </w:r>
      <w:r>
        <w:rPr>
          <w:rFonts w:hint="eastAsia" w:ascii="Times New Roman" w:hAnsi="Times New Roman" w:cs="Times New Roman"/>
          <w:b/>
          <w:bCs/>
          <w:snapToGrid w:val="0"/>
          <w:color w:val="auto"/>
          <w:sz w:val="24"/>
          <w:szCs w:val="24"/>
          <w:highlight w:val="none"/>
          <w:lang w:val="en-US" w:eastAsia="zh-CN"/>
        </w:rPr>
        <w:t>9</w:t>
      </w:r>
      <w:r>
        <w:rPr>
          <w:rFonts w:hint="eastAsia" w:ascii="宋体" w:hAnsi="宋体" w:eastAsia="宋体" w:cs="宋体"/>
          <w:b/>
          <w:bCs/>
          <w:snapToGrid w:val="0"/>
          <w:color w:val="auto"/>
          <w:sz w:val="24"/>
          <w:szCs w:val="24"/>
          <w:highlight w:val="none"/>
          <w:lang w:val="en-US" w:eastAsia="zh-CN"/>
        </w:rPr>
        <w:t xml:space="preserve">  引用监测</w:t>
      </w:r>
      <w:r>
        <w:rPr>
          <w:rFonts w:hint="default" w:ascii="宋体" w:hAnsi="宋体" w:eastAsia="宋体" w:cs="宋体"/>
          <w:b/>
          <w:bCs/>
          <w:snapToGrid w:val="0"/>
          <w:color w:val="auto"/>
          <w:sz w:val="24"/>
          <w:szCs w:val="24"/>
          <w:highlight w:val="none"/>
          <w:lang w:val="en-US" w:eastAsia="zh-CN"/>
        </w:rPr>
        <w:t>报告</w:t>
      </w:r>
      <w:bookmarkEnd w:id="68"/>
    </w:p>
    <w:p w14:paraId="7645610C">
      <w:pPr>
        <w:pStyle w:val="23"/>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default"/>
          <w:color w:val="auto"/>
          <w:lang w:val="en-US" w:eastAsia="zh-CN"/>
        </w:rPr>
        <w:sectPr>
          <w:pgSz w:w="11906" w:h="16838"/>
          <w:pgMar w:top="1440" w:right="1531" w:bottom="1440" w:left="1531" w:header="851" w:footer="992" w:gutter="0"/>
          <w:pgBorders>
            <w:top w:val="none" w:sz="0" w:space="0"/>
            <w:left w:val="none" w:sz="0" w:space="0"/>
            <w:bottom w:val="none" w:sz="0" w:space="0"/>
            <w:right w:val="none" w:sz="0" w:space="0"/>
          </w:pgBorders>
          <w:pgNumType w:fmt="decimal"/>
          <w:cols w:space="425" w:num="1"/>
          <w:docGrid w:type="lines" w:linePitch="312" w:charSpace="0"/>
        </w:sectPr>
      </w:pPr>
      <w:r>
        <w:rPr>
          <w:rFonts w:hint="default"/>
          <w:color w:val="auto"/>
          <w:lang w:val="en-US" w:eastAsia="zh-CN"/>
        </w:rPr>
        <w:drawing>
          <wp:inline distT="0" distB="0" distL="114300" distR="114300">
            <wp:extent cx="5923915" cy="7498080"/>
            <wp:effectExtent l="0" t="0" r="635" b="7620"/>
            <wp:docPr id="87" name="图片 87" descr="局部截取_20260127_095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局部截取_20260127_095309"/>
                    <pic:cNvPicPr>
                      <a:picLocks noChangeAspect="1"/>
                    </pic:cNvPicPr>
                  </pic:nvPicPr>
                  <pic:blipFill>
                    <a:blip r:embed="rId121"/>
                    <a:stretch>
                      <a:fillRect/>
                    </a:stretch>
                  </pic:blipFill>
                  <pic:spPr>
                    <a:xfrm>
                      <a:off x="0" y="0"/>
                      <a:ext cx="5923915" cy="7498080"/>
                    </a:xfrm>
                    <a:prstGeom prst="rect">
                      <a:avLst/>
                    </a:prstGeom>
                  </pic:spPr>
                </pic:pic>
              </a:graphicData>
            </a:graphic>
          </wp:inline>
        </w:drawing>
      </w:r>
      <w:r>
        <w:rPr>
          <w:rFonts w:hint="default"/>
          <w:color w:val="auto"/>
          <w:lang w:val="en-US" w:eastAsia="zh-CN"/>
        </w:rPr>
        <w:drawing>
          <wp:inline distT="0" distB="0" distL="114300" distR="114300">
            <wp:extent cx="5599430" cy="7174865"/>
            <wp:effectExtent l="0" t="0" r="1270" b="6985"/>
            <wp:docPr id="138" name="图片 138" descr="局部截取_20260127_095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descr="局部截取_20260127_095335"/>
                    <pic:cNvPicPr>
                      <a:picLocks noChangeAspect="1"/>
                    </pic:cNvPicPr>
                  </pic:nvPicPr>
                  <pic:blipFill>
                    <a:blip r:embed="rId122"/>
                    <a:stretch>
                      <a:fillRect/>
                    </a:stretch>
                  </pic:blipFill>
                  <pic:spPr>
                    <a:xfrm>
                      <a:off x="0" y="0"/>
                      <a:ext cx="5599430" cy="7174865"/>
                    </a:xfrm>
                    <a:prstGeom prst="rect">
                      <a:avLst/>
                    </a:prstGeom>
                  </pic:spPr>
                </pic:pic>
              </a:graphicData>
            </a:graphic>
          </wp:inline>
        </w:drawing>
      </w:r>
      <w:r>
        <w:rPr>
          <w:rFonts w:hint="default"/>
          <w:color w:val="auto"/>
          <w:lang w:val="en-US" w:eastAsia="zh-CN"/>
        </w:rPr>
        <w:drawing>
          <wp:inline distT="0" distB="0" distL="114300" distR="114300">
            <wp:extent cx="5584190" cy="7693660"/>
            <wp:effectExtent l="0" t="0" r="16510" b="2540"/>
            <wp:docPr id="200" name="图片 200" descr="局部截取_20260127_095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200" descr="局部截取_20260127_095427"/>
                    <pic:cNvPicPr>
                      <a:picLocks noChangeAspect="1"/>
                    </pic:cNvPicPr>
                  </pic:nvPicPr>
                  <pic:blipFill>
                    <a:blip r:embed="rId123"/>
                    <a:stretch>
                      <a:fillRect/>
                    </a:stretch>
                  </pic:blipFill>
                  <pic:spPr>
                    <a:xfrm>
                      <a:off x="0" y="0"/>
                      <a:ext cx="5584190" cy="7693660"/>
                    </a:xfrm>
                    <a:prstGeom prst="rect">
                      <a:avLst/>
                    </a:prstGeom>
                  </pic:spPr>
                </pic:pic>
              </a:graphicData>
            </a:graphic>
          </wp:inline>
        </w:drawing>
      </w:r>
      <w:r>
        <w:rPr>
          <w:rFonts w:hint="default"/>
          <w:color w:val="auto"/>
          <w:lang w:val="en-US" w:eastAsia="zh-CN"/>
        </w:rPr>
        <w:drawing>
          <wp:inline distT="0" distB="0" distL="114300" distR="114300">
            <wp:extent cx="5614035" cy="7641590"/>
            <wp:effectExtent l="0" t="0" r="5715" b="16510"/>
            <wp:docPr id="205" name="图片 205" descr="局部截取_20260127_095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205" descr="局部截取_20260127_095448"/>
                    <pic:cNvPicPr>
                      <a:picLocks noChangeAspect="1"/>
                    </pic:cNvPicPr>
                  </pic:nvPicPr>
                  <pic:blipFill>
                    <a:blip r:embed="rId124"/>
                    <a:stretch>
                      <a:fillRect/>
                    </a:stretch>
                  </pic:blipFill>
                  <pic:spPr>
                    <a:xfrm>
                      <a:off x="0" y="0"/>
                      <a:ext cx="5614035" cy="7641590"/>
                    </a:xfrm>
                    <a:prstGeom prst="rect">
                      <a:avLst/>
                    </a:prstGeom>
                  </pic:spPr>
                </pic:pic>
              </a:graphicData>
            </a:graphic>
          </wp:inline>
        </w:drawing>
      </w:r>
      <w:r>
        <w:rPr>
          <w:rFonts w:hint="default"/>
          <w:color w:val="auto"/>
          <w:lang w:val="en-US" w:eastAsia="zh-CN"/>
        </w:rPr>
        <w:drawing>
          <wp:inline distT="0" distB="0" distL="114300" distR="114300">
            <wp:extent cx="5821045" cy="8014970"/>
            <wp:effectExtent l="0" t="0" r="8255" b="5080"/>
            <wp:docPr id="210" name="图片 210" descr="局部截取_20260127_095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210" descr="局部截取_20260127_095511"/>
                    <pic:cNvPicPr>
                      <a:picLocks noChangeAspect="1"/>
                    </pic:cNvPicPr>
                  </pic:nvPicPr>
                  <pic:blipFill>
                    <a:blip r:embed="rId125"/>
                    <a:stretch>
                      <a:fillRect/>
                    </a:stretch>
                  </pic:blipFill>
                  <pic:spPr>
                    <a:xfrm>
                      <a:off x="0" y="0"/>
                      <a:ext cx="5821045" cy="8014970"/>
                    </a:xfrm>
                    <a:prstGeom prst="rect">
                      <a:avLst/>
                    </a:prstGeom>
                  </pic:spPr>
                </pic:pic>
              </a:graphicData>
            </a:graphic>
          </wp:inline>
        </w:drawing>
      </w:r>
      <w:r>
        <w:rPr>
          <w:rFonts w:hint="default"/>
          <w:color w:val="auto"/>
          <w:lang w:val="en-US" w:eastAsia="zh-CN"/>
        </w:rPr>
        <w:drawing>
          <wp:inline distT="0" distB="0" distL="114300" distR="114300">
            <wp:extent cx="5586730" cy="7962265"/>
            <wp:effectExtent l="0" t="0" r="13970" b="635"/>
            <wp:docPr id="211" name="图片 211" descr="局部截取_20260127_095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211" descr="局部截取_20260127_095539"/>
                    <pic:cNvPicPr>
                      <a:picLocks noChangeAspect="1"/>
                    </pic:cNvPicPr>
                  </pic:nvPicPr>
                  <pic:blipFill>
                    <a:blip r:embed="rId126"/>
                    <a:stretch>
                      <a:fillRect/>
                    </a:stretch>
                  </pic:blipFill>
                  <pic:spPr>
                    <a:xfrm>
                      <a:off x="0" y="0"/>
                      <a:ext cx="5586730" cy="7962265"/>
                    </a:xfrm>
                    <a:prstGeom prst="rect">
                      <a:avLst/>
                    </a:prstGeom>
                  </pic:spPr>
                </pic:pic>
              </a:graphicData>
            </a:graphic>
          </wp:inline>
        </w:drawing>
      </w:r>
    </w:p>
    <w:p w14:paraId="0BBD096C">
      <w:pPr>
        <w:pStyle w:val="18"/>
        <w:jc w:val="both"/>
        <w:outlineLvl w:val="0"/>
        <w:rPr>
          <w:rFonts w:hint="eastAsia" w:ascii="宋体" w:hAnsi="宋体" w:eastAsia="宋体" w:cs="宋体"/>
          <w:b/>
          <w:bCs/>
          <w:snapToGrid w:val="0"/>
          <w:color w:val="auto"/>
          <w:sz w:val="24"/>
          <w:szCs w:val="24"/>
          <w:highlight w:val="none"/>
          <w:lang w:val="en-US" w:eastAsia="zh-CN"/>
        </w:rPr>
      </w:pPr>
      <w:bookmarkStart w:id="69" w:name="_Toc23421"/>
      <w:r>
        <w:rPr>
          <w:rFonts w:hint="eastAsia" w:ascii="宋体" w:hAnsi="宋体" w:eastAsia="宋体" w:cs="宋体"/>
          <w:b/>
          <w:bCs/>
          <w:snapToGrid w:val="0"/>
          <w:color w:val="auto"/>
          <w:sz w:val="24"/>
          <w:szCs w:val="24"/>
          <w:highlight w:val="none"/>
          <w:lang w:val="en-US" w:eastAsia="zh-CN"/>
        </w:rPr>
        <w:t>附件10 项目使用新材料承诺书</w:t>
      </w:r>
      <w:bookmarkEnd w:id="69"/>
    </w:p>
    <w:p w14:paraId="4DF69E74">
      <w:pPr>
        <w:bidi w:val="0"/>
        <w:jc w:val="center"/>
        <w:rPr>
          <w:rFonts w:hint="eastAsia"/>
          <w:color w:val="auto"/>
          <w:lang w:val="en-US" w:eastAsia="zh-CN"/>
        </w:rPr>
      </w:pPr>
      <w:r>
        <w:rPr>
          <w:rFonts w:hint="eastAsia"/>
          <w:color w:val="auto"/>
          <w:lang w:val="en-US" w:eastAsia="zh-CN"/>
        </w:rPr>
        <w:drawing>
          <wp:inline distT="0" distB="0" distL="114300" distR="114300">
            <wp:extent cx="5568315" cy="8032750"/>
            <wp:effectExtent l="0" t="0" r="9525" b="13970"/>
            <wp:docPr id="272" name="图片 272" descr="372e6919-7f56-4d52-b47b-d4e15ad8e7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图片 272" descr="372e6919-7f56-4d52-b47b-d4e15ad8e76c"/>
                    <pic:cNvPicPr>
                      <a:picLocks noChangeAspect="1"/>
                    </pic:cNvPicPr>
                  </pic:nvPicPr>
                  <pic:blipFill>
                    <a:blip r:embed="rId127"/>
                    <a:stretch>
                      <a:fillRect/>
                    </a:stretch>
                  </pic:blipFill>
                  <pic:spPr>
                    <a:xfrm>
                      <a:off x="0" y="0"/>
                      <a:ext cx="5568315" cy="8032750"/>
                    </a:xfrm>
                    <a:prstGeom prst="rect">
                      <a:avLst/>
                    </a:prstGeom>
                  </pic:spPr>
                </pic:pic>
              </a:graphicData>
            </a:graphic>
          </wp:inline>
        </w:drawing>
      </w:r>
    </w:p>
    <w:p w14:paraId="15F39DD8">
      <w:pPr>
        <w:pStyle w:val="18"/>
        <w:jc w:val="both"/>
        <w:outlineLvl w:val="0"/>
        <w:rPr>
          <w:rFonts w:hint="eastAsia" w:ascii="宋体" w:hAnsi="宋体" w:eastAsia="宋体" w:cs="宋体"/>
          <w:b/>
          <w:bCs/>
          <w:snapToGrid w:val="0"/>
          <w:color w:val="auto"/>
          <w:sz w:val="24"/>
          <w:szCs w:val="24"/>
          <w:highlight w:val="none"/>
          <w:lang w:val="en-US" w:eastAsia="zh-CN"/>
        </w:rPr>
        <w:sectPr>
          <w:pgSz w:w="11906" w:h="16838"/>
          <w:pgMar w:top="1440" w:right="1531" w:bottom="1440" w:left="1531"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1CBCF82E">
      <w:pPr>
        <w:pStyle w:val="18"/>
        <w:jc w:val="both"/>
        <w:outlineLvl w:val="0"/>
        <w:rPr>
          <w:rFonts w:hint="eastAsia" w:cs="宋体"/>
          <w:b/>
          <w:bCs/>
          <w:snapToGrid w:val="0"/>
          <w:color w:val="auto"/>
          <w:sz w:val="24"/>
          <w:szCs w:val="24"/>
          <w:highlight w:val="none"/>
          <w:lang w:val="en-US" w:eastAsia="zh-CN"/>
        </w:rPr>
      </w:pPr>
      <w:bookmarkStart w:id="70" w:name="_Toc15007"/>
      <w:r>
        <w:rPr>
          <w:rFonts w:hint="eastAsia" w:ascii="宋体" w:hAnsi="宋体" w:eastAsia="宋体" w:cs="宋体"/>
          <w:b/>
          <w:bCs/>
          <w:snapToGrid w:val="0"/>
          <w:color w:val="auto"/>
          <w:sz w:val="24"/>
          <w:szCs w:val="24"/>
          <w:highlight w:val="none"/>
          <w:lang w:val="en-US" w:eastAsia="zh-CN"/>
        </w:rPr>
        <w:t>附件1</w:t>
      </w:r>
      <w:r>
        <w:rPr>
          <w:rFonts w:hint="eastAsia" w:cs="宋体"/>
          <w:b/>
          <w:bCs/>
          <w:snapToGrid w:val="0"/>
          <w:color w:val="auto"/>
          <w:sz w:val="24"/>
          <w:szCs w:val="24"/>
          <w:highlight w:val="none"/>
          <w:lang w:val="en-US" w:eastAsia="zh-CN"/>
        </w:rPr>
        <w:t>1 项目总量文件</w:t>
      </w:r>
    </w:p>
    <w:p w14:paraId="5ACC4402">
      <w:pPr>
        <w:bidi w:val="0"/>
        <w:jc w:val="center"/>
        <w:rPr>
          <w:rFonts w:hint="default"/>
          <w:lang w:val="en-US" w:eastAsia="zh-CN"/>
        </w:rPr>
      </w:pPr>
      <w:r>
        <w:rPr>
          <w:rFonts w:hint="eastAsia"/>
          <w:lang w:val="en-US" w:eastAsia="zh-CN"/>
        </w:rPr>
        <w:drawing>
          <wp:inline distT="0" distB="0" distL="114300" distR="114300">
            <wp:extent cx="5207635" cy="8337550"/>
            <wp:effectExtent l="0" t="0" r="4445" b="13970"/>
            <wp:docPr id="301" name="图片 301" descr="b6865587149ced0e2c9fc6c81540f0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图片 301" descr="b6865587149ced0e2c9fc6c81540f0de"/>
                    <pic:cNvPicPr>
                      <a:picLocks noChangeAspect="1"/>
                    </pic:cNvPicPr>
                  </pic:nvPicPr>
                  <pic:blipFill>
                    <a:blip r:embed="rId128"/>
                    <a:stretch>
                      <a:fillRect/>
                    </a:stretch>
                  </pic:blipFill>
                  <pic:spPr>
                    <a:xfrm>
                      <a:off x="0" y="0"/>
                      <a:ext cx="5207635" cy="8337550"/>
                    </a:xfrm>
                    <a:prstGeom prst="rect">
                      <a:avLst/>
                    </a:prstGeom>
                  </pic:spPr>
                </pic:pic>
              </a:graphicData>
            </a:graphic>
          </wp:inline>
        </w:drawing>
      </w:r>
    </w:p>
    <w:p w14:paraId="3909E18E">
      <w:pPr>
        <w:pStyle w:val="18"/>
        <w:jc w:val="center"/>
        <w:outlineLvl w:val="0"/>
        <w:rPr>
          <w:rFonts w:hint="eastAsia" w:ascii="宋体" w:hAnsi="宋体" w:eastAsia="宋体" w:cs="宋体"/>
          <w:b/>
          <w:bCs/>
          <w:snapToGrid w:val="0"/>
          <w:color w:val="auto"/>
          <w:sz w:val="24"/>
          <w:szCs w:val="24"/>
          <w:highlight w:val="none"/>
          <w:lang w:val="en-US" w:eastAsia="zh-CN"/>
        </w:rPr>
        <w:sectPr>
          <w:pgSz w:w="11906" w:h="16838"/>
          <w:pgMar w:top="1440" w:right="1531" w:bottom="1440" w:left="1531" w:header="851" w:footer="992" w:gutter="0"/>
          <w:pgBorders>
            <w:top w:val="none" w:sz="0" w:space="0"/>
            <w:left w:val="none" w:sz="0" w:space="0"/>
            <w:bottom w:val="none" w:sz="0" w:space="0"/>
            <w:right w:val="none" w:sz="0" w:space="0"/>
          </w:pgBorders>
          <w:pgNumType w:fmt="decimal"/>
          <w:cols w:space="425" w:num="1"/>
          <w:docGrid w:type="lines" w:linePitch="312" w:charSpace="0"/>
        </w:sectPr>
      </w:pPr>
      <w:r>
        <w:rPr>
          <w:rFonts w:hint="eastAsia" w:ascii="宋体" w:hAnsi="宋体" w:eastAsia="宋体" w:cs="宋体"/>
          <w:b/>
          <w:bCs/>
          <w:snapToGrid w:val="0"/>
          <w:color w:val="auto"/>
          <w:sz w:val="24"/>
          <w:szCs w:val="24"/>
          <w:highlight w:val="none"/>
          <w:lang w:val="en-US" w:eastAsia="zh-CN"/>
        </w:rPr>
        <w:drawing>
          <wp:inline distT="0" distB="0" distL="114300" distR="114300">
            <wp:extent cx="5613400" cy="8642350"/>
            <wp:effectExtent l="0" t="0" r="10160" b="13970"/>
            <wp:docPr id="343" name="图片 343" descr="b1b72edb534a332cd74fdb90657c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图片 343" descr="b1b72edb534a332cd74fdb90657c2096"/>
                    <pic:cNvPicPr>
                      <a:picLocks noChangeAspect="1"/>
                    </pic:cNvPicPr>
                  </pic:nvPicPr>
                  <pic:blipFill>
                    <a:blip r:embed="rId129"/>
                    <a:stretch>
                      <a:fillRect/>
                    </a:stretch>
                  </pic:blipFill>
                  <pic:spPr>
                    <a:xfrm>
                      <a:off x="0" y="0"/>
                      <a:ext cx="5613400" cy="8642350"/>
                    </a:xfrm>
                    <a:prstGeom prst="rect">
                      <a:avLst/>
                    </a:prstGeom>
                  </pic:spPr>
                </pic:pic>
              </a:graphicData>
            </a:graphic>
          </wp:inline>
        </w:drawing>
      </w:r>
    </w:p>
    <w:p w14:paraId="3F1987FB">
      <w:pPr>
        <w:pStyle w:val="18"/>
        <w:jc w:val="both"/>
        <w:outlineLvl w:val="0"/>
        <w:rPr>
          <w:rFonts w:hint="eastAsia" w:cs="宋体"/>
          <w:b/>
          <w:bCs/>
          <w:snapToGrid w:val="0"/>
          <w:color w:val="auto"/>
          <w:sz w:val="24"/>
          <w:szCs w:val="24"/>
          <w:highlight w:val="none"/>
          <w:lang w:val="en-US" w:eastAsia="zh-CN"/>
        </w:rPr>
      </w:pPr>
      <w:r>
        <w:rPr>
          <w:rFonts w:hint="eastAsia" w:ascii="宋体" w:hAnsi="宋体" w:eastAsia="宋体" w:cs="宋体"/>
          <w:b/>
          <w:bCs/>
          <w:snapToGrid w:val="0"/>
          <w:color w:val="auto"/>
          <w:sz w:val="24"/>
          <w:szCs w:val="24"/>
          <w:highlight w:val="none"/>
          <w:lang w:val="en-US" w:eastAsia="zh-CN"/>
        </w:rPr>
        <w:t>附件</w:t>
      </w:r>
      <w:r>
        <w:rPr>
          <w:rFonts w:hint="eastAsia" w:ascii="Times New Roman" w:hAnsi="Times New Roman" w:cs="Times New Roman"/>
          <w:b/>
          <w:bCs/>
          <w:snapToGrid w:val="0"/>
          <w:color w:val="auto"/>
          <w:sz w:val="24"/>
          <w:szCs w:val="24"/>
          <w:highlight w:val="none"/>
          <w:lang w:val="en-US" w:eastAsia="zh-CN"/>
        </w:rPr>
        <w:t>12</w:t>
      </w:r>
      <w:r>
        <w:rPr>
          <w:rFonts w:hint="eastAsia" w:ascii="宋体" w:hAnsi="宋体" w:eastAsia="宋体" w:cs="宋体"/>
          <w:b/>
          <w:bCs/>
          <w:snapToGrid w:val="0"/>
          <w:color w:val="auto"/>
          <w:sz w:val="24"/>
          <w:szCs w:val="24"/>
          <w:highlight w:val="none"/>
          <w:lang w:val="en-US" w:eastAsia="zh-CN"/>
        </w:rPr>
        <w:t xml:space="preserve"> </w:t>
      </w:r>
      <w:r>
        <w:rPr>
          <w:rFonts w:hint="eastAsia" w:cs="宋体"/>
          <w:b/>
          <w:bCs/>
          <w:snapToGrid w:val="0"/>
          <w:color w:val="auto"/>
          <w:sz w:val="24"/>
          <w:szCs w:val="24"/>
          <w:highlight w:val="none"/>
          <w:lang w:val="en-US" w:eastAsia="zh-CN"/>
        </w:rPr>
        <w:t>专家意见</w:t>
      </w:r>
      <w:bookmarkEnd w:id="70"/>
    </w:p>
    <w:p w14:paraId="6079196A">
      <w:pPr>
        <w:bidi w:val="0"/>
        <w:jc w:val="center"/>
        <w:rPr>
          <w:rFonts w:hint="eastAsia"/>
          <w:color w:val="auto"/>
          <w:lang w:val="en-US" w:eastAsia="zh-CN"/>
        </w:rPr>
      </w:pPr>
      <w:r>
        <w:rPr>
          <w:color w:val="auto"/>
        </w:rPr>
        <w:drawing>
          <wp:inline distT="0" distB="0" distL="114300" distR="114300">
            <wp:extent cx="5615305" cy="7056120"/>
            <wp:effectExtent l="0" t="0" r="8255" b="0"/>
            <wp:docPr id="22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6"/>
                    <pic:cNvPicPr>
                      <a:picLocks noChangeAspect="1"/>
                    </pic:cNvPicPr>
                  </pic:nvPicPr>
                  <pic:blipFill>
                    <a:blip r:embed="rId130"/>
                    <a:stretch>
                      <a:fillRect/>
                    </a:stretch>
                  </pic:blipFill>
                  <pic:spPr>
                    <a:xfrm>
                      <a:off x="0" y="0"/>
                      <a:ext cx="5615305" cy="7056120"/>
                    </a:xfrm>
                    <a:prstGeom prst="rect">
                      <a:avLst/>
                    </a:prstGeom>
                    <a:noFill/>
                    <a:ln>
                      <a:noFill/>
                    </a:ln>
                  </pic:spPr>
                </pic:pic>
              </a:graphicData>
            </a:graphic>
          </wp:inline>
        </w:drawing>
      </w:r>
      <w:r>
        <w:rPr>
          <w:color w:val="auto"/>
        </w:rPr>
        <w:drawing>
          <wp:inline distT="0" distB="0" distL="114300" distR="114300">
            <wp:extent cx="5501005" cy="8241030"/>
            <wp:effectExtent l="0" t="0" r="635" b="3810"/>
            <wp:docPr id="26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8"/>
                    <pic:cNvPicPr>
                      <a:picLocks noChangeAspect="1"/>
                    </pic:cNvPicPr>
                  </pic:nvPicPr>
                  <pic:blipFill>
                    <a:blip r:embed="rId131"/>
                    <a:stretch>
                      <a:fillRect/>
                    </a:stretch>
                  </pic:blipFill>
                  <pic:spPr>
                    <a:xfrm>
                      <a:off x="0" y="0"/>
                      <a:ext cx="5501005" cy="8241030"/>
                    </a:xfrm>
                    <a:prstGeom prst="rect">
                      <a:avLst/>
                    </a:prstGeom>
                    <a:noFill/>
                    <a:ln>
                      <a:noFill/>
                    </a:ln>
                  </pic:spPr>
                </pic:pic>
              </a:graphicData>
            </a:graphic>
          </wp:inline>
        </w:drawing>
      </w:r>
    </w:p>
    <w:p w14:paraId="6A600058">
      <w:pPr>
        <w:pStyle w:val="18"/>
        <w:jc w:val="center"/>
        <w:outlineLvl w:val="0"/>
        <w:rPr>
          <w:rFonts w:hint="eastAsia" w:eastAsia="宋体" w:cs="宋体"/>
          <w:b/>
          <w:bCs/>
          <w:snapToGrid w:val="0"/>
          <w:color w:val="auto"/>
          <w:sz w:val="24"/>
          <w:szCs w:val="24"/>
          <w:highlight w:val="none"/>
          <w:lang w:val="en-US" w:eastAsia="zh-CN"/>
        </w:rPr>
        <w:sectPr>
          <w:pgSz w:w="11906" w:h="16838"/>
          <w:pgMar w:top="1440" w:right="1531" w:bottom="1440" w:left="1531" w:header="851" w:footer="992" w:gutter="0"/>
          <w:pgBorders>
            <w:top w:val="none" w:sz="0" w:space="0"/>
            <w:left w:val="none" w:sz="0" w:space="0"/>
            <w:bottom w:val="none" w:sz="0" w:space="0"/>
            <w:right w:val="none" w:sz="0" w:space="0"/>
          </w:pgBorders>
          <w:pgNumType w:fmt="decimal"/>
          <w:cols w:space="425" w:num="1"/>
          <w:docGrid w:type="lines" w:linePitch="312" w:charSpace="0"/>
        </w:sectPr>
      </w:pPr>
      <w:bookmarkStart w:id="71" w:name="_Toc24456"/>
      <w:r>
        <w:rPr>
          <w:rFonts w:hint="eastAsia" w:eastAsia="宋体" w:cs="宋体"/>
          <w:b/>
          <w:bCs/>
          <w:snapToGrid w:val="0"/>
          <w:color w:val="auto"/>
          <w:sz w:val="24"/>
          <w:szCs w:val="24"/>
          <w:highlight w:val="none"/>
          <w:lang w:val="en-US" w:eastAsia="zh-CN"/>
        </w:rPr>
        <w:drawing>
          <wp:inline distT="0" distB="0" distL="114300" distR="114300">
            <wp:extent cx="5614670" cy="7526655"/>
            <wp:effectExtent l="0" t="0" r="8890" b="1905"/>
            <wp:docPr id="265" name="图片 265" descr="5185cb36-f99c-461d-a0b0-812f1daaa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265" descr="5185cb36-f99c-461d-a0b0-812f1daaa339"/>
                    <pic:cNvPicPr>
                      <a:picLocks noChangeAspect="1"/>
                    </pic:cNvPicPr>
                  </pic:nvPicPr>
                  <pic:blipFill>
                    <a:blip r:embed="rId132"/>
                    <a:stretch>
                      <a:fillRect/>
                    </a:stretch>
                  </pic:blipFill>
                  <pic:spPr>
                    <a:xfrm>
                      <a:off x="0" y="0"/>
                      <a:ext cx="5614670" cy="7526655"/>
                    </a:xfrm>
                    <a:prstGeom prst="rect">
                      <a:avLst/>
                    </a:prstGeom>
                  </pic:spPr>
                </pic:pic>
              </a:graphicData>
            </a:graphic>
          </wp:inline>
        </w:drawing>
      </w:r>
      <w:r>
        <w:rPr>
          <w:rFonts w:hint="eastAsia" w:eastAsia="宋体" w:cs="宋体"/>
          <w:b/>
          <w:bCs/>
          <w:snapToGrid w:val="0"/>
          <w:color w:val="auto"/>
          <w:sz w:val="24"/>
          <w:szCs w:val="24"/>
          <w:highlight w:val="none"/>
          <w:lang w:val="en-US" w:eastAsia="zh-CN"/>
        </w:rPr>
        <w:drawing>
          <wp:inline distT="0" distB="0" distL="114300" distR="114300">
            <wp:extent cx="5612765" cy="6854825"/>
            <wp:effectExtent l="0" t="0" r="10795" b="3175"/>
            <wp:docPr id="264" name="图片 264" descr="6778ac24-2e29-442d-8dd0-814fb6d69b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264" descr="6778ac24-2e29-442d-8dd0-814fb6d69bbd"/>
                    <pic:cNvPicPr>
                      <a:picLocks noChangeAspect="1"/>
                    </pic:cNvPicPr>
                  </pic:nvPicPr>
                  <pic:blipFill>
                    <a:blip r:embed="rId133"/>
                    <a:stretch>
                      <a:fillRect/>
                    </a:stretch>
                  </pic:blipFill>
                  <pic:spPr>
                    <a:xfrm>
                      <a:off x="0" y="0"/>
                      <a:ext cx="5612765" cy="6854825"/>
                    </a:xfrm>
                    <a:prstGeom prst="rect">
                      <a:avLst/>
                    </a:prstGeom>
                  </pic:spPr>
                </pic:pic>
              </a:graphicData>
            </a:graphic>
          </wp:inline>
        </w:drawing>
      </w:r>
      <w:r>
        <w:rPr>
          <w:color w:val="auto"/>
        </w:rPr>
        <w:drawing>
          <wp:inline distT="0" distB="0" distL="114300" distR="114300">
            <wp:extent cx="5558155" cy="8324850"/>
            <wp:effectExtent l="0" t="0" r="4445" b="11430"/>
            <wp:docPr id="26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6"/>
                    <pic:cNvPicPr>
                      <a:picLocks noChangeAspect="1"/>
                    </pic:cNvPicPr>
                  </pic:nvPicPr>
                  <pic:blipFill>
                    <a:blip r:embed="rId134"/>
                    <a:stretch>
                      <a:fillRect/>
                    </a:stretch>
                  </pic:blipFill>
                  <pic:spPr>
                    <a:xfrm>
                      <a:off x="0" y="0"/>
                      <a:ext cx="5558155" cy="8324850"/>
                    </a:xfrm>
                    <a:prstGeom prst="rect">
                      <a:avLst/>
                    </a:prstGeom>
                    <a:noFill/>
                    <a:ln>
                      <a:noFill/>
                    </a:ln>
                  </pic:spPr>
                </pic:pic>
              </a:graphicData>
            </a:graphic>
          </wp:inline>
        </w:drawing>
      </w:r>
      <w:r>
        <w:rPr>
          <w:rFonts w:hint="eastAsia" w:eastAsia="宋体" w:cs="宋体"/>
          <w:b/>
          <w:bCs/>
          <w:snapToGrid w:val="0"/>
          <w:color w:val="auto"/>
          <w:sz w:val="24"/>
          <w:szCs w:val="24"/>
          <w:highlight w:val="none"/>
          <w:lang w:val="en-US" w:eastAsia="zh-CN"/>
        </w:rPr>
        <w:drawing>
          <wp:inline distT="0" distB="0" distL="114300" distR="114300">
            <wp:extent cx="5497195" cy="8000365"/>
            <wp:effectExtent l="0" t="0" r="4445" b="635"/>
            <wp:docPr id="262" name="图片 262" descr="9a03e1e9-cad3-43fe-b36b-2f744870bb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262" descr="9a03e1e9-cad3-43fe-b36b-2f744870bb0e"/>
                    <pic:cNvPicPr>
                      <a:picLocks noChangeAspect="1"/>
                    </pic:cNvPicPr>
                  </pic:nvPicPr>
                  <pic:blipFill>
                    <a:blip r:embed="rId135"/>
                    <a:stretch>
                      <a:fillRect/>
                    </a:stretch>
                  </pic:blipFill>
                  <pic:spPr>
                    <a:xfrm>
                      <a:off x="0" y="0"/>
                      <a:ext cx="5497195" cy="8000365"/>
                    </a:xfrm>
                    <a:prstGeom prst="rect">
                      <a:avLst/>
                    </a:prstGeom>
                  </pic:spPr>
                </pic:pic>
              </a:graphicData>
            </a:graphic>
          </wp:inline>
        </w:drawing>
      </w:r>
      <w:bookmarkEnd w:id="71"/>
    </w:p>
    <w:p w14:paraId="566F7B96">
      <w:pPr>
        <w:pStyle w:val="18"/>
        <w:jc w:val="both"/>
        <w:outlineLvl w:val="0"/>
        <w:rPr>
          <w:rFonts w:hint="default" w:ascii="宋体" w:hAnsi="宋体" w:eastAsia="宋体" w:cs="宋体"/>
          <w:b/>
          <w:bCs/>
          <w:snapToGrid w:val="0"/>
          <w:color w:val="auto"/>
          <w:sz w:val="24"/>
          <w:szCs w:val="24"/>
          <w:highlight w:val="none"/>
          <w:lang w:val="en-US" w:eastAsia="zh-CN"/>
        </w:rPr>
      </w:pPr>
      <w:bookmarkStart w:id="72" w:name="_Toc13712"/>
      <w:r>
        <w:rPr>
          <w:rFonts w:hint="eastAsia" w:ascii="宋体" w:hAnsi="宋体" w:eastAsia="宋体" w:cs="宋体"/>
          <w:b/>
          <w:bCs/>
          <w:snapToGrid w:val="0"/>
          <w:color w:val="auto"/>
          <w:sz w:val="24"/>
          <w:szCs w:val="24"/>
          <w:highlight w:val="none"/>
          <w:lang w:val="en-US" w:eastAsia="zh-CN"/>
        </w:rPr>
        <w:t>附件</w:t>
      </w:r>
      <w:r>
        <w:rPr>
          <w:rFonts w:hint="eastAsia" w:ascii="Times New Roman" w:hAnsi="Times New Roman" w:cs="Times New Roman"/>
          <w:b/>
          <w:bCs/>
          <w:snapToGrid w:val="0"/>
          <w:color w:val="auto"/>
          <w:sz w:val="24"/>
          <w:szCs w:val="24"/>
          <w:highlight w:val="none"/>
          <w:lang w:val="en-US" w:eastAsia="zh-CN"/>
        </w:rPr>
        <w:t>13</w:t>
      </w:r>
      <w:r>
        <w:rPr>
          <w:rFonts w:hint="eastAsia" w:ascii="宋体" w:hAnsi="宋体" w:eastAsia="宋体" w:cs="宋体"/>
          <w:b/>
          <w:bCs/>
          <w:snapToGrid w:val="0"/>
          <w:color w:val="auto"/>
          <w:sz w:val="24"/>
          <w:szCs w:val="24"/>
          <w:highlight w:val="none"/>
          <w:lang w:val="en-US" w:eastAsia="zh-CN"/>
        </w:rPr>
        <w:t xml:space="preserve"> </w:t>
      </w:r>
      <w:r>
        <w:rPr>
          <w:rFonts w:hint="eastAsia" w:cs="宋体"/>
          <w:b/>
          <w:bCs/>
          <w:snapToGrid w:val="0"/>
          <w:color w:val="auto"/>
          <w:sz w:val="24"/>
          <w:szCs w:val="24"/>
          <w:highlight w:val="none"/>
          <w:lang w:val="en-US" w:eastAsia="zh-CN"/>
        </w:rPr>
        <w:t>专家意见修改清单</w:t>
      </w:r>
      <w:bookmarkEnd w:id="72"/>
    </w:p>
    <w:p w14:paraId="68672DD8">
      <w:pPr>
        <w:jc w:val="center"/>
        <w:rPr>
          <w:rFonts w:hint="eastAsia"/>
          <w:color w:val="auto"/>
          <w:sz w:val="28"/>
          <w:szCs w:val="28"/>
        </w:rPr>
      </w:pPr>
      <w:r>
        <w:rPr>
          <w:rFonts w:hint="eastAsia" w:ascii="Times New Roman" w:hAnsi="Times New Roman"/>
          <w:color w:val="auto"/>
          <w:sz w:val="28"/>
          <w:szCs w:val="28"/>
          <w:lang w:val="en-US" w:eastAsia="zh-CN"/>
        </w:rPr>
        <w:t>专家意见</w:t>
      </w:r>
      <w:r>
        <w:rPr>
          <w:rFonts w:ascii="Times New Roman" w:hAnsi="Times New Roman"/>
          <w:color w:val="auto"/>
          <w:sz w:val="28"/>
          <w:szCs w:val="28"/>
        </w:rPr>
        <w:t>修改说明</w:t>
      </w:r>
    </w:p>
    <w:tbl>
      <w:tblPr>
        <w:tblStyle w:val="26"/>
        <w:tblW w:w="861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0"/>
        <w:gridCol w:w="4182"/>
        <w:gridCol w:w="3716"/>
      </w:tblGrid>
      <w:tr w14:paraId="6B3CAE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0" w:type="dxa"/>
            <w:noWrap w:val="0"/>
            <w:vAlign w:val="center"/>
          </w:tcPr>
          <w:p w14:paraId="7D7D7675">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序号</w:t>
            </w:r>
          </w:p>
        </w:tc>
        <w:tc>
          <w:tcPr>
            <w:tcW w:w="4182" w:type="dxa"/>
            <w:noWrap w:val="0"/>
            <w:vAlign w:val="center"/>
          </w:tcPr>
          <w:p w14:paraId="6433CF2A">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意见</w:t>
            </w:r>
          </w:p>
        </w:tc>
        <w:tc>
          <w:tcPr>
            <w:tcW w:w="3716" w:type="dxa"/>
            <w:noWrap w:val="0"/>
            <w:vAlign w:val="center"/>
          </w:tcPr>
          <w:p w14:paraId="7F405F7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说明</w:t>
            </w:r>
          </w:p>
        </w:tc>
      </w:tr>
      <w:tr w14:paraId="2D074F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18" w:type="dxa"/>
            <w:gridSpan w:val="3"/>
            <w:noWrap w:val="0"/>
            <w:vAlign w:val="center"/>
          </w:tcPr>
          <w:p w14:paraId="34EA7A4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黄精明</w:t>
            </w:r>
          </w:p>
        </w:tc>
      </w:tr>
      <w:tr w14:paraId="160414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0" w:type="dxa"/>
            <w:noWrap w:val="0"/>
            <w:vAlign w:val="center"/>
          </w:tcPr>
          <w:p w14:paraId="420D9E4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w:t>
            </w:r>
          </w:p>
        </w:tc>
        <w:tc>
          <w:tcPr>
            <w:tcW w:w="4182" w:type="dxa"/>
            <w:noWrap w:val="0"/>
            <w:vAlign w:val="center"/>
          </w:tcPr>
          <w:p w14:paraId="4FBD2F8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eastAsia" w:cs="Times New Roman"/>
                <w:color w:val="auto"/>
                <w:sz w:val="21"/>
                <w:szCs w:val="21"/>
                <w:lang w:val="en-US" w:eastAsia="zh-CN"/>
              </w:rPr>
            </w:pPr>
            <w:r>
              <w:rPr>
                <w:rFonts w:hint="eastAsia" w:cs="Times New Roman"/>
                <w:color w:val="auto"/>
                <w:sz w:val="21"/>
                <w:szCs w:val="21"/>
                <w:lang w:val="en-US" w:eastAsia="zh-CN"/>
              </w:rPr>
              <w:t>项目位于江西省景德镇市乐平市金山工业园机械电子产业区，说明机械电子产业区的产业布局要求和发展规划，进一步分析规划（环评）相符性和论证项目选址可行性；补充项目与《中共中央、国务院关于深入打好污染防治攻坚战的意见》《空气质量持续改善行动计划（国发〔2023〕24号）》《江西省空气质量持续改善行动计划实施方案（赣府发〔2024〕20号）》《江西省鄱阳湖流域总磷污染防治条例》《江西省加强塑料污染治理的实施方案（赣发改环资〔2020〕559号）》及生态环境分区管控【更换“三线一单”的描述】等的相符性分析。</w:t>
            </w:r>
          </w:p>
        </w:tc>
        <w:tc>
          <w:tcPr>
            <w:tcW w:w="3716" w:type="dxa"/>
            <w:noWrap w:val="0"/>
            <w:vAlign w:val="center"/>
          </w:tcPr>
          <w:p w14:paraId="51CADB8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cs="Times New Roman"/>
                <w:color w:val="auto"/>
                <w:sz w:val="21"/>
                <w:szCs w:val="21"/>
                <w:lang w:val="en-US" w:eastAsia="zh-CN"/>
              </w:rPr>
            </w:pPr>
            <w:r>
              <w:rPr>
                <w:rFonts w:hint="eastAsia" w:cs="Times New Roman"/>
                <w:color w:val="auto"/>
                <w:sz w:val="21"/>
                <w:szCs w:val="21"/>
                <w:lang w:val="en-US" w:eastAsia="zh-CN"/>
              </w:rPr>
              <w:t>项目位于江西省景德镇市乐平市金山工业园机械电子产业区，已补充说明机械电子产业区的产业布局要求和发展规划，进一步分析了规划（环评）相符性和论证项目选址可行性，详见P3；已补充项目与《中共中央、国务院关于深入打好污染防治攻坚战的意见》相符性分析，详见P17-19表1-9；已补充项目与《空气质量持续改善行动计划（国发〔2023〕24号）》相符性分析，详见P19-20表1-10；已补充项目与《江西省空气质量持续改善行动计划实施方案（赣府发〔2024〕20号）》相符性分析，详见P20-21表1-11；已补充项目与《江西省鄱阳湖流域总磷污染防治条例》相符性分析，详见P22-23表1-12；已补充项目与《江西省加强塑料污染治理的实施方案（赣发改环资〔2020〕559号）》相符性分析，详见P23-24表1-13；已补充生态环境分区管控相符性分析，详见P7-11表1-4，已修改“三线一单”的描述，详见P7、17。</w:t>
            </w:r>
          </w:p>
        </w:tc>
      </w:tr>
      <w:tr w14:paraId="2503B6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0" w:type="dxa"/>
            <w:noWrap w:val="0"/>
            <w:vAlign w:val="center"/>
          </w:tcPr>
          <w:p w14:paraId="73955DA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w:t>
            </w:r>
          </w:p>
        </w:tc>
        <w:tc>
          <w:tcPr>
            <w:tcW w:w="4182" w:type="dxa"/>
            <w:noWrap w:val="0"/>
            <w:vAlign w:val="center"/>
          </w:tcPr>
          <w:p w14:paraId="766F23D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left"/>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完善项目建设内容，细化注塑区、丝网印花区等区域的区间尺寸；补充产品质量标准、规格（如尺寸等）和包装方式；说明主要生产设备单台产能和各工段工作时间，补充主要设备匹配性分析；说明HCl产生过程和产生量依据和各产品的不合格品率、废边角料产生比例，根据产生的废边角料、不合格品量，核实各原辅材料的用量、物料和挥发性有机物平衡，补充HCl平衡；补充水平衡表；本项目</w:t>
            </w:r>
            <w:r>
              <w:rPr>
                <w:rFonts w:hint="eastAsia" w:cs="Times New Roman"/>
                <w:color w:val="auto"/>
                <w:sz w:val="21"/>
                <w:szCs w:val="21"/>
                <w:lang w:val="en-US" w:eastAsia="zh-CN"/>
              </w:rPr>
              <w:t>租赁</w:t>
            </w:r>
            <w:r>
              <w:rPr>
                <w:rFonts w:hint="eastAsia" w:ascii="Times New Roman" w:hAnsi="Times New Roman" w:eastAsia="宋体" w:cs="Times New Roman"/>
                <w:color w:val="auto"/>
                <w:sz w:val="21"/>
                <w:szCs w:val="21"/>
                <w:lang w:val="en-US" w:eastAsia="zh-CN"/>
              </w:rPr>
              <w:t>租用乐平绿创物流有限公司现有1栋空置厂房，补充乐平绿创物流有限公司环保“三同时”内容及排污许可证申领情况，明确环保责任的主体。</w:t>
            </w:r>
          </w:p>
        </w:tc>
        <w:tc>
          <w:tcPr>
            <w:tcW w:w="3716" w:type="dxa"/>
            <w:noWrap w:val="0"/>
            <w:vAlign w:val="center"/>
          </w:tcPr>
          <w:p w14:paraId="3858733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已</w:t>
            </w:r>
            <w:r>
              <w:rPr>
                <w:rFonts w:hint="eastAsia" w:ascii="Times New Roman" w:hAnsi="Times New Roman" w:eastAsia="宋体" w:cs="Times New Roman"/>
                <w:color w:val="auto"/>
                <w:sz w:val="21"/>
                <w:szCs w:val="21"/>
                <w:lang w:val="en-US" w:eastAsia="zh-CN"/>
              </w:rPr>
              <w:t>完善项目建设内容，</w:t>
            </w:r>
            <w:r>
              <w:rPr>
                <w:rFonts w:hint="eastAsia" w:cs="Times New Roman"/>
                <w:color w:val="auto"/>
                <w:sz w:val="21"/>
                <w:szCs w:val="21"/>
                <w:lang w:val="en-US" w:eastAsia="zh-CN"/>
              </w:rPr>
              <w:t>已</w:t>
            </w:r>
            <w:r>
              <w:rPr>
                <w:rFonts w:hint="eastAsia" w:ascii="Times New Roman" w:hAnsi="Times New Roman" w:eastAsia="宋体" w:cs="Times New Roman"/>
                <w:color w:val="auto"/>
                <w:sz w:val="21"/>
                <w:szCs w:val="21"/>
                <w:lang w:val="en-US" w:eastAsia="zh-CN"/>
              </w:rPr>
              <w:t>细化注塑区、丝网印花区等区域的区间尺寸</w:t>
            </w:r>
            <w:r>
              <w:rPr>
                <w:rFonts w:hint="eastAsia" w:cs="Times New Roman"/>
                <w:color w:val="auto"/>
                <w:sz w:val="21"/>
                <w:szCs w:val="21"/>
                <w:lang w:val="en-US" w:eastAsia="zh-CN"/>
              </w:rPr>
              <w:t>，详见P33表2-1</w:t>
            </w:r>
            <w:r>
              <w:rPr>
                <w:rFonts w:hint="eastAsia" w:ascii="Times New Roman" w:hAnsi="Times New Roman" w:eastAsia="宋体" w:cs="Times New Roman"/>
                <w:color w:val="auto"/>
                <w:sz w:val="21"/>
                <w:szCs w:val="21"/>
                <w:lang w:val="en-US" w:eastAsia="zh-CN"/>
              </w:rPr>
              <w:t>；</w:t>
            </w:r>
            <w:r>
              <w:rPr>
                <w:rFonts w:hint="eastAsia" w:cs="Times New Roman"/>
                <w:color w:val="auto"/>
                <w:sz w:val="21"/>
                <w:szCs w:val="21"/>
                <w:lang w:val="en-US" w:eastAsia="zh-CN"/>
              </w:rPr>
              <w:t>已</w:t>
            </w:r>
            <w:r>
              <w:rPr>
                <w:rFonts w:hint="eastAsia" w:ascii="Times New Roman" w:hAnsi="Times New Roman" w:eastAsia="宋体" w:cs="Times New Roman"/>
                <w:color w:val="auto"/>
                <w:sz w:val="21"/>
                <w:szCs w:val="21"/>
                <w:lang w:val="en-US" w:eastAsia="zh-CN"/>
              </w:rPr>
              <w:t>补充产品质量标准、规格（如尺寸等）和包装方式</w:t>
            </w:r>
            <w:r>
              <w:rPr>
                <w:rFonts w:hint="eastAsia" w:cs="Times New Roman"/>
                <w:color w:val="auto"/>
                <w:sz w:val="21"/>
                <w:szCs w:val="21"/>
                <w:lang w:val="en-US" w:eastAsia="zh-CN"/>
              </w:rPr>
              <w:t>，详见P35</w:t>
            </w:r>
            <w:r>
              <w:rPr>
                <w:rFonts w:hint="eastAsia" w:ascii="Times New Roman" w:hAnsi="Times New Roman" w:eastAsia="宋体" w:cs="Times New Roman"/>
                <w:color w:val="auto"/>
                <w:sz w:val="21"/>
                <w:szCs w:val="21"/>
                <w:lang w:val="en-US" w:eastAsia="zh-CN"/>
              </w:rPr>
              <w:t>；</w:t>
            </w:r>
            <w:r>
              <w:rPr>
                <w:rFonts w:hint="eastAsia" w:cs="Times New Roman"/>
                <w:color w:val="auto"/>
                <w:sz w:val="21"/>
                <w:szCs w:val="21"/>
                <w:lang w:val="en-US" w:eastAsia="zh-CN"/>
              </w:rPr>
              <w:t>已补充</w:t>
            </w:r>
            <w:r>
              <w:rPr>
                <w:rFonts w:hint="eastAsia" w:ascii="Times New Roman" w:hAnsi="Times New Roman" w:eastAsia="宋体" w:cs="Times New Roman"/>
                <w:color w:val="auto"/>
                <w:sz w:val="21"/>
                <w:szCs w:val="21"/>
                <w:lang w:val="en-US" w:eastAsia="zh-CN"/>
              </w:rPr>
              <w:t>说明主要生产设备单台产能和各工段工作时间，</w:t>
            </w:r>
            <w:r>
              <w:rPr>
                <w:rFonts w:hint="eastAsia" w:cs="Times New Roman"/>
                <w:color w:val="auto"/>
                <w:sz w:val="21"/>
                <w:szCs w:val="21"/>
                <w:lang w:val="en-US" w:eastAsia="zh-CN"/>
              </w:rPr>
              <w:t>已</w:t>
            </w:r>
            <w:r>
              <w:rPr>
                <w:rFonts w:hint="eastAsia" w:ascii="Times New Roman" w:hAnsi="Times New Roman" w:eastAsia="宋体" w:cs="Times New Roman"/>
                <w:color w:val="auto"/>
                <w:sz w:val="21"/>
                <w:szCs w:val="21"/>
                <w:lang w:val="en-US" w:eastAsia="zh-CN"/>
              </w:rPr>
              <w:t>补充主要设备匹配性分析</w:t>
            </w:r>
            <w:r>
              <w:rPr>
                <w:rFonts w:hint="eastAsia" w:cs="Times New Roman"/>
                <w:color w:val="auto"/>
                <w:sz w:val="21"/>
                <w:szCs w:val="21"/>
                <w:lang w:val="en-US" w:eastAsia="zh-CN"/>
              </w:rPr>
              <w:t>，详见P36-37表2-4及P45；已补充</w:t>
            </w:r>
            <w:r>
              <w:rPr>
                <w:rFonts w:hint="eastAsia" w:ascii="Times New Roman" w:hAnsi="Times New Roman" w:eastAsia="宋体" w:cs="Times New Roman"/>
                <w:color w:val="auto"/>
                <w:sz w:val="21"/>
                <w:szCs w:val="21"/>
                <w:lang w:val="en-US" w:eastAsia="zh-CN"/>
              </w:rPr>
              <w:t>说明HCl产生过程和产生量依据</w:t>
            </w:r>
            <w:r>
              <w:rPr>
                <w:rFonts w:hint="eastAsia" w:cs="Times New Roman"/>
                <w:color w:val="auto"/>
                <w:sz w:val="21"/>
                <w:szCs w:val="21"/>
                <w:lang w:val="en-US" w:eastAsia="zh-CN"/>
              </w:rPr>
              <w:t>，详见P70；已补充说明了</w:t>
            </w:r>
            <w:r>
              <w:rPr>
                <w:rFonts w:hint="eastAsia" w:ascii="Times New Roman" w:hAnsi="Times New Roman" w:eastAsia="宋体" w:cs="Times New Roman"/>
                <w:color w:val="auto"/>
                <w:sz w:val="21"/>
                <w:szCs w:val="21"/>
                <w:lang w:val="en-US" w:eastAsia="zh-CN"/>
              </w:rPr>
              <w:t>各产品的不合格品率、废边角料产生比例，</w:t>
            </w:r>
            <w:r>
              <w:rPr>
                <w:rFonts w:hint="eastAsia" w:cs="Times New Roman"/>
                <w:color w:val="auto"/>
                <w:sz w:val="21"/>
                <w:szCs w:val="21"/>
                <w:lang w:val="en-US" w:eastAsia="zh-CN"/>
              </w:rPr>
              <w:t>详见P92，</w:t>
            </w:r>
            <w:r>
              <w:rPr>
                <w:rFonts w:hint="eastAsia" w:ascii="Times New Roman" w:hAnsi="Times New Roman" w:eastAsia="宋体" w:cs="Times New Roman"/>
                <w:color w:val="auto"/>
                <w:sz w:val="21"/>
                <w:szCs w:val="21"/>
                <w:lang w:val="en-US" w:eastAsia="zh-CN"/>
              </w:rPr>
              <w:t>根据产生的废边角料、不合格品量，</w:t>
            </w:r>
            <w:r>
              <w:rPr>
                <w:rFonts w:hint="eastAsia" w:cs="Times New Roman"/>
                <w:color w:val="auto"/>
                <w:sz w:val="21"/>
                <w:szCs w:val="21"/>
                <w:lang w:val="en-US" w:eastAsia="zh-CN"/>
              </w:rPr>
              <w:t>已</w:t>
            </w:r>
            <w:r>
              <w:rPr>
                <w:rFonts w:hint="eastAsia" w:ascii="Times New Roman" w:hAnsi="Times New Roman" w:eastAsia="宋体" w:cs="Times New Roman"/>
                <w:color w:val="auto"/>
                <w:sz w:val="21"/>
                <w:szCs w:val="21"/>
                <w:lang w:val="en-US" w:eastAsia="zh-CN"/>
              </w:rPr>
              <w:t>核实各原辅材料的用量、物料和挥发性有机物平衡，</w:t>
            </w:r>
            <w:r>
              <w:rPr>
                <w:rFonts w:hint="eastAsia" w:cs="Times New Roman"/>
                <w:color w:val="auto"/>
                <w:sz w:val="21"/>
                <w:szCs w:val="21"/>
                <w:lang w:val="en-US" w:eastAsia="zh-CN"/>
              </w:rPr>
              <w:t>已</w:t>
            </w:r>
            <w:r>
              <w:rPr>
                <w:rFonts w:hint="eastAsia" w:ascii="Times New Roman" w:hAnsi="Times New Roman" w:eastAsia="宋体" w:cs="Times New Roman"/>
                <w:color w:val="auto"/>
                <w:sz w:val="21"/>
                <w:szCs w:val="21"/>
                <w:lang w:val="en-US" w:eastAsia="zh-CN"/>
              </w:rPr>
              <w:t>补充HCl平衡</w:t>
            </w:r>
            <w:r>
              <w:rPr>
                <w:rFonts w:hint="eastAsia" w:cs="Times New Roman"/>
                <w:color w:val="auto"/>
                <w:sz w:val="21"/>
                <w:szCs w:val="21"/>
                <w:lang w:val="en-US" w:eastAsia="zh-CN"/>
              </w:rPr>
              <w:t>，详见P43表2-8</w:t>
            </w:r>
            <w:r>
              <w:rPr>
                <w:rFonts w:hint="eastAsia" w:ascii="Times New Roman" w:hAnsi="Times New Roman" w:eastAsia="宋体" w:cs="Times New Roman"/>
                <w:color w:val="auto"/>
                <w:sz w:val="21"/>
                <w:szCs w:val="21"/>
                <w:lang w:val="en-US" w:eastAsia="zh-CN"/>
              </w:rPr>
              <w:t>；</w:t>
            </w:r>
            <w:r>
              <w:rPr>
                <w:rFonts w:hint="eastAsia" w:cs="Times New Roman"/>
                <w:color w:val="auto"/>
                <w:sz w:val="21"/>
                <w:szCs w:val="21"/>
                <w:lang w:val="en-US" w:eastAsia="zh-CN"/>
              </w:rPr>
              <w:t>已</w:t>
            </w:r>
            <w:r>
              <w:rPr>
                <w:rFonts w:hint="eastAsia" w:ascii="Times New Roman" w:hAnsi="Times New Roman" w:eastAsia="宋体" w:cs="Times New Roman"/>
                <w:color w:val="auto"/>
                <w:sz w:val="21"/>
                <w:szCs w:val="21"/>
                <w:lang w:val="en-US" w:eastAsia="zh-CN"/>
              </w:rPr>
              <w:t>补充水平衡表</w:t>
            </w:r>
            <w:r>
              <w:rPr>
                <w:rFonts w:hint="eastAsia" w:cs="Times New Roman"/>
                <w:color w:val="auto"/>
                <w:sz w:val="21"/>
                <w:szCs w:val="21"/>
                <w:lang w:val="en-US" w:eastAsia="zh-CN"/>
              </w:rPr>
              <w:t>，详见P45表2-9</w:t>
            </w:r>
            <w:r>
              <w:rPr>
                <w:rFonts w:hint="eastAsia" w:ascii="Times New Roman" w:hAnsi="Times New Roman" w:eastAsia="宋体" w:cs="Times New Roman"/>
                <w:color w:val="auto"/>
                <w:sz w:val="21"/>
                <w:szCs w:val="21"/>
                <w:lang w:val="en-US" w:eastAsia="zh-CN"/>
              </w:rPr>
              <w:t>；本项目</w:t>
            </w:r>
            <w:r>
              <w:rPr>
                <w:rFonts w:hint="eastAsia" w:cs="Times New Roman"/>
                <w:color w:val="auto"/>
                <w:sz w:val="21"/>
                <w:szCs w:val="21"/>
                <w:lang w:val="en-US" w:eastAsia="zh-CN"/>
              </w:rPr>
              <w:t>租赁</w:t>
            </w:r>
            <w:r>
              <w:rPr>
                <w:rFonts w:hint="eastAsia" w:ascii="Times New Roman" w:hAnsi="Times New Roman" w:eastAsia="宋体" w:cs="Times New Roman"/>
                <w:color w:val="auto"/>
                <w:sz w:val="21"/>
                <w:szCs w:val="21"/>
                <w:lang w:val="en-US" w:eastAsia="zh-CN"/>
              </w:rPr>
              <w:t>租用乐平绿创物流有限公司现有1栋空置厂房，</w:t>
            </w:r>
            <w:r>
              <w:rPr>
                <w:rFonts w:hint="eastAsia" w:cs="Times New Roman"/>
                <w:color w:val="auto"/>
                <w:sz w:val="21"/>
                <w:szCs w:val="21"/>
                <w:lang w:val="en-US" w:eastAsia="zh-CN"/>
              </w:rPr>
              <w:t>已</w:t>
            </w:r>
            <w:r>
              <w:rPr>
                <w:rFonts w:hint="eastAsia" w:ascii="Times New Roman" w:hAnsi="Times New Roman" w:eastAsia="宋体" w:cs="Times New Roman"/>
                <w:color w:val="auto"/>
                <w:sz w:val="21"/>
                <w:szCs w:val="21"/>
                <w:lang w:val="en-US" w:eastAsia="zh-CN"/>
              </w:rPr>
              <w:t>补充乐平绿创物流有限公司环保“三同时”内容及排污许可证申领情况，明确</w:t>
            </w:r>
            <w:r>
              <w:rPr>
                <w:rFonts w:hint="eastAsia" w:cs="Times New Roman"/>
                <w:color w:val="auto"/>
                <w:sz w:val="21"/>
                <w:szCs w:val="21"/>
                <w:lang w:val="en-US" w:eastAsia="zh-CN"/>
              </w:rPr>
              <w:t>了</w:t>
            </w:r>
            <w:r>
              <w:rPr>
                <w:rFonts w:hint="eastAsia" w:ascii="Times New Roman" w:hAnsi="Times New Roman" w:eastAsia="宋体" w:cs="Times New Roman"/>
                <w:color w:val="auto"/>
                <w:sz w:val="21"/>
                <w:szCs w:val="21"/>
                <w:lang w:val="en-US" w:eastAsia="zh-CN"/>
              </w:rPr>
              <w:t>环保责任的主体</w:t>
            </w:r>
            <w:r>
              <w:rPr>
                <w:rFonts w:hint="eastAsia" w:cs="Times New Roman"/>
                <w:color w:val="auto"/>
                <w:sz w:val="21"/>
                <w:szCs w:val="21"/>
                <w:lang w:val="en-US" w:eastAsia="zh-CN"/>
              </w:rPr>
              <w:t>，详见P54</w:t>
            </w:r>
            <w:r>
              <w:rPr>
                <w:rFonts w:hint="eastAsia" w:ascii="Times New Roman" w:hAnsi="Times New Roman" w:eastAsia="宋体" w:cs="Times New Roman"/>
                <w:color w:val="auto"/>
                <w:sz w:val="21"/>
                <w:szCs w:val="21"/>
                <w:lang w:val="en-US" w:eastAsia="zh-CN"/>
              </w:rPr>
              <w:t>。</w:t>
            </w:r>
          </w:p>
        </w:tc>
      </w:tr>
      <w:tr w14:paraId="0E9130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0" w:type="dxa"/>
            <w:noWrap w:val="0"/>
            <w:vAlign w:val="center"/>
          </w:tcPr>
          <w:p w14:paraId="16662C15">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w:t>
            </w:r>
          </w:p>
        </w:tc>
        <w:tc>
          <w:tcPr>
            <w:tcW w:w="4182" w:type="dxa"/>
            <w:noWrap w:val="0"/>
            <w:vAlign w:val="center"/>
          </w:tcPr>
          <w:p w14:paraId="74FED17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left"/>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环境空气质量标准》有2026年版（整本报告相关内容替换）；补充表3-3断面与本项目涉及的乐平市金山园区一期一体化污水处理站排放口的关系（是否同一水体？引用可行性？）及评价因子；颗粒物执行《合成树脂工业污染物排放标准》（GB31572-2015）（含2024年修改单）中表4和表9相关浓度限值标准要求；非甲烷总烃执行江西地标《挥发性有机物排放控制标准第4部分：塑料制品业》 （DB36/1101.4-2019）表1及表2中相关排放限值要求；补充挥发性有机物总量控制指标核算过程。</w:t>
            </w:r>
          </w:p>
        </w:tc>
        <w:tc>
          <w:tcPr>
            <w:tcW w:w="3716" w:type="dxa"/>
            <w:noWrap w:val="0"/>
            <w:vAlign w:val="center"/>
          </w:tcPr>
          <w:p w14:paraId="080707D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both"/>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已将整本报告中《环境空气质量标准》相关内容替换为2026年版，</w:t>
            </w:r>
            <w:r>
              <w:rPr>
                <w:rFonts w:hint="eastAsia" w:cs="Times New Roman"/>
                <w:color w:val="auto"/>
                <w:sz w:val="21"/>
                <w:szCs w:val="21"/>
                <w:lang w:val="en-US" w:eastAsia="zh-CN"/>
              </w:rPr>
              <w:t>详见P55；</w:t>
            </w:r>
            <w:r>
              <w:rPr>
                <w:rFonts w:hint="eastAsia" w:ascii="Times New Roman" w:hAnsi="Times New Roman" w:eastAsia="宋体" w:cs="Times New Roman"/>
                <w:color w:val="auto"/>
                <w:sz w:val="21"/>
                <w:szCs w:val="21"/>
                <w:lang w:val="en-US" w:eastAsia="zh-CN"/>
              </w:rPr>
              <w:t>已补充表3-3断面与本项目涉及的乐平市金山园区一期一体化污水处理站排放口的关系，详见P</w:t>
            </w:r>
            <w:r>
              <w:rPr>
                <w:rFonts w:hint="eastAsia" w:cs="Times New Roman"/>
                <w:color w:val="auto"/>
                <w:sz w:val="21"/>
                <w:szCs w:val="21"/>
                <w:lang w:val="en-US" w:eastAsia="zh-CN"/>
              </w:rPr>
              <w:t>57</w:t>
            </w:r>
            <w:r>
              <w:rPr>
                <w:rFonts w:hint="eastAsia" w:ascii="Times New Roman" w:hAnsi="Times New Roman" w:eastAsia="宋体" w:cs="Times New Roman"/>
                <w:color w:val="auto"/>
                <w:sz w:val="21"/>
                <w:szCs w:val="21"/>
                <w:lang w:val="en-US" w:eastAsia="zh-CN"/>
              </w:rPr>
              <w:t>。已补充评价因子，</w:t>
            </w:r>
            <w:r>
              <w:rPr>
                <w:rFonts w:hint="eastAsia" w:cs="Times New Roman"/>
                <w:color w:val="auto"/>
                <w:sz w:val="21"/>
                <w:szCs w:val="21"/>
                <w:lang w:val="en-US" w:eastAsia="zh-CN"/>
              </w:rPr>
              <w:t>详见P56；</w:t>
            </w:r>
            <w:r>
              <w:rPr>
                <w:rFonts w:hint="eastAsia" w:ascii="Times New Roman" w:hAnsi="Times New Roman" w:eastAsia="宋体" w:cs="Times New Roman"/>
                <w:color w:val="auto"/>
                <w:sz w:val="21"/>
                <w:szCs w:val="21"/>
                <w:lang w:val="en-US" w:eastAsia="zh-CN"/>
              </w:rPr>
              <w:t>由于《合成树脂工业污染物排放标准》（GB31572-2015）（含2024年修改单）前言中“规定了合成树脂（聚氯乙烯树脂除外）工业企业及其生产设施的水污染物和大气污染物排放限值、监测和监督管理要求。”，本项目注塑工艺采用PVC塑料，与该规范不符，最后执行《大气污染物综合排放标准》（GB16297-1996）中表2的二级标准；《挥发性有机物排放控制标准第4部分：塑料制品业》（DB36/1101.4-2019）适用范围中“不包括2925塑料人造革、合成革制造以及塑料鞋制造行业”，本项目属于塑料鞋制造行业，与该规范不适用</w:t>
            </w:r>
            <w:r>
              <w:rPr>
                <w:rFonts w:hint="eastAsia" w:cs="Times New Roman"/>
                <w:color w:val="auto"/>
                <w:sz w:val="21"/>
                <w:szCs w:val="21"/>
                <w:lang w:val="en-US" w:eastAsia="zh-CN"/>
              </w:rPr>
              <w:t>，2026年7月1日起非甲烷总烃执行《挥发性有机物综合排放控制标准(试行)》（DB36/ 2186—2025），该标准未实施前非甲烷总烃执行</w:t>
            </w:r>
            <w:r>
              <w:rPr>
                <w:rFonts w:hint="eastAsia" w:ascii="Times New Roman" w:hAnsi="Times New Roman" w:eastAsia="宋体" w:cs="Times New Roman"/>
                <w:color w:val="auto"/>
                <w:sz w:val="21"/>
                <w:szCs w:val="21"/>
                <w:lang w:val="en-US" w:eastAsia="zh-CN"/>
              </w:rPr>
              <w:t>《大气污染物综合排放标准》（GB16297-1996）中表2的二级标准；已补充挥发性有机物总量控制指标核算过程，详见P</w:t>
            </w:r>
            <w:r>
              <w:rPr>
                <w:rFonts w:hint="eastAsia" w:cs="Times New Roman"/>
                <w:color w:val="auto"/>
                <w:sz w:val="21"/>
                <w:szCs w:val="21"/>
                <w:lang w:val="en-US" w:eastAsia="zh-CN"/>
              </w:rPr>
              <w:t>70-73</w:t>
            </w:r>
            <w:r>
              <w:rPr>
                <w:rFonts w:hint="eastAsia" w:ascii="Times New Roman" w:hAnsi="Times New Roman" w:eastAsia="宋体" w:cs="Times New Roman"/>
                <w:color w:val="auto"/>
                <w:sz w:val="21"/>
                <w:szCs w:val="21"/>
                <w:lang w:val="en-US" w:eastAsia="zh-CN"/>
              </w:rPr>
              <w:t>。</w:t>
            </w:r>
          </w:p>
        </w:tc>
      </w:tr>
      <w:tr w14:paraId="79AC60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0" w:type="dxa"/>
            <w:noWrap w:val="0"/>
            <w:vAlign w:val="center"/>
          </w:tcPr>
          <w:p w14:paraId="72C3969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w:t>
            </w:r>
          </w:p>
        </w:tc>
        <w:tc>
          <w:tcPr>
            <w:tcW w:w="4182" w:type="dxa"/>
            <w:noWrap w:val="0"/>
            <w:vAlign w:val="center"/>
          </w:tcPr>
          <w:p w14:paraId="4F1B88C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left"/>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调查周边200m范围内建筑物的高度及根据企业楼层的高度，分析排气筒高度设置的合理性（《大气污染物综合排放标准》（GB16297-1996）7.1条有要求）；表4-1补充排气筒的排气速度（太大了，大于20m/s，不符合要求），核实执行标准和达标排放等环保措施相应内容；说明集气罩的构型，按《江西省生态环境厅关于做好2022年主要大气污染物总量减排核算工作的通知》（赣环大气〔2022〕26号）集气罩的收集效率的取值，核算污染物产排情况，依据核算后的面源污染物参数核实卫生防护距离计算；细化地面清洁方式，核实是否有地面冲洗水；补充噪声源声功率级的取值依据（按设备的功率计算得来），补充表4-6建筑物插入损失的取值依据（20dB</w:t>
            </w:r>
            <w:r>
              <w:rPr>
                <w:rFonts w:hint="eastAsia"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A</w:t>
            </w:r>
            <w:r>
              <w:rPr>
                <w:rFonts w:hint="eastAsia"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，噪声设备均在封闭或密闭空间？）并核实噪声影响预测内容；补充活性炭种类、活性炭的规格（包括碘值）、吸附温度、废气停留时间、单次装填量、更换频次等要求，明确</w:t>
            </w:r>
            <w:r>
              <w:rPr>
                <w:rFonts w:hint="eastAsia" w:cs="Times New Roman"/>
                <w:color w:val="auto"/>
                <w:sz w:val="21"/>
                <w:szCs w:val="21"/>
                <w:lang w:val="en-US" w:eastAsia="zh-CN"/>
              </w:rPr>
              <w:t>三级活性炭</w:t>
            </w:r>
            <w:r>
              <w:rPr>
                <w:rFonts w:hint="eastAsia" w:ascii="Times New Roman" w:hAnsi="Times New Roman" w:eastAsia="宋体" w:cs="Times New Roman"/>
                <w:color w:val="auto"/>
                <w:sz w:val="21"/>
                <w:szCs w:val="21"/>
                <w:lang w:val="en-US" w:eastAsia="zh-CN"/>
              </w:rPr>
              <w:t>吸附装置构型和危废产生量（包含吸附物）；</w:t>
            </w:r>
            <w:r>
              <w:rPr>
                <w:rFonts w:hint="eastAsia" w:cs="Times New Roman"/>
                <w:color w:val="auto"/>
                <w:sz w:val="21"/>
                <w:szCs w:val="21"/>
                <w:lang w:val="en-US" w:eastAsia="zh-CN"/>
              </w:rPr>
              <w:t>完</w:t>
            </w:r>
            <w:r>
              <w:rPr>
                <w:rFonts w:hint="eastAsia" w:ascii="Times New Roman" w:hAnsi="Times New Roman" w:eastAsia="宋体" w:cs="Times New Roman"/>
                <w:color w:val="auto"/>
                <w:sz w:val="21"/>
                <w:szCs w:val="21"/>
                <w:lang w:val="en-US" w:eastAsia="zh-CN"/>
              </w:rPr>
              <w:t>善危险废物包装方式、分区贮存措施；危废临界量应参照《建设项目环境风险评价</w:t>
            </w:r>
            <w:r>
              <w:rPr>
                <w:rFonts w:hint="eastAsia" w:cs="Times New Roman"/>
                <w:color w:val="auto"/>
                <w:sz w:val="21"/>
                <w:szCs w:val="21"/>
                <w:lang w:val="en-US" w:eastAsia="zh-CN"/>
              </w:rPr>
              <w:t xml:space="preserve"> </w:t>
            </w:r>
            <w:r>
              <w:rPr>
                <w:rFonts w:hint="eastAsia" w:ascii="Times New Roman" w:hAnsi="Times New Roman" w:eastAsia="宋体" w:cs="Times New Roman"/>
                <w:color w:val="auto"/>
                <w:sz w:val="21"/>
                <w:szCs w:val="21"/>
                <w:lang w:val="en-US" w:eastAsia="zh-CN"/>
              </w:rPr>
              <w:t>技术导则》（HJ169-2018）附录B表B.2其他危险物质临界量推荐值：健康危险急性毒性物质（类别2，类别3）50吨，重新计算表4-13环境风险Q值（机油润滑油、废机油、废润滑油）和风险评价内容；根据核算的原料用量、污染物采取的措施等内容核实各工序废气源强（浓度、废气量、产生、消减和排放情况）和总量控制指标，并说明总量控制指标的来源；补充与排污许可相衔接的内容（企业自行申领？还是在乐平绿创物流有限公司内？）。</w:t>
            </w:r>
          </w:p>
        </w:tc>
        <w:tc>
          <w:tcPr>
            <w:tcW w:w="3716" w:type="dxa"/>
            <w:noWrap w:val="0"/>
            <w:vAlign w:val="center"/>
          </w:tcPr>
          <w:p w14:paraId="606F7F0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已补充</w:t>
            </w:r>
            <w:r>
              <w:rPr>
                <w:rFonts w:hint="eastAsia" w:ascii="Times New Roman" w:hAnsi="Times New Roman" w:eastAsia="宋体" w:cs="Times New Roman"/>
                <w:color w:val="auto"/>
                <w:sz w:val="21"/>
                <w:szCs w:val="21"/>
                <w:lang w:val="en-US" w:eastAsia="zh-CN"/>
              </w:rPr>
              <w:t>调查周边200m范围内建筑物的高度及根据企业楼层的高度，</w:t>
            </w:r>
            <w:r>
              <w:rPr>
                <w:rFonts w:hint="eastAsia" w:cs="Times New Roman"/>
                <w:color w:val="auto"/>
                <w:sz w:val="21"/>
                <w:szCs w:val="21"/>
                <w:lang w:val="en-US" w:eastAsia="zh-CN"/>
              </w:rPr>
              <w:t>详见P74表4-3，已补充</w:t>
            </w:r>
            <w:r>
              <w:rPr>
                <w:rFonts w:hint="eastAsia" w:ascii="Times New Roman" w:hAnsi="Times New Roman" w:eastAsia="宋体" w:cs="Times New Roman"/>
                <w:color w:val="auto"/>
                <w:sz w:val="21"/>
                <w:szCs w:val="21"/>
                <w:lang w:val="en-US" w:eastAsia="zh-CN"/>
              </w:rPr>
              <w:t>分析</w:t>
            </w:r>
            <w:r>
              <w:rPr>
                <w:rFonts w:hint="eastAsia" w:cs="Times New Roman"/>
                <w:color w:val="auto"/>
                <w:sz w:val="21"/>
                <w:szCs w:val="21"/>
                <w:lang w:val="en-US" w:eastAsia="zh-CN"/>
              </w:rPr>
              <w:t>了</w:t>
            </w:r>
            <w:r>
              <w:rPr>
                <w:rFonts w:hint="eastAsia" w:ascii="Times New Roman" w:hAnsi="Times New Roman" w:eastAsia="宋体" w:cs="Times New Roman"/>
                <w:color w:val="auto"/>
                <w:sz w:val="21"/>
                <w:szCs w:val="21"/>
                <w:lang w:val="en-US" w:eastAsia="zh-CN"/>
              </w:rPr>
              <w:t>排气筒高度设置的合理性（《大气污染物综合排放标准》（GB16297-1996）7.1条有要求）</w:t>
            </w:r>
            <w:r>
              <w:rPr>
                <w:rFonts w:hint="eastAsia" w:cs="Times New Roman"/>
                <w:color w:val="auto"/>
                <w:sz w:val="21"/>
                <w:szCs w:val="21"/>
                <w:lang w:val="en-US" w:eastAsia="zh-CN"/>
              </w:rPr>
              <w:t>，详见P74-75</w:t>
            </w:r>
            <w:r>
              <w:rPr>
                <w:rFonts w:hint="eastAsia" w:ascii="Times New Roman" w:hAnsi="Times New Roman" w:eastAsia="宋体" w:cs="Times New Roman"/>
                <w:color w:val="auto"/>
                <w:sz w:val="21"/>
                <w:szCs w:val="21"/>
                <w:lang w:val="en-US" w:eastAsia="zh-CN"/>
              </w:rPr>
              <w:t>；表4-1</w:t>
            </w:r>
            <w:r>
              <w:rPr>
                <w:rFonts w:hint="eastAsia" w:cs="Times New Roman"/>
                <w:color w:val="auto"/>
                <w:sz w:val="21"/>
                <w:szCs w:val="21"/>
                <w:lang w:val="en-US" w:eastAsia="zh-CN"/>
              </w:rPr>
              <w:t>已</w:t>
            </w:r>
            <w:r>
              <w:rPr>
                <w:rFonts w:hint="eastAsia" w:ascii="Times New Roman" w:hAnsi="Times New Roman" w:eastAsia="宋体" w:cs="Times New Roman"/>
                <w:color w:val="auto"/>
                <w:sz w:val="21"/>
                <w:szCs w:val="21"/>
                <w:lang w:val="en-US" w:eastAsia="zh-CN"/>
              </w:rPr>
              <w:t>补充排气筒的排气速度，</w:t>
            </w:r>
            <w:r>
              <w:rPr>
                <w:rFonts w:hint="eastAsia" w:cs="Times New Roman"/>
                <w:color w:val="auto"/>
                <w:sz w:val="21"/>
                <w:szCs w:val="21"/>
                <w:lang w:val="en-US" w:eastAsia="zh-CN"/>
              </w:rPr>
              <w:t>详见P65-68表4-1，已</w:t>
            </w:r>
            <w:r>
              <w:rPr>
                <w:rFonts w:hint="eastAsia" w:ascii="Times New Roman" w:hAnsi="Times New Roman" w:eastAsia="宋体" w:cs="Times New Roman"/>
                <w:color w:val="auto"/>
                <w:sz w:val="21"/>
                <w:szCs w:val="21"/>
                <w:lang w:val="en-US" w:eastAsia="zh-CN"/>
              </w:rPr>
              <w:t>核实执行标准和达标排放等环保措施相应内容；</w:t>
            </w:r>
            <w:r>
              <w:rPr>
                <w:rFonts w:hint="eastAsia" w:cs="Times New Roman"/>
                <w:color w:val="auto"/>
                <w:sz w:val="21"/>
                <w:szCs w:val="21"/>
                <w:lang w:val="en-US" w:eastAsia="zh-CN"/>
              </w:rPr>
              <w:t>已补充</w:t>
            </w:r>
            <w:r>
              <w:rPr>
                <w:rFonts w:hint="eastAsia" w:ascii="Times New Roman" w:hAnsi="Times New Roman" w:eastAsia="宋体" w:cs="Times New Roman"/>
                <w:color w:val="auto"/>
                <w:sz w:val="21"/>
                <w:szCs w:val="21"/>
                <w:lang w:val="en-US" w:eastAsia="zh-CN"/>
              </w:rPr>
              <w:t>说明集气罩的构型，按《江西省生态环境厅关于做好2022年主要大气污染物总量减排核算工作的通知》（赣环大气〔2022〕26号）集气罩的收集效率的取值，</w:t>
            </w:r>
            <w:r>
              <w:rPr>
                <w:rFonts w:hint="eastAsia" w:cs="Times New Roman"/>
                <w:color w:val="auto"/>
                <w:sz w:val="21"/>
                <w:szCs w:val="21"/>
                <w:lang w:val="en-US" w:eastAsia="zh-CN"/>
              </w:rPr>
              <w:t>详见P73；已核实修改</w:t>
            </w:r>
            <w:r>
              <w:rPr>
                <w:rFonts w:hint="eastAsia" w:ascii="Times New Roman" w:hAnsi="Times New Roman" w:eastAsia="宋体" w:cs="Times New Roman"/>
                <w:color w:val="auto"/>
                <w:sz w:val="21"/>
                <w:szCs w:val="21"/>
                <w:lang w:val="en-US" w:eastAsia="zh-CN"/>
              </w:rPr>
              <w:t>核算污染物产排情况，依据核算后的面源污染物参数</w:t>
            </w:r>
            <w:r>
              <w:rPr>
                <w:rFonts w:hint="eastAsia" w:cs="Times New Roman"/>
                <w:color w:val="auto"/>
                <w:sz w:val="21"/>
                <w:szCs w:val="21"/>
                <w:lang w:val="en-US" w:eastAsia="zh-CN"/>
              </w:rPr>
              <w:t>，已补充</w:t>
            </w:r>
            <w:r>
              <w:rPr>
                <w:rFonts w:hint="eastAsia" w:ascii="Times New Roman" w:hAnsi="Times New Roman" w:eastAsia="宋体" w:cs="Times New Roman"/>
                <w:color w:val="auto"/>
                <w:sz w:val="21"/>
                <w:szCs w:val="21"/>
                <w:lang w:val="en-US" w:eastAsia="zh-CN"/>
              </w:rPr>
              <w:t>卫生防护距离计算</w:t>
            </w:r>
            <w:r>
              <w:rPr>
                <w:rFonts w:hint="eastAsia" w:cs="Times New Roman"/>
                <w:color w:val="auto"/>
                <w:sz w:val="21"/>
                <w:szCs w:val="21"/>
                <w:lang w:val="en-US" w:eastAsia="zh-CN"/>
              </w:rPr>
              <w:t>，详见P76-78；已</w:t>
            </w:r>
            <w:r>
              <w:rPr>
                <w:rFonts w:hint="eastAsia" w:ascii="Times New Roman" w:hAnsi="Times New Roman" w:eastAsia="宋体" w:cs="Times New Roman"/>
                <w:color w:val="auto"/>
                <w:sz w:val="21"/>
                <w:szCs w:val="21"/>
                <w:lang w:val="en-US" w:eastAsia="zh-CN"/>
              </w:rPr>
              <w:t>核实是否有地面冲洗水</w:t>
            </w:r>
            <w:r>
              <w:rPr>
                <w:rFonts w:hint="eastAsia" w:cs="Times New Roman"/>
                <w:color w:val="auto"/>
                <w:sz w:val="21"/>
                <w:szCs w:val="21"/>
                <w:lang w:val="en-US" w:eastAsia="zh-CN"/>
              </w:rPr>
              <w:t>，详见P44</w:t>
            </w:r>
            <w:r>
              <w:rPr>
                <w:rFonts w:hint="eastAsia" w:ascii="Times New Roman" w:hAnsi="Times New Roman" w:eastAsia="宋体" w:cs="Times New Roman"/>
                <w:color w:val="auto"/>
                <w:sz w:val="21"/>
                <w:szCs w:val="21"/>
                <w:lang w:val="en-US" w:eastAsia="zh-CN"/>
              </w:rPr>
              <w:t>；</w:t>
            </w:r>
            <w:r>
              <w:rPr>
                <w:rFonts w:hint="eastAsia" w:cs="Times New Roman"/>
                <w:color w:val="auto"/>
                <w:sz w:val="21"/>
                <w:szCs w:val="21"/>
                <w:lang w:val="en-US" w:eastAsia="zh-CN"/>
              </w:rPr>
              <w:t>已</w:t>
            </w:r>
            <w:r>
              <w:rPr>
                <w:rFonts w:hint="eastAsia" w:ascii="Times New Roman" w:hAnsi="Times New Roman" w:eastAsia="宋体" w:cs="Times New Roman"/>
                <w:color w:val="auto"/>
                <w:sz w:val="21"/>
                <w:szCs w:val="21"/>
                <w:lang w:val="en-US" w:eastAsia="zh-CN"/>
              </w:rPr>
              <w:t>补充噪声源声功率级的取值依据详见P</w:t>
            </w:r>
            <w:r>
              <w:rPr>
                <w:rFonts w:hint="eastAsia" w:cs="Times New Roman"/>
                <w:color w:val="auto"/>
                <w:sz w:val="21"/>
                <w:szCs w:val="21"/>
                <w:lang w:val="en-US" w:eastAsia="zh-CN"/>
              </w:rPr>
              <w:t>84</w:t>
            </w:r>
            <w:r>
              <w:rPr>
                <w:rFonts w:hint="eastAsia" w:ascii="Times New Roman" w:hAnsi="Times New Roman" w:eastAsia="宋体" w:cs="Times New Roman"/>
                <w:color w:val="auto"/>
                <w:sz w:val="21"/>
                <w:szCs w:val="21"/>
                <w:lang w:val="en-US" w:eastAsia="zh-CN"/>
              </w:rPr>
              <w:t>，已补充表4-6建筑物插入损失的取值依据（20dB</w:t>
            </w:r>
            <w:r>
              <w:rPr>
                <w:rFonts w:hint="eastAsia"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A</w:t>
            </w:r>
            <w:r>
              <w:rPr>
                <w:rFonts w:hint="eastAsia"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，详见</w:t>
            </w:r>
            <w:r>
              <w:rPr>
                <w:rFonts w:hint="eastAsia" w:cs="Times New Roman"/>
                <w:color w:val="auto"/>
                <w:sz w:val="21"/>
                <w:szCs w:val="21"/>
                <w:lang w:val="en-US" w:eastAsia="zh-CN"/>
              </w:rPr>
              <w:t>P84-86</w:t>
            </w:r>
            <w:r>
              <w:rPr>
                <w:rFonts w:hint="eastAsia" w:ascii="Times New Roman" w:hAnsi="Times New Roman" w:eastAsia="宋体" w:cs="Times New Roman"/>
                <w:color w:val="auto"/>
                <w:sz w:val="21"/>
                <w:szCs w:val="21"/>
                <w:lang w:val="en-US" w:eastAsia="zh-CN"/>
              </w:rPr>
              <w:t>表4-10~11，已核实修改噪声影响预测内容，详见</w:t>
            </w:r>
            <w:r>
              <w:rPr>
                <w:rFonts w:hint="eastAsia" w:cs="Times New Roman"/>
                <w:color w:val="auto"/>
                <w:sz w:val="21"/>
                <w:szCs w:val="21"/>
                <w:lang w:val="en-US" w:eastAsia="zh-CN"/>
              </w:rPr>
              <w:t>P88</w:t>
            </w:r>
            <w:r>
              <w:rPr>
                <w:rFonts w:hint="eastAsia" w:ascii="Times New Roman" w:hAnsi="Times New Roman" w:eastAsia="宋体" w:cs="Times New Roman"/>
                <w:color w:val="auto"/>
                <w:sz w:val="21"/>
                <w:szCs w:val="21"/>
                <w:lang w:val="en-US" w:eastAsia="zh-CN"/>
              </w:rPr>
              <w:t>表4-12；已补充活性炭种类、活性炭的规格（包括碘值）、吸附温度、废气停留时间、单次装填量、更换频次等要求，明确</w:t>
            </w:r>
            <w:r>
              <w:rPr>
                <w:rFonts w:hint="eastAsia" w:cs="Times New Roman"/>
                <w:color w:val="auto"/>
                <w:sz w:val="21"/>
                <w:szCs w:val="21"/>
                <w:lang w:val="en-US" w:eastAsia="zh-CN"/>
              </w:rPr>
              <w:t>五级活性炭</w:t>
            </w:r>
            <w:r>
              <w:rPr>
                <w:rFonts w:hint="eastAsia" w:ascii="Times New Roman" w:hAnsi="Times New Roman" w:eastAsia="宋体" w:cs="Times New Roman"/>
                <w:color w:val="auto"/>
                <w:sz w:val="21"/>
                <w:szCs w:val="21"/>
                <w:lang w:val="en-US" w:eastAsia="zh-CN"/>
              </w:rPr>
              <w:t>吸附装置构型和危废产生量，详见P7</w:t>
            </w:r>
            <w:r>
              <w:rPr>
                <w:rFonts w:hint="eastAsia" w:cs="Times New Roman"/>
                <w:color w:val="auto"/>
                <w:sz w:val="21"/>
                <w:szCs w:val="21"/>
                <w:lang w:val="en-US" w:eastAsia="zh-CN"/>
              </w:rPr>
              <w:t>5</w:t>
            </w:r>
            <w:r>
              <w:rPr>
                <w:rFonts w:hint="eastAsia" w:ascii="Times New Roman" w:hAnsi="Times New Roman" w:eastAsia="宋体" w:cs="Times New Roman"/>
                <w:color w:val="auto"/>
                <w:sz w:val="21"/>
                <w:szCs w:val="21"/>
                <w:lang w:val="en-US" w:eastAsia="zh-CN"/>
              </w:rPr>
              <w:t>；已</w:t>
            </w:r>
            <w:r>
              <w:rPr>
                <w:rFonts w:hint="eastAsia" w:cs="Times New Roman"/>
                <w:color w:val="auto"/>
                <w:sz w:val="21"/>
                <w:szCs w:val="21"/>
                <w:lang w:val="en-US" w:eastAsia="zh-CN"/>
              </w:rPr>
              <w:t>完</w:t>
            </w:r>
            <w:r>
              <w:rPr>
                <w:rFonts w:hint="eastAsia" w:ascii="Times New Roman" w:hAnsi="Times New Roman" w:eastAsia="宋体" w:cs="Times New Roman"/>
                <w:color w:val="auto"/>
                <w:sz w:val="21"/>
                <w:szCs w:val="21"/>
                <w:lang w:val="en-US" w:eastAsia="zh-CN"/>
              </w:rPr>
              <w:t>善危险废物包装方式、分区贮存措施，详见</w:t>
            </w:r>
            <w:r>
              <w:rPr>
                <w:rFonts w:hint="eastAsia" w:cs="Times New Roman"/>
                <w:color w:val="auto"/>
                <w:sz w:val="21"/>
                <w:szCs w:val="21"/>
                <w:lang w:val="en-US" w:eastAsia="zh-CN"/>
              </w:rPr>
              <w:t>P91</w:t>
            </w:r>
            <w:r>
              <w:rPr>
                <w:rFonts w:hint="eastAsia" w:ascii="Times New Roman" w:hAnsi="Times New Roman" w:eastAsia="宋体" w:cs="Times New Roman"/>
                <w:color w:val="auto"/>
                <w:sz w:val="21"/>
                <w:szCs w:val="21"/>
                <w:lang w:val="en-US" w:eastAsia="zh-CN"/>
              </w:rPr>
              <w:t>表4-15及P9</w:t>
            </w:r>
            <w:r>
              <w:rPr>
                <w:rFonts w:hint="eastAsia" w:cs="Times New Roman"/>
                <w:color w:val="auto"/>
                <w:sz w:val="21"/>
                <w:szCs w:val="21"/>
                <w:lang w:val="en-US" w:eastAsia="zh-CN"/>
              </w:rPr>
              <w:t>4</w:t>
            </w:r>
            <w:r>
              <w:rPr>
                <w:rFonts w:hint="eastAsia" w:ascii="Times New Roman" w:hAnsi="Times New Roman" w:eastAsia="宋体" w:cs="Times New Roman"/>
                <w:color w:val="auto"/>
                <w:sz w:val="21"/>
                <w:szCs w:val="21"/>
                <w:lang w:val="en-US" w:eastAsia="zh-CN"/>
              </w:rPr>
              <w:t>-9</w:t>
            </w:r>
            <w:r>
              <w:rPr>
                <w:rFonts w:hint="eastAsia" w:cs="Times New Roman"/>
                <w:color w:val="auto"/>
                <w:sz w:val="21"/>
                <w:szCs w:val="21"/>
                <w:lang w:val="en-US" w:eastAsia="zh-CN"/>
              </w:rPr>
              <w:t>6</w:t>
            </w:r>
            <w:r>
              <w:rPr>
                <w:rFonts w:hint="eastAsia" w:ascii="Times New Roman" w:hAnsi="Times New Roman" w:eastAsia="宋体" w:cs="Times New Roman"/>
                <w:color w:val="auto"/>
                <w:sz w:val="21"/>
                <w:szCs w:val="21"/>
                <w:lang w:val="en-US" w:eastAsia="zh-CN"/>
              </w:rPr>
              <w:t>；危废临界量应参照《建设项目环境风险评价</w:t>
            </w:r>
            <w:r>
              <w:rPr>
                <w:rFonts w:hint="eastAsia" w:cs="Times New Roman"/>
                <w:color w:val="auto"/>
                <w:sz w:val="21"/>
                <w:szCs w:val="21"/>
                <w:lang w:val="en-US" w:eastAsia="zh-CN"/>
              </w:rPr>
              <w:t xml:space="preserve"> </w:t>
            </w:r>
            <w:r>
              <w:rPr>
                <w:rFonts w:hint="eastAsia" w:ascii="Times New Roman" w:hAnsi="Times New Roman" w:eastAsia="宋体" w:cs="Times New Roman"/>
                <w:color w:val="auto"/>
                <w:sz w:val="21"/>
                <w:szCs w:val="21"/>
                <w:lang w:val="en-US" w:eastAsia="zh-CN"/>
              </w:rPr>
              <w:t>技术导则》（HJ169-2018）附录B表B.2其他危险物质临界量推荐值：健康危险急性毒性物质（类别2，类别3）50吨，已重新计算表4-17环境风险Q值（机油润滑油、废机油、废润滑油）和风险评价内容，详见P9</w:t>
            </w:r>
            <w:r>
              <w:rPr>
                <w:rFonts w:hint="eastAsia" w:cs="Times New Roman"/>
                <w:color w:val="auto"/>
                <w:sz w:val="21"/>
                <w:szCs w:val="21"/>
                <w:lang w:val="en-US" w:eastAsia="zh-CN"/>
              </w:rPr>
              <w:t>7</w:t>
            </w:r>
            <w:r>
              <w:rPr>
                <w:rFonts w:hint="eastAsia" w:ascii="Times New Roman" w:hAnsi="Times New Roman" w:eastAsia="宋体" w:cs="Times New Roman"/>
                <w:color w:val="auto"/>
                <w:sz w:val="21"/>
                <w:szCs w:val="21"/>
                <w:lang w:val="en-US" w:eastAsia="zh-CN"/>
              </w:rPr>
              <w:t>；根据核算的原料用量、污染物采取的措施等内容已核实各工序废气源强（浓度、废气量、产生、消减和排放情况）和总量控制指标，</w:t>
            </w:r>
            <w:r>
              <w:rPr>
                <w:rFonts w:hint="eastAsia" w:cs="Times New Roman"/>
                <w:color w:val="auto"/>
                <w:sz w:val="21"/>
                <w:szCs w:val="21"/>
                <w:lang w:val="en-US" w:eastAsia="zh-CN"/>
              </w:rPr>
              <w:t>详见P65-68表4-1</w:t>
            </w:r>
            <w:r>
              <w:rPr>
                <w:rFonts w:hint="eastAsia" w:ascii="Times New Roman" w:hAnsi="Times New Roman" w:eastAsia="宋体" w:cs="Times New Roman"/>
                <w:color w:val="auto"/>
                <w:sz w:val="21"/>
                <w:szCs w:val="21"/>
                <w:lang w:val="en-US" w:eastAsia="zh-CN"/>
              </w:rPr>
              <w:t>由于乐平县局需取得专家确认意见后申请总量，总量正在申请中，总量控制指标来源，还暂时不知，待办理完成了补充；</w:t>
            </w:r>
            <w:r>
              <w:rPr>
                <w:rFonts w:hint="eastAsia" w:cs="Times New Roman"/>
                <w:color w:val="auto"/>
                <w:sz w:val="21"/>
                <w:szCs w:val="21"/>
                <w:lang w:val="en-US" w:eastAsia="zh-CN"/>
              </w:rPr>
              <w:t>已</w:t>
            </w:r>
            <w:r>
              <w:rPr>
                <w:rFonts w:hint="eastAsia" w:ascii="Times New Roman" w:hAnsi="Times New Roman" w:eastAsia="宋体" w:cs="Times New Roman"/>
                <w:color w:val="auto"/>
                <w:sz w:val="21"/>
                <w:szCs w:val="21"/>
                <w:lang w:val="en-US" w:eastAsia="zh-CN"/>
              </w:rPr>
              <w:t>补充与排污许可相衔接的内容</w:t>
            </w:r>
            <w:r>
              <w:rPr>
                <w:rFonts w:hint="eastAsia" w:cs="Times New Roman"/>
                <w:color w:val="auto"/>
                <w:sz w:val="21"/>
                <w:szCs w:val="21"/>
                <w:lang w:val="en-US" w:eastAsia="zh-CN"/>
              </w:rPr>
              <w:t>，详见P103，企业自行申领。</w:t>
            </w:r>
          </w:p>
        </w:tc>
      </w:tr>
      <w:tr w14:paraId="219453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20" w:type="dxa"/>
            <w:noWrap w:val="0"/>
            <w:vAlign w:val="center"/>
          </w:tcPr>
          <w:p w14:paraId="569A11E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5</w:t>
            </w:r>
          </w:p>
        </w:tc>
        <w:tc>
          <w:tcPr>
            <w:tcW w:w="4182" w:type="dxa"/>
            <w:noWrap w:val="0"/>
            <w:vAlign w:val="center"/>
          </w:tcPr>
          <w:p w14:paraId="2B60A46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left"/>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补充和完善项目平面布置图（图示主要生产设施分布、雨污水排放口的位置）等；补充项目所用原料均使用新材料的承诺书。</w:t>
            </w:r>
          </w:p>
        </w:tc>
        <w:tc>
          <w:tcPr>
            <w:tcW w:w="3716" w:type="dxa"/>
            <w:noWrap w:val="0"/>
            <w:vAlign w:val="center"/>
          </w:tcPr>
          <w:p w14:paraId="74DFA90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已补充和完善项目平面布置图（图示主要生产设施分布、雨污水排放口的位置）等</w:t>
            </w:r>
            <w:r>
              <w:rPr>
                <w:rFonts w:hint="eastAsia" w:cs="Times New Roman"/>
                <w:color w:val="auto"/>
                <w:sz w:val="21"/>
                <w:szCs w:val="21"/>
                <w:lang w:val="en-US" w:eastAsia="zh-CN"/>
              </w:rPr>
              <w:t>，详见附图2</w:t>
            </w:r>
            <w:r>
              <w:rPr>
                <w:rFonts w:hint="eastAsia" w:ascii="Times New Roman" w:hAnsi="Times New Roman" w:eastAsia="宋体" w:cs="Times New Roman"/>
                <w:color w:val="auto"/>
                <w:sz w:val="21"/>
                <w:szCs w:val="21"/>
                <w:lang w:val="en-US" w:eastAsia="zh-CN"/>
              </w:rPr>
              <w:t>；已补充项目所用原料均使用新材料的承诺书，详见附件10。</w:t>
            </w:r>
          </w:p>
        </w:tc>
      </w:tr>
      <w:tr w14:paraId="31EEB2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18" w:type="dxa"/>
            <w:gridSpan w:val="3"/>
            <w:noWrap w:val="0"/>
            <w:vAlign w:val="center"/>
          </w:tcPr>
          <w:p w14:paraId="78D083E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朱云</w:t>
            </w:r>
          </w:p>
        </w:tc>
      </w:tr>
      <w:tr w14:paraId="42D990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0" w:type="dxa"/>
            <w:noWrap w:val="0"/>
            <w:vAlign w:val="center"/>
          </w:tcPr>
          <w:p w14:paraId="33250C0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1</w:t>
            </w:r>
          </w:p>
        </w:tc>
        <w:tc>
          <w:tcPr>
            <w:tcW w:w="4182" w:type="dxa"/>
            <w:noWrap w:val="0"/>
            <w:vAlign w:val="center"/>
          </w:tcPr>
          <w:p w14:paraId="150F006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left"/>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核实注塑有机废气中挥发性有机物的执行标准（建议执行《挥发性有机物排放标准 第4部分：塑料制品业》</w:t>
            </w:r>
            <w:r>
              <w:rPr>
                <w:rFonts w:hint="default" w:ascii="Times New Roman" w:hAnsi="Times New Roman" w:eastAsia="宋体" w:cs="Times New Roman"/>
                <w:color w:val="auto"/>
                <w:sz w:val="21"/>
                <w:szCs w:val="21"/>
                <w:lang w:val="en-US" w:eastAsia="zh-CN"/>
              </w:rPr>
              <w:t>DB36/ 1101.4</w:t>
            </w:r>
            <w:r>
              <w:rPr>
                <w:rFonts w:hint="eastAsia" w:ascii="Times New Roman" w:hAnsi="Times New Roman" w:eastAsia="宋体" w:cs="Times New Roman"/>
                <w:color w:val="auto"/>
                <w:sz w:val="21"/>
                <w:szCs w:val="21"/>
                <w:lang w:val="en-US" w:eastAsia="zh-CN"/>
              </w:rPr>
              <w:t>—</w:t>
            </w:r>
            <w:r>
              <w:rPr>
                <w:rFonts w:hint="default" w:ascii="Times New Roman" w:hAnsi="Times New Roman" w:eastAsia="宋体" w:cs="Times New Roman"/>
                <w:color w:val="auto"/>
                <w:sz w:val="21"/>
                <w:szCs w:val="21"/>
                <w:lang w:val="en-US" w:eastAsia="zh-CN"/>
              </w:rPr>
              <w:t>2019</w:t>
            </w:r>
            <w:r>
              <w:rPr>
                <w:rFonts w:hint="eastAsia" w:ascii="Times New Roman" w:hAnsi="Times New Roman" w:eastAsia="宋体" w:cs="Times New Roman"/>
                <w:color w:val="auto"/>
                <w:sz w:val="21"/>
                <w:szCs w:val="21"/>
                <w:lang w:val="en-US" w:eastAsia="zh-CN"/>
              </w:rPr>
              <w:t>）；</w:t>
            </w:r>
          </w:p>
          <w:p w14:paraId="44B2DC6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left"/>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建议厂界挥发性有机物执行《合成树脂工业污染物排放标准》（</w:t>
            </w:r>
            <w:r>
              <w:rPr>
                <w:rFonts w:hint="default" w:ascii="Times New Roman" w:hAnsi="Times New Roman" w:eastAsia="宋体" w:cs="Times New Roman"/>
                <w:color w:val="auto"/>
                <w:sz w:val="21"/>
                <w:szCs w:val="21"/>
                <w:lang w:val="en-US" w:eastAsia="zh-CN"/>
              </w:rPr>
              <w:t>GB31572-2015</w:t>
            </w:r>
            <w:r>
              <w:rPr>
                <w:rFonts w:hint="eastAsia" w:ascii="Times New Roman" w:hAnsi="Times New Roman" w:eastAsia="宋体" w:cs="Times New Roman"/>
                <w:color w:val="auto"/>
                <w:sz w:val="21"/>
                <w:szCs w:val="21"/>
                <w:lang w:val="en-US" w:eastAsia="zh-CN"/>
              </w:rPr>
              <w:t>，含</w:t>
            </w:r>
            <w:r>
              <w:rPr>
                <w:rFonts w:hint="default" w:ascii="Times New Roman" w:hAnsi="Times New Roman" w:eastAsia="宋体" w:cs="Times New Roman"/>
                <w:color w:val="auto"/>
                <w:sz w:val="21"/>
                <w:szCs w:val="21"/>
                <w:lang w:val="en-US" w:eastAsia="zh-CN"/>
              </w:rPr>
              <w:t>2024</w:t>
            </w:r>
            <w:r>
              <w:rPr>
                <w:rFonts w:hint="eastAsia" w:ascii="Times New Roman" w:hAnsi="Times New Roman" w:eastAsia="宋体" w:cs="Times New Roman"/>
                <w:color w:val="auto"/>
                <w:sz w:val="21"/>
                <w:szCs w:val="21"/>
                <w:lang w:val="en-US" w:eastAsia="zh-CN"/>
              </w:rPr>
              <w:t>年修改单）、《挥发性有机物排放标准 第</w:t>
            </w:r>
            <w:r>
              <w:rPr>
                <w:rFonts w:hint="default" w:ascii="Times New Roman" w:hAnsi="Times New Roman" w:eastAsia="宋体" w:cs="Times New Roman"/>
                <w:color w:val="auto"/>
                <w:sz w:val="21"/>
                <w:szCs w:val="21"/>
                <w:lang w:val="en-US" w:eastAsia="zh-CN"/>
              </w:rPr>
              <w:t>4</w:t>
            </w:r>
            <w:r>
              <w:rPr>
                <w:rFonts w:hint="eastAsia" w:ascii="Times New Roman" w:hAnsi="Times New Roman" w:eastAsia="宋体" w:cs="Times New Roman"/>
                <w:color w:val="auto"/>
                <w:sz w:val="21"/>
                <w:szCs w:val="21"/>
                <w:lang w:val="en-US" w:eastAsia="zh-CN"/>
              </w:rPr>
              <w:t>部分：塑料制品业》</w:t>
            </w:r>
            <w:r>
              <w:rPr>
                <w:rFonts w:hint="default" w:ascii="Times New Roman" w:hAnsi="Times New Roman" w:eastAsia="宋体" w:cs="Times New Roman"/>
                <w:color w:val="auto"/>
                <w:sz w:val="21"/>
                <w:szCs w:val="21"/>
                <w:lang w:val="en-US" w:eastAsia="zh-CN"/>
              </w:rPr>
              <w:t>DB36/1101.4</w:t>
            </w:r>
            <w:r>
              <w:rPr>
                <w:rFonts w:hint="eastAsia" w:ascii="Times New Roman" w:hAnsi="Times New Roman" w:eastAsia="宋体" w:cs="Times New Roman"/>
                <w:color w:val="auto"/>
                <w:sz w:val="21"/>
                <w:szCs w:val="21"/>
                <w:lang w:val="en-US" w:eastAsia="zh-CN"/>
              </w:rPr>
              <w:t>—</w:t>
            </w:r>
            <w:r>
              <w:rPr>
                <w:rFonts w:hint="default" w:ascii="Times New Roman" w:hAnsi="Times New Roman" w:eastAsia="宋体" w:cs="Times New Roman"/>
                <w:color w:val="auto"/>
                <w:sz w:val="21"/>
                <w:szCs w:val="21"/>
                <w:lang w:val="en-US" w:eastAsia="zh-CN"/>
              </w:rPr>
              <w:t>2019</w:t>
            </w:r>
            <w:r>
              <w:rPr>
                <w:rFonts w:hint="eastAsia" w:ascii="Times New Roman" w:hAnsi="Times New Roman" w:eastAsia="宋体" w:cs="Times New Roman"/>
                <w:color w:val="auto"/>
                <w:sz w:val="21"/>
                <w:szCs w:val="21"/>
                <w:lang w:val="en-US" w:eastAsia="zh-CN"/>
              </w:rPr>
              <w:t>）中较严值；</w:t>
            </w:r>
          </w:p>
        </w:tc>
        <w:tc>
          <w:tcPr>
            <w:tcW w:w="3716" w:type="dxa"/>
            <w:noWrap w:val="0"/>
            <w:vAlign w:val="center"/>
          </w:tcPr>
          <w:p w14:paraId="40A8608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由于《合成树脂工业污染物排放标准》（GB31572-2015）（含2024年修改单）前言中“规定了合成树脂（聚氯乙烯树脂除外）工业企业及其生产设施的水污染物和大气污染物排放限值、监测和监督管理要求。”，本项目注塑工艺采用PVC塑料，与该规范不符，最后执行《大气污染物综合排放标准》（GB16297-1996）中表2的二级标准；《挥发性有机物排放控制标准第4部分：塑料制品业》（DB36/1101.4-2019）适用范围中“不包括2925塑料人造革、合成革制造以及塑料鞋制造行业”，本项目属于塑料鞋制造行业，与该规范不适用</w:t>
            </w:r>
            <w:r>
              <w:rPr>
                <w:rFonts w:hint="eastAsia" w:cs="Times New Roman"/>
                <w:color w:val="auto"/>
                <w:sz w:val="21"/>
                <w:szCs w:val="21"/>
                <w:lang w:val="en-US" w:eastAsia="zh-CN"/>
              </w:rPr>
              <w:t>，2026年7月1日起非甲烷总烃执行《挥发性有机物综合排放控制标准(试行)》（DB36/ 2186—2025），该标准未实施前非甲烷总烃执行</w:t>
            </w:r>
            <w:r>
              <w:rPr>
                <w:rFonts w:hint="eastAsia" w:ascii="Times New Roman" w:hAnsi="Times New Roman" w:eastAsia="宋体" w:cs="Times New Roman"/>
                <w:color w:val="auto"/>
                <w:sz w:val="21"/>
                <w:szCs w:val="21"/>
                <w:lang w:val="en-US" w:eastAsia="zh-CN"/>
              </w:rPr>
              <w:t>《大气污染物综合排放标准》（GB16297-1996）中表2的二级标准</w:t>
            </w:r>
            <w:r>
              <w:rPr>
                <w:rFonts w:hint="eastAsia" w:cs="Times New Roman"/>
                <w:color w:val="auto"/>
                <w:sz w:val="21"/>
                <w:szCs w:val="21"/>
                <w:lang w:val="en-US" w:eastAsia="zh-CN"/>
              </w:rPr>
              <w:t>；</w:t>
            </w:r>
          </w:p>
        </w:tc>
      </w:tr>
      <w:tr w14:paraId="1E717C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0" w:type="dxa"/>
            <w:noWrap w:val="0"/>
            <w:vAlign w:val="center"/>
          </w:tcPr>
          <w:p w14:paraId="0DFA4ED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w:t>
            </w:r>
          </w:p>
        </w:tc>
        <w:tc>
          <w:tcPr>
            <w:tcW w:w="4182" w:type="dxa"/>
            <w:noWrap w:val="0"/>
            <w:vAlign w:val="center"/>
          </w:tcPr>
          <w:p w14:paraId="0C9EC13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left"/>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说明各车间产生点的挥发性有机物采用正压而非负压收集的理由；</w:t>
            </w:r>
          </w:p>
        </w:tc>
        <w:tc>
          <w:tcPr>
            <w:tcW w:w="3716" w:type="dxa"/>
            <w:noWrap w:val="0"/>
            <w:vAlign w:val="center"/>
          </w:tcPr>
          <w:p w14:paraId="6BE95B9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已核实修改，各车间产生点的挥发性有机物采用负压收集，已补充说明了理由，详见P</w:t>
            </w:r>
            <w:r>
              <w:rPr>
                <w:rFonts w:hint="eastAsia" w:cs="Times New Roman"/>
                <w:color w:val="auto"/>
                <w:sz w:val="21"/>
                <w:szCs w:val="21"/>
                <w:lang w:val="en-US" w:eastAsia="zh-CN"/>
              </w:rPr>
              <w:t>75</w:t>
            </w:r>
            <w:r>
              <w:rPr>
                <w:rFonts w:hint="eastAsia" w:ascii="Times New Roman" w:hAnsi="Times New Roman" w:eastAsia="宋体" w:cs="Times New Roman"/>
                <w:color w:val="auto"/>
                <w:sz w:val="21"/>
                <w:szCs w:val="21"/>
                <w:lang w:val="en-US" w:eastAsia="zh-CN"/>
              </w:rPr>
              <w:t>；</w:t>
            </w:r>
          </w:p>
        </w:tc>
      </w:tr>
      <w:tr w14:paraId="3D4AA8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0" w:type="dxa"/>
            <w:noWrap w:val="0"/>
            <w:vAlign w:val="center"/>
          </w:tcPr>
          <w:p w14:paraId="2B455D0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3</w:t>
            </w:r>
          </w:p>
        </w:tc>
        <w:tc>
          <w:tcPr>
            <w:tcW w:w="4182" w:type="dxa"/>
            <w:noWrap w:val="0"/>
            <w:vAlign w:val="center"/>
          </w:tcPr>
          <w:p w14:paraId="06A205A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left"/>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说明废气治理设施可行性分析中为什么要与《制鞋工业大气污染物 排放标准》（DB33/2046-2017）对标分析；</w:t>
            </w:r>
          </w:p>
        </w:tc>
        <w:tc>
          <w:tcPr>
            <w:tcW w:w="3716" w:type="dxa"/>
            <w:noWrap w:val="0"/>
            <w:vAlign w:val="center"/>
          </w:tcPr>
          <w:p w14:paraId="2A1BCA5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已核实修改，</w:t>
            </w:r>
            <w:r>
              <w:rPr>
                <w:rFonts w:hint="eastAsia" w:ascii="Times New Roman" w:hAnsi="Times New Roman" w:eastAsia="宋体" w:cs="Times New Roman"/>
                <w:color w:val="auto"/>
                <w:sz w:val="21"/>
                <w:szCs w:val="21"/>
                <w:lang w:val="en-US" w:eastAsia="zh-CN"/>
              </w:rPr>
              <w:t>废气治理设施可行性分析</w:t>
            </w:r>
            <w:r>
              <w:rPr>
                <w:rFonts w:hint="eastAsia" w:cs="Times New Roman"/>
                <w:color w:val="auto"/>
                <w:sz w:val="21"/>
                <w:szCs w:val="21"/>
                <w:lang w:val="en-US" w:eastAsia="zh-CN"/>
              </w:rPr>
              <w:t>与</w:t>
            </w:r>
            <w:r>
              <w:rPr>
                <w:rFonts w:hint="eastAsia" w:ascii="Times New Roman" w:hAnsi="Times New Roman" w:eastAsia="宋体" w:cs="Times New Roman"/>
                <w:color w:val="auto"/>
                <w:sz w:val="21"/>
                <w:szCs w:val="21"/>
                <w:lang w:val="en-US" w:eastAsia="zh-CN"/>
              </w:rPr>
              <w:t>《大气污染物综合排放标准》（GB16297-1996）</w:t>
            </w:r>
            <w:r>
              <w:rPr>
                <w:rFonts w:hint="eastAsia"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《合成树脂工业污染物排放标准》（GB31572-2015，含2024年修改单）对标分析</w:t>
            </w:r>
            <w:r>
              <w:rPr>
                <w:rFonts w:hint="eastAsia" w:cs="Times New Roman"/>
                <w:color w:val="auto"/>
                <w:sz w:val="21"/>
                <w:szCs w:val="21"/>
                <w:lang w:val="en-US" w:eastAsia="zh-CN"/>
              </w:rPr>
              <w:t>，详见P75-76</w:t>
            </w:r>
            <w:r>
              <w:rPr>
                <w:rFonts w:hint="eastAsia" w:ascii="Times New Roman" w:hAnsi="Times New Roman" w:eastAsia="宋体" w:cs="Times New Roman"/>
                <w:color w:val="auto"/>
                <w:sz w:val="21"/>
                <w:szCs w:val="21"/>
                <w:lang w:val="en-US" w:eastAsia="zh-CN"/>
              </w:rPr>
              <w:t>；</w:t>
            </w:r>
          </w:p>
        </w:tc>
      </w:tr>
      <w:tr w14:paraId="053F07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0" w:type="dxa"/>
            <w:noWrap w:val="0"/>
            <w:vAlign w:val="center"/>
          </w:tcPr>
          <w:p w14:paraId="21678920">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4</w:t>
            </w:r>
          </w:p>
        </w:tc>
        <w:tc>
          <w:tcPr>
            <w:tcW w:w="4182" w:type="dxa"/>
            <w:noWrap w:val="0"/>
            <w:vAlign w:val="center"/>
          </w:tcPr>
          <w:p w14:paraId="51ECBE5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left"/>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补充排气筒高度设置合理性分析；</w:t>
            </w:r>
          </w:p>
        </w:tc>
        <w:tc>
          <w:tcPr>
            <w:tcW w:w="3716" w:type="dxa"/>
            <w:noWrap w:val="0"/>
            <w:vAlign w:val="center"/>
          </w:tcPr>
          <w:p w14:paraId="23531A4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已补充排气筒高度设置合理性分析，详见P</w:t>
            </w:r>
            <w:r>
              <w:rPr>
                <w:rFonts w:hint="eastAsia" w:cs="Times New Roman"/>
                <w:color w:val="auto"/>
                <w:sz w:val="21"/>
                <w:szCs w:val="21"/>
                <w:lang w:val="en-US" w:eastAsia="zh-CN"/>
              </w:rPr>
              <w:t>74</w:t>
            </w:r>
            <w:r>
              <w:rPr>
                <w:rFonts w:hint="eastAsia" w:ascii="Times New Roman" w:hAnsi="Times New Roman" w:eastAsia="宋体" w:cs="Times New Roman"/>
                <w:color w:val="auto"/>
                <w:sz w:val="21"/>
                <w:szCs w:val="21"/>
                <w:lang w:val="en-US" w:eastAsia="zh-CN"/>
              </w:rPr>
              <w:t>；</w:t>
            </w:r>
          </w:p>
        </w:tc>
      </w:tr>
      <w:tr w14:paraId="352DC8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0" w:type="dxa"/>
            <w:noWrap w:val="0"/>
            <w:vAlign w:val="center"/>
          </w:tcPr>
          <w:p w14:paraId="0750970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5</w:t>
            </w:r>
          </w:p>
        </w:tc>
        <w:tc>
          <w:tcPr>
            <w:tcW w:w="4182" w:type="dxa"/>
            <w:noWrap w:val="0"/>
            <w:vAlign w:val="center"/>
          </w:tcPr>
          <w:p w14:paraId="685370A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left"/>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核实是否需要设置卫生防护距离；</w:t>
            </w:r>
          </w:p>
        </w:tc>
        <w:tc>
          <w:tcPr>
            <w:tcW w:w="3716" w:type="dxa"/>
            <w:noWrap w:val="0"/>
            <w:vAlign w:val="center"/>
          </w:tcPr>
          <w:p w14:paraId="1464FA0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已核实补充，</w:t>
            </w:r>
            <w:r>
              <w:rPr>
                <w:rFonts w:hint="eastAsia" w:ascii="Times New Roman" w:hAnsi="Times New Roman" w:eastAsia="宋体" w:cs="Times New Roman"/>
                <w:color w:val="auto"/>
                <w:sz w:val="21"/>
                <w:szCs w:val="21"/>
                <w:lang w:val="en-US" w:eastAsia="zh-CN"/>
              </w:rPr>
              <w:t>设置卫生防护距离</w:t>
            </w:r>
            <w:r>
              <w:rPr>
                <w:rFonts w:hint="eastAsia" w:cs="Times New Roman"/>
                <w:color w:val="auto"/>
                <w:sz w:val="21"/>
                <w:szCs w:val="21"/>
                <w:lang w:val="en-US" w:eastAsia="zh-CN"/>
              </w:rPr>
              <w:t>，详见P76-78；</w:t>
            </w:r>
          </w:p>
        </w:tc>
      </w:tr>
      <w:tr w14:paraId="6621F5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0" w:type="dxa"/>
            <w:noWrap w:val="0"/>
            <w:vAlign w:val="center"/>
          </w:tcPr>
          <w:p w14:paraId="2C7A9AD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w:t>
            </w:r>
          </w:p>
        </w:tc>
        <w:tc>
          <w:tcPr>
            <w:tcW w:w="4182" w:type="dxa"/>
            <w:noWrap w:val="0"/>
            <w:vAlign w:val="center"/>
          </w:tcPr>
          <w:p w14:paraId="7DD7EFA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left"/>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补充项目所在园区雨、污水路径图。</w:t>
            </w:r>
          </w:p>
        </w:tc>
        <w:tc>
          <w:tcPr>
            <w:tcW w:w="3716" w:type="dxa"/>
            <w:noWrap w:val="0"/>
            <w:vAlign w:val="center"/>
          </w:tcPr>
          <w:p w14:paraId="2D7CDBF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left"/>
              <w:textAlignment w:val="auto"/>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已补充项目所在园区乐平市金山工业园区污水管网图和雨水管网图，详见附图10、附图11。</w:t>
            </w:r>
          </w:p>
        </w:tc>
      </w:tr>
    </w:tbl>
    <w:p w14:paraId="4018B068">
      <w:pPr>
        <w:pStyle w:val="18"/>
        <w:jc w:val="both"/>
        <w:outlineLvl w:val="0"/>
        <w:rPr>
          <w:rFonts w:hint="eastAsia" w:ascii="宋体" w:hAnsi="宋体" w:eastAsia="宋体" w:cs="宋体"/>
          <w:b/>
          <w:bCs/>
          <w:snapToGrid w:val="0"/>
          <w:color w:val="auto"/>
          <w:sz w:val="24"/>
          <w:szCs w:val="24"/>
          <w:highlight w:val="none"/>
          <w:lang w:val="en-US" w:eastAsia="zh-CN"/>
        </w:rPr>
        <w:sectPr>
          <w:pgSz w:w="11906" w:h="16838"/>
          <w:pgMar w:top="1440" w:right="1531" w:bottom="1440" w:left="1531"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30D54EB5">
      <w:pPr>
        <w:pStyle w:val="18"/>
        <w:jc w:val="both"/>
        <w:outlineLvl w:val="0"/>
        <w:rPr>
          <w:rFonts w:hint="default" w:ascii="宋体" w:hAnsi="宋体" w:eastAsia="宋体" w:cs="宋体"/>
          <w:b/>
          <w:bCs/>
          <w:snapToGrid w:val="0"/>
          <w:color w:val="auto"/>
          <w:sz w:val="24"/>
          <w:szCs w:val="24"/>
          <w:highlight w:val="none"/>
          <w:lang w:val="en-US" w:eastAsia="zh-CN"/>
        </w:rPr>
      </w:pPr>
      <w:bookmarkStart w:id="73" w:name="_Toc545"/>
      <w:r>
        <w:rPr>
          <w:rFonts w:hint="eastAsia" w:ascii="宋体" w:hAnsi="宋体" w:eastAsia="宋体" w:cs="宋体"/>
          <w:b/>
          <w:bCs/>
          <w:snapToGrid w:val="0"/>
          <w:color w:val="auto"/>
          <w:sz w:val="24"/>
          <w:szCs w:val="24"/>
          <w:highlight w:val="none"/>
          <w:lang w:val="en-US" w:eastAsia="zh-CN"/>
        </w:rPr>
        <w:t>附件</w:t>
      </w:r>
      <w:r>
        <w:rPr>
          <w:rFonts w:hint="eastAsia" w:ascii="Times New Roman" w:hAnsi="Times New Roman" w:cs="Times New Roman"/>
          <w:b/>
          <w:bCs/>
          <w:snapToGrid w:val="0"/>
          <w:color w:val="auto"/>
          <w:sz w:val="24"/>
          <w:szCs w:val="24"/>
          <w:highlight w:val="none"/>
          <w:lang w:val="en-US" w:eastAsia="zh-CN"/>
        </w:rPr>
        <w:t>14</w:t>
      </w:r>
      <w:r>
        <w:rPr>
          <w:rFonts w:hint="eastAsia" w:ascii="宋体" w:hAnsi="宋体" w:eastAsia="宋体" w:cs="宋体"/>
          <w:b/>
          <w:bCs/>
          <w:snapToGrid w:val="0"/>
          <w:color w:val="auto"/>
          <w:sz w:val="24"/>
          <w:szCs w:val="24"/>
          <w:highlight w:val="none"/>
          <w:lang w:val="en-US" w:eastAsia="zh-CN"/>
        </w:rPr>
        <w:t xml:space="preserve"> </w:t>
      </w:r>
      <w:r>
        <w:rPr>
          <w:rFonts w:hint="eastAsia" w:cs="宋体"/>
          <w:b/>
          <w:bCs/>
          <w:snapToGrid w:val="0"/>
          <w:color w:val="auto"/>
          <w:sz w:val="24"/>
          <w:szCs w:val="24"/>
          <w:highlight w:val="none"/>
          <w:lang w:val="en-US" w:eastAsia="zh-CN"/>
        </w:rPr>
        <w:t>专家复核意见</w:t>
      </w:r>
      <w:bookmarkEnd w:id="73"/>
    </w:p>
    <w:p w14:paraId="4EC514A2">
      <w:pPr>
        <w:pStyle w:val="23"/>
        <w:keepNext w:val="0"/>
        <w:keepLines w:val="0"/>
        <w:pageBreakBefore w:val="0"/>
        <w:widowControl w:val="0"/>
        <w:kinsoku/>
        <w:wordWrap/>
        <w:overflowPunct/>
        <w:topLinePunct w:val="0"/>
        <w:autoSpaceDE/>
        <w:autoSpaceDN/>
        <w:bidi w:val="0"/>
        <w:adjustRightInd/>
        <w:snapToGrid/>
        <w:ind w:left="0" w:firstLine="0" w:firstLineChars="0"/>
        <w:jc w:val="center"/>
        <w:textAlignment w:val="auto"/>
        <w:rPr>
          <w:rFonts w:hint="default"/>
          <w:color w:val="auto"/>
          <w:lang w:val="en-US" w:eastAsia="zh-CN"/>
        </w:rPr>
      </w:pPr>
      <w:r>
        <w:rPr>
          <w:color w:val="auto"/>
        </w:rPr>
        <w:drawing>
          <wp:inline distT="0" distB="0" distL="114300" distR="114300">
            <wp:extent cx="5793105" cy="7108825"/>
            <wp:effectExtent l="0" t="0" r="13335" b="8255"/>
            <wp:docPr id="34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图片 6"/>
                    <pic:cNvPicPr>
                      <a:picLocks noChangeAspect="1"/>
                    </pic:cNvPicPr>
                  </pic:nvPicPr>
                  <pic:blipFill>
                    <a:blip r:embed="rId136"/>
                    <a:stretch>
                      <a:fillRect/>
                    </a:stretch>
                  </pic:blipFill>
                  <pic:spPr>
                    <a:xfrm>
                      <a:off x="0" y="0"/>
                      <a:ext cx="5793105" cy="7108825"/>
                    </a:xfrm>
                    <a:prstGeom prst="rect">
                      <a:avLst/>
                    </a:prstGeom>
                    <a:noFill/>
                    <a:ln>
                      <a:noFill/>
                    </a:ln>
                  </pic:spPr>
                </pic:pic>
              </a:graphicData>
            </a:graphic>
          </wp:inline>
        </w:drawing>
      </w:r>
      <w:r>
        <w:rPr>
          <w:color w:val="auto"/>
        </w:rPr>
        <w:drawing>
          <wp:inline distT="0" distB="0" distL="114300" distR="114300">
            <wp:extent cx="5610860" cy="6558280"/>
            <wp:effectExtent l="0" t="0" r="12700" b="10160"/>
            <wp:docPr id="34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图片 6"/>
                    <pic:cNvPicPr>
                      <a:picLocks noChangeAspect="1"/>
                    </pic:cNvPicPr>
                  </pic:nvPicPr>
                  <pic:blipFill>
                    <a:blip r:embed="rId137"/>
                    <a:stretch>
                      <a:fillRect/>
                    </a:stretch>
                  </pic:blipFill>
                  <pic:spPr>
                    <a:xfrm>
                      <a:off x="0" y="0"/>
                      <a:ext cx="5610860" cy="6558280"/>
                    </a:xfrm>
                    <a:prstGeom prst="rect">
                      <a:avLst/>
                    </a:prstGeom>
                    <a:noFill/>
                    <a:ln>
                      <a:noFill/>
                    </a:ln>
                  </pic:spPr>
                </pic:pic>
              </a:graphicData>
            </a:graphic>
          </wp:inline>
        </w:drawing>
      </w:r>
    </w:p>
    <w:sectPr>
      <w:pgSz w:w="11906" w:h="16838"/>
      <w:pgMar w:top="1440" w:right="1531" w:bottom="1440" w:left="1531" w:header="851" w:footer="992" w:gutter="0"/>
      <w:pgBorders>
        <w:top w:val="none" w:sz="0" w:space="0"/>
        <w:left w:val="none" w:sz="0" w:space="0"/>
        <w:bottom w:val="none" w:sz="0" w:space="0"/>
        <w:right w:val="none" w:sz="0" w:space="0"/>
      </w:pgBorders>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8"/>
    <w:family w:val="auto"/>
    <w:pitch w:val="default"/>
    <w:sig w:usb0="E0002EFF" w:usb1="C000785B" w:usb2="00000009" w:usb3="00000000" w:csb0="400001FF" w:csb1="FFFF0000"/>
  </w:font>
  <w:font w:name="宋体">
    <w:panose1 w:val="02010600030101010101"/>
    <w:charset w:val="81"/>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libri Light">
    <w:panose1 w:val="020F0302020204030204"/>
    <w:charset w:val="00"/>
    <w:family w:val="swiss"/>
    <w:pitch w:val="default"/>
    <w:sig w:usb0="E4002EFF" w:usb1="C2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Helv">
    <w:altName w:val="Arial"/>
    <w:panose1 w:val="020B0604020202030204"/>
    <w:charset w:val="00"/>
    <w:family w:val="swiss"/>
    <w:pitch w:val="default"/>
    <w:sig w:usb0="00000000" w:usb1="00000000" w:usb2="00000000" w:usb3="00000000" w:csb0="00000001" w:csb1="00000000"/>
  </w:font>
  <w:font w:name="新宋体">
    <w:panose1 w:val="02010609030101010101"/>
    <w:charset w:val="86"/>
    <w:family w:val="modern"/>
    <w:pitch w:val="default"/>
    <w:sig w:usb0="00000203" w:usb1="288F0000" w:usb2="00000006" w:usb3="00000000" w:csb0="00040001"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等线 Light">
    <w:panose1 w:val="02010600030101010101"/>
    <w:charset w:val="86"/>
    <w:family w:val="auto"/>
    <w:pitch w:val="default"/>
    <w:sig w:usb0="A00002BF" w:usb1="38CF7CFA" w:usb2="00000016" w:usb3="00000000" w:csb0="0004000F" w:csb1="00000000"/>
  </w:font>
  <w:font w:name="方正小标宋_GBK">
    <w:altName w:val="微软雅黑"/>
    <w:panose1 w:val="00000000000000000000"/>
    <w:charset w:val="86"/>
    <w:family w:val="script"/>
    <w:pitch w:val="default"/>
    <w:sig w:usb0="00000000" w:usb1="00000000" w:usb2="00082016" w:usb3="00000000" w:csb0="00040001" w:csb1="00000000"/>
  </w:font>
  <w:font w:name="微软雅黑">
    <w:panose1 w:val="020B0503020204020204"/>
    <w:charset w:val="86"/>
    <w:family w:val="auto"/>
    <w:pitch w:val="default"/>
    <w:sig w:usb0="80000287" w:usb1="2ACF3C50" w:usb2="00000016" w:usb3="00000000" w:csb0="0004001F" w:csb1="00000000"/>
  </w:font>
  <w:font w:name="Wingdings 2">
    <w:panose1 w:val="05020102010507070707"/>
    <w:charset w:val="02"/>
    <w:family w:val="auto"/>
    <w:pitch w:val="default"/>
    <w:sig w:usb0="00000000" w:usb1="00000000" w:usb2="00000000" w:usb3="00000000" w:csb0="80000000"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70DBEA">
    <w:pPr>
      <w:pStyle w:val="17"/>
      <w:ind w:right="360" w:firstLine="360"/>
      <w:rPr>
        <w:rFonts w:hint="default" w:ascii="Times New Roman" w:hAnsi="Times New Roman" w:eastAsia="宋体" w:cs="Times New Roman"/>
        <w:lang w:val="en-US" w:eastAsia="zh-CN"/>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263768">
    <w:pPr>
      <w:pStyle w:val="17"/>
      <w:ind w:right="360" w:firstLine="360"/>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-6350</wp:posOffset>
              </wp:positionV>
              <wp:extent cx="1828800" cy="1828800"/>
              <wp:effectExtent l="0" t="0" r="0" b="0"/>
              <wp:wrapNone/>
              <wp:docPr id="2" name="文本框 3"/>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719B44BA">
                          <w:pPr>
                            <w:pStyle w:val="17"/>
                          </w:pPr>
                          <w:r>
                            <w:fldChar w:fldCharType="begin"/>
                          </w:r>
                          <w:r>
                            <w:instrText xml:space="preserve"> PAGE  \* MERGEFORMAT </w:instrText>
                          </w:r>
                          <w:r>
                            <w:fldChar w:fldCharType="separate"/>
                          </w:r>
                          <w:r>
                            <w:t>34</w:t>
                          </w:r>
                          <w:r>
                            <w:fldChar w:fldCharType="end"/>
                          </w:r>
                        </w:p>
                      </w:txbxContent>
                    </wps:txbx>
                    <wps:bodyPr vert="horz" wrap="none" lIns="0" tIns="0" rIns="0" bIns="0" anchor="t" upright="0">
                      <a:spAutoFit/>
                    </wps:bodyPr>
                  </wps:wsp>
                </a:graphicData>
              </a:graphic>
            </wp:anchor>
          </w:drawing>
        </mc:Choice>
        <mc:Fallback>
          <w:pict>
            <v:rect id="文本框 3" o:spid="_x0000_s1026" o:spt="1" style="position:absolute;left:0pt;margin-top:-0.5pt;height:144pt;width:144pt;mso-position-horizontal:center;mso-position-horizontal-relative:margin;mso-wrap-style:none;z-index:251660288;mso-width-relative:page;mso-height-relative:page;" filled="f" stroked="f" coordsize="21600,21600" o:gfxdata="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">
              <v:fill on="f" focussize="0,0"/>
              <v:stroke on="f"/>
              <v:imagedata o:title=""/>
              <o:lock v:ext="edit" aspectratio="f"/>
              <v:textbox inset="0mm,0mm,0mm,0mm" style="mso-fit-shape-to-text:t;">
                <w:txbxContent>
                  <w:p w14:paraId="719B44BA">
                    <w:pPr>
                      <w:pStyle w:val="17"/>
                    </w:pPr>
                    <w:r>
                      <w:fldChar w:fldCharType="begin"/>
                    </w:r>
                    <w:r>
                      <w:instrText xml:space="preserve"> PAGE  \* MERGEFORMAT </w:instrText>
                    </w:r>
                    <w:r>
                      <w:fldChar w:fldCharType="separate"/>
                    </w:r>
                    <w:r>
                      <w:t>34</w:t>
                    </w:r>
                    <w:r>
                      <w:fldChar w:fldCharType="end"/>
                    </w:r>
                  </w:p>
                </w:txbxContent>
              </v:textbox>
            </v:rect>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F74ED5">
    <w:pPr>
      <w:pStyle w:val="17"/>
      <w:ind w:right="360" w:firstLine="360"/>
    </w:pPr>
    <w:r>
      <mc:AlternateContent>
        <mc:Choice Requires="wps">
          <w:drawing>
            <wp:anchor distT="0" distB="0" distL="0" distR="0" simplePos="0" relativeHeight="251661312" behindDoc="0" locked="0" layoutInCell="1" allowOverlap="1">
              <wp:simplePos x="0" y="0"/>
              <wp:positionH relativeFrom="margin">
                <wp:align>center</wp:align>
              </wp:positionH>
              <wp:positionV relativeFrom="paragraph">
                <wp:posOffset>-6350</wp:posOffset>
              </wp:positionV>
              <wp:extent cx="170815" cy="139065"/>
              <wp:effectExtent l="0" t="0" r="0" b="0"/>
              <wp:wrapNone/>
              <wp:docPr id="4097" name="文本框 3"/>
              <wp:cNvGraphicFramePr/>
              <a:graphic xmlns:a="http://schemas.openxmlformats.org/drawingml/2006/main">
                <a:graphicData uri="http://schemas.microsoft.com/office/word/2010/wordprocessingShape">
                  <wps:wsp>
                    <wps:cNvSpPr/>
                    <wps:spPr>
                      <a:xfrm>
                        <a:off x="0" y="0"/>
                        <a:ext cx="170815" cy="139065"/>
                      </a:xfrm>
                      <a:prstGeom prst="rect">
                        <a:avLst/>
                      </a:prstGeom>
                      <a:ln>
                        <a:noFill/>
                      </a:ln>
                    </wps:spPr>
                    <wps:txbx>
                      <w:txbxContent>
                        <w:p w14:paraId="4A28EC1C">
                          <w:pPr>
                            <w:pStyle w:val="17"/>
                          </w:pPr>
                          <w:r>
                            <w:fldChar w:fldCharType="begin"/>
                          </w:r>
                          <w:r>
                            <w:instrText xml:space="preserve"> PAGE  \* MERGEFORMAT </w:instrText>
                          </w:r>
                          <w:r>
                            <w:fldChar w:fldCharType="separate"/>
                          </w:r>
                          <w:r>
                            <w:t>34</w:t>
                          </w:r>
                          <w:r>
                            <w:fldChar w:fldCharType="end"/>
                          </w:r>
                        </w:p>
                      </w:txbxContent>
                    </wps:txbx>
                    <wps:bodyPr vert="horz" wrap="square" lIns="0" tIns="0" rIns="0" bIns="0" anchor="t" upright="0">
                      <a:noAutofit/>
                    </wps:bodyPr>
                  </wps:wsp>
                </a:graphicData>
              </a:graphic>
            </wp:anchor>
          </w:drawing>
        </mc:Choice>
        <mc:Fallback>
          <w:pict>
            <v:rect id="文本框 3" o:spid="_x0000_s1026" o:spt="1" style="position:absolute;left:0pt;margin-top:-0.5pt;height:10.95pt;width:13.45pt;mso-position-horizontal:center;mso-position-horizontal-relative:margin;z-index:251661312;mso-width-relative:page;mso-height-relative:page;" filled="f" stroked="f" coordsize="21600,21600" o:gfxdata="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moboHtUAAAAFAQAADwAAAAAAAAABACAA&#10;AAAiAAAAZHJzL2Rvd25yZXYueG1sUEsBAhQAFAAAAAgAh07iQIO4voHXAQAAngMAAA4AAAAAAAAA&#10;AQAgAAAAJAEAAGRycy9lMm9Eb2MueG1sUEsFBgAAAAAGAAYAWQEAAG0FAAAAAA==&#10;">
              <v:fill on="f" focussize="0,0"/>
              <v:stroke on="f"/>
              <v:imagedata o:title=""/>
              <o:lock v:ext="edit" aspectratio="f"/>
              <v:textbox inset="0mm,0mm,0mm,0mm">
                <w:txbxContent>
                  <w:p w14:paraId="4A28EC1C">
                    <w:pPr>
                      <w:pStyle w:val="17"/>
                    </w:pPr>
                    <w:r>
                      <w:fldChar w:fldCharType="begin"/>
                    </w:r>
                    <w:r>
                      <w:instrText xml:space="preserve"> PAGE  \* MERGEFORMAT </w:instrText>
                    </w:r>
                    <w:r>
                      <w:fldChar w:fldCharType="separate"/>
                    </w:r>
                    <w:r>
                      <w:t>34</w:t>
                    </w:r>
                    <w:r>
                      <w:fldChar w:fldCharType="end"/>
                    </w:r>
                  </w:p>
                </w:txbxContent>
              </v:textbox>
            </v:rect>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5D3FF5">
    <w:pPr>
      <w:pStyle w:val="17"/>
      <w:ind w:right="360" w:firstLine="360"/>
      <w:jc w:val="center"/>
    </w:pPr>
    <w:r>
      <mc:AlternateContent>
        <mc:Choice Requires="wps">
          <w:drawing>
            <wp:anchor distT="0" distB="0" distL="0" distR="0" simplePos="0" relativeHeight="251661312" behindDoc="0" locked="0" layoutInCell="1" allowOverlap="1">
              <wp:simplePos x="0" y="0"/>
              <wp:positionH relativeFrom="margin">
                <wp:align>center</wp:align>
              </wp:positionH>
              <wp:positionV relativeFrom="paragraph">
                <wp:posOffset>-6350</wp:posOffset>
              </wp:positionV>
              <wp:extent cx="1828800" cy="1828800"/>
              <wp:effectExtent l="0" t="0" r="0" b="0"/>
              <wp:wrapNone/>
              <wp:docPr id="4098" name="文本框 4"/>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02EEBAA7">
                          <w:pPr>
                            <w:pStyle w:val="17"/>
                          </w:pPr>
                          <w:r>
                            <w:fldChar w:fldCharType="begin"/>
                          </w:r>
                          <w:r>
                            <w:instrText xml:space="preserve"> PAGE  \* MERGEFORMAT </w:instrText>
                          </w:r>
                          <w:r>
                            <w:fldChar w:fldCharType="separate"/>
                          </w:r>
                          <w:r>
                            <w:t>36</w:t>
                          </w:r>
                          <w:r>
                            <w:fldChar w:fldCharType="end"/>
                          </w:r>
                        </w:p>
                      </w:txbxContent>
                    </wps:txbx>
                    <wps:bodyPr vert="horz" wrap="none" lIns="0" tIns="0" rIns="0" bIns="0" anchor="t" upright="0">
                      <a:spAutoFit/>
                    </wps:bodyPr>
                  </wps:wsp>
                </a:graphicData>
              </a:graphic>
            </wp:anchor>
          </w:drawing>
        </mc:Choice>
        <mc:Fallback>
          <w:pict>
            <v:rect id="文本框 4" o:spid="_x0000_s1026" o:spt="1" style="position:absolute;left:0pt;margin-top:-0.5pt;height:144pt;width:144pt;mso-position-horizontal:center;mso-position-horizontal-relative:margin;mso-wrap-style:none;z-index:251661312;mso-width-relative:page;mso-height-relative:page;" filled="f" stroked="f" coordsize="21600,21600" o:gfxdata="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LZt3kjTAAAABwEAAA8AAAAAAAAAAQAgAAAAIgAAAGRy&#10;cy9kb3ducmV2LnhtbFBLAQIUABQAAAAIAIdO4kB2p74Y0QEAAJ4DAAAOAAAAAAAAAAEAIAAAACIB&#10;AABkcnMvZTJvRG9jLnhtbFBLBQYAAAAABgAGAFkBAABlBQAAAAA=&#10;">
              <v:fill on="f" focussize="0,0"/>
              <v:stroke on="f"/>
              <v:imagedata o:title=""/>
              <o:lock v:ext="edit" aspectratio="f"/>
              <v:textbox inset="0mm,0mm,0mm,0mm" style="mso-fit-shape-to-text:t;">
                <w:txbxContent>
                  <w:p w14:paraId="02EEBAA7">
                    <w:pPr>
                      <w:pStyle w:val="17"/>
                    </w:pPr>
                    <w:r>
                      <w:fldChar w:fldCharType="begin"/>
                    </w:r>
                    <w:r>
                      <w:instrText xml:space="preserve"> PAGE  \* MERGEFORMAT </w:instrText>
                    </w:r>
                    <w:r>
                      <w:fldChar w:fldCharType="separate"/>
                    </w:r>
                    <w:r>
                      <w:t>36</w:t>
                    </w:r>
                    <w:r>
                      <w:fldChar w:fldCharType="end"/>
                    </w:r>
                  </w:p>
                </w:txbxContent>
              </v:textbox>
            </v:rect>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77FF7F4"/>
    <w:multiLevelType w:val="singleLevel"/>
    <w:tmpl w:val="A77FF7F4"/>
    <w:lvl w:ilvl="0" w:tentative="0">
      <w:start w:val="2"/>
      <w:numFmt w:val="decimal"/>
      <w:suff w:val="nothing"/>
      <w:lvlText w:val="%1）"/>
      <w:lvlJc w:val="left"/>
    </w:lvl>
  </w:abstractNum>
  <w:abstractNum w:abstractNumId="1">
    <w:nsid w:val="B39E3188"/>
    <w:multiLevelType w:val="singleLevel"/>
    <w:tmpl w:val="B39E3188"/>
    <w:lvl w:ilvl="0" w:tentative="0">
      <w:start w:val="1"/>
      <w:numFmt w:val="decimal"/>
      <w:suff w:val="nothing"/>
      <w:lvlText w:val="%1、"/>
      <w:lvlJc w:val="left"/>
    </w:lvl>
  </w:abstractNum>
  <w:abstractNum w:abstractNumId="2">
    <w:nsid w:val="C3C47125"/>
    <w:multiLevelType w:val="multilevel"/>
    <w:tmpl w:val="C3C47125"/>
    <w:lvl w:ilvl="0" w:tentative="0">
      <w:start w:val="1"/>
      <w:numFmt w:val="chineseCounting"/>
      <w:suff w:val="space"/>
      <w:lvlText w:val="%1、"/>
      <w:lvlJc w:val="left"/>
      <w:pPr>
        <w:tabs>
          <w:tab w:val="left" w:pos="6945"/>
        </w:tabs>
        <w:ind w:left="6945" w:firstLine="0"/>
      </w:pPr>
      <w:rPr>
        <w:rFonts w:hint="eastAsia" w:ascii="Times New Roman" w:hAnsi="Times New Roman" w:eastAsia="宋体" w:cs="宋体"/>
        <w:b/>
        <w:bCs w:val="0"/>
        <w:i w:val="0"/>
        <w:iCs w:val="0"/>
        <w:caps w:val="0"/>
        <w:smallCaps w:val="0"/>
        <w:strike w:val="0"/>
        <w:dstrike w:val="0"/>
        <w:vanish w:val="0"/>
        <w:spacing w:val="0"/>
        <w:position w:val="0"/>
        <w:u w:val="none"/>
        <w:vertAlign w:val="baseline"/>
      </w:rPr>
    </w:lvl>
    <w:lvl w:ilvl="1" w:tentative="0">
      <w:start w:val="1"/>
      <w:numFmt w:val="decimal"/>
      <w:isLgl/>
      <w:suff w:val="space"/>
      <w:lvlText w:val="%1.%2"/>
      <w:lvlJc w:val="left"/>
      <w:pPr>
        <w:tabs>
          <w:tab w:val="left" w:pos="420"/>
        </w:tabs>
        <w:ind w:left="567" w:hanging="567"/>
      </w:pPr>
      <w:rPr>
        <w:rFonts w:hint="eastAsia" w:ascii="宋体" w:hAnsi="宋体" w:eastAsia="宋体" w:cs="宋体"/>
        <w:i w:val="0"/>
        <w:iCs w:val="0"/>
        <w:caps w:val="0"/>
        <w:smallCaps w:val="0"/>
        <w:strike w:val="0"/>
        <w:dstrike w:val="0"/>
        <w:vanish w:val="0"/>
        <w:color w:val="000000"/>
        <w:spacing w:val="0"/>
        <w:position w:val="0"/>
        <w:u w:val="none"/>
        <w:vertAlign w:val="baseline"/>
      </w:rPr>
    </w:lvl>
    <w:lvl w:ilvl="2" w:tentative="0">
      <w:start w:val="1"/>
      <w:numFmt w:val="decimal"/>
      <w:isLgl/>
      <w:suff w:val="space"/>
      <w:lvlText w:val="%1.%2.%3"/>
      <w:lvlJc w:val="left"/>
      <w:pPr>
        <w:ind w:left="567" w:hanging="567"/>
      </w:pPr>
      <w:rPr>
        <w:rFonts w:hint="eastAsia" w:ascii="宋体" w:hAnsi="宋体" w:eastAsia="宋体" w:cs="宋体"/>
      </w:rPr>
    </w:lvl>
    <w:lvl w:ilvl="3" w:tentative="0">
      <w:start w:val="1"/>
      <w:numFmt w:val="decimal"/>
      <w:isLgl/>
      <w:suff w:val="space"/>
      <w:lvlText w:val="%1.%2.%3.%4"/>
      <w:lvlJc w:val="left"/>
      <w:pPr>
        <w:ind w:left="567" w:hanging="567"/>
      </w:pPr>
      <w:rPr>
        <w:rFonts w:hint="eastAsia" w:ascii="宋体" w:hAnsi="宋体" w:eastAsia="宋体" w:cs="宋体"/>
        <w:b/>
        <w:bCs w:val="0"/>
        <w:i w:val="0"/>
        <w:iCs w:val="0"/>
        <w:caps w:val="0"/>
        <w:smallCaps w:val="0"/>
        <w:strike w:val="0"/>
        <w:dstrike w:val="0"/>
        <w:vanish w:val="0"/>
        <w:color w:val="000000"/>
        <w:spacing w:val="0"/>
        <w:position w:val="0"/>
        <w:u w:val="none"/>
        <w:vertAlign w:val="baseline"/>
      </w:rPr>
    </w:lvl>
    <w:lvl w:ilvl="4" w:tentative="0">
      <w:start w:val="1"/>
      <w:numFmt w:val="decimal"/>
      <w:isLgl/>
      <w:suff w:val="space"/>
      <w:lvlText w:val="%1.%2.%3.%4.%5"/>
      <w:lvlJc w:val="left"/>
      <w:pPr>
        <w:ind w:left="1134" w:hanging="567"/>
      </w:pPr>
      <w:rPr>
        <w:rFonts w:hint="eastAsia" w:ascii="宋体" w:hAnsi="宋体" w:eastAsia="宋体" w:cs="宋体"/>
      </w:rPr>
    </w:lvl>
    <w:lvl w:ilvl="5" w:tentative="0">
      <w:start w:val="1"/>
      <w:numFmt w:val="decimal"/>
      <w:lvlRestart w:val="1"/>
      <w:pStyle w:val="88"/>
      <w:isLgl/>
      <w:suff w:val="space"/>
      <w:lvlText w:val="表%1-%6"/>
      <w:lvlJc w:val="center"/>
      <w:pPr>
        <w:tabs>
          <w:tab w:val="left" w:pos="0"/>
        </w:tabs>
        <w:ind w:left="0" w:firstLine="0"/>
      </w:pPr>
      <w:rPr>
        <w:rFonts w:hint="default" w:ascii="宋体" w:hAnsi="宋体" w:eastAsia="宋体" w:cs="宋体"/>
        <w:b/>
        <w:bCs w:val="0"/>
        <w:i w:val="0"/>
        <w:iCs w:val="0"/>
        <w:caps w:val="0"/>
        <w:smallCaps w:val="0"/>
        <w:strike w:val="0"/>
        <w:dstrike w:val="0"/>
        <w:vanish w:val="0"/>
        <w:color w:val="000000"/>
        <w:spacing w:val="0"/>
        <w:position w:val="0"/>
        <w:sz w:val="21"/>
        <w:szCs w:val="21"/>
        <w:u w:val="none"/>
        <w:vertAlign w:val="baseline"/>
      </w:rPr>
    </w:lvl>
    <w:lvl w:ilvl="6" w:tentative="0">
      <w:start w:val="1"/>
      <w:numFmt w:val="decimal"/>
      <w:lvlRestart w:val="1"/>
      <w:isLgl/>
      <w:suff w:val="space"/>
      <w:lvlText w:val="图%1.%2-%7"/>
      <w:lvlJc w:val="center"/>
      <w:pPr>
        <w:ind w:left="0" w:firstLine="0"/>
      </w:pPr>
      <w:rPr>
        <w:rFonts w:hint="eastAsia" w:ascii="宋体" w:hAnsi="宋体" w:eastAsia="宋体" w:cs="宋体"/>
        <w:b/>
        <w:bCs w:val="0"/>
        <w:i w:val="0"/>
        <w:iCs w:val="0"/>
        <w:caps w:val="0"/>
        <w:smallCaps w:val="0"/>
        <w:strike w:val="0"/>
        <w:dstrike w:val="0"/>
        <w:vanish w:val="0"/>
        <w:color w:val="000000"/>
        <w:spacing w:val="0"/>
        <w:position w:val="0"/>
        <w:u w:val="none"/>
        <w:vertAlign w:val="baseline"/>
      </w:rPr>
    </w:lvl>
    <w:lvl w:ilvl="7" w:tentative="0">
      <w:start w:val="1"/>
      <w:numFmt w:val="none"/>
      <w:lvlRestart w:val="2"/>
      <w:isLgl/>
      <w:suff w:val="nothing"/>
      <w:lvlText w:val=""/>
      <w:lvlJc w:val="left"/>
      <w:pPr>
        <w:ind w:left="283" w:firstLine="0"/>
      </w:pPr>
      <w:rPr>
        <w:rFonts w:hint="eastAsia" w:cs="仿宋_GB2312"/>
        <w:b w:val="0"/>
        <w:bCs w:val="0"/>
        <w:i w:val="0"/>
        <w:iCs w:val="0"/>
        <w:caps w:val="0"/>
        <w:smallCaps w:val="0"/>
        <w:strike w:val="0"/>
        <w:dstrike w:val="0"/>
        <w:vanish w:val="0"/>
        <w:color w:val="000000"/>
        <w:spacing w:val="0"/>
        <w:position w:val="0"/>
        <w:u w:val="none"/>
        <w:vertAlign w:val="baseline"/>
      </w:rPr>
    </w:lvl>
    <w:lvl w:ilvl="8" w:tentative="0">
      <w:start w:val="1"/>
      <w:numFmt w:val="none"/>
      <w:isLgl/>
      <w:lvlText w:val=""/>
      <w:lvlJc w:val="left"/>
      <w:pPr>
        <w:ind w:left="1559" w:hanging="1559"/>
      </w:pPr>
      <w:rPr>
        <w:rFonts w:hint="eastAsia"/>
      </w:rPr>
    </w:lvl>
  </w:abstractNum>
  <w:abstractNum w:abstractNumId="3">
    <w:nsid w:val="00000001"/>
    <w:multiLevelType w:val="multilevel"/>
    <w:tmpl w:val="00000001"/>
    <w:lvl w:ilvl="0" w:tentative="0">
      <w:start w:val="1"/>
      <w:numFmt w:val="decimal"/>
      <w:lvlText w:val="%1"/>
      <w:lvlJc w:val="left"/>
      <w:pPr>
        <w:tabs>
          <w:tab w:val="left" w:pos="432"/>
        </w:tabs>
        <w:ind w:left="432" w:hanging="432"/>
      </w:pPr>
      <w:rPr>
        <w:rFonts w:hint="eastAsia"/>
      </w:rPr>
    </w:lvl>
    <w:lvl w:ilvl="1" w:tentative="0">
      <w:start w:val="1"/>
      <w:numFmt w:val="decimal"/>
      <w:pStyle w:val="9"/>
      <w:lvlText w:val="%1.%2"/>
      <w:lvlJc w:val="left"/>
      <w:pPr>
        <w:tabs>
          <w:tab w:val="left" w:pos="576"/>
        </w:tabs>
        <w:ind w:left="576" w:hanging="576"/>
      </w:pPr>
      <w:rPr>
        <w:rFonts w:hint="eastAsia"/>
      </w:rPr>
    </w:lvl>
    <w:lvl w:ilvl="2" w:tentative="0">
      <w:start w:val="1"/>
      <w:numFmt w:val="decimal"/>
      <w:lvlText w:val="1.1.%3"/>
      <w:lvlJc w:val="left"/>
      <w:pPr>
        <w:tabs>
          <w:tab w:val="left" w:pos="720"/>
        </w:tabs>
        <w:ind w:left="720" w:hanging="720"/>
      </w:pPr>
      <w:rPr>
        <w:rFonts w:hint="eastAsia"/>
      </w:rPr>
    </w:lvl>
    <w:lvl w:ilvl="3" w:tentative="0">
      <w:start w:val="1"/>
      <w:numFmt w:val="decimal"/>
      <w:lvlText w:val="%1.%2.%3.%4"/>
      <w:lvlJc w:val="left"/>
      <w:pPr>
        <w:tabs>
          <w:tab w:val="left" w:pos="864"/>
        </w:tabs>
        <w:ind w:left="864" w:hanging="864"/>
      </w:pPr>
      <w:rPr>
        <w:rFonts w:hint="eastAsia"/>
      </w:rPr>
    </w:lvl>
    <w:lvl w:ilvl="4" w:tentative="0">
      <w:start w:val="1"/>
      <w:numFmt w:val="decimal"/>
      <w:lvlText w:val="%1.%2.%3.%4.%5"/>
      <w:lvlJc w:val="left"/>
      <w:pPr>
        <w:tabs>
          <w:tab w:val="left" w:pos="1008"/>
        </w:tabs>
        <w:ind w:left="1008" w:hanging="1008"/>
      </w:pPr>
      <w:rPr>
        <w:rFonts w:hint="eastAsia"/>
      </w:rPr>
    </w:lvl>
    <w:lvl w:ilvl="5" w:tentative="0">
      <w:start w:val="1"/>
      <w:numFmt w:val="decimal"/>
      <w:lvlText w:val="%1.%2.%3.%4.%5.%6"/>
      <w:lvlJc w:val="left"/>
      <w:pPr>
        <w:tabs>
          <w:tab w:val="left" w:pos="1152"/>
        </w:tabs>
        <w:ind w:left="1152" w:hanging="1152"/>
      </w:pPr>
      <w:rPr>
        <w:rFonts w:hint="eastAsia"/>
      </w:rPr>
    </w:lvl>
    <w:lvl w:ilvl="6" w:tentative="0">
      <w:start w:val="1"/>
      <w:numFmt w:val="decimal"/>
      <w:lvlText w:val="%1.%2.%3.%4.%5.%6.%7"/>
      <w:lvlJc w:val="left"/>
      <w:pPr>
        <w:tabs>
          <w:tab w:val="left" w:pos="1296"/>
        </w:tabs>
        <w:ind w:left="1296" w:hanging="1296"/>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abstractNum w:abstractNumId="4">
    <w:nsid w:val="197DFFD3"/>
    <w:multiLevelType w:val="singleLevel"/>
    <w:tmpl w:val="197DFFD3"/>
    <w:lvl w:ilvl="0" w:tentative="0">
      <w:start w:val="5"/>
      <w:numFmt w:val="decimal"/>
      <w:suff w:val="nothing"/>
      <w:lvlText w:val="（%1）"/>
      <w:lvlJc w:val="left"/>
    </w:lvl>
  </w:abstractNum>
  <w:abstractNum w:abstractNumId="5">
    <w:nsid w:val="25ACB261"/>
    <w:multiLevelType w:val="singleLevel"/>
    <w:tmpl w:val="25ACB261"/>
    <w:lvl w:ilvl="0" w:tentative="0">
      <w:start w:val="4"/>
      <w:numFmt w:val="decimal"/>
      <w:suff w:val="nothing"/>
      <w:lvlText w:val="%1、"/>
      <w:lvlJc w:val="left"/>
    </w:lvl>
  </w:abstractNum>
  <w:abstractNum w:abstractNumId="6">
    <w:nsid w:val="462395D3"/>
    <w:multiLevelType w:val="singleLevel"/>
    <w:tmpl w:val="462395D3"/>
    <w:lvl w:ilvl="0" w:tentative="0">
      <w:start w:val="1"/>
      <w:numFmt w:val="decimal"/>
      <w:suff w:val="nothing"/>
      <w:lvlText w:val="%1、"/>
      <w:lvlJc w:val="left"/>
    </w:lvl>
  </w:abstractNum>
  <w:abstractNum w:abstractNumId="7">
    <w:nsid w:val="6180D85F"/>
    <w:multiLevelType w:val="singleLevel"/>
    <w:tmpl w:val="6180D85F"/>
    <w:lvl w:ilvl="0" w:tentative="0">
      <w:start w:val="3"/>
      <w:numFmt w:val="decimal"/>
      <w:suff w:val="nothing"/>
      <w:lvlText w:val="（%1）"/>
      <w:lvlJc w:val="left"/>
    </w:lvl>
  </w:abstractNum>
  <w:num w:numId="1">
    <w:abstractNumId w:val="3"/>
  </w:num>
  <w:num w:numId="2">
    <w:abstractNumId w:val="2"/>
  </w:num>
  <w:num w:numId="3">
    <w:abstractNumId w:val="1"/>
  </w:num>
  <w:num w:numId="4">
    <w:abstractNumId w:val="5"/>
  </w:num>
  <w:num w:numId="5">
    <w:abstractNumId w:val="6"/>
  </w:num>
  <w:num w:numId="6">
    <w:abstractNumId w:val="7"/>
  </w:num>
  <w:num w:numId="7">
    <w:abstractNumId w:val="0"/>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8"/>
  <w:embedSystemFonts/>
  <w:bordersDoNotSurroundHeader w:val="0"/>
  <w:bordersDoNotSurroundFooter w:val="0"/>
  <w:documentProtection w:enforcement="0"/>
  <w:defaultTabStop w:val="0"/>
  <w:drawingGridVerticalSpacing w:val="156"/>
  <w:displayHorizontalDrawingGridEvery w:val="1"/>
  <w:displayVerticalDrawingGridEvery w:val="1"/>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2I0MDk2YTBiZGRhMWRmNjE3MDU4ZDBlMTFlZmUyZTIifQ=="/>
  </w:docVars>
  <w:rsids>
    <w:rsidRoot w:val="00000000"/>
    <w:rsid w:val="00046CA0"/>
    <w:rsid w:val="00125861"/>
    <w:rsid w:val="00136BA8"/>
    <w:rsid w:val="00202EF2"/>
    <w:rsid w:val="00262846"/>
    <w:rsid w:val="003357D8"/>
    <w:rsid w:val="003E5644"/>
    <w:rsid w:val="00536C2F"/>
    <w:rsid w:val="0058372C"/>
    <w:rsid w:val="005F2467"/>
    <w:rsid w:val="005F3065"/>
    <w:rsid w:val="006E1756"/>
    <w:rsid w:val="007030E1"/>
    <w:rsid w:val="007402CA"/>
    <w:rsid w:val="007F0A1D"/>
    <w:rsid w:val="008102F1"/>
    <w:rsid w:val="00956F19"/>
    <w:rsid w:val="00D348AD"/>
    <w:rsid w:val="00DA62C5"/>
    <w:rsid w:val="00ED33AE"/>
    <w:rsid w:val="00F52A8D"/>
    <w:rsid w:val="00F74A57"/>
    <w:rsid w:val="00FC02BF"/>
    <w:rsid w:val="01343A60"/>
    <w:rsid w:val="01452B79"/>
    <w:rsid w:val="014A5E0B"/>
    <w:rsid w:val="014F5DD0"/>
    <w:rsid w:val="01510D83"/>
    <w:rsid w:val="0163262B"/>
    <w:rsid w:val="016D28E8"/>
    <w:rsid w:val="016F09FA"/>
    <w:rsid w:val="01937F78"/>
    <w:rsid w:val="019F7A72"/>
    <w:rsid w:val="01A63326"/>
    <w:rsid w:val="01D134FA"/>
    <w:rsid w:val="01EC0334"/>
    <w:rsid w:val="02040F47"/>
    <w:rsid w:val="0209136D"/>
    <w:rsid w:val="02203B3A"/>
    <w:rsid w:val="024559FF"/>
    <w:rsid w:val="0261527D"/>
    <w:rsid w:val="026C52C2"/>
    <w:rsid w:val="02810A7C"/>
    <w:rsid w:val="028B2E31"/>
    <w:rsid w:val="029A38EC"/>
    <w:rsid w:val="02A11815"/>
    <w:rsid w:val="02A274E0"/>
    <w:rsid w:val="02AF5925"/>
    <w:rsid w:val="02E4587F"/>
    <w:rsid w:val="03055F51"/>
    <w:rsid w:val="03062D2F"/>
    <w:rsid w:val="031001CD"/>
    <w:rsid w:val="031238EC"/>
    <w:rsid w:val="031271CC"/>
    <w:rsid w:val="031D766C"/>
    <w:rsid w:val="03B44E81"/>
    <w:rsid w:val="03BA5637"/>
    <w:rsid w:val="03BC0E9D"/>
    <w:rsid w:val="03C84F02"/>
    <w:rsid w:val="03F40F65"/>
    <w:rsid w:val="03FB485E"/>
    <w:rsid w:val="04005A64"/>
    <w:rsid w:val="041D47D5"/>
    <w:rsid w:val="0422645D"/>
    <w:rsid w:val="0424473C"/>
    <w:rsid w:val="042913CB"/>
    <w:rsid w:val="042C0247"/>
    <w:rsid w:val="043B4AFE"/>
    <w:rsid w:val="044561B4"/>
    <w:rsid w:val="044C2EB2"/>
    <w:rsid w:val="04622F5F"/>
    <w:rsid w:val="046473CD"/>
    <w:rsid w:val="046674A7"/>
    <w:rsid w:val="048B7990"/>
    <w:rsid w:val="049520F1"/>
    <w:rsid w:val="04992949"/>
    <w:rsid w:val="049A5E25"/>
    <w:rsid w:val="04A40A52"/>
    <w:rsid w:val="04AE022E"/>
    <w:rsid w:val="04D12625"/>
    <w:rsid w:val="04D74C5B"/>
    <w:rsid w:val="04F33296"/>
    <w:rsid w:val="052E3805"/>
    <w:rsid w:val="05373674"/>
    <w:rsid w:val="053C6A73"/>
    <w:rsid w:val="05494AB1"/>
    <w:rsid w:val="05686E93"/>
    <w:rsid w:val="057513FF"/>
    <w:rsid w:val="059967DB"/>
    <w:rsid w:val="05AF51F7"/>
    <w:rsid w:val="05B15EB2"/>
    <w:rsid w:val="05BD6E3D"/>
    <w:rsid w:val="05BF5152"/>
    <w:rsid w:val="05C34B4B"/>
    <w:rsid w:val="05C84C11"/>
    <w:rsid w:val="05CD5D86"/>
    <w:rsid w:val="05DA3B66"/>
    <w:rsid w:val="05DD7E36"/>
    <w:rsid w:val="05EF0F6F"/>
    <w:rsid w:val="05F65F54"/>
    <w:rsid w:val="06053772"/>
    <w:rsid w:val="06231967"/>
    <w:rsid w:val="06272517"/>
    <w:rsid w:val="06313F67"/>
    <w:rsid w:val="06356FCC"/>
    <w:rsid w:val="064810A9"/>
    <w:rsid w:val="06546748"/>
    <w:rsid w:val="066E30C6"/>
    <w:rsid w:val="067B1C86"/>
    <w:rsid w:val="067B5AF1"/>
    <w:rsid w:val="068D57C9"/>
    <w:rsid w:val="06A92629"/>
    <w:rsid w:val="06B2027B"/>
    <w:rsid w:val="06C675E3"/>
    <w:rsid w:val="06CD6669"/>
    <w:rsid w:val="06D84275"/>
    <w:rsid w:val="06EB4C1C"/>
    <w:rsid w:val="06FA6902"/>
    <w:rsid w:val="07387A63"/>
    <w:rsid w:val="07411A98"/>
    <w:rsid w:val="0748600C"/>
    <w:rsid w:val="07775550"/>
    <w:rsid w:val="07890612"/>
    <w:rsid w:val="07AF30A6"/>
    <w:rsid w:val="07B02090"/>
    <w:rsid w:val="07C442AC"/>
    <w:rsid w:val="07D01B5E"/>
    <w:rsid w:val="07E327C2"/>
    <w:rsid w:val="07FE3A51"/>
    <w:rsid w:val="08032104"/>
    <w:rsid w:val="08135BF2"/>
    <w:rsid w:val="082346E5"/>
    <w:rsid w:val="083E3079"/>
    <w:rsid w:val="08553273"/>
    <w:rsid w:val="085541B7"/>
    <w:rsid w:val="086D1D65"/>
    <w:rsid w:val="087C5E4A"/>
    <w:rsid w:val="0881185D"/>
    <w:rsid w:val="088A7D33"/>
    <w:rsid w:val="08900771"/>
    <w:rsid w:val="089F388E"/>
    <w:rsid w:val="08A726DC"/>
    <w:rsid w:val="08AA3DDC"/>
    <w:rsid w:val="08C9590D"/>
    <w:rsid w:val="08CB5D98"/>
    <w:rsid w:val="08CD03DD"/>
    <w:rsid w:val="08D11C8D"/>
    <w:rsid w:val="08F04266"/>
    <w:rsid w:val="09067F2D"/>
    <w:rsid w:val="092474C3"/>
    <w:rsid w:val="092D6D47"/>
    <w:rsid w:val="092E04B2"/>
    <w:rsid w:val="094E5112"/>
    <w:rsid w:val="096864F2"/>
    <w:rsid w:val="097208DC"/>
    <w:rsid w:val="09732517"/>
    <w:rsid w:val="098172EA"/>
    <w:rsid w:val="098709B4"/>
    <w:rsid w:val="09C15C02"/>
    <w:rsid w:val="09C35E1E"/>
    <w:rsid w:val="09E0077E"/>
    <w:rsid w:val="09E86B71"/>
    <w:rsid w:val="09F63AFE"/>
    <w:rsid w:val="0A074A4F"/>
    <w:rsid w:val="0A1D51F1"/>
    <w:rsid w:val="0A3F22C0"/>
    <w:rsid w:val="0A621193"/>
    <w:rsid w:val="0A6842D0"/>
    <w:rsid w:val="0A6B75FC"/>
    <w:rsid w:val="0A6C0C3C"/>
    <w:rsid w:val="0A731451"/>
    <w:rsid w:val="0ACF434F"/>
    <w:rsid w:val="0AD950EC"/>
    <w:rsid w:val="0ADF0A36"/>
    <w:rsid w:val="0AF55D55"/>
    <w:rsid w:val="0B0009AC"/>
    <w:rsid w:val="0B092A8A"/>
    <w:rsid w:val="0B136931"/>
    <w:rsid w:val="0B1B1342"/>
    <w:rsid w:val="0B286456"/>
    <w:rsid w:val="0B3B0C81"/>
    <w:rsid w:val="0B442D21"/>
    <w:rsid w:val="0B534F80"/>
    <w:rsid w:val="0B660046"/>
    <w:rsid w:val="0B6F447E"/>
    <w:rsid w:val="0B7104A4"/>
    <w:rsid w:val="0B953BCC"/>
    <w:rsid w:val="0B97236F"/>
    <w:rsid w:val="0B9A2BAF"/>
    <w:rsid w:val="0BA254A3"/>
    <w:rsid w:val="0BA37265"/>
    <w:rsid w:val="0BBC2A42"/>
    <w:rsid w:val="0BCC2481"/>
    <w:rsid w:val="0BCF0AAA"/>
    <w:rsid w:val="0BD639B6"/>
    <w:rsid w:val="0BEB340A"/>
    <w:rsid w:val="0BFE4EEC"/>
    <w:rsid w:val="0BFF2A12"/>
    <w:rsid w:val="0C151A6E"/>
    <w:rsid w:val="0C156278"/>
    <w:rsid w:val="0C23104A"/>
    <w:rsid w:val="0C292479"/>
    <w:rsid w:val="0C2A4A77"/>
    <w:rsid w:val="0C2B41E7"/>
    <w:rsid w:val="0C30706F"/>
    <w:rsid w:val="0C366FE6"/>
    <w:rsid w:val="0C3944BA"/>
    <w:rsid w:val="0C3C77C2"/>
    <w:rsid w:val="0C5F32DC"/>
    <w:rsid w:val="0C670CE3"/>
    <w:rsid w:val="0C735804"/>
    <w:rsid w:val="0C73630C"/>
    <w:rsid w:val="0C7B02EA"/>
    <w:rsid w:val="0C902FC9"/>
    <w:rsid w:val="0CC51B93"/>
    <w:rsid w:val="0CCA74C4"/>
    <w:rsid w:val="0CD13905"/>
    <w:rsid w:val="0CD13EF0"/>
    <w:rsid w:val="0CDD0494"/>
    <w:rsid w:val="0CE519DB"/>
    <w:rsid w:val="0CF81CF5"/>
    <w:rsid w:val="0D09498F"/>
    <w:rsid w:val="0D1807D2"/>
    <w:rsid w:val="0D1F336B"/>
    <w:rsid w:val="0D371926"/>
    <w:rsid w:val="0D563E2F"/>
    <w:rsid w:val="0D621ACA"/>
    <w:rsid w:val="0D747177"/>
    <w:rsid w:val="0D7731A8"/>
    <w:rsid w:val="0D775E73"/>
    <w:rsid w:val="0DAD2CD7"/>
    <w:rsid w:val="0DD347EF"/>
    <w:rsid w:val="0DD9599C"/>
    <w:rsid w:val="0DF77E44"/>
    <w:rsid w:val="0DF855E6"/>
    <w:rsid w:val="0DFB2F1D"/>
    <w:rsid w:val="0E0C548F"/>
    <w:rsid w:val="0E167B44"/>
    <w:rsid w:val="0E215F2D"/>
    <w:rsid w:val="0E3620C1"/>
    <w:rsid w:val="0E37537C"/>
    <w:rsid w:val="0E400130"/>
    <w:rsid w:val="0E486CF9"/>
    <w:rsid w:val="0E543DF2"/>
    <w:rsid w:val="0E545297"/>
    <w:rsid w:val="0E557C6A"/>
    <w:rsid w:val="0E6B25E0"/>
    <w:rsid w:val="0E6F0878"/>
    <w:rsid w:val="0E9A3A5A"/>
    <w:rsid w:val="0EA16002"/>
    <w:rsid w:val="0EA53929"/>
    <w:rsid w:val="0EA725D8"/>
    <w:rsid w:val="0EE81626"/>
    <w:rsid w:val="0EFE1A34"/>
    <w:rsid w:val="0F026AA1"/>
    <w:rsid w:val="0F156355"/>
    <w:rsid w:val="0F19604B"/>
    <w:rsid w:val="0F294935"/>
    <w:rsid w:val="0F493A37"/>
    <w:rsid w:val="0F4C0664"/>
    <w:rsid w:val="0F6839C2"/>
    <w:rsid w:val="0F753717"/>
    <w:rsid w:val="0F7613BE"/>
    <w:rsid w:val="0F7B4EA5"/>
    <w:rsid w:val="0F7D400C"/>
    <w:rsid w:val="0F87344A"/>
    <w:rsid w:val="0FEC5A15"/>
    <w:rsid w:val="1017210A"/>
    <w:rsid w:val="10543532"/>
    <w:rsid w:val="1065378B"/>
    <w:rsid w:val="106C0B1D"/>
    <w:rsid w:val="106F63B8"/>
    <w:rsid w:val="107B31DD"/>
    <w:rsid w:val="109113A8"/>
    <w:rsid w:val="10922B1A"/>
    <w:rsid w:val="10AF5931"/>
    <w:rsid w:val="10B169D0"/>
    <w:rsid w:val="10B62239"/>
    <w:rsid w:val="10C121FA"/>
    <w:rsid w:val="10D26947"/>
    <w:rsid w:val="10D601E5"/>
    <w:rsid w:val="10D64689"/>
    <w:rsid w:val="10F1501F"/>
    <w:rsid w:val="1102547E"/>
    <w:rsid w:val="110E73FF"/>
    <w:rsid w:val="11145A79"/>
    <w:rsid w:val="11270A41"/>
    <w:rsid w:val="112F041B"/>
    <w:rsid w:val="1135103D"/>
    <w:rsid w:val="11497268"/>
    <w:rsid w:val="11623397"/>
    <w:rsid w:val="11735649"/>
    <w:rsid w:val="11780207"/>
    <w:rsid w:val="118C11EC"/>
    <w:rsid w:val="119B4F8B"/>
    <w:rsid w:val="11A025A1"/>
    <w:rsid w:val="11AB4941"/>
    <w:rsid w:val="11DB27C0"/>
    <w:rsid w:val="11E24C3D"/>
    <w:rsid w:val="11E90C6D"/>
    <w:rsid w:val="11EC6B4C"/>
    <w:rsid w:val="11FA5352"/>
    <w:rsid w:val="12085DFA"/>
    <w:rsid w:val="120B3EBE"/>
    <w:rsid w:val="12136951"/>
    <w:rsid w:val="121C0216"/>
    <w:rsid w:val="122227AA"/>
    <w:rsid w:val="123C01CE"/>
    <w:rsid w:val="124316CD"/>
    <w:rsid w:val="1251618F"/>
    <w:rsid w:val="12551DD1"/>
    <w:rsid w:val="125A4D08"/>
    <w:rsid w:val="125E66E4"/>
    <w:rsid w:val="126B6C7F"/>
    <w:rsid w:val="128002FD"/>
    <w:rsid w:val="128C0A93"/>
    <w:rsid w:val="129061E9"/>
    <w:rsid w:val="129F1CFA"/>
    <w:rsid w:val="12A0082D"/>
    <w:rsid w:val="12BB6505"/>
    <w:rsid w:val="12C5641C"/>
    <w:rsid w:val="12CF313E"/>
    <w:rsid w:val="12D27590"/>
    <w:rsid w:val="1301520B"/>
    <w:rsid w:val="130A4823"/>
    <w:rsid w:val="131B45D5"/>
    <w:rsid w:val="13243AC7"/>
    <w:rsid w:val="1327382D"/>
    <w:rsid w:val="13350AE5"/>
    <w:rsid w:val="13357985"/>
    <w:rsid w:val="13380DBB"/>
    <w:rsid w:val="13405B1E"/>
    <w:rsid w:val="13577569"/>
    <w:rsid w:val="135B1AD8"/>
    <w:rsid w:val="13710699"/>
    <w:rsid w:val="13857508"/>
    <w:rsid w:val="1386678A"/>
    <w:rsid w:val="138E4DA7"/>
    <w:rsid w:val="13992F0A"/>
    <w:rsid w:val="13A314A2"/>
    <w:rsid w:val="13C133CE"/>
    <w:rsid w:val="13E16E99"/>
    <w:rsid w:val="13FC54D4"/>
    <w:rsid w:val="140536E8"/>
    <w:rsid w:val="14207424"/>
    <w:rsid w:val="14223741"/>
    <w:rsid w:val="143D3D46"/>
    <w:rsid w:val="144D471F"/>
    <w:rsid w:val="144E4536"/>
    <w:rsid w:val="145004CF"/>
    <w:rsid w:val="14586008"/>
    <w:rsid w:val="14744C69"/>
    <w:rsid w:val="147B2632"/>
    <w:rsid w:val="14B3630E"/>
    <w:rsid w:val="14B46A8F"/>
    <w:rsid w:val="14BA045C"/>
    <w:rsid w:val="14CA0061"/>
    <w:rsid w:val="14D03259"/>
    <w:rsid w:val="14D42BBE"/>
    <w:rsid w:val="14E05AD6"/>
    <w:rsid w:val="14E76F65"/>
    <w:rsid w:val="14E804E7"/>
    <w:rsid w:val="14EF7FF9"/>
    <w:rsid w:val="14F072B7"/>
    <w:rsid w:val="1507408E"/>
    <w:rsid w:val="15091A66"/>
    <w:rsid w:val="150D0F30"/>
    <w:rsid w:val="15415E49"/>
    <w:rsid w:val="1578005D"/>
    <w:rsid w:val="15867BC6"/>
    <w:rsid w:val="15C03212"/>
    <w:rsid w:val="15C05CB6"/>
    <w:rsid w:val="15C471B3"/>
    <w:rsid w:val="15C56166"/>
    <w:rsid w:val="15D42FAD"/>
    <w:rsid w:val="15DF47CB"/>
    <w:rsid w:val="15E736F6"/>
    <w:rsid w:val="15EC749C"/>
    <w:rsid w:val="15FF517B"/>
    <w:rsid w:val="1606534F"/>
    <w:rsid w:val="16226D57"/>
    <w:rsid w:val="16246F17"/>
    <w:rsid w:val="16532477"/>
    <w:rsid w:val="16556050"/>
    <w:rsid w:val="165D09F3"/>
    <w:rsid w:val="16960A0E"/>
    <w:rsid w:val="16CB6789"/>
    <w:rsid w:val="16D20BBA"/>
    <w:rsid w:val="16D77A0A"/>
    <w:rsid w:val="16E53F69"/>
    <w:rsid w:val="16E96798"/>
    <w:rsid w:val="16EA144D"/>
    <w:rsid w:val="16EB0762"/>
    <w:rsid w:val="16EF0253"/>
    <w:rsid w:val="16FA7577"/>
    <w:rsid w:val="16FD016C"/>
    <w:rsid w:val="16FF7947"/>
    <w:rsid w:val="17020F1A"/>
    <w:rsid w:val="1719707D"/>
    <w:rsid w:val="17423405"/>
    <w:rsid w:val="17465999"/>
    <w:rsid w:val="175207E1"/>
    <w:rsid w:val="1780534F"/>
    <w:rsid w:val="17A27073"/>
    <w:rsid w:val="17A34B99"/>
    <w:rsid w:val="17A651D6"/>
    <w:rsid w:val="17A83DC3"/>
    <w:rsid w:val="17AA44AA"/>
    <w:rsid w:val="17B3580D"/>
    <w:rsid w:val="17BB1335"/>
    <w:rsid w:val="17C34EE7"/>
    <w:rsid w:val="17E335CF"/>
    <w:rsid w:val="17F2114E"/>
    <w:rsid w:val="17FD6E5C"/>
    <w:rsid w:val="180B62BF"/>
    <w:rsid w:val="18350B2F"/>
    <w:rsid w:val="18476C2F"/>
    <w:rsid w:val="18512847"/>
    <w:rsid w:val="185145F5"/>
    <w:rsid w:val="185E02A2"/>
    <w:rsid w:val="188A2917"/>
    <w:rsid w:val="18905EAE"/>
    <w:rsid w:val="18A26C8A"/>
    <w:rsid w:val="18EC71F7"/>
    <w:rsid w:val="1901426D"/>
    <w:rsid w:val="190B6E9A"/>
    <w:rsid w:val="191D7EFF"/>
    <w:rsid w:val="19370ACC"/>
    <w:rsid w:val="193859C7"/>
    <w:rsid w:val="195A11BA"/>
    <w:rsid w:val="195C2D68"/>
    <w:rsid w:val="196A7A10"/>
    <w:rsid w:val="196B16E7"/>
    <w:rsid w:val="197421AE"/>
    <w:rsid w:val="19830BC5"/>
    <w:rsid w:val="19874560"/>
    <w:rsid w:val="198E702B"/>
    <w:rsid w:val="19A73EC7"/>
    <w:rsid w:val="19B14EE3"/>
    <w:rsid w:val="19B27C2F"/>
    <w:rsid w:val="19EA269C"/>
    <w:rsid w:val="19F9532C"/>
    <w:rsid w:val="1A0F08AE"/>
    <w:rsid w:val="1A1C12AE"/>
    <w:rsid w:val="1A1D0C33"/>
    <w:rsid w:val="1A4A41F6"/>
    <w:rsid w:val="1A4C32C6"/>
    <w:rsid w:val="1AA61B9B"/>
    <w:rsid w:val="1AC14671"/>
    <w:rsid w:val="1ADB6ABB"/>
    <w:rsid w:val="1AE12269"/>
    <w:rsid w:val="1AE8166C"/>
    <w:rsid w:val="1B02294E"/>
    <w:rsid w:val="1B1B5B9D"/>
    <w:rsid w:val="1B256870"/>
    <w:rsid w:val="1B420340"/>
    <w:rsid w:val="1B4E306E"/>
    <w:rsid w:val="1B4F7512"/>
    <w:rsid w:val="1B554CC1"/>
    <w:rsid w:val="1B570174"/>
    <w:rsid w:val="1B7B7A65"/>
    <w:rsid w:val="1BAD0C4B"/>
    <w:rsid w:val="1BB43819"/>
    <w:rsid w:val="1BCD6688"/>
    <w:rsid w:val="1BDA1766"/>
    <w:rsid w:val="1BE532FE"/>
    <w:rsid w:val="1BE62844"/>
    <w:rsid w:val="1C0A51E7"/>
    <w:rsid w:val="1C0C22AB"/>
    <w:rsid w:val="1C2E4E8A"/>
    <w:rsid w:val="1C3271A0"/>
    <w:rsid w:val="1C451422"/>
    <w:rsid w:val="1C4B2607"/>
    <w:rsid w:val="1C531AF6"/>
    <w:rsid w:val="1C6963B1"/>
    <w:rsid w:val="1C73547F"/>
    <w:rsid w:val="1C915908"/>
    <w:rsid w:val="1CE617B0"/>
    <w:rsid w:val="1CEE060E"/>
    <w:rsid w:val="1CF3482E"/>
    <w:rsid w:val="1D235EA4"/>
    <w:rsid w:val="1D2F4447"/>
    <w:rsid w:val="1D322C47"/>
    <w:rsid w:val="1D353C90"/>
    <w:rsid w:val="1D3C46DD"/>
    <w:rsid w:val="1D3D339A"/>
    <w:rsid w:val="1D3E1240"/>
    <w:rsid w:val="1D455371"/>
    <w:rsid w:val="1D4A7A2F"/>
    <w:rsid w:val="1D4D1EC3"/>
    <w:rsid w:val="1D646B79"/>
    <w:rsid w:val="1D686669"/>
    <w:rsid w:val="1D7274E7"/>
    <w:rsid w:val="1D791D07"/>
    <w:rsid w:val="1D816D60"/>
    <w:rsid w:val="1D904318"/>
    <w:rsid w:val="1D96551F"/>
    <w:rsid w:val="1DA43005"/>
    <w:rsid w:val="1DBC429E"/>
    <w:rsid w:val="1DC63622"/>
    <w:rsid w:val="1DC97DA2"/>
    <w:rsid w:val="1E0641FF"/>
    <w:rsid w:val="1E122CC6"/>
    <w:rsid w:val="1E1F22FF"/>
    <w:rsid w:val="1E207B73"/>
    <w:rsid w:val="1E3A33FD"/>
    <w:rsid w:val="1E3D2DA4"/>
    <w:rsid w:val="1E4B053E"/>
    <w:rsid w:val="1E6848B0"/>
    <w:rsid w:val="1E8C4BBD"/>
    <w:rsid w:val="1E9D7940"/>
    <w:rsid w:val="1EB55259"/>
    <w:rsid w:val="1EB649D8"/>
    <w:rsid w:val="1EBC3110"/>
    <w:rsid w:val="1EC96E1F"/>
    <w:rsid w:val="1EE44415"/>
    <w:rsid w:val="1EE81531"/>
    <w:rsid w:val="1F066995"/>
    <w:rsid w:val="1F0760DA"/>
    <w:rsid w:val="1F100D66"/>
    <w:rsid w:val="1F327ABD"/>
    <w:rsid w:val="1F33159D"/>
    <w:rsid w:val="1F365E18"/>
    <w:rsid w:val="1F43738D"/>
    <w:rsid w:val="1F464788"/>
    <w:rsid w:val="1F5E6D29"/>
    <w:rsid w:val="1F605FDE"/>
    <w:rsid w:val="1F6102B7"/>
    <w:rsid w:val="1F7363E0"/>
    <w:rsid w:val="1F75210E"/>
    <w:rsid w:val="1F93764A"/>
    <w:rsid w:val="1FA310E6"/>
    <w:rsid w:val="1FA6126F"/>
    <w:rsid w:val="1FA85442"/>
    <w:rsid w:val="1FB43DE7"/>
    <w:rsid w:val="1FC86823"/>
    <w:rsid w:val="1FCD6FEB"/>
    <w:rsid w:val="1FF16C8E"/>
    <w:rsid w:val="1FF73CD4"/>
    <w:rsid w:val="20121328"/>
    <w:rsid w:val="201C01B1"/>
    <w:rsid w:val="204B0A1A"/>
    <w:rsid w:val="205C5F7C"/>
    <w:rsid w:val="20670E5A"/>
    <w:rsid w:val="20913F0A"/>
    <w:rsid w:val="20923367"/>
    <w:rsid w:val="20963A35"/>
    <w:rsid w:val="209B7E9A"/>
    <w:rsid w:val="20A33BE6"/>
    <w:rsid w:val="20B834A0"/>
    <w:rsid w:val="20D64231"/>
    <w:rsid w:val="20EA6E66"/>
    <w:rsid w:val="20F36B91"/>
    <w:rsid w:val="210F6994"/>
    <w:rsid w:val="211B39F2"/>
    <w:rsid w:val="212D7130"/>
    <w:rsid w:val="213848C0"/>
    <w:rsid w:val="214647A3"/>
    <w:rsid w:val="215D04AF"/>
    <w:rsid w:val="216C4C77"/>
    <w:rsid w:val="217405FD"/>
    <w:rsid w:val="21AA36F4"/>
    <w:rsid w:val="21AD0712"/>
    <w:rsid w:val="21C047A5"/>
    <w:rsid w:val="21C91D49"/>
    <w:rsid w:val="21CB18BC"/>
    <w:rsid w:val="21CB5922"/>
    <w:rsid w:val="21CF315A"/>
    <w:rsid w:val="21D14A1A"/>
    <w:rsid w:val="21D27DD5"/>
    <w:rsid w:val="21D6056F"/>
    <w:rsid w:val="21E33C35"/>
    <w:rsid w:val="21EB7868"/>
    <w:rsid w:val="21EF0569"/>
    <w:rsid w:val="21F05FFE"/>
    <w:rsid w:val="22137E99"/>
    <w:rsid w:val="22145604"/>
    <w:rsid w:val="22165591"/>
    <w:rsid w:val="221E19EC"/>
    <w:rsid w:val="222B119F"/>
    <w:rsid w:val="222B61BB"/>
    <w:rsid w:val="2236122A"/>
    <w:rsid w:val="223673D3"/>
    <w:rsid w:val="22563FE4"/>
    <w:rsid w:val="225C2B97"/>
    <w:rsid w:val="226F6C56"/>
    <w:rsid w:val="22744DFE"/>
    <w:rsid w:val="22880ECA"/>
    <w:rsid w:val="228C7EED"/>
    <w:rsid w:val="22960BED"/>
    <w:rsid w:val="22B46BAD"/>
    <w:rsid w:val="22BE4F7D"/>
    <w:rsid w:val="22DF6260"/>
    <w:rsid w:val="22E542B8"/>
    <w:rsid w:val="22F176B4"/>
    <w:rsid w:val="22FD3CF7"/>
    <w:rsid w:val="22FF3B67"/>
    <w:rsid w:val="23113150"/>
    <w:rsid w:val="233136AA"/>
    <w:rsid w:val="23386ADD"/>
    <w:rsid w:val="23452850"/>
    <w:rsid w:val="234806C2"/>
    <w:rsid w:val="234D067D"/>
    <w:rsid w:val="23553472"/>
    <w:rsid w:val="235D0E29"/>
    <w:rsid w:val="236E713A"/>
    <w:rsid w:val="23700A27"/>
    <w:rsid w:val="2378337E"/>
    <w:rsid w:val="238B5139"/>
    <w:rsid w:val="239F183D"/>
    <w:rsid w:val="23BF5B43"/>
    <w:rsid w:val="23C16507"/>
    <w:rsid w:val="23D13B4D"/>
    <w:rsid w:val="23D507D0"/>
    <w:rsid w:val="23ED20E8"/>
    <w:rsid w:val="23F21382"/>
    <w:rsid w:val="240226DE"/>
    <w:rsid w:val="242F7EE0"/>
    <w:rsid w:val="244A1313"/>
    <w:rsid w:val="244C7DF6"/>
    <w:rsid w:val="247B3BE8"/>
    <w:rsid w:val="249A10EF"/>
    <w:rsid w:val="249E14E7"/>
    <w:rsid w:val="24C5091D"/>
    <w:rsid w:val="24C602A0"/>
    <w:rsid w:val="24C90B1B"/>
    <w:rsid w:val="24D3426C"/>
    <w:rsid w:val="24D9609E"/>
    <w:rsid w:val="24DA1D79"/>
    <w:rsid w:val="2508483D"/>
    <w:rsid w:val="251442E0"/>
    <w:rsid w:val="25162E4E"/>
    <w:rsid w:val="252A08AF"/>
    <w:rsid w:val="253435EE"/>
    <w:rsid w:val="25836334"/>
    <w:rsid w:val="258C59D8"/>
    <w:rsid w:val="258E58E2"/>
    <w:rsid w:val="25A1676E"/>
    <w:rsid w:val="25A33C5F"/>
    <w:rsid w:val="25AA2A14"/>
    <w:rsid w:val="25AE13D7"/>
    <w:rsid w:val="25D02FFD"/>
    <w:rsid w:val="25F86D83"/>
    <w:rsid w:val="25FC48BD"/>
    <w:rsid w:val="26075247"/>
    <w:rsid w:val="26491B6A"/>
    <w:rsid w:val="26720D2B"/>
    <w:rsid w:val="2673110B"/>
    <w:rsid w:val="267A55B4"/>
    <w:rsid w:val="26861FD1"/>
    <w:rsid w:val="26862EE8"/>
    <w:rsid w:val="269D5A3E"/>
    <w:rsid w:val="26AE5FBD"/>
    <w:rsid w:val="26B97F35"/>
    <w:rsid w:val="26DF5F81"/>
    <w:rsid w:val="26DF6E9A"/>
    <w:rsid w:val="271866BD"/>
    <w:rsid w:val="27201D62"/>
    <w:rsid w:val="27252287"/>
    <w:rsid w:val="273265A5"/>
    <w:rsid w:val="273646E8"/>
    <w:rsid w:val="27715DC1"/>
    <w:rsid w:val="277327DA"/>
    <w:rsid w:val="277613DF"/>
    <w:rsid w:val="27A44741"/>
    <w:rsid w:val="27AB40C3"/>
    <w:rsid w:val="27D94A95"/>
    <w:rsid w:val="27DE3438"/>
    <w:rsid w:val="27E56B08"/>
    <w:rsid w:val="27FA7E2E"/>
    <w:rsid w:val="28162148"/>
    <w:rsid w:val="28164755"/>
    <w:rsid w:val="28386BE0"/>
    <w:rsid w:val="28422F44"/>
    <w:rsid w:val="28577A6C"/>
    <w:rsid w:val="28653E6D"/>
    <w:rsid w:val="28685063"/>
    <w:rsid w:val="286F5B1F"/>
    <w:rsid w:val="288B2446"/>
    <w:rsid w:val="28980211"/>
    <w:rsid w:val="289B776E"/>
    <w:rsid w:val="289D3C74"/>
    <w:rsid w:val="28BE0FC0"/>
    <w:rsid w:val="28C130D1"/>
    <w:rsid w:val="28CF2807"/>
    <w:rsid w:val="28D04EA7"/>
    <w:rsid w:val="28D82B4A"/>
    <w:rsid w:val="28DC0900"/>
    <w:rsid w:val="28DF7DF7"/>
    <w:rsid w:val="28EE7B4D"/>
    <w:rsid w:val="29001BF4"/>
    <w:rsid w:val="29050366"/>
    <w:rsid w:val="293872BC"/>
    <w:rsid w:val="294F2DD3"/>
    <w:rsid w:val="29A15BF5"/>
    <w:rsid w:val="29AE0099"/>
    <w:rsid w:val="29C15A7E"/>
    <w:rsid w:val="29C5361A"/>
    <w:rsid w:val="29C94933"/>
    <w:rsid w:val="29CE1B18"/>
    <w:rsid w:val="29DB7FBE"/>
    <w:rsid w:val="29EB6DC9"/>
    <w:rsid w:val="29F15C38"/>
    <w:rsid w:val="2A047746"/>
    <w:rsid w:val="2A157B78"/>
    <w:rsid w:val="2A1B4E49"/>
    <w:rsid w:val="2A1D2FA8"/>
    <w:rsid w:val="2A1D6A2D"/>
    <w:rsid w:val="2A3D0E87"/>
    <w:rsid w:val="2A446BE9"/>
    <w:rsid w:val="2A4568EE"/>
    <w:rsid w:val="2A4E2446"/>
    <w:rsid w:val="2A9767DF"/>
    <w:rsid w:val="2A9D7F89"/>
    <w:rsid w:val="2AC267DB"/>
    <w:rsid w:val="2AFF093C"/>
    <w:rsid w:val="2B0B4AD7"/>
    <w:rsid w:val="2B1868D4"/>
    <w:rsid w:val="2B1A331C"/>
    <w:rsid w:val="2B2B5382"/>
    <w:rsid w:val="2B323E4B"/>
    <w:rsid w:val="2B33036C"/>
    <w:rsid w:val="2B374CBB"/>
    <w:rsid w:val="2B5E4E07"/>
    <w:rsid w:val="2B60340E"/>
    <w:rsid w:val="2B673EA6"/>
    <w:rsid w:val="2B684B96"/>
    <w:rsid w:val="2B760580"/>
    <w:rsid w:val="2B8A1AB1"/>
    <w:rsid w:val="2B990335"/>
    <w:rsid w:val="2BA741E6"/>
    <w:rsid w:val="2BB4516F"/>
    <w:rsid w:val="2BC6067C"/>
    <w:rsid w:val="2BD912F4"/>
    <w:rsid w:val="2BFB520F"/>
    <w:rsid w:val="2C0A0C75"/>
    <w:rsid w:val="2C1042BF"/>
    <w:rsid w:val="2C1F4CF2"/>
    <w:rsid w:val="2C222C97"/>
    <w:rsid w:val="2C26606D"/>
    <w:rsid w:val="2C2E005C"/>
    <w:rsid w:val="2C73639B"/>
    <w:rsid w:val="2C7421B4"/>
    <w:rsid w:val="2CB35CAF"/>
    <w:rsid w:val="2CB847EB"/>
    <w:rsid w:val="2CC12D95"/>
    <w:rsid w:val="2CCA2E9C"/>
    <w:rsid w:val="2CEE1D66"/>
    <w:rsid w:val="2CEF7969"/>
    <w:rsid w:val="2CFC3529"/>
    <w:rsid w:val="2D023E94"/>
    <w:rsid w:val="2D451AA3"/>
    <w:rsid w:val="2D543099"/>
    <w:rsid w:val="2D782E09"/>
    <w:rsid w:val="2D8172D3"/>
    <w:rsid w:val="2D8C63A3"/>
    <w:rsid w:val="2DA37C86"/>
    <w:rsid w:val="2DB1022D"/>
    <w:rsid w:val="2DCA2A28"/>
    <w:rsid w:val="2DCC0C18"/>
    <w:rsid w:val="2DDE255C"/>
    <w:rsid w:val="2DE01F17"/>
    <w:rsid w:val="2DEF06D1"/>
    <w:rsid w:val="2DF87595"/>
    <w:rsid w:val="2E041312"/>
    <w:rsid w:val="2E1304A0"/>
    <w:rsid w:val="2E1C482F"/>
    <w:rsid w:val="2E223B33"/>
    <w:rsid w:val="2E516CA5"/>
    <w:rsid w:val="2E5433DE"/>
    <w:rsid w:val="2E5C264E"/>
    <w:rsid w:val="2E676495"/>
    <w:rsid w:val="2E86086C"/>
    <w:rsid w:val="2EB22511"/>
    <w:rsid w:val="2ED40002"/>
    <w:rsid w:val="2ED95618"/>
    <w:rsid w:val="2EEE6314"/>
    <w:rsid w:val="2EFF0A6A"/>
    <w:rsid w:val="2F310924"/>
    <w:rsid w:val="2F4E063F"/>
    <w:rsid w:val="2F57478F"/>
    <w:rsid w:val="2F5838AD"/>
    <w:rsid w:val="2F5A7DDB"/>
    <w:rsid w:val="2F8F217B"/>
    <w:rsid w:val="2F95287A"/>
    <w:rsid w:val="2F9678E5"/>
    <w:rsid w:val="2FB17C2C"/>
    <w:rsid w:val="2FB9638B"/>
    <w:rsid w:val="2FCF165D"/>
    <w:rsid w:val="2FD8640D"/>
    <w:rsid w:val="2FE97B1E"/>
    <w:rsid w:val="2FF355C0"/>
    <w:rsid w:val="2FF506E1"/>
    <w:rsid w:val="30010B15"/>
    <w:rsid w:val="30013299"/>
    <w:rsid w:val="300C6F19"/>
    <w:rsid w:val="30185CCC"/>
    <w:rsid w:val="3027250F"/>
    <w:rsid w:val="30273D1D"/>
    <w:rsid w:val="30390D74"/>
    <w:rsid w:val="30423E5F"/>
    <w:rsid w:val="306A4DF7"/>
    <w:rsid w:val="3075311F"/>
    <w:rsid w:val="30A21A3A"/>
    <w:rsid w:val="30C34141"/>
    <w:rsid w:val="30CF21E8"/>
    <w:rsid w:val="30D613BB"/>
    <w:rsid w:val="30DA04A7"/>
    <w:rsid w:val="30DA7426"/>
    <w:rsid w:val="30EF0CD6"/>
    <w:rsid w:val="31091AB9"/>
    <w:rsid w:val="31215A62"/>
    <w:rsid w:val="312B7988"/>
    <w:rsid w:val="313E4873"/>
    <w:rsid w:val="31501496"/>
    <w:rsid w:val="31600632"/>
    <w:rsid w:val="317F48CE"/>
    <w:rsid w:val="31817704"/>
    <w:rsid w:val="31822F4F"/>
    <w:rsid w:val="319B5B25"/>
    <w:rsid w:val="31A31B04"/>
    <w:rsid w:val="31A63832"/>
    <w:rsid w:val="31B45EC9"/>
    <w:rsid w:val="31BE412A"/>
    <w:rsid w:val="31EA30D1"/>
    <w:rsid w:val="31FE41DB"/>
    <w:rsid w:val="3215230D"/>
    <w:rsid w:val="322C2CAD"/>
    <w:rsid w:val="323B5CA2"/>
    <w:rsid w:val="325F4DE8"/>
    <w:rsid w:val="326E5D1B"/>
    <w:rsid w:val="3296737C"/>
    <w:rsid w:val="329E432A"/>
    <w:rsid w:val="32A7158A"/>
    <w:rsid w:val="32E1031B"/>
    <w:rsid w:val="330B1B18"/>
    <w:rsid w:val="33235945"/>
    <w:rsid w:val="3324352C"/>
    <w:rsid w:val="3337290D"/>
    <w:rsid w:val="333746BC"/>
    <w:rsid w:val="33435756"/>
    <w:rsid w:val="33572FB0"/>
    <w:rsid w:val="3368511F"/>
    <w:rsid w:val="336E509B"/>
    <w:rsid w:val="337066EC"/>
    <w:rsid w:val="338424E1"/>
    <w:rsid w:val="338D664B"/>
    <w:rsid w:val="33C7178B"/>
    <w:rsid w:val="33CF4883"/>
    <w:rsid w:val="33DB2BAC"/>
    <w:rsid w:val="33EA47CE"/>
    <w:rsid w:val="34054394"/>
    <w:rsid w:val="3411315F"/>
    <w:rsid w:val="342235BE"/>
    <w:rsid w:val="344C152F"/>
    <w:rsid w:val="34605E94"/>
    <w:rsid w:val="34626B64"/>
    <w:rsid w:val="34680629"/>
    <w:rsid w:val="347E456C"/>
    <w:rsid w:val="34AF401B"/>
    <w:rsid w:val="34D87291"/>
    <w:rsid w:val="34F12F90"/>
    <w:rsid w:val="34FA0097"/>
    <w:rsid w:val="34FE1D97"/>
    <w:rsid w:val="350F0980"/>
    <w:rsid w:val="351D3166"/>
    <w:rsid w:val="351F71A7"/>
    <w:rsid w:val="3538471B"/>
    <w:rsid w:val="35564703"/>
    <w:rsid w:val="35594427"/>
    <w:rsid w:val="355E0A48"/>
    <w:rsid w:val="35C75689"/>
    <w:rsid w:val="35E90436"/>
    <w:rsid w:val="35EB3CBC"/>
    <w:rsid w:val="36050AA1"/>
    <w:rsid w:val="36201D7F"/>
    <w:rsid w:val="363870C8"/>
    <w:rsid w:val="36666CB5"/>
    <w:rsid w:val="366C3DC1"/>
    <w:rsid w:val="36704443"/>
    <w:rsid w:val="368D3A93"/>
    <w:rsid w:val="36A27D1E"/>
    <w:rsid w:val="36E275DE"/>
    <w:rsid w:val="36F650CC"/>
    <w:rsid w:val="370D6FA8"/>
    <w:rsid w:val="370E702C"/>
    <w:rsid w:val="370F16D6"/>
    <w:rsid w:val="3711096B"/>
    <w:rsid w:val="37231286"/>
    <w:rsid w:val="372E4412"/>
    <w:rsid w:val="3736112E"/>
    <w:rsid w:val="37411F0F"/>
    <w:rsid w:val="37441258"/>
    <w:rsid w:val="375A71E3"/>
    <w:rsid w:val="375C659B"/>
    <w:rsid w:val="3788756C"/>
    <w:rsid w:val="37C43DED"/>
    <w:rsid w:val="37FB4FE9"/>
    <w:rsid w:val="381050AE"/>
    <w:rsid w:val="38203A20"/>
    <w:rsid w:val="38262F51"/>
    <w:rsid w:val="38311627"/>
    <w:rsid w:val="38594EA3"/>
    <w:rsid w:val="386A0303"/>
    <w:rsid w:val="386A72E1"/>
    <w:rsid w:val="386F1F5A"/>
    <w:rsid w:val="387F0D90"/>
    <w:rsid w:val="38856E3B"/>
    <w:rsid w:val="38886419"/>
    <w:rsid w:val="389425B0"/>
    <w:rsid w:val="38B477A5"/>
    <w:rsid w:val="38C369F1"/>
    <w:rsid w:val="38D37B0C"/>
    <w:rsid w:val="38DD610C"/>
    <w:rsid w:val="38E956EF"/>
    <w:rsid w:val="38FD639A"/>
    <w:rsid w:val="390F1C37"/>
    <w:rsid w:val="39132223"/>
    <w:rsid w:val="391F5D32"/>
    <w:rsid w:val="393E3FC7"/>
    <w:rsid w:val="396146A7"/>
    <w:rsid w:val="3963760F"/>
    <w:rsid w:val="396E4AD9"/>
    <w:rsid w:val="39860B3F"/>
    <w:rsid w:val="398D62E7"/>
    <w:rsid w:val="398F7462"/>
    <w:rsid w:val="39967D66"/>
    <w:rsid w:val="399F2FBB"/>
    <w:rsid w:val="39B747A8"/>
    <w:rsid w:val="39CC2DEE"/>
    <w:rsid w:val="3A134939"/>
    <w:rsid w:val="3A291355"/>
    <w:rsid w:val="3A3A00B9"/>
    <w:rsid w:val="3A416C77"/>
    <w:rsid w:val="3A440A62"/>
    <w:rsid w:val="3A4A2EE8"/>
    <w:rsid w:val="3A8646DD"/>
    <w:rsid w:val="3AA77ACF"/>
    <w:rsid w:val="3AF64AE0"/>
    <w:rsid w:val="3B0C4C89"/>
    <w:rsid w:val="3B1B1077"/>
    <w:rsid w:val="3B21379E"/>
    <w:rsid w:val="3B2362F2"/>
    <w:rsid w:val="3B3B6D13"/>
    <w:rsid w:val="3B4200A1"/>
    <w:rsid w:val="3B4C0F20"/>
    <w:rsid w:val="3B4E14F1"/>
    <w:rsid w:val="3B5D7034"/>
    <w:rsid w:val="3B651B44"/>
    <w:rsid w:val="3B994F55"/>
    <w:rsid w:val="3BA1126C"/>
    <w:rsid w:val="3BB86C23"/>
    <w:rsid w:val="3BD52AC5"/>
    <w:rsid w:val="3BD76E6C"/>
    <w:rsid w:val="3BDC004C"/>
    <w:rsid w:val="3BE952BD"/>
    <w:rsid w:val="3C006985"/>
    <w:rsid w:val="3C1B147E"/>
    <w:rsid w:val="3C25241D"/>
    <w:rsid w:val="3C2B03F6"/>
    <w:rsid w:val="3C325CBB"/>
    <w:rsid w:val="3C4A1903"/>
    <w:rsid w:val="3C655E40"/>
    <w:rsid w:val="3C700400"/>
    <w:rsid w:val="3C740F54"/>
    <w:rsid w:val="3C791E9A"/>
    <w:rsid w:val="3C7C0723"/>
    <w:rsid w:val="3C8A1876"/>
    <w:rsid w:val="3C917532"/>
    <w:rsid w:val="3CCD05AC"/>
    <w:rsid w:val="3CD70CBD"/>
    <w:rsid w:val="3CD76F0F"/>
    <w:rsid w:val="3CF1345D"/>
    <w:rsid w:val="3D037D04"/>
    <w:rsid w:val="3D876E0F"/>
    <w:rsid w:val="3D946DBE"/>
    <w:rsid w:val="3D9C184F"/>
    <w:rsid w:val="3DA33761"/>
    <w:rsid w:val="3DA7291A"/>
    <w:rsid w:val="3DC15C11"/>
    <w:rsid w:val="3DEC2DB8"/>
    <w:rsid w:val="3DEE4B95"/>
    <w:rsid w:val="3DFD5F62"/>
    <w:rsid w:val="3E062716"/>
    <w:rsid w:val="3E233977"/>
    <w:rsid w:val="3E2711EB"/>
    <w:rsid w:val="3E2E7003"/>
    <w:rsid w:val="3E3D2B22"/>
    <w:rsid w:val="3E44231D"/>
    <w:rsid w:val="3E5C134C"/>
    <w:rsid w:val="3E706AA3"/>
    <w:rsid w:val="3E720C9E"/>
    <w:rsid w:val="3E772B88"/>
    <w:rsid w:val="3E8E2DB7"/>
    <w:rsid w:val="3E8F69D6"/>
    <w:rsid w:val="3E9E75A5"/>
    <w:rsid w:val="3EE31B9B"/>
    <w:rsid w:val="3EF02D22"/>
    <w:rsid w:val="3EF075F6"/>
    <w:rsid w:val="3EF30DCD"/>
    <w:rsid w:val="3EF5319A"/>
    <w:rsid w:val="3EFD6405"/>
    <w:rsid w:val="3F0A3CBD"/>
    <w:rsid w:val="3F1B27D8"/>
    <w:rsid w:val="3F1F02A0"/>
    <w:rsid w:val="3F2E54C2"/>
    <w:rsid w:val="3F3A44A9"/>
    <w:rsid w:val="3F5145B2"/>
    <w:rsid w:val="3F676329"/>
    <w:rsid w:val="3F696545"/>
    <w:rsid w:val="3F6C0E72"/>
    <w:rsid w:val="3F784386"/>
    <w:rsid w:val="3F85289A"/>
    <w:rsid w:val="3F9D1D4A"/>
    <w:rsid w:val="3FC10A29"/>
    <w:rsid w:val="3FC70C41"/>
    <w:rsid w:val="3FF41CF1"/>
    <w:rsid w:val="3FFB4CC3"/>
    <w:rsid w:val="40073FFD"/>
    <w:rsid w:val="400D69A7"/>
    <w:rsid w:val="401D43BA"/>
    <w:rsid w:val="402F12B4"/>
    <w:rsid w:val="403365D8"/>
    <w:rsid w:val="403501D5"/>
    <w:rsid w:val="4037219F"/>
    <w:rsid w:val="40372CDB"/>
    <w:rsid w:val="40414F3F"/>
    <w:rsid w:val="4044666A"/>
    <w:rsid w:val="404F6178"/>
    <w:rsid w:val="407C1648"/>
    <w:rsid w:val="40920F9A"/>
    <w:rsid w:val="40BF1951"/>
    <w:rsid w:val="40C13D4A"/>
    <w:rsid w:val="40C501F6"/>
    <w:rsid w:val="40D043A1"/>
    <w:rsid w:val="40D73786"/>
    <w:rsid w:val="40E97BDE"/>
    <w:rsid w:val="40FE691E"/>
    <w:rsid w:val="41016309"/>
    <w:rsid w:val="41173D7E"/>
    <w:rsid w:val="4130498B"/>
    <w:rsid w:val="413527CD"/>
    <w:rsid w:val="414D59F2"/>
    <w:rsid w:val="41573E32"/>
    <w:rsid w:val="41663E6F"/>
    <w:rsid w:val="41764F49"/>
    <w:rsid w:val="41792343"/>
    <w:rsid w:val="418E12D2"/>
    <w:rsid w:val="41C007E7"/>
    <w:rsid w:val="41CC06C6"/>
    <w:rsid w:val="41D116D9"/>
    <w:rsid w:val="41DD00FA"/>
    <w:rsid w:val="41E41EB2"/>
    <w:rsid w:val="41E43D07"/>
    <w:rsid w:val="41EC0D67"/>
    <w:rsid w:val="41EC71D1"/>
    <w:rsid w:val="42110EE1"/>
    <w:rsid w:val="42155A51"/>
    <w:rsid w:val="421858BC"/>
    <w:rsid w:val="421F5C62"/>
    <w:rsid w:val="423F66DF"/>
    <w:rsid w:val="42492C9C"/>
    <w:rsid w:val="42510572"/>
    <w:rsid w:val="4267663F"/>
    <w:rsid w:val="429B3DB9"/>
    <w:rsid w:val="429C64A7"/>
    <w:rsid w:val="42AD216D"/>
    <w:rsid w:val="42B75CFA"/>
    <w:rsid w:val="42C359AA"/>
    <w:rsid w:val="42D261AF"/>
    <w:rsid w:val="42FA39AE"/>
    <w:rsid w:val="430D73BE"/>
    <w:rsid w:val="43141357"/>
    <w:rsid w:val="432130EE"/>
    <w:rsid w:val="4327127F"/>
    <w:rsid w:val="433525C0"/>
    <w:rsid w:val="433F4402"/>
    <w:rsid w:val="435E553B"/>
    <w:rsid w:val="436F0D42"/>
    <w:rsid w:val="438449DC"/>
    <w:rsid w:val="438D0E66"/>
    <w:rsid w:val="43A92BF0"/>
    <w:rsid w:val="43D50ABA"/>
    <w:rsid w:val="43E97C54"/>
    <w:rsid w:val="43F617AB"/>
    <w:rsid w:val="441F664B"/>
    <w:rsid w:val="442519AA"/>
    <w:rsid w:val="4435551D"/>
    <w:rsid w:val="44587BC9"/>
    <w:rsid w:val="44694189"/>
    <w:rsid w:val="446C5A2B"/>
    <w:rsid w:val="449370BE"/>
    <w:rsid w:val="4499005A"/>
    <w:rsid w:val="44D3620E"/>
    <w:rsid w:val="44D94989"/>
    <w:rsid w:val="44ED5522"/>
    <w:rsid w:val="44ED5949"/>
    <w:rsid w:val="44F41E19"/>
    <w:rsid w:val="44F5629C"/>
    <w:rsid w:val="45034D45"/>
    <w:rsid w:val="45140D01"/>
    <w:rsid w:val="451508BD"/>
    <w:rsid w:val="45156831"/>
    <w:rsid w:val="45351166"/>
    <w:rsid w:val="4537679D"/>
    <w:rsid w:val="4538268B"/>
    <w:rsid w:val="454315E6"/>
    <w:rsid w:val="454F0235"/>
    <w:rsid w:val="454F6C00"/>
    <w:rsid w:val="456953A7"/>
    <w:rsid w:val="456C27C2"/>
    <w:rsid w:val="456F2A1D"/>
    <w:rsid w:val="45737BDF"/>
    <w:rsid w:val="45A41848"/>
    <w:rsid w:val="45B63B66"/>
    <w:rsid w:val="45C75D73"/>
    <w:rsid w:val="45ED3B7A"/>
    <w:rsid w:val="45EF0BFF"/>
    <w:rsid w:val="461F4288"/>
    <w:rsid w:val="4623374B"/>
    <w:rsid w:val="463131AB"/>
    <w:rsid w:val="46326EF7"/>
    <w:rsid w:val="46381DD0"/>
    <w:rsid w:val="46B70B31"/>
    <w:rsid w:val="46B75892"/>
    <w:rsid w:val="46CD787C"/>
    <w:rsid w:val="46F52648"/>
    <w:rsid w:val="46F60841"/>
    <w:rsid w:val="47003456"/>
    <w:rsid w:val="471A334F"/>
    <w:rsid w:val="47227954"/>
    <w:rsid w:val="47245267"/>
    <w:rsid w:val="4734063B"/>
    <w:rsid w:val="47403664"/>
    <w:rsid w:val="47504F42"/>
    <w:rsid w:val="47515805"/>
    <w:rsid w:val="47601FC8"/>
    <w:rsid w:val="47843F14"/>
    <w:rsid w:val="47866373"/>
    <w:rsid w:val="47930F57"/>
    <w:rsid w:val="47B8502A"/>
    <w:rsid w:val="47D12ED9"/>
    <w:rsid w:val="47E760B5"/>
    <w:rsid w:val="481E3C44"/>
    <w:rsid w:val="48283BD9"/>
    <w:rsid w:val="483100AC"/>
    <w:rsid w:val="485819FA"/>
    <w:rsid w:val="48697143"/>
    <w:rsid w:val="48961A2D"/>
    <w:rsid w:val="48BC649B"/>
    <w:rsid w:val="48DA7B6B"/>
    <w:rsid w:val="48DA7E13"/>
    <w:rsid w:val="48F96446"/>
    <w:rsid w:val="491B4D4A"/>
    <w:rsid w:val="492E60D5"/>
    <w:rsid w:val="493A23C0"/>
    <w:rsid w:val="49595BC3"/>
    <w:rsid w:val="49821A2F"/>
    <w:rsid w:val="498F0FE5"/>
    <w:rsid w:val="49923B77"/>
    <w:rsid w:val="49936C93"/>
    <w:rsid w:val="49E41A6C"/>
    <w:rsid w:val="49EE37CF"/>
    <w:rsid w:val="4A0C3670"/>
    <w:rsid w:val="4A113C78"/>
    <w:rsid w:val="4A143650"/>
    <w:rsid w:val="4A253068"/>
    <w:rsid w:val="4A2B014A"/>
    <w:rsid w:val="4A2F0A27"/>
    <w:rsid w:val="4A5A1E95"/>
    <w:rsid w:val="4A6606F1"/>
    <w:rsid w:val="4A7268B0"/>
    <w:rsid w:val="4AB55462"/>
    <w:rsid w:val="4ABD7744"/>
    <w:rsid w:val="4AC40AD3"/>
    <w:rsid w:val="4AE20D8F"/>
    <w:rsid w:val="4B120297"/>
    <w:rsid w:val="4B416D52"/>
    <w:rsid w:val="4B4B34EE"/>
    <w:rsid w:val="4B6C4D31"/>
    <w:rsid w:val="4B706F82"/>
    <w:rsid w:val="4BA10E14"/>
    <w:rsid w:val="4BCA036B"/>
    <w:rsid w:val="4BCB10FA"/>
    <w:rsid w:val="4BE45A77"/>
    <w:rsid w:val="4BE60BE6"/>
    <w:rsid w:val="4BEA5800"/>
    <w:rsid w:val="4BF139BA"/>
    <w:rsid w:val="4C360DAD"/>
    <w:rsid w:val="4C4429D1"/>
    <w:rsid w:val="4C540588"/>
    <w:rsid w:val="4CA75AC7"/>
    <w:rsid w:val="4CAA5AA7"/>
    <w:rsid w:val="4CAA6C8B"/>
    <w:rsid w:val="4CC065F7"/>
    <w:rsid w:val="4CC47547"/>
    <w:rsid w:val="4CED534E"/>
    <w:rsid w:val="4CEF7CFB"/>
    <w:rsid w:val="4D020FE2"/>
    <w:rsid w:val="4D043409"/>
    <w:rsid w:val="4D265A75"/>
    <w:rsid w:val="4D293A2A"/>
    <w:rsid w:val="4D34142D"/>
    <w:rsid w:val="4D357F28"/>
    <w:rsid w:val="4D3F1B90"/>
    <w:rsid w:val="4D5771CF"/>
    <w:rsid w:val="4D6842B2"/>
    <w:rsid w:val="4D907392"/>
    <w:rsid w:val="4D970721"/>
    <w:rsid w:val="4DAB5F7A"/>
    <w:rsid w:val="4DCA6648"/>
    <w:rsid w:val="4DFA089E"/>
    <w:rsid w:val="4E031912"/>
    <w:rsid w:val="4E0D280B"/>
    <w:rsid w:val="4E151983"/>
    <w:rsid w:val="4E235B10"/>
    <w:rsid w:val="4E265C87"/>
    <w:rsid w:val="4E465CA3"/>
    <w:rsid w:val="4E616639"/>
    <w:rsid w:val="4E78611C"/>
    <w:rsid w:val="4E791101"/>
    <w:rsid w:val="4E7E62F6"/>
    <w:rsid w:val="4E860C0F"/>
    <w:rsid w:val="4E8D143A"/>
    <w:rsid w:val="4E9A2934"/>
    <w:rsid w:val="4EC86752"/>
    <w:rsid w:val="4ED34350"/>
    <w:rsid w:val="4EE23F89"/>
    <w:rsid w:val="4EEA2AD2"/>
    <w:rsid w:val="4EFD691F"/>
    <w:rsid w:val="4F277882"/>
    <w:rsid w:val="4F2B5DCC"/>
    <w:rsid w:val="4F3534BD"/>
    <w:rsid w:val="4F3955E3"/>
    <w:rsid w:val="4F451EFA"/>
    <w:rsid w:val="4F524612"/>
    <w:rsid w:val="4F5274E5"/>
    <w:rsid w:val="4F697E9B"/>
    <w:rsid w:val="4F6F0131"/>
    <w:rsid w:val="4FD44B11"/>
    <w:rsid w:val="4FDA6112"/>
    <w:rsid w:val="4FE25169"/>
    <w:rsid w:val="4FFB01D2"/>
    <w:rsid w:val="50093C27"/>
    <w:rsid w:val="50532DFD"/>
    <w:rsid w:val="50535FA7"/>
    <w:rsid w:val="50624D17"/>
    <w:rsid w:val="5069089B"/>
    <w:rsid w:val="509375B1"/>
    <w:rsid w:val="50976770"/>
    <w:rsid w:val="50AB07D5"/>
    <w:rsid w:val="50B30047"/>
    <w:rsid w:val="50C556BE"/>
    <w:rsid w:val="50DB6B76"/>
    <w:rsid w:val="50DD197E"/>
    <w:rsid w:val="50E64171"/>
    <w:rsid w:val="50E963C7"/>
    <w:rsid w:val="51025D34"/>
    <w:rsid w:val="510269CE"/>
    <w:rsid w:val="51173BA2"/>
    <w:rsid w:val="512B3998"/>
    <w:rsid w:val="5153477E"/>
    <w:rsid w:val="51583D23"/>
    <w:rsid w:val="515D758B"/>
    <w:rsid w:val="51660426"/>
    <w:rsid w:val="5176064D"/>
    <w:rsid w:val="51810C90"/>
    <w:rsid w:val="519136D9"/>
    <w:rsid w:val="519C35D9"/>
    <w:rsid w:val="51A263D9"/>
    <w:rsid w:val="51B744F2"/>
    <w:rsid w:val="51CB2E5E"/>
    <w:rsid w:val="51CE25C3"/>
    <w:rsid w:val="51E3701F"/>
    <w:rsid w:val="51F62EEA"/>
    <w:rsid w:val="520A44A5"/>
    <w:rsid w:val="52101A0D"/>
    <w:rsid w:val="521265C8"/>
    <w:rsid w:val="521A36CE"/>
    <w:rsid w:val="5242411C"/>
    <w:rsid w:val="52475A6B"/>
    <w:rsid w:val="52505342"/>
    <w:rsid w:val="5264494A"/>
    <w:rsid w:val="526E4167"/>
    <w:rsid w:val="52741030"/>
    <w:rsid w:val="5290623C"/>
    <w:rsid w:val="52927A32"/>
    <w:rsid w:val="529E2A6C"/>
    <w:rsid w:val="52A94F25"/>
    <w:rsid w:val="52AA4082"/>
    <w:rsid w:val="52B56FEB"/>
    <w:rsid w:val="52BA27BB"/>
    <w:rsid w:val="52CF5609"/>
    <w:rsid w:val="52D577F1"/>
    <w:rsid w:val="52E372A0"/>
    <w:rsid w:val="52E71802"/>
    <w:rsid w:val="52E76CFE"/>
    <w:rsid w:val="5302488E"/>
    <w:rsid w:val="531C1684"/>
    <w:rsid w:val="53246BF7"/>
    <w:rsid w:val="53656BCB"/>
    <w:rsid w:val="538A6632"/>
    <w:rsid w:val="539A6875"/>
    <w:rsid w:val="539D0113"/>
    <w:rsid w:val="53AC04B4"/>
    <w:rsid w:val="53B34717"/>
    <w:rsid w:val="53C90F08"/>
    <w:rsid w:val="53C910C6"/>
    <w:rsid w:val="53D333E6"/>
    <w:rsid w:val="53E31869"/>
    <w:rsid w:val="53E61ABA"/>
    <w:rsid w:val="53FA7313"/>
    <w:rsid w:val="540006A2"/>
    <w:rsid w:val="54036D19"/>
    <w:rsid w:val="54102FDB"/>
    <w:rsid w:val="541D11D5"/>
    <w:rsid w:val="543F0CE2"/>
    <w:rsid w:val="54437678"/>
    <w:rsid w:val="5444538C"/>
    <w:rsid w:val="54531543"/>
    <w:rsid w:val="54664182"/>
    <w:rsid w:val="547E0169"/>
    <w:rsid w:val="547F157E"/>
    <w:rsid w:val="54866DF9"/>
    <w:rsid w:val="548F0716"/>
    <w:rsid w:val="54AE00FE"/>
    <w:rsid w:val="54C57D30"/>
    <w:rsid w:val="54CE63E2"/>
    <w:rsid w:val="54DE26FB"/>
    <w:rsid w:val="55012924"/>
    <w:rsid w:val="55124B31"/>
    <w:rsid w:val="552315CD"/>
    <w:rsid w:val="553B7BE4"/>
    <w:rsid w:val="55531582"/>
    <w:rsid w:val="55533C29"/>
    <w:rsid w:val="556D1D67"/>
    <w:rsid w:val="556F3D31"/>
    <w:rsid w:val="559A23C6"/>
    <w:rsid w:val="55AA58ED"/>
    <w:rsid w:val="55CA7DD0"/>
    <w:rsid w:val="56291D9E"/>
    <w:rsid w:val="563611BE"/>
    <w:rsid w:val="563E1D08"/>
    <w:rsid w:val="564577C8"/>
    <w:rsid w:val="565151E5"/>
    <w:rsid w:val="565B60CC"/>
    <w:rsid w:val="565B747E"/>
    <w:rsid w:val="56770669"/>
    <w:rsid w:val="567A2E80"/>
    <w:rsid w:val="569704C4"/>
    <w:rsid w:val="56A512E3"/>
    <w:rsid w:val="56CB1307"/>
    <w:rsid w:val="56CF2DEE"/>
    <w:rsid w:val="56E04E67"/>
    <w:rsid w:val="56E2354B"/>
    <w:rsid w:val="56EA7D17"/>
    <w:rsid w:val="57016C0B"/>
    <w:rsid w:val="570556BE"/>
    <w:rsid w:val="57154464"/>
    <w:rsid w:val="572A5F3A"/>
    <w:rsid w:val="572A730C"/>
    <w:rsid w:val="57427BEF"/>
    <w:rsid w:val="574A05B2"/>
    <w:rsid w:val="57624CE9"/>
    <w:rsid w:val="57696EE6"/>
    <w:rsid w:val="578C67F5"/>
    <w:rsid w:val="57945CD1"/>
    <w:rsid w:val="57946598"/>
    <w:rsid w:val="57A4224B"/>
    <w:rsid w:val="57BE52C8"/>
    <w:rsid w:val="57D457AB"/>
    <w:rsid w:val="57E0554A"/>
    <w:rsid w:val="5805168F"/>
    <w:rsid w:val="58226448"/>
    <w:rsid w:val="583059FA"/>
    <w:rsid w:val="583F3E8F"/>
    <w:rsid w:val="58493F61"/>
    <w:rsid w:val="58570F15"/>
    <w:rsid w:val="585A65D3"/>
    <w:rsid w:val="58660CE3"/>
    <w:rsid w:val="58892C4B"/>
    <w:rsid w:val="589122DD"/>
    <w:rsid w:val="58B77EC9"/>
    <w:rsid w:val="58BF6D7E"/>
    <w:rsid w:val="58C33086"/>
    <w:rsid w:val="58E57EDF"/>
    <w:rsid w:val="58E63BE8"/>
    <w:rsid w:val="58ED4908"/>
    <w:rsid w:val="58FE0D30"/>
    <w:rsid w:val="59036501"/>
    <w:rsid w:val="590823D1"/>
    <w:rsid w:val="590B222D"/>
    <w:rsid w:val="592D3CE7"/>
    <w:rsid w:val="594F497C"/>
    <w:rsid w:val="596A12D9"/>
    <w:rsid w:val="597C2E12"/>
    <w:rsid w:val="597E6296"/>
    <w:rsid w:val="59822285"/>
    <w:rsid w:val="598D1433"/>
    <w:rsid w:val="59AA5338"/>
    <w:rsid w:val="59AD6BD6"/>
    <w:rsid w:val="59E44CEE"/>
    <w:rsid w:val="59F41A26"/>
    <w:rsid w:val="59F45A45"/>
    <w:rsid w:val="59FF38D6"/>
    <w:rsid w:val="5A0233C6"/>
    <w:rsid w:val="5A1412A6"/>
    <w:rsid w:val="5A166E71"/>
    <w:rsid w:val="5A1D1FAE"/>
    <w:rsid w:val="5A2536EB"/>
    <w:rsid w:val="5A376FBB"/>
    <w:rsid w:val="5A3C3C2B"/>
    <w:rsid w:val="5A3F4FE4"/>
    <w:rsid w:val="5A405CDC"/>
    <w:rsid w:val="5A613EE2"/>
    <w:rsid w:val="5A647BDD"/>
    <w:rsid w:val="5A714F1E"/>
    <w:rsid w:val="5A767D29"/>
    <w:rsid w:val="5A851613"/>
    <w:rsid w:val="5A97390A"/>
    <w:rsid w:val="5AB110C5"/>
    <w:rsid w:val="5AC050B2"/>
    <w:rsid w:val="5ACE5377"/>
    <w:rsid w:val="5AD4268A"/>
    <w:rsid w:val="5AE75161"/>
    <w:rsid w:val="5AF933C3"/>
    <w:rsid w:val="5AFC6067"/>
    <w:rsid w:val="5B32696C"/>
    <w:rsid w:val="5B3359A1"/>
    <w:rsid w:val="5B340651"/>
    <w:rsid w:val="5B3475AF"/>
    <w:rsid w:val="5B44356A"/>
    <w:rsid w:val="5B4D0671"/>
    <w:rsid w:val="5B4E541E"/>
    <w:rsid w:val="5B503CBD"/>
    <w:rsid w:val="5B8F2A37"/>
    <w:rsid w:val="5BB079D8"/>
    <w:rsid w:val="5C024D68"/>
    <w:rsid w:val="5C1C7E6E"/>
    <w:rsid w:val="5C2A1733"/>
    <w:rsid w:val="5C3576A7"/>
    <w:rsid w:val="5C3E532A"/>
    <w:rsid w:val="5C710052"/>
    <w:rsid w:val="5C7515E8"/>
    <w:rsid w:val="5C7E17E4"/>
    <w:rsid w:val="5C7F0CFE"/>
    <w:rsid w:val="5C8F1D6F"/>
    <w:rsid w:val="5CA72002"/>
    <w:rsid w:val="5CB5471F"/>
    <w:rsid w:val="5CB95C1B"/>
    <w:rsid w:val="5CC12F90"/>
    <w:rsid w:val="5CC130C4"/>
    <w:rsid w:val="5CC249B4"/>
    <w:rsid w:val="5CC27799"/>
    <w:rsid w:val="5CC515C0"/>
    <w:rsid w:val="5CE2029C"/>
    <w:rsid w:val="5CED7A32"/>
    <w:rsid w:val="5D001E1D"/>
    <w:rsid w:val="5D015BB7"/>
    <w:rsid w:val="5D0B4E1D"/>
    <w:rsid w:val="5D0E5B76"/>
    <w:rsid w:val="5D12732D"/>
    <w:rsid w:val="5D512C2F"/>
    <w:rsid w:val="5D521BAE"/>
    <w:rsid w:val="5D6B1282"/>
    <w:rsid w:val="5D8156B3"/>
    <w:rsid w:val="5D944D6A"/>
    <w:rsid w:val="5D9C768D"/>
    <w:rsid w:val="5DA65D3F"/>
    <w:rsid w:val="5DDB01B6"/>
    <w:rsid w:val="5DE0757A"/>
    <w:rsid w:val="5DE518F5"/>
    <w:rsid w:val="5DE54B90"/>
    <w:rsid w:val="5DE80B25"/>
    <w:rsid w:val="5DE828D3"/>
    <w:rsid w:val="5DF5021A"/>
    <w:rsid w:val="5E1C37BD"/>
    <w:rsid w:val="5E2307DC"/>
    <w:rsid w:val="5E2A488B"/>
    <w:rsid w:val="5E3B603F"/>
    <w:rsid w:val="5E484209"/>
    <w:rsid w:val="5E4D0A45"/>
    <w:rsid w:val="5E5D0BCB"/>
    <w:rsid w:val="5EB42541"/>
    <w:rsid w:val="5EC5406C"/>
    <w:rsid w:val="5ED16A62"/>
    <w:rsid w:val="5EDD546C"/>
    <w:rsid w:val="5EE1105A"/>
    <w:rsid w:val="5EF67B17"/>
    <w:rsid w:val="5EF70A55"/>
    <w:rsid w:val="5EFC4888"/>
    <w:rsid w:val="5F0D0843"/>
    <w:rsid w:val="5F123744"/>
    <w:rsid w:val="5F133CBF"/>
    <w:rsid w:val="5F1F24D7"/>
    <w:rsid w:val="5F311BB3"/>
    <w:rsid w:val="5F3614AF"/>
    <w:rsid w:val="5F4A7B93"/>
    <w:rsid w:val="5F646D52"/>
    <w:rsid w:val="5F76780E"/>
    <w:rsid w:val="5F7B42E3"/>
    <w:rsid w:val="5F9C6A9D"/>
    <w:rsid w:val="5FB567E4"/>
    <w:rsid w:val="5FC80763"/>
    <w:rsid w:val="60124A64"/>
    <w:rsid w:val="60151180"/>
    <w:rsid w:val="60193851"/>
    <w:rsid w:val="601C7E68"/>
    <w:rsid w:val="603D2140"/>
    <w:rsid w:val="60570B09"/>
    <w:rsid w:val="605B42B2"/>
    <w:rsid w:val="60747F1B"/>
    <w:rsid w:val="60877AD2"/>
    <w:rsid w:val="60993644"/>
    <w:rsid w:val="60B22A8D"/>
    <w:rsid w:val="60C2229C"/>
    <w:rsid w:val="60C86BFC"/>
    <w:rsid w:val="61001973"/>
    <w:rsid w:val="6105554A"/>
    <w:rsid w:val="610F5E68"/>
    <w:rsid w:val="61243C22"/>
    <w:rsid w:val="6132417C"/>
    <w:rsid w:val="6146486E"/>
    <w:rsid w:val="61545964"/>
    <w:rsid w:val="616A0E42"/>
    <w:rsid w:val="616B1FBB"/>
    <w:rsid w:val="61744CF2"/>
    <w:rsid w:val="61917F48"/>
    <w:rsid w:val="61983E7E"/>
    <w:rsid w:val="61BD2260"/>
    <w:rsid w:val="61BD395C"/>
    <w:rsid w:val="61E5574C"/>
    <w:rsid w:val="61F913D6"/>
    <w:rsid w:val="61FA4FCD"/>
    <w:rsid w:val="62007770"/>
    <w:rsid w:val="62150535"/>
    <w:rsid w:val="62290FC6"/>
    <w:rsid w:val="62606EDB"/>
    <w:rsid w:val="6292263E"/>
    <w:rsid w:val="62B35938"/>
    <w:rsid w:val="62C77DF3"/>
    <w:rsid w:val="62CA6DE2"/>
    <w:rsid w:val="62CD07FE"/>
    <w:rsid w:val="62D84CC4"/>
    <w:rsid w:val="62DC3E7F"/>
    <w:rsid w:val="62F62D2C"/>
    <w:rsid w:val="631766DA"/>
    <w:rsid w:val="631D7424"/>
    <w:rsid w:val="63556314"/>
    <w:rsid w:val="638A2BA8"/>
    <w:rsid w:val="639458DA"/>
    <w:rsid w:val="639A1C4B"/>
    <w:rsid w:val="639B7BD6"/>
    <w:rsid w:val="63A177AC"/>
    <w:rsid w:val="63A71009"/>
    <w:rsid w:val="63AD4A8D"/>
    <w:rsid w:val="63B23767"/>
    <w:rsid w:val="63B70D7D"/>
    <w:rsid w:val="63C464CF"/>
    <w:rsid w:val="63C56BE9"/>
    <w:rsid w:val="63CD1564"/>
    <w:rsid w:val="63CE02E6"/>
    <w:rsid w:val="63F7561D"/>
    <w:rsid w:val="64085584"/>
    <w:rsid w:val="6410048D"/>
    <w:rsid w:val="64351345"/>
    <w:rsid w:val="64481FE3"/>
    <w:rsid w:val="64562060"/>
    <w:rsid w:val="64635B60"/>
    <w:rsid w:val="647865B4"/>
    <w:rsid w:val="64864F67"/>
    <w:rsid w:val="648E0A50"/>
    <w:rsid w:val="649C5CE9"/>
    <w:rsid w:val="64A01AF7"/>
    <w:rsid w:val="64C33752"/>
    <w:rsid w:val="64D27AC2"/>
    <w:rsid w:val="64D53BAB"/>
    <w:rsid w:val="64EA5D49"/>
    <w:rsid w:val="64F47DAF"/>
    <w:rsid w:val="64FD355D"/>
    <w:rsid w:val="64FE574A"/>
    <w:rsid w:val="650801B4"/>
    <w:rsid w:val="650C47DA"/>
    <w:rsid w:val="650F4FCC"/>
    <w:rsid w:val="654541F6"/>
    <w:rsid w:val="656261B1"/>
    <w:rsid w:val="65626BE9"/>
    <w:rsid w:val="65691208"/>
    <w:rsid w:val="657A4758"/>
    <w:rsid w:val="65A73073"/>
    <w:rsid w:val="65A86FE3"/>
    <w:rsid w:val="65B441EF"/>
    <w:rsid w:val="65DE17D9"/>
    <w:rsid w:val="65DF280D"/>
    <w:rsid w:val="65FD583A"/>
    <w:rsid w:val="6611575D"/>
    <w:rsid w:val="661E50E3"/>
    <w:rsid w:val="66487AAC"/>
    <w:rsid w:val="664C3C4B"/>
    <w:rsid w:val="6663642E"/>
    <w:rsid w:val="6669763E"/>
    <w:rsid w:val="669678BC"/>
    <w:rsid w:val="66B25517"/>
    <w:rsid w:val="66EB31DD"/>
    <w:rsid w:val="66FC25A2"/>
    <w:rsid w:val="66FD119D"/>
    <w:rsid w:val="66FE0C21"/>
    <w:rsid w:val="671808AF"/>
    <w:rsid w:val="671B5F04"/>
    <w:rsid w:val="672A5D0A"/>
    <w:rsid w:val="67452FA1"/>
    <w:rsid w:val="674D72CB"/>
    <w:rsid w:val="67515045"/>
    <w:rsid w:val="677468A4"/>
    <w:rsid w:val="677A6041"/>
    <w:rsid w:val="677F27E7"/>
    <w:rsid w:val="67A1616C"/>
    <w:rsid w:val="67A55390"/>
    <w:rsid w:val="67AC671F"/>
    <w:rsid w:val="67C1353F"/>
    <w:rsid w:val="67D31EFE"/>
    <w:rsid w:val="67DD56B3"/>
    <w:rsid w:val="67E005F1"/>
    <w:rsid w:val="67E64DD9"/>
    <w:rsid w:val="67E96CAF"/>
    <w:rsid w:val="67FB4C6E"/>
    <w:rsid w:val="68042F0E"/>
    <w:rsid w:val="683268E0"/>
    <w:rsid w:val="68364CD7"/>
    <w:rsid w:val="683C2DEC"/>
    <w:rsid w:val="684B418A"/>
    <w:rsid w:val="684D1363"/>
    <w:rsid w:val="685A261F"/>
    <w:rsid w:val="68733B5D"/>
    <w:rsid w:val="68957B82"/>
    <w:rsid w:val="68A63D33"/>
    <w:rsid w:val="68C70FBB"/>
    <w:rsid w:val="68E3372E"/>
    <w:rsid w:val="68E86BE3"/>
    <w:rsid w:val="68EA3618"/>
    <w:rsid w:val="68EC18B0"/>
    <w:rsid w:val="68ED5EE2"/>
    <w:rsid w:val="68F40B39"/>
    <w:rsid w:val="68FB795E"/>
    <w:rsid w:val="69061D7F"/>
    <w:rsid w:val="6908207B"/>
    <w:rsid w:val="69136A00"/>
    <w:rsid w:val="69392234"/>
    <w:rsid w:val="6979269A"/>
    <w:rsid w:val="697B1161"/>
    <w:rsid w:val="69821E2D"/>
    <w:rsid w:val="69851833"/>
    <w:rsid w:val="6985191D"/>
    <w:rsid w:val="698B1703"/>
    <w:rsid w:val="69A47FF6"/>
    <w:rsid w:val="69A65DB1"/>
    <w:rsid w:val="69AC3FD0"/>
    <w:rsid w:val="69B343B3"/>
    <w:rsid w:val="69F8719C"/>
    <w:rsid w:val="69FC1C8E"/>
    <w:rsid w:val="6A0200F5"/>
    <w:rsid w:val="6A082C8B"/>
    <w:rsid w:val="6A0B3BD1"/>
    <w:rsid w:val="6A184540"/>
    <w:rsid w:val="6A1A7B2E"/>
    <w:rsid w:val="6A213DB0"/>
    <w:rsid w:val="6A250150"/>
    <w:rsid w:val="6A2E78BF"/>
    <w:rsid w:val="6A39302B"/>
    <w:rsid w:val="6A5C612F"/>
    <w:rsid w:val="6A873112"/>
    <w:rsid w:val="6A885221"/>
    <w:rsid w:val="6A9303D7"/>
    <w:rsid w:val="6AA620F6"/>
    <w:rsid w:val="6AAC4B3E"/>
    <w:rsid w:val="6AE90161"/>
    <w:rsid w:val="6AFB5D68"/>
    <w:rsid w:val="6B00062F"/>
    <w:rsid w:val="6B2A452A"/>
    <w:rsid w:val="6B2C46FE"/>
    <w:rsid w:val="6B644888"/>
    <w:rsid w:val="6B8071BE"/>
    <w:rsid w:val="6B871890"/>
    <w:rsid w:val="6B885034"/>
    <w:rsid w:val="6B8F438D"/>
    <w:rsid w:val="6BAF2F67"/>
    <w:rsid w:val="6BC41F81"/>
    <w:rsid w:val="6BCF5561"/>
    <w:rsid w:val="6BD010CE"/>
    <w:rsid w:val="6BD779E9"/>
    <w:rsid w:val="6BDD2222"/>
    <w:rsid w:val="6C166518"/>
    <w:rsid w:val="6C186374"/>
    <w:rsid w:val="6C337F2A"/>
    <w:rsid w:val="6C612DB0"/>
    <w:rsid w:val="6C6538E5"/>
    <w:rsid w:val="6C831AF1"/>
    <w:rsid w:val="6C8C5F63"/>
    <w:rsid w:val="6C8E01D5"/>
    <w:rsid w:val="6C8F0AF4"/>
    <w:rsid w:val="6C9F1154"/>
    <w:rsid w:val="6CA43E69"/>
    <w:rsid w:val="6CA976D1"/>
    <w:rsid w:val="6CAD22BD"/>
    <w:rsid w:val="6CAE5601"/>
    <w:rsid w:val="6CB4220A"/>
    <w:rsid w:val="6CC44BDB"/>
    <w:rsid w:val="6CCE0EE6"/>
    <w:rsid w:val="6CCF5389"/>
    <w:rsid w:val="6CDB54ED"/>
    <w:rsid w:val="6CDD38F7"/>
    <w:rsid w:val="6CE831C7"/>
    <w:rsid w:val="6CFA6D0C"/>
    <w:rsid w:val="6D12171A"/>
    <w:rsid w:val="6D3C22F3"/>
    <w:rsid w:val="6D8141AA"/>
    <w:rsid w:val="6D9701B4"/>
    <w:rsid w:val="6DA22A9E"/>
    <w:rsid w:val="6DA51185"/>
    <w:rsid w:val="6DC36D37"/>
    <w:rsid w:val="6DCF4F15"/>
    <w:rsid w:val="6DD17566"/>
    <w:rsid w:val="6DDC5164"/>
    <w:rsid w:val="6E010CC7"/>
    <w:rsid w:val="6E0510B9"/>
    <w:rsid w:val="6E1155CC"/>
    <w:rsid w:val="6E1B4553"/>
    <w:rsid w:val="6E1B63AC"/>
    <w:rsid w:val="6E25131E"/>
    <w:rsid w:val="6E327B54"/>
    <w:rsid w:val="6E327F8A"/>
    <w:rsid w:val="6E3A0E77"/>
    <w:rsid w:val="6E485414"/>
    <w:rsid w:val="6E6A6657"/>
    <w:rsid w:val="6E853EF7"/>
    <w:rsid w:val="6E897897"/>
    <w:rsid w:val="6EAD6B71"/>
    <w:rsid w:val="6EBE56B6"/>
    <w:rsid w:val="6EC8176A"/>
    <w:rsid w:val="6ECC7B1F"/>
    <w:rsid w:val="6F0D769A"/>
    <w:rsid w:val="6F150296"/>
    <w:rsid w:val="6F1D38A1"/>
    <w:rsid w:val="6F2250D3"/>
    <w:rsid w:val="6F492E06"/>
    <w:rsid w:val="6F600F73"/>
    <w:rsid w:val="6F7146A7"/>
    <w:rsid w:val="6F806E0F"/>
    <w:rsid w:val="6F812AF8"/>
    <w:rsid w:val="6F9A0BB0"/>
    <w:rsid w:val="6F9A6508"/>
    <w:rsid w:val="6FA612A8"/>
    <w:rsid w:val="6FB645DF"/>
    <w:rsid w:val="6FB737D6"/>
    <w:rsid w:val="6FBE06C7"/>
    <w:rsid w:val="6FBF3C11"/>
    <w:rsid w:val="6FCD1928"/>
    <w:rsid w:val="6FFC6909"/>
    <w:rsid w:val="701421B3"/>
    <w:rsid w:val="70350D74"/>
    <w:rsid w:val="704D1714"/>
    <w:rsid w:val="704D4718"/>
    <w:rsid w:val="70721977"/>
    <w:rsid w:val="70877D29"/>
    <w:rsid w:val="70887291"/>
    <w:rsid w:val="70933881"/>
    <w:rsid w:val="70A56534"/>
    <w:rsid w:val="70A95EF1"/>
    <w:rsid w:val="70B26E0A"/>
    <w:rsid w:val="70B66068"/>
    <w:rsid w:val="70CA62E4"/>
    <w:rsid w:val="70D609AB"/>
    <w:rsid w:val="70DE4F02"/>
    <w:rsid w:val="70E54745"/>
    <w:rsid w:val="70E96D15"/>
    <w:rsid w:val="71171C44"/>
    <w:rsid w:val="71302E6F"/>
    <w:rsid w:val="713D0247"/>
    <w:rsid w:val="713D0A8C"/>
    <w:rsid w:val="713F0105"/>
    <w:rsid w:val="71573B9F"/>
    <w:rsid w:val="715776FB"/>
    <w:rsid w:val="719967AA"/>
    <w:rsid w:val="71A1260E"/>
    <w:rsid w:val="71CF2BC4"/>
    <w:rsid w:val="71DC0390"/>
    <w:rsid w:val="71FE556C"/>
    <w:rsid w:val="720751EB"/>
    <w:rsid w:val="720966D5"/>
    <w:rsid w:val="720A0C12"/>
    <w:rsid w:val="720F31AC"/>
    <w:rsid w:val="721E1149"/>
    <w:rsid w:val="721E7B7A"/>
    <w:rsid w:val="722054E1"/>
    <w:rsid w:val="7221329D"/>
    <w:rsid w:val="724F023B"/>
    <w:rsid w:val="72695938"/>
    <w:rsid w:val="72712A3F"/>
    <w:rsid w:val="72782FEF"/>
    <w:rsid w:val="727D5888"/>
    <w:rsid w:val="72BA676D"/>
    <w:rsid w:val="72BF4261"/>
    <w:rsid w:val="72D51F74"/>
    <w:rsid w:val="72D86E78"/>
    <w:rsid w:val="72DA033E"/>
    <w:rsid w:val="72FB055A"/>
    <w:rsid w:val="73403702"/>
    <w:rsid w:val="73424373"/>
    <w:rsid w:val="735433FF"/>
    <w:rsid w:val="7358775B"/>
    <w:rsid w:val="738A5B88"/>
    <w:rsid w:val="738F72FF"/>
    <w:rsid w:val="73A55683"/>
    <w:rsid w:val="73AF3118"/>
    <w:rsid w:val="73B40A19"/>
    <w:rsid w:val="73C3161E"/>
    <w:rsid w:val="73CC7862"/>
    <w:rsid w:val="73FB2F08"/>
    <w:rsid w:val="74000DE6"/>
    <w:rsid w:val="74024296"/>
    <w:rsid w:val="74036BB9"/>
    <w:rsid w:val="741E3593"/>
    <w:rsid w:val="74294B0B"/>
    <w:rsid w:val="743957DE"/>
    <w:rsid w:val="744078B6"/>
    <w:rsid w:val="74640AAD"/>
    <w:rsid w:val="74873928"/>
    <w:rsid w:val="748E78D8"/>
    <w:rsid w:val="748F3650"/>
    <w:rsid w:val="74B37590"/>
    <w:rsid w:val="74C37F64"/>
    <w:rsid w:val="74C459B9"/>
    <w:rsid w:val="74DA51A1"/>
    <w:rsid w:val="74E10413"/>
    <w:rsid w:val="74E81D55"/>
    <w:rsid w:val="74ED439C"/>
    <w:rsid w:val="7501329A"/>
    <w:rsid w:val="750464E3"/>
    <w:rsid w:val="75095C25"/>
    <w:rsid w:val="75097772"/>
    <w:rsid w:val="751F0770"/>
    <w:rsid w:val="7520163B"/>
    <w:rsid w:val="752124FA"/>
    <w:rsid w:val="75311E5B"/>
    <w:rsid w:val="75502DDF"/>
    <w:rsid w:val="75514C5C"/>
    <w:rsid w:val="75643122"/>
    <w:rsid w:val="7565053D"/>
    <w:rsid w:val="757E51B5"/>
    <w:rsid w:val="759E3E2A"/>
    <w:rsid w:val="75A80813"/>
    <w:rsid w:val="75AB479D"/>
    <w:rsid w:val="75C659CF"/>
    <w:rsid w:val="75C86E1A"/>
    <w:rsid w:val="75D37FD6"/>
    <w:rsid w:val="76050AC1"/>
    <w:rsid w:val="762C0A8D"/>
    <w:rsid w:val="7634762B"/>
    <w:rsid w:val="763A07C3"/>
    <w:rsid w:val="7644730C"/>
    <w:rsid w:val="764E4813"/>
    <w:rsid w:val="765351AA"/>
    <w:rsid w:val="765863F0"/>
    <w:rsid w:val="765927F0"/>
    <w:rsid w:val="766E0306"/>
    <w:rsid w:val="76736AD0"/>
    <w:rsid w:val="76737946"/>
    <w:rsid w:val="76805BC7"/>
    <w:rsid w:val="76806BC7"/>
    <w:rsid w:val="76924892"/>
    <w:rsid w:val="76A96C4B"/>
    <w:rsid w:val="76BF2E4D"/>
    <w:rsid w:val="76CA6111"/>
    <w:rsid w:val="76DB492B"/>
    <w:rsid w:val="76EF03D6"/>
    <w:rsid w:val="770B1FE4"/>
    <w:rsid w:val="7711659E"/>
    <w:rsid w:val="771F0CBB"/>
    <w:rsid w:val="77243E7E"/>
    <w:rsid w:val="77443BEE"/>
    <w:rsid w:val="77490B51"/>
    <w:rsid w:val="77493F8A"/>
    <w:rsid w:val="77507EC4"/>
    <w:rsid w:val="77521091"/>
    <w:rsid w:val="77527177"/>
    <w:rsid w:val="776D6D3C"/>
    <w:rsid w:val="776F3A9E"/>
    <w:rsid w:val="77784870"/>
    <w:rsid w:val="77820A6C"/>
    <w:rsid w:val="77836BD9"/>
    <w:rsid w:val="779E3E86"/>
    <w:rsid w:val="77A2369A"/>
    <w:rsid w:val="77AB69F3"/>
    <w:rsid w:val="77BA5CE4"/>
    <w:rsid w:val="77BF3878"/>
    <w:rsid w:val="77CA0305"/>
    <w:rsid w:val="77CB55F9"/>
    <w:rsid w:val="77D53CE3"/>
    <w:rsid w:val="77D55BCE"/>
    <w:rsid w:val="781E6993"/>
    <w:rsid w:val="785D7F74"/>
    <w:rsid w:val="78614436"/>
    <w:rsid w:val="78733A3D"/>
    <w:rsid w:val="787768D5"/>
    <w:rsid w:val="78894322"/>
    <w:rsid w:val="788D7EA7"/>
    <w:rsid w:val="789B61E6"/>
    <w:rsid w:val="78A07798"/>
    <w:rsid w:val="78AD22F7"/>
    <w:rsid w:val="78AE2F5B"/>
    <w:rsid w:val="78B33158"/>
    <w:rsid w:val="78C42189"/>
    <w:rsid w:val="78D13BAA"/>
    <w:rsid w:val="78D34F15"/>
    <w:rsid w:val="78E52A6B"/>
    <w:rsid w:val="78F7045B"/>
    <w:rsid w:val="790038D7"/>
    <w:rsid w:val="79144124"/>
    <w:rsid w:val="79304A13"/>
    <w:rsid w:val="79477932"/>
    <w:rsid w:val="794A7728"/>
    <w:rsid w:val="796919EA"/>
    <w:rsid w:val="79780B57"/>
    <w:rsid w:val="798F670C"/>
    <w:rsid w:val="79921C19"/>
    <w:rsid w:val="79974A93"/>
    <w:rsid w:val="799853FB"/>
    <w:rsid w:val="799F4035"/>
    <w:rsid w:val="79BF66D3"/>
    <w:rsid w:val="79C63670"/>
    <w:rsid w:val="79D83DD5"/>
    <w:rsid w:val="7A13262E"/>
    <w:rsid w:val="7A15284A"/>
    <w:rsid w:val="7A1D73D0"/>
    <w:rsid w:val="7A240377"/>
    <w:rsid w:val="7A284148"/>
    <w:rsid w:val="7A4153ED"/>
    <w:rsid w:val="7A456D93"/>
    <w:rsid w:val="7A707A80"/>
    <w:rsid w:val="7A8014A6"/>
    <w:rsid w:val="7ABB5669"/>
    <w:rsid w:val="7ABB685B"/>
    <w:rsid w:val="7AE715F0"/>
    <w:rsid w:val="7AEA3D2A"/>
    <w:rsid w:val="7AF547CF"/>
    <w:rsid w:val="7B0E3DF2"/>
    <w:rsid w:val="7B1A0118"/>
    <w:rsid w:val="7B2220C4"/>
    <w:rsid w:val="7B5770BD"/>
    <w:rsid w:val="7B586F7C"/>
    <w:rsid w:val="7B8E0EE6"/>
    <w:rsid w:val="7B95779E"/>
    <w:rsid w:val="7B970ACB"/>
    <w:rsid w:val="7B9D6DDA"/>
    <w:rsid w:val="7BA91CD3"/>
    <w:rsid w:val="7BB73BB8"/>
    <w:rsid w:val="7BB86609"/>
    <w:rsid w:val="7BBB4D2B"/>
    <w:rsid w:val="7BE3090B"/>
    <w:rsid w:val="7BEC1388"/>
    <w:rsid w:val="7BFA296E"/>
    <w:rsid w:val="7BFC0D60"/>
    <w:rsid w:val="7BFC6F1E"/>
    <w:rsid w:val="7C1D7794"/>
    <w:rsid w:val="7C201C07"/>
    <w:rsid w:val="7C23124E"/>
    <w:rsid w:val="7C3B7632"/>
    <w:rsid w:val="7C542537"/>
    <w:rsid w:val="7C6242AA"/>
    <w:rsid w:val="7C6A6EE6"/>
    <w:rsid w:val="7C712904"/>
    <w:rsid w:val="7C793CD1"/>
    <w:rsid w:val="7C8B6DF3"/>
    <w:rsid w:val="7C8D3CBE"/>
    <w:rsid w:val="7C9149ED"/>
    <w:rsid w:val="7CC5143E"/>
    <w:rsid w:val="7CCE0618"/>
    <w:rsid w:val="7CEC7D69"/>
    <w:rsid w:val="7D2B7671"/>
    <w:rsid w:val="7D586CD5"/>
    <w:rsid w:val="7D782ED3"/>
    <w:rsid w:val="7D9657D4"/>
    <w:rsid w:val="7DAC43B3"/>
    <w:rsid w:val="7E254984"/>
    <w:rsid w:val="7E27146E"/>
    <w:rsid w:val="7E605542"/>
    <w:rsid w:val="7E663674"/>
    <w:rsid w:val="7E676FEC"/>
    <w:rsid w:val="7E7D39E4"/>
    <w:rsid w:val="7E7F1FA8"/>
    <w:rsid w:val="7E9C49F2"/>
    <w:rsid w:val="7EC02D84"/>
    <w:rsid w:val="7ECA21EA"/>
    <w:rsid w:val="7ED1073A"/>
    <w:rsid w:val="7ED152B8"/>
    <w:rsid w:val="7ED71E7C"/>
    <w:rsid w:val="7EFC2022"/>
    <w:rsid w:val="7F1E6E3C"/>
    <w:rsid w:val="7F2C5EF2"/>
    <w:rsid w:val="7F301256"/>
    <w:rsid w:val="7F302E84"/>
    <w:rsid w:val="7F3E7736"/>
    <w:rsid w:val="7F47040C"/>
    <w:rsid w:val="7F56489A"/>
    <w:rsid w:val="7F596D35"/>
    <w:rsid w:val="7F670964"/>
    <w:rsid w:val="7F6F11EA"/>
    <w:rsid w:val="7F6F4553"/>
    <w:rsid w:val="7F837513"/>
    <w:rsid w:val="7FA75FC6"/>
    <w:rsid w:val="7FC21948"/>
    <w:rsid w:val="7FC310F4"/>
    <w:rsid w:val="7FC653CC"/>
    <w:rsid w:val="7FD667C5"/>
    <w:rsid w:val="7FE47FF0"/>
    <w:rsid w:val="7FFA50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1"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qFormat="1" w:unhideWhenUsed="0" w:uiPriority="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qFormat="1"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qFormat="1"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qFormat="1"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semiHidden="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99" w:semiHidden="0" w:name="Body Text First Indent"/>
    <w:lsdException w:qFormat="1" w:unhideWhenUsed="0" w:uiPriority="99" w:semiHidden="0" w:name="Body Text First Indent 2"/>
    <w:lsdException w:unhideWhenUsed="0" w:uiPriority="0" w:semiHidden="0" w:name="Note Heading"/>
    <w:lsdException w:qFormat="1"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semiHidden="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autoRedefine/>
    <w:qFormat/>
    <w:uiPriority w:val="0"/>
    <w:pPr>
      <w:spacing w:before="0" w:beforeAutospacing="1" w:after="0" w:afterAutospacing="1"/>
      <w:jc w:val="left"/>
    </w:pPr>
    <w:rPr>
      <w:rFonts w:hint="eastAsia" w:ascii="宋体" w:hAnsi="宋体" w:eastAsia="宋体" w:cs="宋体"/>
      <w:b/>
      <w:bCs/>
      <w:kern w:val="44"/>
      <w:sz w:val="48"/>
      <w:szCs w:val="48"/>
      <w:lang w:val="en-US" w:eastAsia="zh-CN"/>
    </w:rPr>
  </w:style>
  <w:style w:type="paragraph" w:styleId="3">
    <w:name w:val="heading 2"/>
    <w:basedOn w:val="1"/>
    <w:next w:val="1"/>
    <w:autoRedefine/>
    <w:qFormat/>
    <w:uiPriority w:val="0"/>
    <w:pPr>
      <w:spacing w:before="100" w:beforeAutospacing="1" w:after="100" w:afterAutospacing="1"/>
      <w:jc w:val="left"/>
    </w:pPr>
    <w:rPr>
      <w:rFonts w:hint="eastAsia" w:ascii="宋体" w:hAnsi="宋体" w:eastAsia="宋体" w:cs="宋体"/>
      <w:b/>
      <w:kern w:val="0"/>
      <w:sz w:val="36"/>
      <w:szCs w:val="36"/>
      <w:lang w:val="en-US" w:eastAsia="zh-CN"/>
    </w:rPr>
  </w:style>
  <w:style w:type="paragraph" w:styleId="4">
    <w:name w:val="heading 3"/>
    <w:basedOn w:val="1"/>
    <w:next w:val="1"/>
    <w:autoRedefine/>
    <w:qFormat/>
    <w:uiPriority w:val="1"/>
    <w:pPr>
      <w:spacing w:before="0" w:beforeAutospacing="1" w:after="0" w:afterAutospacing="1"/>
      <w:jc w:val="left"/>
    </w:pPr>
    <w:rPr>
      <w:rFonts w:hint="eastAsia" w:ascii="宋体" w:hAnsi="宋体" w:eastAsia="宋体" w:cs="宋体"/>
      <w:b/>
      <w:bCs/>
      <w:kern w:val="0"/>
      <w:sz w:val="27"/>
      <w:szCs w:val="27"/>
      <w:lang w:val="en-US" w:eastAsia="zh-CN" w:bidi="ar"/>
    </w:rPr>
  </w:style>
  <w:style w:type="paragraph" w:styleId="5">
    <w:name w:val="heading 4"/>
    <w:basedOn w:val="1"/>
    <w:next w:val="1"/>
    <w:autoRedefine/>
    <w:qFormat/>
    <w:uiPriority w:val="0"/>
    <w:pPr>
      <w:keepNext/>
      <w:keepLines/>
      <w:widowControl w:val="0"/>
      <w:spacing w:line="440" w:lineRule="exact"/>
      <w:ind w:firstLine="200" w:firstLineChars="200"/>
      <w:jc w:val="both"/>
      <w:outlineLvl w:val="3"/>
    </w:pPr>
    <w:rPr>
      <w:rFonts w:ascii="Calibri Light" w:hAnsi="Calibri Light" w:eastAsia="宋体" w:cs="Times New Roman"/>
      <w:bCs/>
      <w:kern w:val="2"/>
      <w:sz w:val="24"/>
      <w:szCs w:val="28"/>
      <w:lang w:val="en-US" w:eastAsia="zh-CN" w:bidi="ar-SA"/>
    </w:rPr>
  </w:style>
  <w:style w:type="character" w:default="1" w:styleId="28">
    <w:name w:val="Default Paragraph Font"/>
    <w:autoRedefine/>
    <w:qFormat/>
    <w:uiPriority w:val="0"/>
  </w:style>
  <w:style w:type="table" w:default="1" w:styleId="26">
    <w:name w:val="Normal Table"/>
    <w:autoRedefine/>
    <w:qFormat/>
    <w:uiPriority w:val="0"/>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6">
    <w:name w:val="List 3"/>
    <w:basedOn w:val="1"/>
    <w:autoRedefine/>
    <w:qFormat/>
    <w:uiPriority w:val="0"/>
    <w:pPr>
      <w:ind w:left="100" w:leftChars="400" w:hanging="200" w:hangingChars="200"/>
    </w:pPr>
    <w:rPr>
      <w:rFonts w:eastAsia="仿宋_GB2312"/>
    </w:rPr>
  </w:style>
  <w:style w:type="paragraph" w:styleId="7">
    <w:name w:val="table of authorities"/>
    <w:basedOn w:val="1"/>
    <w:next w:val="1"/>
    <w:autoRedefine/>
    <w:qFormat/>
    <w:uiPriority w:val="0"/>
    <w:pPr>
      <w:spacing w:line="360" w:lineRule="auto"/>
      <w:ind w:firstLine="720" w:firstLineChars="200"/>
    </w:pPr>
    <w:rPr>
      <w:sz w:val="24"/>
    </w:rPr>
  </w:style>
  <w:style w:type="paragraph" w:styleId="8">
    <w:name w:val="Normal Indent"/>
    <w:basedOn w:val="1"/>
    <w:next w:val="9"/>
    <w:autoRedefine/>
    <w:qFormat/>
    <w:uiPriority w:val="0"/>
    <w:pPr>
      <w:adjustRightInd w:val="0"/>
      <w:textAlignment w:val="baseline"/>
    </w:pPr>
    <w:rPr>
      <w:szCs w:val="21"/>
    </w:rPr>
  </w:style>
  <w:style w:type="paragraph" w:customStyle="1" w:styleId="9">
    <w:name w:val="样式 标题 2 + 三号1"/>
    <w:basedOn w:val="3"/>
    <w:next w:val="1"/>
    <w:autoRedefine/>
    <w:qFormat/>
    <w:uiPriority w:val="99"/>
    <w:pPr>
      <w:keepLines w:val="0"/>
      <w:numPr>
        <w:ilvl w:val="1"/>
        <w:numId w:val="1"/>
      </w:numPr>
      <w:tabs>
        <w:tab w:val="clear" w:pos="576"/>
      </w:tabs>
      <w:spacing w:line="480" w:lineRule="auto"/>
      <w:ind w:left="718"/>
      <w:jc w:val="left"/>
    </w:pPr>
    <w:rPr>
      <w:rFonts w:ascii="宋体" w:hAnsi="宋体"/>
      <w:kern w:val="0"/>
      <w:sz w:val="32"/>
    </w:rPr>
  </w:style>
  <w:style w:type="paragraph" w:styleId="10">
    <w:name w:val="annotation text"/>
    <w:basedOn w:val="1"/>
    <w:autoRedefine/>
    <w:qFormat/>
    <w:uiPriority w:val="0"/>
    <w:pPr>
      <w:jc w:val="left"/>
    </w:pPr>
  </w:style>
  <w:style w:type="paragraph" w:styleId="11">
    <w:name w:val="Body Text"/>
    <w:basedOn w:val="1"/>
    <w:next w:val="12"/>
    <w:autoRedefine/>
    <w:qFormat/>
    <w:uiPriority w:val="0"/>
    <w:pPr>
      <w:spacing w:before="29"/>
      <w:ind w:left="105"/>
    </w:pPr>
    <w:rPr>
      <w:sz w:val="24"/>
    </w:rPr>
  </w:style>
  <w:style w:type="paragraph" w:customStyle="1" w:styleId="12">
    <w:name w:val="xl27"/>
    <w:basedOn w:val="1"/>
    <w:autoRedefine/>
    <w:qFormat/>
    <w:uiPriority w:val="0"/>
    <w:pPr>
      <w:widowControl/>
      <w:pBdr>
        <w:bottom w:val="single" w:color="auto" w:sz="12" w:space="0"/>
      </w:pBdr>
      <w:adjustRightInd w:val="0"/>
      <w:spacing w:before="100" w:after="100" w:line="360" w:lineRule="auto"/>
      <w:ind w:firstLine="576" w:firstLineChars="200"/>
      <w:jc w:val="center"/>
    </w:pPr>
    <w:rPr>
      <w:rFonts w:ascii="宋体" w:hAnsi="宋体" w:eastAsia="仿宋_GB2312"/>
      <w:spacing w:val="4"/>
      <w:kern w:val="0"/>
      <w:sz w:val="24"/>
    </w:rPr>
  </w:style>
  <w:style w:type="paragraph" w:styleId="13">
    <w:name w:val="Body Text Indent"/>
    <w:basedOn w:val="1"/>
    <w:autoRedefine/>
    <w:qFormat/>
    <w:uiPriority w:val="0"/>
    <w:pPr>
      <w:ind w:firstLine="560"/>
    </w:pPr>
    <w:rPr>
      <w:rFonts w:ascii="宋体" w:hAnsi="宋体"/>
      <w:sz w:val="28"/>
    </w:rPr>
  </w:style>
  <w:style w:type="paragraph" w:styleId="14">
    <w:name w:val="Plain Text"/>
    <w:basedOn w:val="1"/>
    <w:autoRedefine/>
    <w:qFormat/>
    <w:uiPriority w:val="0"/>
    <w:pPr>
      <w:spacing w:line="240" w:lineRule="atLeast"/>
    </w:pPr>
    <w:rPr>
      <w:rFonts w:ascii="宋体" w:hAnsi="Courier New"/>
      <w:sz w:val="28"/>
      <w:szCs w:val="21"/>
    </w:rPr>
  </w:style>
  <w:style w:type="paragraph" w:styleId="15">
    <w:name w:val="Body Text Indent 2"/>
    <w:basedOn w:val="1"/>
    <w:next w:val="16"/>
    <w:autoRedefine/>
    <w:qFormat/>
    <w:uiPriority w:val="0"/>
    <w:pPr>
      <w:spacing w:line="240" w:lineRule="auto"/>
      <w:ind w:firstLine="570"/>
    </w:pPr>
    <w:rPr>
      <w:szCs w:val="28"/>
    </w:rPr>
  </w:style>
  <w:style w:type="paragraph" w:styleId="16">
    <w:name w:val="Body Text First Indent 2"/>
    <w:basedOn w:val="13"/>
    <w:autoRedefine/>
    <w:qFormat/>
    <w:uiPriority w:val="99"/>
    <w:pPr>
      <w:spacing w:after="120"/>
      <w:ind w:left="420" w:leftChars="200" w:firstLine="420"/>
    </w:pPr>
    <w:rPr>
      <w:sz w:val="21"/>
    </w:rPr>
  </w:style>
  <w:style w:type="paragraph" w:styleId="17">
    <w:name w:val="footer"/>
    <w:basedOn w:val="1"/>
    <w:next w:val="18"/>
    <w:autoRedefine/>
    <w:qFormat/>
    <w:uiPriority w:val="99"/>
    <w:pPr>
      <w:tabs>
        <w:tab w:val="center" w:pos="4153"/>
        <w:tab w:val="right" w:pos="8306"/>
      </w:tabs>
      <w:snapToGrid w:val="0"/>
      <w:jc w:val="left"/>
    </w:pPr>
    <w:rPr>
      <w:kern w:val="0"/>
      <w:sz w:val="18"/>
      <w:szCs w:val="20"/>
    </w:rPr>
  </w:style>
  <w:style w:type="paragraph" w:styleId="18">
    <w:name w:val="Normal (Web)"/>
    <w:basedOn w:val="1"/>
    <w:autoRedefine/>
    <w:qFormat/>
    <w:uiPriority w:val="0"/>
    <w:pPr>
      <w:widowControl/>
      <w:spacing w:before="100" w:beforeAutospacing="1" w:after="100" w:afterAutospacing="1"/>
      <w:jc w:val="left"/>
    </w:pPr>
    <w:rPr>
      <w:rFonts w:ascii="宋体" w:hAnsi="宋体"/>
      <w:kern w:val="0"/>
      <w:sz w:val="24"/>
      <w:szCs w:val="20"/>
    </w:rPr>
  </w:style>
  <w:style w:type="paragraph" w:styleId="19">
    <w:name w:val="header"/>
    <w:basedOn w:val="1"/>
    <w:autoRedefine/>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20">
    <w:name w:val="toc 1"/>
    <w:basedOn w:val="1"/>
    <w:next w:val="1"/>
    <w:qFormat/>
    <w:uiPriority w:val="39"/>
    <w:pPr>
      <w:spacing w:line="500" w:lineRule="atLeast"/>
      <w:jc w:val="left"/>
    </w:pPr>
    <w:rPr>
      <w:sz w:val="28"/>
      <w:szCs w:val="20"/>
    </w:rPr>
  </w:style>
  <w:style w:type="paragraph" w:styleId="21">
    <w:name w:val="index heading"/>
    <w:basedOn w:val="1"/>
    <w:next w:val="22"/>
    <w:autoRedefine/>
    <w:qFormat/>
    <w:uiPriority w:val="0"/>
    <w:rPr>
      <w:rFonts w:ascii="Arial" w:hAnsi="Arial" w:cs="Arial"/>
      <w:b/>
      <w:bCs/>
    </w:rPr>
  </w:style>
  <w:style w:type="paragraph" w:styleId="22">
    <w:name w:val="index 1"/>
    <w:basedOn w:val="1"/>
    <w:next w:val="1"/>
    <w:autoRedefine/>
    <w:semiHidden/>
    <w:qFormat/>
    <w:uiPriority w:val="0"/>
    <w:pPr>
      <w:ind w:left="210" w:hanging="210"/>
      <w:jc w:val="center"/>
    </w:pPr>
    <w:rPr>
      <w:szCs w:val="21"/>
    </w:rPr>
  </w:style>
  <w:style w:type="paragraph" w:styleId="23">
    <w:name w:val="List"/>
    <w:basedOn w:val="1"/>
    <w:autoRedefine/>
    <w:qFormat/>
    <w:uiPriority w:val="0"/>
    <w:pPr>
      <w:ind w:left="200" w:hanging="200" w:hangingChars="200"/>
    </w:pPr>
  </w:style>
  <w:style w:type="paragraph" w:styleId="24">
    <w:name w:val="Body Text 2"/>
    <w:basedOn w:val="1"/>
    <w:autoRedefine/>
    <w:qFormat/>
    <w:uiPriority w:val="0"/>
    <w:pPr>
      <w:spacing w:after="120" w:line="480" w:lineRule="auto"/>
    </w:pPr>
  </w:style>
  <w:style w:type="paragraph" w:styleId="25">
    <w:name w:val="Body Text First Indent"/>
    <w:basedOn w:val="11"/>
    <w:next w:val="1"/>
    <w:autoRedefine/>
    <w:qFormat/>
    <w:uiPriority w:val="99"/>
    <w:pPr>
      <w:spacing w:before="0" w:after="120"/>
      <w:ind w:left="0" w:firstLine="420" w:firstLineChars="100"/>
    </w:pPr>
    <w:rPr>
      <w:rFonts w:hint="eastAsia"/>
      <w:szCs w:val="20"/>
    </w:rPr>
  </w:style>
  <w:style w:type="table" w:styleId="27">
    <w:name w:val="Table Grid"/>
    <w:basedOn w:val="26"/>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9">
    <w:name w:val="Strong"/>
    <w:basedOn w:val="28"/>
    <w:autoRedefine/>
    <w:qFormat/>
    <w:uiPriority w:val="0"/>
    <w:rPr>
      <w:b/>
    </w:rPr>
  </w:style>
  <w:style w:type="character" w:styleId="30">
    <w:name w:val="page number"/>
    <w:basedOn w:val="28"/>
    <w:autoRedefine/>
    <w:qFormat/>
    <w:uiPriority w:val="0"/>
  </w:style>
  <w:style w:type="character" w:styleId="31">
    <w:name w:val="Hyperlink"/>
    <w:basedOn w:val="28"/>
    <w:autoRedefine/>
    <w:qFormat/>
    <w:uiPriority w:val="0"/>
    <w:rPr>
      <w:color w:val="0000FF"/>
      <w:u w:val="single"/>
    </w:rPr>
  </w:style>
  <w:style w:type="character" w:styleId="32">
    <w:name w:val="annotation reference"/>
    <w:semiHidden/>
    <w:qFormat/>
    <w:uiPriority w:val="0"/>
    <w:rPr>
      <w:sz w:val="21"/>
    </w:rPr>
  </w:style>
  <w:style w:type="paragraph" w:customStyle="1" w:styleId="33">
    <w:name w:val="报告书正文"/>
    <w:basedOn w:val="25"/>
    <w:qFormat/>
    <w:uiPriority w:val="0"/>
    <w:pPr>
      <w:spacing w:after="0" w:line="360" w:lineRule="auto"/>
      <w:ind w:firstLine="200" w:firstLineChars="200"/>
    </w:pPr>
    <w:rPr>
      <w:sz w:val="24"/>
    </w:rPr>
  </w:style>
  <w:style w:type="paragraph" w:customStyle="1" w:styleId="34">
    <w:name w:val="toc 84"/>
    <w:next w:val="1"/>
    <w:autoRedefine/>
    <w:qFormat/>
    <w:uiPriority w:val="99"/>
    <w:pPr>
      <w:wordWrap w:val="0"/>
      <w:ind w:left="2975"/>
      <w:jc w:val="both"/>
    </w:pPr>
    <w:rPr>
      <w:rFonts w:ascii="Times New Roman" w:hAnsi="Times New Roman" w:eastAsia="宋体" w:cs="Times New Roman"/>
      <w:sz w:val="21"/>
      <w:szCs w:val="22"/>
      <w:lang w:val="en-US" w:eastAsia="zh-CN" w:bidi="ar-SA"/>
    </w:rPr>
  </w:style>
  <w:style w:type="paragraph" w:customStyle="1" w:styleId="35">
    <w:name w:val="Default1"/>
    <w:basedOn w:val="36"/>
    <w:next w:val="1"/>
    <w:autoRedefine/>
    <w:qFormat/>
    <w:uiPriority w:val="0"/>
    <w:pPr>
      <w:widowControl w:val="0"/>
      <w:autoSpaceDE w:val="0"/>
      <w:autoSpaceDN w:val="0"/>
      <w:adjustRightInd w:val="0"/>
    </w:pPr>
    <w:rPr>
      <w:rFonts w:ascii="宋体" w:eastAsia="宋体" w:cs="宋体"/>
      <w:color w:val="000000"/>
      <w:sz w:val="24"/>
      <w:szCs w:val="24"/>
      <w:lang w:val="en-US" w:eastAsia="zh-CN"/>
    </w:rPr>
  </w:style>
  <w:style w:type="paragraph" w:customStyle="1" w:styleId="36">
    <w:name w:val="Normal_14_0"/>
    <w:autoRedefine/>
    <w:qFormat/>
    <w:uiPriority w:val="0"/>
    <w:pPr>
      <w:spacing w:before="120" w:after="240"/>
      <w:jc w:val="both"/>
    </w:pPr>
    <w:rPr>
      <w:rFonts w:ascii="Calibri" w:hAnsi="Calibri" w:eastAsia="Calibri" w:cs="Times New Roman"/>
      <w:sz w:val="22"/>
      <w:szCs w:val="22"/>
      <w:lang w:val="ru-RU" w:eastAsia="en-US" w:bidi="ar-SA"/>
    </w:rPr>
  </w:style>
  <w:style w:type="paragraph" w:customStyle="1" w:styleId="37">
    <w:name w:val="Default"/>
    <w:basedOn w:val="38"/>
    <w:autoRedefine/>
    <w:qFormat/>
    <w:uiPriority w:val="99"/>
    <w:pPr>
      <w:autoSpaceDE w:val="0"/>
      <w:autoSpaceDN w:val="0"/>
    </w:pPr>
    <w:rPr>
      <w:rFonts w:ascii="宋体" w:cs="宋体"/>
      <w:sz w:val="24"/>
    </w:rPr>
  </w:style>
  <w:style w:type="paragraph" w:customStyle="1" w:styleId="38">
    <w:name w:val="批注文字1"/>
    <w:autoRedefine/>
    <w:qFormat/>
    <w:uiPriority w:val="0"/>
    <w:pPr>
      <w:widowControl w:val="0"/>
    </w:pPr>
    <w:rPr>
      <w:rFonts w:ascii="Times New Roman" w:hAnsi="Times New Roman" w:eastAsia="宋体" w:cs="Times New Roman"/>
      <w:color w:val="000000"/>
      <w:kern w:val="2"/>
      <w:sz w:val="21"/>
      <w:szCs w:val="24"/>
      <w:lang w:val="en-US" w:eastAsia="zh-CN" w:bidi="ar-SA"/>
    </w:rPr>
  </w:style>
  <w:style w:type="paragraph" w:customStyle="1" w:styleId="39">
    <w:name w:val="纯文本1"/>
    <w:basedOn w:val="1"/>
    <w:autoRedefine/>
    <w:qFormat/>
    <w:uiPriority w:val="0"/>
    <w:pPr>
      <w:adjustRightInd w:val="0"/>
      <w:jc w:val="center"/>
      <w:textAlignment w:val="baseline"/>
    </w:pPr>
    <w:rPr>
      <w:rFonts w:hAnsi="Courier New"/>
    </w:rPr>
  </w:style>
  <w:style w:type="paragraph" w:customStyle="1" w:styleId="40">
    <w:name w:val="xl44"/>
    <w:basedOn w:val="1"/>
    <w:qFormat/>
    <w:uiPriority w:val="0"/>
    <w:pPr>
      <w:pBdr>
        <w:top w:val="single" w:color="auto" w:sz="8" w:space="0"/>
        <w:left w:val="single" w:color="auto" w:sz="4" w:space="0"/>
        <w:right w:val="single" w:color="auto" w:sz="8" w:space="0"/>
      </w:pBdr>
      <w:spacing w:before="100" w:beforeAutospacing="1" w:after="100" w:afterAutospacing="1"/>
      <w:jc w:val="center"/>
      <w:textAlignment w:val="center"/>
    </w:pPr>
    <w:rPr>
      <w:rFonts w:ascii="宋体"/>
      <w:sz w:val="20"/>
      <w:szCs w:val="20"/>
    </w:rPr>
  </w:style>
  <w:style w:type="paragraph" w:customStyle="1" w:styleId="41">
    <w:name w:val="样式 标题 1一级标题 + 段前: 0.5 行 段后: 0.5 行"/>
    <w:autoRedefine/>
    <w:qFormat/>
    <w:uiPriority w:val="99"/>
    <w:pPr>
      <w:keepNext/>
      <w:keepLines/>
      <w:widowControl w:val="0"/>
      <w:snapToGrid w:val="0"/>
      <w:spacing w:line="320" w:lineRule="exact"/>
      <w:jc w:val="both"/>
    </w:pPr>
    <w:rPr>
      <w:rFonts w:ascii="Calibri" w:hAnsi="Calibri" w:eastAsia="黑体" w:cs="Times New Roman"/>
      <w:bCs/>
      <w:spacing w:val="-6"/>
      <w:kern w:val="44"/>
      <w:sz w:val="21"/>
      <w:szCs w:val="21"/>
      <w:lang w:val="en-US" w:eastAsia="zh-CN" w:bidi="ar-SA"/>
    </w:rPr>
  </w:style>
  <w:style w:type="paragraph" w:customStyle="1" w:styleId="42">
    <w:name w:val="_正文格式"/>
    <w:basedOn w:val="1"/>
    <w:autoRedefine/>
    <w:qFormat/>
    <w:uiPriority w:val="0"/>
    <w:pPr>
      <w:spacing w:line="480" w:lineRule="exact"/>
      <w:ind w:firstLine="567"/>
    </w:pPr>
    <w:rPr>
      <w:rFonts w:eastAsia="仿宋_GB2312"/>
      <w:sz w:val="28"/>
    </w:rPr>
  </w:style>
  <w:style w:type="paragraph" w:customStyle="1" w:styleId="43">
    <w:name w:val="标号正文"/>
    <w:basedOn w:val="1"/>
    <w:next w:val="1"/>
    <w:autoRedefine/>
    <w:qFormat/>
    <w:uiPriority w:val="0"/>
    <w:pPr>
      <w:tabs>
        <w:tab w:val="left" w:pos="1540"/>
      </w:tabs>
      <w:overflowPunct w:val="0"/>
      <w:snapToGrid w:val="0"/>
      <w:spacing w:line="360" w:lineRule="auto"/>
      <w:ind w:left="0" w:firstLine="1040"/>
      <w:jc w:val="left"/>
    </w:pPr>
    <w:rPr>
      <w:rFonts w:ascii="Arial" w:hAnsi="Arial" w:eastAsia="宋体"/>
      <w:sz w:val="24"/>
      <w:szCs w:val="20"/>
    </w:rPr>
  </w:style>
  <w:style w:type="paragraph" w:customStyle="1" w:styleId="44">
    <w:name w:val="表头"/>
    <w:basedOn w:val="11"/>
    <w:next w:val="1"/>
    <w:autoRedefine/>
    <w:qFormat/>
    <w:uiPriority w:val="0"/>
    <w:pPr>
      <w:spacing w:beforeLines="50"/>
      <w:jc w:val="center"/>
    </w:pPr>
    <w:rPr>
      <w:b/>
    </w:rPr>
  </w:style>
  <w:style w:type="paragraph" w:customStyle="1" w:styleId="45">
    <w:name w:val="样式1"/>
    <w:basedOn w:val="21"/>
    <w:next w:val="1"/>
    <w:autoRedefine/>
    <w:qFormat/>
    <w:uiPriority w:val="0"/>
    <w:pPr>
      <w:spacing w:line="360" w:lineRule="auto"/>
      <w:ind w:firstLine="425"/>
    </w:pPr>
    <w:rPr>
      <w:kern w:val="44"/>
    </w:rPr>
  </w:style>
  <w:style w:type="paragraph" w:customStyle="1" w:styleId="46">
    <w:name w:val="表格文字"/>
    <w:basedOn w:val="1"/>
    <w:autoRedefine/>
    <w:qFormat/>
    <w:uiPriority w:val="0"/>
    <w:pPr>
      <w:jc w:val="center"/>
    </w:pPr>
  </w:style>
  <w:style w:type="paragraph" w:customStyle="1" w:styleId="47">
    <w:name w:val="表格"/>
    <w:basedOn w:val="44"/>
    <w:next w:val="1"/>
    <w:autoRedefine/>
    <w:qFormat/>
    <w:uiPriority w:val="0"/>
    <w:pPr>
      <w:adjustRightInd w:val="0"/>
      <w:snapToGrid w:val="0"/>
      <w:spacing w:beforeLines="10" w:afterLines="10" w:line="259" w:lineRule="auto"/>
    </w:pPr>
    <w:rPr>
      <w:rFonts w:ascii="宋体"/>
      <w:kern w:val="0"/>
      <w:szCs w:val="20"/>
    </w:rPr>
  </w:style>
  <w:style w:type="paragraph" w:customStyle="1" w:styleId="48">
    <w:name w:val="0.5正文"/>
    <w:basedOn w:val="1"/>
    <w:next w:val="1"/>
    <w:autoRedefine/>
    <w:qFormat/>
    <w:uiPriority w:val="0"/>
    <w:pPr>
      <w:spacing w:beforeLines="50"/>
    </w:pPr>
  </w:style>
  <w:style w:type="character" w:customStyle="1" w:styleId="49">
    <w:name w:val="fontstyle21"/>
    <w:basedOn w:val="28"/>
    <w:autoRedefine/>
    <w:qFormat/>
    <w:uiPriority w:val="0"/>
    <w:rPr>
      <w:rFonts w:ascii="宋体" w:hAnsi="宋体" w:eastAsia="宋体" w:cs="宋体"/>
      <w:color w:val="000000"/>
      <w:sz w:val="24"/>
      <w:szCs w:val="24"/>
    </w:rPr>
  </w:style>
  <w:style w:type="paragraph" w:customStyle="1" w:styleId="50">
    <w:name w:val="D表内"/>
    <w:basedOn w:val="51"/>
    <w:next w:val="1"/>
    <w:autoRedefine/>
    <w:qFormat/>
    <w:uiPriority w:val="0"/>
    <w:pPr>
      <w:spacing w:before="40" w:after="40"/>
      <w:jc w:val="center"/>
    </w:pPr>
    <w:rPr>
      <w:szCs w:val="21"/>
    </w:rPr>
  </w:style>
  <w:style w:type="paragraph" w:customStyle="1" w:styleId="51">
    <w:name w:val="图表"/>
    <w:basedOn w:val="1"/>
    <w:autoRedefine/>
    <w:qFormat/>
    <w:uiPriority w:val="0"/>
    <w:pPr>
      <w:spacing w:before="120" w:after="120" w:line="240" w:lineRule="auto"/>
      <w:ind w:firstLine="0" w:firstLineChars="0"/>
      <w:jc w:val="center"/>
    </w:pPr>
    <w:rPr>
      <w:kern w:val="2"/>
      <w:sz w:val="21"/>
      <w:szCs w:val="21"/>
    </w:rPr>
  </w:style>
  <w:style w:type="paragraph" w:customStyle="1" w:styleId="52">
    <w:name w:val="正文2"/>
    <w:basedOn w:val="1"/>
    <w:autoRedefine/>
    <w:qFormat/>
    <w:uiPriority w:val="0"/>
    <w:pPr>
      <w:adjustRightInd w:val="0"/>
      <w:spacing w:line="360" w:lineRule="auto"/>
      <w:ind w:firstLine="480" w:firstLineChars="200"/>
      <w:textAlignment w:val="baseline"/>
    </w:pPr>
    <w:rPr>
      <w:rFonts w:ascii="宋体" w:hAnsi="宋体" w:cs="宋体"/>
      <w:kern w:val="21"/>
      <w:sz w:val="24"/>
    </w:rPr>
  </w:style>
  <w:style w:type="paragraph" w:styleId="53">
    <w:name w:val="List Paragraph"/>
    <w:basedOn w:val="1"/>
    <w:autoRedefine/>
    <w:qFormat/>
    <w:uiPriority w:val="1"/>
    <w:pPr>
      <w:ind w:left="1429" w:hanging="602"/>
    </w:pPr>
    <w:rPr>
      <w:rFonts w:ascii="宋体" w:hAnsi="宋体" w:cs="宋体"/>
    </w:rPr>
  </w:style>
  <w:style w:type="paragraph" w:customStyle="1" w:styleId="54">
    <w:name w:val="样式 样式 样式 宋体 小四 行距: 多倍行距 1.4 字行2 + 黑色 + Times New Roman1"/>
    <w:basedOn w:val="1"/>
    <w:autoRedefine/>
    <w:qFormat/>
    <w:uiPriority w:val="0"/>
    <w:pPr>
      <w:spacing w:line="360" w:lineRule="auto"/>
      <w:ind w:firstLine="200" w:firstLineChars="200"/>
    </w:pPr>
    <w:rPr>
      <w:rFonts w:cs="宋体"/>
      <w:color w:val="000000"/>
      <w:sz w:val="24"/>
    </w:rPr>
  </w:style>
  <w:style w:type="paragraph" w:customStyle="1" w:styleId="55">
    <w:name w:val="aa正文"/>
    <w:basedOn w:val="1"/>
    <w:autoRedefine/>
    <w:qFormat/>
    <w:uiPriority w:val="0"/>
    <w:pPr>
      <w:spacing w:line="360" w:lineRule="auto"/>
      <w:ind w:firstLine="200" w:firstLineChars="200"/>
    </w:pPr>
    <w:rPr>
      <w:sz w:val="24"/>
    </w:rPr>
  </w:style>
  <w:style w:type="paragraph" w:customStyle="1" w:styleId="56">
    <w:name w:val="HJN-ZZ"/>
    <w:basedOn w:val="1"/>
    <w:autoRedefine/>
    <w:qFormat/>
    <w:uiPriority w:val="0"/>
    <w:pPr>
      <w:spacing w:line="360" w:lineRule="auto"/>
      <w:ind w:firstLine="482"/>
      <w:jc w:val="left"/>
      <w:textAlignment w:val="baseline"/>
    </w:pPr>
    <w:rPr>
      <w:rFonts w:hint="eastAsia" w:ascii="宋体" w:hAnsi="宋体"/>
      <w:kern w:val="21"/>
      <w:sz w:val="24"/>
    </w:rPr>
  </w:style>
  <w:style w:type="paragraph" w:customStyle="1" w:styleId="57">
    <w:name w:val="yt正文"/>
    <w:basedOn w:val="1"/>
    <w:autoRedefine/>
    <w:qFormat/>
    <w:uiPriority w:val="0"/>
    <w:pPr>
      <w:spacing w:line="360" w:lineRule="auto"/>
      <w:ind w:firstLine="1446" w:firstLineChars="200"/>
    </w:pPr>
    <w:rPr>
      <w:sz w:val="24"/>
    </w:rPr>
  </w:style>
  <w:style w:type="character" w:customStyle="1" w:styleId="58">
    <w:name w:val="三标"/>
    <w:autoRedefine/>
    <w:qFormat/>
    <w:uiPriority w:val="0"/>
    <w:rPr>
      <w:rFonts w:ascii="Times New Roman" w:hAnsi="Times New Roman"/>
      <w:b/>
      <w:sz w:val="24"/>
    </w:rPr>
  </w:style>
  <w:style w:type="paragraph" w:customStyle="1" w:styleId="59">
    <w:name w:val="正字"/>
    <w:basedOn w:val="25"/>
    <w:next w:val="16"/>
    <w:autoRedefine/>
    <w:qFormat/>
    <w:uiPriority w:val="0"/>
  </w:style>
  <w:style w:type="paragraph" w:customStyle="1" w:styleId="60">
    <w:name w:val="样式 小四 行距: 1.5 倍行距"/>
    <w:basedOn w:val="1"/>
    <w:autoRedefine/>
    <w:qFormat/>
    <w:uiPriority w:val="0"/>
    <w:pPr>
      <w:ind w:firstLine="480" w:firstLineChars="200"/>
    </w:pPr>
    <w:rPr>
      <w:rFonts w:cs="宋体"/>
    </w:rPr>
  </w:style>
  <w:style w:type="paragraph" w:customStyle="1" w:styleId="61">
    <w:name w:val="正文01"/>
    <w:basedOn w:val="1"/>
    <w:autoRedefine/>
    <w:qFormat/>
    <w:uiPriority w:val="0"/>
    <w:pPr>
      <w:adjustRightInd w:val="0"/>
      <w:snapToGrid w:val="0"/>
      <w:spacing w:line="360" w:lineRule="auto"/>
      <w:ind w:firstLine="200" w:firstLineChars="200"/>
    </w:pPr>
    <w:rPr>
      <w:sz w:val="24"/>
    </w:rPr>
  </w:style>
  <w:style w:type="paragraph" w:customStyle="1" w:styleId="62">
    <w:name w:val="正文样式"/>
    <w:basedOn w:val="1"/>
    <w:autoRedefine/>
    <w:qFormat/>
    <w:uiPriority w:val="0"/>
    <w:pPr>
      <w:spacing w:line="360" w:lineRule="auto"/>
      <w:ind w:right="170" w:firstLine="480" w:firstLineChars="200"/>
    </w:pPr>
    <w:rPr>
      <w:rFonts w:hAnsi="宋体"/>
      <w:sz w:val="24"/>
    </w:rPr>
  </w:style>
  <w:style w:type="paragraph" w:customStyle="1" w:styleId="63">
    <w:name w:val="Other|1"/>
    <w:basedOn w:val="1"/>
    <w:autoRedefine/>
    <w:qFormat/>
    <w:uiPriority w:val="0"/>
    <w:pPr>
      <w:widowControl w:val="0"/>
      <w:shd w:val="clear" w:color="auto" w:fill="auto"/>
    </w:pPr>
    <w:rPr>
      <w:rFonts w:ascii="宋体" w:hAnsi="宋体" w:eastAsia="宋体" w:cs="宋体"/>
      <w:sz w:val="19"/>
      <w:szCs w:val="19"/>
      <w:u w:val="none"/>
      <w:shd w:val="clear" w:color="auto" w:fill="auto"/>
      <w:lang w:val="zh-TW" w:eastAsia="zh-TW" w:bidi="zh-TW"/>
    </w:rPr>
  </w:style>
  <w:style w:type="paragraph" w:customStyle="1" w:styleId="64">
    <w:name w:val="正文王"/>
    <w:basedOn w:val="65"/>
    <w:autoRedefine/>
    <w:qFormat/>
    <w:uiPriority w:val="0"/>
    <w:pPr>
      <w:ind w:firstLine="720" w:firstLineChars="200"/>
      <w:outlineLvl w:val="9"/>
    </w:pPr>
    <w:rPr>
      <w:rFonts w:eastAsia="宋体"/>
      <w:b w:val="0"/>
      <w:sz w:val="24"/>
    </w:rPr>
  </w:style>
  <w:style w:type="paragraph" w:customStyle="1" w:styleId="65">
    <w:name w:val="标题三王"/>
    <w:basedOn w:val="66"/>
    <w:autoRedefine/>
    <w:qFormat/>
    <w:uiPriority w:val="0"/>
    <w:pPr>
      <w:spacing w:beforeLines="50" w:afterLines="20"/>
      <w:outlineLvl w:val="2"/>
    </w:pPr>
    <w:rPr>
      <w:sz w:val="28"/>
    </w:rPr>
  </w:style>
  <w:style w:type="paragraph" w:customStyle="1" w:styleId="66">
    <w:name w:val="标题二王"/>
    <w:basedOn w:val="1"/>
    <w:autoRedefine/>
    <w:qFormat/>
    <w:uiPriority w:val="0"/>
    <w:pPr>
      <w:spacing w:beforeLines="100" w:afterLines="50" w:line="360" w:lineRule="auto"/>
      <w:outlineLvl w:val="1"/>
    </w:pPr>
    <w:rPr>
      <w:rFonts w:eastAsia="黑体"/>
      <w:b/>
      <w:sz w:val="32"/>
    </w:rPr>
  </w:style>
  <w:style w:type="paragraph" w:customStyle="1" w:styleId="67">
    <w:name w:val="D表内1磅"/>
    <w:basedOn w:val="68"/>
    <w:autoRedefine/>
    <w:qFormat/>
    <w:uiPriority w:val="0"/>
    <w:pPr>
      <w:spacing w:before="20" w:after="20"/>
    </w:pPr>
    <w:rPr>
      <w:rFonts w:ascii="Times New Roman"/>
      <w:spacing w:val="0"/>
    </w:rPr>
  </w:style>
  <w:style w:type="paragraph" w:customStyle="1" w:styleId="68">
    <w:name w:val="D表内0磅"/>
    <w:basedOn w:val="50"/>
    <w:autoRedefine/>
    <w:qFormat/>
    <w:uiPriority w:val="0"/>
    <w:pPr>
      <w:jc w:val="center"/>
    </w:pPr>
    <w:rPr>
      <w:rFonts w:ascii="仿宋_GB2312"/>
      <w:spacing w:val="4"/>
      <w:szCs w:val="21"/>
    </w:rPr>
  </w:style>
  <w:style w:type="paragraph" w:customStyle="1" w:styleId="69">
    <w:name w:val="B正文"/>
    <w:basedOn w:val="1"/>
    <w:autoRedefine/>
    <w:qFormat/>
    <w:uiPriority w:val="0"/>
    <w:pPr>
      <w:spacing w:line="360" w:lineRule="auto"/>
      <w:ind w:firstLine="200" w:firstLineChars="200"/>
    </w:pPr>
    <w:rPr>
      <w:kern w:val="0"/>
      <w:sz w:val="24"/>
    </w:rPr>
  </w:style>
  <w:style w:type="paragraph" w:customStyle="1" w:styleId="70">
    <w:name w:val="正文1 Char"/>
    <w:basedOn w:val="1"/>
    <w:autoRedefine/>
    <w:qFormat/>
    <w:uiPriority w:val="0"/>
    <w:pPr>
      <w:spacing w:line="360" w:lineRule="auto"/>
      <w:ind w:firstLine="480" w:firstLineChars="200"/>
    </w:pPr>
    <w:rPr>
      <w:rFonts w:ascii="宋体" w:hAnsi="宋体"/>
      <w:kern w:val="21"/>
      <w:sz w:val="24"/>
    </w:rPr>
  </w:style>
  <w:style w:type="paragraph" w:customStyle="1" w:styleId="71">
    <w:name w:val="表格文本"/>
    <w:basedOn w:val="1"/>
    <w:autoRedefine/>
    <w:qFormat/>
    <w:uiPriority w:val="0"/>
    <w:pPr>
      <w:adjustRightInd w:val="0"/>
      <w:snapToGrid w:val="0"/>
      <w:jc w:val="center"/>
    </w:pPr>
    <w:rPr>
      <w:szCs w:val="21"/>
    </w:rPr>
  </w:style>
  <w:style w:type="paragraph" w:customStyle="1" w:styleId="72">
    <w:name w:val="正本文字"/>
    <w:basedOn w:val="1"/>
    <w:autoRedefine/>
    <w:qFormat/>
    <w:uiPriority w:val="0"/>
    <w:pPr>
      <w:adjustRightInd w:val="0"/>
      <w:snapToGrid w:val="0"/>
      <w:spacing w:line="360" w:lineRule="auto"/>
      <w:ind w:firstLine="200" w:firstLineChars="200"/>
      <w:jc w:val="left"/>
    </w:pPr>
    <w:rPr>
      <w:rFonts w:cs="宋体"/>
      <w:kern w:val="18"/>
      <w:sz w:val="24"/>
    </w:rPr>
  </w:style>
  <w:style w:type="paragraph" w:customStyle="1" w:styleId="73">
    <w:name w:val="Table Paragraph"/>
    <w:basedOn w:val="1"/>
    <w:next w:val="1"/>
    <w:autoRedefine/>
    <w:qFormat/>
    <w:uiPriority w:val="1"/>
    <w:rPr>
      <w:rFonts w:ascii="宋体" w:hAnsi="宋体" w:eastAsia="宋体" w:cs="宋体"/>
      <w:lang w:val="zh-CN" w:eastAsia="zh-CN" w:bidi="zh-CN"/>
    </w:rPr>
  </w:style>
  <w:style w:type="paragraph" w:customStyle="1" w:styleId="74">
    <w:name w:val="表标题"/>
    <w:basedOn w:val="1"/>
    <w:autoRedefine/>
    <w:qFormat/>
    <w:uiPriority w:val="0"/>
    <w:pPr>
      <w:spacing w:line="240" w:lineRule="auto"/>
      <w:jc w:val="center"/>
    </w:pPr>
    <w:rPr>
      <w:b/>
      <w:kern w:val="0"/>
      <w:sz w:val="21"/>
      <w:szCs w:val="20"/>
    </w:rPr>
  </w:style>
  <w:style w:type="paragraph" w:customStyle="1" w:styleId="75">
    <w:name w:val="表字体"/>
    <w:basedOn w:val="1"/>
    <w:next w:val="1"/>
    <w:autoRedefine/>
    <w:qFormat/>
    <w:uiPriority w:val="0"/>
    <w:pPr>
      <w:spacing w:line="240" w:lineRule="auto"/>
      <w:jc w:val="center"/>
    </w:pPr>
    <w:rPr>
      <w:kern w:val="0"/>
      <w:sz w:val="21"/>
      <w:szCs w:val="20"/>
    </w:rPr>
  </w:style>
  <w:style w:type="paragraph" w:customStyle="1" w:styleId="76">
    <w:name w:val="正文1"/>
    <w:basedOn w:val="1"/>
    <w:autoRedefine/>
    <w:qFormat/>
    <w:uiPriority w:val="0"/>
    <w:pPr>
      <w:spacing w:line="360" w:lineRule="auto"/>
      <w:ind w:firstLine="723" w:firstLineChars="200"/>
    </w:pPr>
    <w:rPr>
      <w:kern w:val="0"/>
      <w:szCs w:val="20"/>
    </w:rPr>
  </w:style>
  <w:style w:type="paragraph" w:customStyle="1" w:styleId="77">
    <w:name w:val="表头1"/>
    <w:basedOn w:val="1"/>
    <w:next w:val="1"/>
    <w:autoRedefine/>
    <w:qFormat/>
    <w:uiPriority w:val="0"/>
    <w:pPr>
      <w:adjustRightInd w:val="0"/>
      <w:snapToGrid w:val="0"/>
      <w:jc w:val="center"/>
    </w:pPr>
    <w:rPr>
      <w:b/>
      <w:szCs w:val="21"/>
    </w:rPr>
  </w:style>
  <w:style w:type="paragraph" w:customStyle="1" w:styleId="78">
    <w:name w:val="表格内容"/>
    <w:basedOn w:val="14"/>
    <w:autoRedefine/>
    <w:qFormat/>
    <w:uiPriority w:val="0"/>
    <w:pPr>
      <w:autoSpaceDE w:val="0"/>
      <w:autoSpaceDN w:val="0"/>
      <w:adjustRightInd w:val="0"/>
      <w:snapToGrid w:val="0"/>
      <w:jc w:val="center"/>
    </w:pPr>
    <w:rPr>
      <w:rFonts w:ascii="Times New Roman" w:hAnsi="Times New Roman" w:cs="Times New Roman"/>
      <w:snapToGrid w:val="0"/>
      <w:sz w:val="18"/>
    </w:rPr>
  </w:style>
  <w:style w:type="paragraph" w:customStyle="1" w:styleId="79">
    <w:name w:val="标题二级"/>
    <w:basedOn w:val="1"/>
    <w:autoRedefine/>
    <w:qFormat/>
    <w:uiPriority w:val="0"/>
    <w:pPr>
      <w:ind w:firstLine="720" w:firstLineChars="200"/>
      <w:jc w:val="left"/>
    </w:pPr>
    <w:rPr>
      <w:rFonts w:ascii="Times New Roman" w:hAnsi="Times New Roman"/>
      <w:b/>
    </w:rPr>
  </w:style>
  <w:style w:type="paragraph" w:customStyle="1" w:styleId="80">
    <w:name w:val="5图表标题"/>
    <w:basedOn w:val="81"/>
    <w:next w:val="82"/>
    <w:autoRedefine/>
    <w:qFormat/>
    <w:uiPriority w:val="0"/>
    <w:pPr>
      <w:spacing w:line="360" w:lineRule="auto"/>
    </w:pPr>
    <w:rPr>
      <w:rFonts w:eastAsia="黑体"/>
      <w:b/>
    </w:rPr>
  </w:style>
  <w:style w:type="paragraph" w:customStyle="1" w:styleId="81">
    <w:name w:val="6表格内容"/>
    <w:basedOn w:val="82"/>
    <w:next w:val="82"/>
    <w:autoRedefine/>
    <w:qFormat/>
    <w:uiPriority w:val="0"/>
    <w:pPr>
      <w:spacing w:line="240" w:lineRule="auto"/>
      <w:ind w:firstLine="0" w:firstLineChars="0"/>
      <w:jc w:val="center"/>
    </w:pPr>
    <w:rPr>
      <w:rFonts w:cs="Times New Roman"/>
      <w:sz w:val="20"/>
      <w:szCs w:val="24"/>
    </w:rPr>
  </w:style>
  <w:style w:type="paragraph" w:customStyle="1" w:styleId="82">
    <w:name w:val="0报告正文"/>
    <w:basedOn w:val="1"/>
    <w:autoRedefine/>
    <w:qFormat/>
    <w:uiPriority w:val="0"/>
    <w:pPr>
      <w:spacing w:line="360" w:lineRule="auto"/>
      <w:ind w:firstLine="200" w:firstLineChars="200"/>
    </w:pPr>
    <w:rPr>
      <w:rFonts w:ascii="Times New Roman" w:hAnsi="Times New Roman" w:eastAsia="宋体"/>
      <w:kern w:val="0"/>
      <w:sz w:val="24"/>
      <w:szCs w:val="20"/>
    </w:rPr>
  </w:style>
  <w:style w:type="paragraph" w:customStyle="1" w:styleId="83">
    <w:name w:val="表格内容5号"/>
    <w:autoRedefine/>
    <w:qFormat/>
    <w:uiPriority w:val="0"/>
    <w:pPr>
      <w:widowControl w:val="0"/>
      <w:snapToGrid w:val="0"/>
      <w:jc w:val="center"/>
    </w:pPr>
    <w:rPr>
      <w:rFonts w:ascii="Times New Roman" w:hAnsi="Times New Roman" w:eastAsia="宋体" w:cs="Times New Roman"/>
      <w:kern w:val="2"/>
      <w:sz w:val="21"/>
      <w:szCs w:val="24"/>
      <w:lang w:val="en-US" w:eastAsia="zh-CN" w:bidi="ar-SA"/>
    </w:rPr>
  </w:style>
  <w:style w:type="paragraph" w:customStyle="1" w:styleId="84">
    <w:name w:val="普通(网站)2"/>
    <w:basedOn w:val="1"/>
    <w:autoRedefine/>
    <w:qFormat/>
    <w:uiPriority w:val="0"/>
    <w:pPr>
      <w:widowControl/>
      <w:spacing w:before="100" w:beforeAutospacing="1" w:after="100" w:afterAutospacing="1"/>
      <w:jc w:val="left"/>
    </w:pPr>
    <w:rPr>
      <w:rFonts w:ascii="Helv" w:hAnsi="Helv"/>
      <w:sz w:val="24"/>
      <w:szCs w:val="20"/>
    </w:rPr>
  </w:style>
  <w:style w:type="paragraph" w:customStyle="1" w:styleId="85">
    <w:name w:val="正文样式2"/>
    <w:basedOn w:val="1"/>
    <w:autoRedefine/>
    <w:qFormat/>
    <w:uiPriority w:val="0"/>
    <w:pPr>
      <w:spacing w:line="440" w:lineRule="exact"/>
      <w:ind w:firstLine="200" w:firstLineChars="200"/>
      <w:jc w:val="left"/>
    </w:pPr>
    <w:rPr>
      <w:sz w:val="24"/>
    </w:rPr>
  </w:style>
  <w:style w:type="paragraph" w:customStyle="1" w:styleId="86">
    <w:name w:val="表格标题"/>
    <w:autoRedefine/>
    <w:qFormat/>
    <w:uiPriority w:val="0"/>
    <w:pPr>
      <w:jc w:val="center"/>
    </w:pPr>
    <w:rPr>
      <w:rFonts w:ascii="Times New Roman" w:hAnsi="Times New Roman" w:eastAsia="宋体" w:cs="Times New Roman"/>
      <w:b/>
      <w:kern w:val="0"/>
      <w:sz w:val="21"/>
      <w:szCs w:val="20"/>
    </w:rPr>
  </w:style>
  <w:style w:type="paragraph" w:customStyle="1" w:styleId="87">
    <w:name w:val="仙人果正文"/>
    <w:basedOn w:val="1"/>
    <w:next w:val="1"/>
    <w:autoRedefine/>
    <w:qFormat/>
    <w:uiPriority w:val="0"/>
    <w:pPr>
      <w:adjustRightInd w:val="0"/>
      <w:snapToGrid w:val="0"/>
      <w:spacing w:line="360" w:lineRule="auto"/>
      <w:ind w:firstLine="200" w:firstLineChars="200"/>
    </w:pPr>
    <w:rPr>
      <w:rFonts w:ascii="Times New Roman" w:hAnsi="Times New Roman" w:eastAsia="宋体" w:cs="宋体"/>
      <w:sz w:val="24"/>
    </w:rPr>
  </w:style>
  <w:style w:type="paragraph" w:customStyle="1" w:styleId="88">
    <w:name w:val="表格自动编号"/>
    <w:basedOn w:val="1"/>
    <w:autoRedefine/>
    <w:qFormat/>
    <w:uiPriority w:val="0"/>
    <w:pPr>
      <w:numPr>
        <w:ilvl w:val="5"/>
        <w:numId w:val="2"/>
      </w:numPr>
      <w:jc w:val="center"/>
    </w:pPr>
    <w:rPr>
      <w:rFonts w:ascii="Times New Roman" w:hAnsi="Times New Roman" w:eastAsia="宋体"/>
      <w:b/>
      <w:sz w:val="24"/>
    </w:rPr>
  </w:style>
  <w:style w:type="paragraph" w:customStyle="1" w:styleId="89">
    <w:name w:val="德正表格"/>
    <w:basedOn w:val="1"/>
    <w:autoRedefine/>
    <w:qFormat/>
    <w:uiPriority w:val="0"/>
    <w:pPr>
      <w:adjustRightInd w:val="0"/>
      <w:snapToGrid w:val="0"/>
      <w:spacing w:line="240" w:lineRule="auto"/>
      <w:ind w:firstLine="0" w:firstLineChars="0"/>
      <w:jc w:val="center"/>
    </w:pPr>
    <w:rPr>
      <w:rFonts w:hint="default" w:ascii="Times New Roman" w:hAnsi="Times New Roman" w:eastAsia="宋体"/>
      <w:sz w:val="21"/>
    </w:rPr>
  </w:style>
  <w:style w:type="paragraph" w:customStyle="1" w:styleId="90">
    <w:name w:val="正文_10"/>
    <w:autoRedefine/>
    <w:qFormat/>
    <w:uiPriority w:val="0"/>
    <w:pPr>
      <w:widowControl w:val="0"/>
      <w:jc w:val="both"/>
    </w:pPr>
    <w:rPr>
      <w:rFonts w:ascii="Times New Roman" w:hAnsi="Times New Roman" w:eastAsia="宋体" w:cs="Times New Roman"/>
      <w:kern w:val="2"/>
      <w:sz w:val="21"/>
      <w:szCs w:val="22"/>
      <w:lang w:val="en-US" w:eastAsia="zh-CN" w:bidi="ar-SA"/>
    </w:rPr>
  </w:style>
  <w:style w:type="character" w:customStyle="1" w:styleId="91">
    <w:name w:val="NormalCharacter"/>
    <w:autoRedefine/>
    <w:semiHidden/>
    <w:qFormat/>
    <w:uiPriority w:val="0"/>
    <w:rPr>
      <w:rFonts w:ascii="Times New Roman" w:hAnsi="Times New Roman"/>
      <w:kern w:val="2"/>
      <w:sz w:val="21"/>
      <w:lang w:val="en-US" w:eastAsia="zh-CN" w:bidi="ar-SA"/>
    </w:rPr>
  </w:style>
  <w:style w:type="paragraph" w:customStyle="1" w:styleId="92">
    <w:name w:val="A 正文"/>
    <w:basedOn w:val="1"/>
    <w:next w:val="1"/>
    <w:autoRedefine/>
    <w:qFormat/>
    <w:uiPriority w:val="0"/>
    <w:pPr>
      <w:spacing w:line="360" w:lineRule="auto"/>
      <w:ind w:firstLine="200" w:firstLineChars="200"/>
    </w:pPr>
    <w:rPr>
      <w:rFonts w:ascii="仿宋_GB2312" w:hAnsi="宋体" w:eastAsia="仿宋_GB2312" w:cs="宋体"/>
      <w:sz w:val="24"/>
    </w:rPr>
  </w:style>
  <w:style w:type="paragraph" w:customStyle="1" w:styleId="93">
    <w:name w:val="常用表格样式"/>
    <w:basedOn w:val="94"/>
    <w:next w:val="94"/>
    <w:autoRedefine/>
    <w:qFormat/>
    <w:uiPriority w:val="0"/>
    <w:pPr>
      <w:spacing w:line="240" w:lineRule="auto"/>
      <w:ind w:firstLine="0"/>
      <w:jc w:val="center"/>
    </w:pPr>
    <w:rPr>
      <w:spacing w:val="2"/>
      <w:sz w:val="18"/>
    </w:rPr>
  </w:style>
  <w:style w:type="paragraph" w:customStyle="1" w:styleId="94">
    <w:name w:val="常用正文样式"/>
    <w:autoRedefine/>
    <w:qFormat/>
    <w:uiPriority w:val="0"/>
    <w:pPr>
      <w:widowControl w:val="0"/>
      <w:spacing w:line="360" w:lineRule="auto"/>
      <w:ind w:firstLine="454"/>
      <w:jc w:val="both"/>
    </w:pPr>
    <w:rPr>
      <w:rFonts w:ascii="宋体" w:hAnsi="新宋体" w:eastAsia="仿宋_GB2312" w:cs="Times New Roman"/>
      <w:kern w:val="2"/>
      <w:sz w:val="24"/>
      <w:szCs w:val="24"/>
      <w:lang w:val="en-US" w:eastAsia="zh-CN" w:bidi="ar-SA"/>
    </w:rPr>
  </w:style>
  <w:style w:type="paragraph" w:customStyle="1" w:styleId="95">
    <w:name w:val="Normal (Web)"/>
    <w:basedOn w:val="1"/>
    <w:autoRedefine/>
    <w:qFormat/>
    <w:uiPriority w:val="0"/>
    <w:pPr>
      <w:widowControl/>
      <w:spacing w:before="100" w:beforeAutospacing="1" w:after="100" w:afterAutospacing="1" w:line="480" w:lineRule="exact"/>
      <w:ind w:firstLine="200" w:firstLineChars="200"/>
      <w:jc w:val="left"/>
    </w:pPr>
    <w:rPr>
      <w:rFonts w:ascii="宋体" w:hAnsi="宋体" w:eastAsia="楷体_GB2312"/>
      <w:color w:val="000000"/>
      <w:kern w:val="0"/>
      <w:sz w:val="24"/>
      <w:szCs w:val="24"/>
    </w:rPr>
  </w:style>
  <w:style w:type="paragraph" w:customStyle="1" w:styleId="96">
    <w:name w:val="表格内正文"/>
    <w:basedOn w:val="1"/>
    <w:next w:val="92"/>
    <w:autoRedefine/>
    <w:qFormat/>
    <w:uiPriority w:val="0"/>
    <w:pPr>
      <w:ind w:firstLine="493"/>
    </w:pPr>
    <w:rPr>
      <w:rFonts w:ascii="宋体" w:hAnsi="宋体"/>
      <w:spacing w:val="4"/>
      <w:kern w:val="18"/>
      <w:sz w:val="24"/>
    </w:rPr>
  </w:style>
  <w:style w:type="paragraph" w:customStyle="1" w:styleId="97">
    <w:name w:val="Table Text"/>
    <w:basedOn w:val="1"/>
    <w:autoRedefine/>
    <w:semiHidden/>
    <w:qFormat/>
    <w:uiPriority w:val="0"/>
    <w:rPr>
      <w:rFonts w:ascii="宋体" w:hAnsi="宋体" w:eastAsia="宋体" w:cs="宋体"/>
      <w:sz w:val="24"/>
      <w:szCs w:val="24"/>
      <w:lang w:val="en-US" w:eastAsia="en-US" w:bidi="ar-SA"/>
    </w:rPr>
  </w:style>
  <w:style w:type="paragraph" w:customStyle="1" w:styleId="98">
    <w:name w:val="表格正文"/>
    <w:basedOn w:val="38"/>
    <w:next w:val="1"/>
    <w:autoRedefine/>
    <w:qFormat/>
    <w:uiPriority w:val="0"/>
    <w:pPr>
      <w:jc w:val="center"/>
    </w:pPr>
    <w:rPr>
      <w:szCs w:val="21"/>
    </w:rPr>
  </w:style>
  <w:style w:type="paragraph" w:customStyle="1" w:styleId="99">
    <w:name w:val="报告表正文"/>
    <w:autoRedefine/>
    <w:qFormat/>
    <w:uiPriority w:val="0"/>
    <w:pPr>
      <w:widowControl w:val="0"/>
      <w:adjustRightInd w:val="0"/>
      <w:spacing w:line="312" w:lineRule="auto"/>
      <w:ind w:left="113" w:right="113" w:firstLine="482"/>
      <w:jc w:val="both"/>
    </w:pPr>
    <w:rPr>
      <w:rFonts w:ascii="宋体" w:hAnsi="宋体" w:eastAsia="宋体" w:cs="Times New Roman"/>
      <w:sz w:val="24"/>
      <w:lang w:val="en-US" w:eastAsia="zh-CN" w:bidi="ar-SA"/>
    </w:rPr>
  </w:style>
  <w:style w:type="paragraph" w:customStyle="1" w:styleId="100">
    <w:name w:val="00000000000000000000000"/>
    <w:basedOn w:val="1"/>
    <w:autoRedefine/>
    <w:qFormat/>
    <w:uiPriority w:val="0"/>
    <w:rPr>
      <w:snapToGrid w:val="0"/>
    </w:rPr>
  </w:style>
  <w:style w:type="character" w:customStyle="1" w:styleId="101">
    <w:name w:val="font11"/>
    <w:basedOn w:val="28"/>
    <w:autoRedefine/>
    <w:qFormat/>
    <w:uiPriority w:val="0"/>
    <w:rPr>
      <w:rFonts w:hint="eastAsia" w:ascii="宋体" w:hAnsi="宋体" w:eastAsia="宋体" w:cs="宋体"/>
      <w:color w:val="000000"/>
      <w:sz w:val="21"/>
      <w:szCs w:val="21"/>
      <w:u w:val="none"/>
    </w:rPr>
  </w:style>
  <w:style w:type="table" w:customStyle="1" w:styleId="102">
    <w:name w:val="Table Normal"/>
    <w:autoRedefine/>
    <w:unhideWhenUsed/>
    <w:qFormat/>
    <w:uiPriority w:val="0"/>
    <w:tblPr>
      <w:tblCellMar>
        <w:top w:w="0" w:type="dxa"/>
        <w:left w:w="0" w:type="dxa"/>
        <w:bottom w:w="0" w:type="dxa"/>
        <w:right w:w="0" w:type="dxa"/>
      </w:tblCellMar>
    </w:tblPr>
  </w:style>
  <w:style w:type="character" w:customStyle="1" w:styleId="103">
    <w:name w:val="font21"/>
    <w:basedOn w:val="28"/>
    <w:autoRedefine/>
    <w:qFormat/>
    <w:uiPriority w:val="0"/>
    <w:rPr>
      <w:rFonts w:hint="default" w:ascii="Times New Roman" w:hAnsi="Times New Roman" w:cs="Times New Roman"/>
      <w:color w:val="000000"/>
      <w:sz w:val="21"/>
      <w:szCs w:val="21"/>
      <w:u w:val="none"/>
    </w:rPr>
  </w:style>
  <w:style w:type="paragraph" w:customStyle="1" w:styleId="104">
    <w:name w:val="段"/>
    <w:qFormat/>
    <w:uiPriority w:val="0"/>
    <w:pPr>
      <w:autoSpaceDE w:val="0"/>
      <w:autoSpaceDN w:val="0"/>
      <w:ind w:firstLine="200" w:firstLineChars="200"/>
      <w:jc w:val="both"/>
    </w:pPr>
    <w:rPr>
      <w:rFonts w:ascii="宋体" w:hAnsi="Times New Roman" w:eastAsia="宋体" w:cs="Times New Roman"/>
      <w:kern w:val="0"/>
      <w:sz w:val="21"/>
      <w:szCs w:val="20"/>
      <w:lang w:val="en-US" w:eastAsia="zh-CN" w:bidi="ar-SA"/>
    </w:rPr>
  </w:style>
  <w:style w:type="paragraph" w:customStyle="1" w:styleId="105">
    <w:name w:val="_Style 3"/>
    <w:basedOn w:val="2"/>
    <w:next w:val="1"/>
    <w:qFormat/>
    <w:uiPriority w:val="39"/>
    <w:pPr>
      <w:keepLines/>
      <w:widowControl/>
      <w:overflowPunct/>
      <w:adjustRightInd/>
      <w:snapToGrid/>
      <w:spacing w:before="240" w:after="0"/>
      <w:ind w:left="0" w:firstLine="0" w:firstLineChars="0"/>
      <w:jc w:val="left"/>
      <w:outlineLvl w:val="9"/>
    </w:pPr>
    <w:rPr>
      <w:rFonts w:ascii="等线 Light" w:hAnsi="等线 Light" w:eastAsia="等线 Light" w:cs="Times New Roman"/>
      <w:b w:val="0"/>
      <w:bCs w:val="0"/>
      <w:color w:val="0F4761"/>
      <w:kern w:val="0"/>
      <w:sz w:val="32"/>
      <w:szCs w:val="32"/>
    </w:rPr>
  </w:style>
  <w:style w:type="paragraph" w:customStyle="1" w:styleId="106">
    <w:name w:val="00B正文"/>
    <w:basedOn w:val="1"/>
    <w:qFormat/>
    <w:uiPriority w:val="0"/>
    <w:pPr>
      <w:adjustRightInd w:val="0"/>
      <w:snapToGrid w:val="0"/>
      <w:spacing w:line="360" w:lineRule="auto"/>
      <w:ind w:firstLine="200" w:firstLineChars="200"/>
    </w:pPr>
    <w:rPr>
      <w:kern w:val="0"/>
      <w:sz w:val="24"/>
    </w:rPr>
  </w:style>
  <w:style w:type="paragraph" w:customStyle="1" w:styleId="107">
    <w:name w:val="p0"/>
    <w:basedOn w:val="1"/>
    <w:qFormat/>
    <w:uiPriority w:val="0"/>
  </w:style>
  <w:style w:type="paragraph" w:customStyle="1" w:styleId="108">
    <w:name w:val="表格内文字"/>
    <w:basedOn w:val="1"/>
    <w:qFormat/>
    <w:uiPriority w:val="0"/>
    <w:pPr>
      <w:tabs>
        <w:tab w:val="left" w:pos="0"/>
      </w:tabs>
      <w:adjustRightInd w:val="0"/>
      <w:snapToGrid w:val="0"/>
      <w:jc w:val="center"/>
    </w:pPr>
    <w:rPr>
      <w:rFonts w:ascii="Times New Roman" w:hAnsi="Times New Roman" w:eastAsia="宋体" w:cs="Times New Roman"/>
      <w:szCs w:val="21"/>
    </w:rPr>
  </w:style>
  <w:style w:type="paragraph" w:customStyle="1" w:styleId="109">
    <w:name w:val="W表头"/>
    <w:basedOn w:val="1"/>
    <w:next w:val="1"/>
    <w:qFormat/>
    <w:uiPriority w:val="0"/>
    <w:pPr>
      <w:adjustRightInd/>
      <w:snapToGrid/>
      <w:spacing w:line="240" w:lineRule="auto"/>
      <w:ind w:firstLine="0" w:firstLineChars="0"/>
      <w:jc w:val="center"/>
    </w:pPr>
    <w:rPr>
      <w:b/>
      <w:sz w:val="21"/>
    </w:rPr>
  </w:style>
  <w:style w:type="paragraph" w:customStyle="1" w:styleId="110">
    <w:name w:val="正文123"/>
    <w:basedOn w:val="1"/>
    <w:next w:val="14"/>
    <w:qFormat/>
    <w:uiPriority w:val="0"/>
    <w:pPr>
      <w:adjustRightInd/>
      <w:snapToGrid/>
      <w:ind w:firstLine="480"/>
    </w:pPr>
  </w:style>
  <w:style w:type="paragraph" w:customStyle="1" w:styleId="111">
    <w:name w:val="书正文"/>
    <w:qFormat/>
    <w:uiPriority w:val="0"/>
    <w:pPr>
      <w:adjustRightInd w:val="0"/>
      <w:snapToGrid w:val="0"/>
      <w:spacing w:before="60" w:line="460" w:lineRule="exact"/>
      <w:ind w:firstLine="200" w:firstLineChars="200"/>
      <w:jc w:val="both"/>
    </w:pPr>
    <w:rPr>
      <w:rFonts w:ascii="Arial" w:hAnsi="Arial" w:eastAsia="Times New Roman" w:cs="Arial"/>
      <w:kern w:val="2"/>
      <w:sz w:val="24"/>
      <w:szCs w:val="24"/>
      <w:lang w:val="en-US" w:eastAsia="zh-CN" w:bidi="ar-SA"/>
    </w:rPr>
  </w:style>
  <w:style w:type="paragraph" w:customStyle="1" w:styleId="112">
    <w:name w:val="表"/>
    <w:basedOn w:val="1"/>
    <w:qFormat/>
    <w:uiPriority w:val="0"/>
    <w:pPr>
      <w:snapToGrid w:val="0"/>
      <w:spacing w:line="240" w:lineRule="auto"/>
      <w:ind w:firstLine="0" w:firstLineChars="0"/>
      <w:jc w:val="center"/>
    </w:pPr>
    <w:rPr>
      <w:spacing w:val="2"/>
      <w:sz w:val="21"/>
    </w:rPr>
  </w:style>
  <w:style w:type="paragraph" w:customStyle="1" w:styleId="113">
    <w:name w:val="010101"/>
    <w:basedOn w:val="1"/>
    <w:qFormat/>
    <w:uiPriority w:val="0"/>
    <w:pPr>
      <w:spacing w:before="50" w:beforeLines="50" w:line="360" w:lineRule="auto"/>
      <w:ind w:firstLine="720" w:firstLineChars="200"/>
    </w:pPr>
  </w:style>
  <w:style w:type="paragraph" w:customStyle="1" w:styleId="114">
    <w:name w:val="333表格"/>
    <w:basedOn w:val="1"/>
    <w:next w:val="1"/>
    <w:qFormat/>
    <w:uiPriority w:val="0"/>
    <w:pPr>
      <w:spacing w:line="240" w:lineRule="auto"/>
      <w:jc w:val="center"/>
    </w:pPr>
    <w:rPr>
      <w:rFonts w:ascii="Times New Roman" w:hAnsi="Times New Roman" w:eastAsia="宋体"/>
      <w:sz w:val="21"/>
      <w:szCs w:val="22"/>
    </w:rPr>
  </w:style>
  <w:style w:type="paragraph" w:customStyle="1" w:styleId="115">
    <w:name w:val="冠恒"/>
    <w:basedOn w:val="1"/>
    <w:qFormat/>
    <w:uiPriority w:val="0"/>
    <w:pPr>
      <w:spacing w:line="360" w:lineRule="auto"/>
      <w:ind w:firstLine="720" w:firstLineChars="200"/>
    </w:pPr>
    <w:rPr>
      <w:rFonts w:ascii="Times New Roman" w:hAnsi="Times New Roman" w:eastAsia="宋体"/>
      <w:sz w:val="24"/>
    </w:rPr>
  </w:style>
  <w:style w:type="paragraph" w:customStyle="1" w:styleId="116">
    <w:name w:val="常用样式（方正仿宋简）"/>
    <w:basedOn w:val="1"/>
    <w:next w:val="1"/>
    <w:qFormat/>
    <w:uiPriority w:val="99"/>
    <w:pPr>
      <w:spacing w:line="560" w:lineRule="exact"/>
      <w:ind w:firstLine="640" w:firstLineChars="200"/>
    </w:pPr>
    <w:rPr>
      <w:sz w:val="32"/>
      <w:szCs w:val="32"/>
    </w:rPr>
  </w:style>
  <w:style w:type="paragraph" w:customStyle="1" w:styleId="117">
    <w:name w:val="[正文格式]"/>
    <w:basedOn w:val="1"/>
    <w:qFormat/>
    <w:uiPriority w:val="0"/>
    <w:pPr>
      <w:adjustRightInd w:val="0"/>
      <w:snapToGrid w:val="0"/>
      <w:spacing w:line="360" w:lineRule="auto"/>
      <w:ind w:firstLine="200" w:firstLineChars="200"/>
    </w:pPr>
    <w:rPr>
      <w:bCs/>
      <w:snapToGrid w:val="0"/>
      <w:kern w:val="0"/>
      <w:sz w:val="24"/>
      <w:szCs w:val="20"/>
    </w:rPr>
  </w:style>
  <w:style w:type="paragraph" w:customStyle="1" w:styleId="118">
    <w:name w:val="D图表小四"/>
    <w:basedOn w:val="1"/>
    <w:qFormat/>
    <w:uiPriority w:val="0"/>
    <w:pPr>
      <w:keepNext w:val="0"/>
      <w:keepLines w:val="0"/>
      <w:widowControl w:val="0"/>
      <w:suppressLineNumbers w:val="0"/>
      <w:spacing w:before="120" w:beforeAutospacing="0" w:after="120" w:afterAutospacing="0" w:line="360" w:lineRule="auto"/>
      <w:ind w:firstLine="720" w:firstLineChars="200"/>
      <w:jc w:val="center"/>
    </w:pPr>
    <w:rPr>
      <w:rFonts w:hint="default" w:ascii="Times New Roman" w:hAnsi="Times New Roman" w:eastAsia="宋体" w:cs="Times New Roman"/>
      <w:b/>
      <w:kern w:val="2"/>
      <w:sz w:val="24"/>
      <w:szCs w:val="24"/>
      <w:lang w:val="en-US" w:eastAsia="zh-CN" w:bidi="ar"/>
    </w:rPr>
  </w:style>
  <w:style w:type="paragraph" w:customStyle="1" w:styleId="119">
    <w:name w:val="D正文"/>
    <w:qFormat/>
    <w:uiPriority w:val="0"/>
    <w:pPr>
      <w:keepNext w:val="0"/>
      <w:keepLines w:val="0"/>
      <w:widowControl w:val="0"/>
      <w:suppressLineNumbers w:val="0"/>
      <w:spacing w:before="0" w:beforeAutospacing="0" w:after="0" w:afterAutospacing="0" w:line="360" w:lineRule="auto"/>
      <w:ind w:left="0" w:right="0" w:firstLine="480" w:firstLineChars="200"/>
      <w:jc w:val="both"/>
    </w:pPr>
    <w:rPr>
      <w:rFonts w:hint="eastAsia" w:ascii="宋体" w:hAnsi="宋体" w:eastAsia="宋体" w:cs="Times New Roman"/>
      <w:kern w:val="2"/>
      <w:sz w:val="24"/>
      <w:szCs w:val="24"/>
      <w:lang w:val="en-US" w:eastAsia="zh-CN" w:bidi="ar"/>
    </w:rPr>
  </w:style>
  <w:style w:type="paragraph" w:customStyle="1" w:styleId="120">
    <w:name w:val="333正文"/>
    <w:basedOn w:val="1"/>
    <w:qFormat/>
    <w:uiPriority w:val="0"/>
    <w:pPr>
      <w:spacing w:line="360" w:lineRule="auto"/>
      <w:ind w:firstLine="1440" w:firstLineChars="200"/>
      <w:jc w:val="left"/>
    </w:pPr>
    <w:rPr>
      <w:rFonts w:ascii="Times New Roman" w:hAnsi="Times New Roman" w:eastAsia="宋体"/>
      <w:sz w:val="24"/>
    </w:rPr>
  </w:style>
</w:styles>
</file>

<file path=word/_rels/document.xml.rels><?xml version="1.0" encoding="UTF-8" standalone="yes"?>
<Relationships xmlns="http://schemas.openxmlformats.org/package/2006/relationships"><Relationship Id="rId99" Type="http://schemas.openxmlformats.org/officeDocument/2006/relationships/image" Target="media/image87.png"/><Relationship Id="rId98" Type="http://schemas.openxmlformats.org/officeDocument/2006/relationships/image" Target="media/image86.png"/><Relationship Id="rId97" Type="http://schemas.openxmlformats.org/officeDocument/2006/relationships/image" Target="media/image85.png"/><Relationship Id="rId96" Type="http://schemas.openxmlformats.org/officeDocument/2006/relationships/image" Target="media/image84.png"/><Relationship Id="rId95" Type="http://schemas.openxmlformats.org/officeDocument/2006/relationships/image" Target="media/image83.png"/><Relationship Id="rId94" Type="http://schemas.openxmlformats.org/officeDocument/2006/relationships/image" Target="media/image82.png"/><Relationship Id="rId93" Type="http://schemas.openxmlformats.org/officeDocument/2006/relationships/image" Target="media/image81.png"/><Relationship Id="rId92" Type="http://schemas.openxmlformats.org/officeDocument/2006/relationships/image" Target="media/image80.png"/><Relationship Id="rId91" Type="http://schemas.openxmlformats.org/officeDocument/2006/relationships/image" Target="media/image79.png"/><Relationship Id="rId90" Type="http://schemas.openxmlformats.org/officeDocument/2006/relationships/image" Target="media/image78.png"/><Relationship Id="rId9" Type="http://schemas.openxmlformats.org/officeDocument/2006/relationships/image" Target="media/image2.png"/><Relationship Id="rId89" Type="http://schemas.openxmlformats.org/officeDocument/2006/relationships/image" Target="media/image77.png"/><Relationship Id="rId88" Type="http://schemas.openxmlformats.org/officeDocument/2006/relationships/image" Target="media/image76.png"/><Relationship Id="rId87" Type="http://schemas.openxmlformats.org/officeDocument/2006/relationships/image" Target="media/image75.png"/><Relationship Id="rId86" Type="http://schemas.openxmlformats.org/officeDocument/2006/relationships/image" Target="media/image74.png"/><Relationship Id="rId85" Type="http://schemas.openxmlformats.org/officeDocument/2006/relationships/image" Target="media/image73.png"/><Relationship Id="rId84" Type="http://schemas.openxmlformats.org/officeDocument/2006/relationships/image" Target="media/image72.png"/><Relationship Id="rId83" Type="http://schemas.openxmlformats.org/officeDocument/2006/relationships/image" Target="media/image71.png"/><Relationship Id="rId82" Type="http://schemas.openxmlformats.org/officeDocument/2006/relationships/image" Target="media/image70.png"/><Relationship Id="rId81" Type="http://schemas.openxmlformats.org/officeDocument/2006/relationships/image" Target="media/image69.png"/><Relationship Id="rId80" Type="http://schemas.openxmlformats.org/officeDocument/2006/relationships/image" Target="media/image68.png"/><Relationship Id="rId8" Type="http://schemas.openxmlformats.org/officeDocument/2006/relationships/image" Target="media/image1.png"/><Relationship Id="rId79" Type="http://schemas.openxmlformats.org/officeDocument/2006/relationships/image" Target="media/image67.png"/><Relationship Id="rId78" Type="http://schemas.openxmlformats.org/officeDocument/2006/relationships/image" Target="media/image66.png"/><Relationship Id="rId77" Type="http://schemas.openxmlformats.org/officeDocument/2006/relationships/image" Target="media/image65.png"/><Relationship Id="rId76" Type="http://schemas.openxmlformats.org/officeDocument/2006/relationships/image" Target="media/image64.png"/><Relationship Id="rId75" Type="http://schemas.openxmlformats.org/officeDocument/2006/relationships/image" Target="media/image63.png"/><Relationship Id="rId74" Type="http://schemas.openxmlformats.org/officeDocument/2006/relationships/image" Target="media/image62.png"/><Relationship Id="rId73" Type="http://schemas.openxmlformats.org/officeDocument/2006/relationships/image" Target="media/image61.png"/><Relationship Id="rId72" Type="http://schemas.openxmlformats.org/officeDocument/2006/relationships/image" Target="media/image60.png"/><Relationship Id="rId71" Type="http://schemas.openxmlformats.org/officeDocument/2006/relationships/image" Target="media/image59.png"/><Relationship Id="rId70" Type="http://schemas.openxmlformats.org/officeDocument/2006/relationships/image" Target="media/image58.png"/><Relationship Id="rId7" Type="http://schemas.openxmlformats.org/officeDocument/2006/relationships/theme" Target="theme/theme1.xml"/><Relationship Id="rId69" Type="http://schemas.openxmlformats.org/officeDocument/2006/relationships/image" Target="media/image57.png"/><Relationship Id="rId68" Type="http://schemas.openxmlformats.org/officeDocument/2006/relationships/image" Target="media/image56.png"/><Relationship Id="rId67" Type="http://schemas.openxmlformats.org/officeDocument/2006/relationships/image" Target="media/image55.png"/><Relationship Id="rId66" Type="http://schemas.openxmlformats.org/officeDocument/2006/relationships/image" Target="media/image54.png"/><Relationship Id="rId65" Type="http://schemas.openxmlformats.org/officeDocument/2006/relationships/image" Target="media/image53.png"/><Relationship Id="rId64" Type="http://schemas.openxmlformats.org/officeDocument/2006/relationships/image" Target="media/image52.png"/><Relationship Id="rId63" Type="http://schemas.openxmlformats.org/officeDocument/2006/relationships/image" Target="media/image51.png"/><Relationship Id="rId62" Type="http://schemas.openxmlformats.org/officeDocument/2006/relationships/image" Target="media/image50.png"/><Relationship Id="rId61" Type="http://schemas.openxmlformats.org/officeDocument/2006/relationships/image" Target="media/image49.png"/><Relationship Id="rId60" Type="http://schemas.openxmlformats.org/officeDocument/2006/relationships/image" Target="media/image48.png"/><Relationship Id="rId6" Type="http://schemas.openxmlformats.org/officeDocument/2006/relationships/footer" Target="footer4.xml"/><Relationship Id="rId59" Type="http://schemas.openxmlformats.org/officeDocument/2006/relationships/image" Target="media/image47.png"/><Relationship Id="rId58" Type="http://schemas.openxmlformats.org/officeDocument/2006/relationships/image" Target="media/image46.png"/><Relationship Id="rId57" Type="http://schemas.openxmlformats.org/officeDocument/2006/relationships/image" Target="media/image45.png"/><Relationship Id="rId56" Type="http://schemas.openxmlformats.org/officeDocument/2006/relationships/image" Target="media/image44.png"/><Relationship Id="rId55" Type="http://schemas.openxmlformats.org/officeDocument/2006/relationships/image" Target="media/image43.png"/><Relationship Id="rId54" Type="http://schemas.openxmlformats.org/officeDocument/2006/relationships/image" Target="media/image42.png"/><Relationship Id="rId53" Type="http://schemas.openxmlformats.org/officeDocument/2006/relationships/image" Target="media/image41.png"/><Relationship Id="rId52" Type="http://schemas.openxmlformats.org/officeDocument/2006/relationships/image" Target="media/image40.png"/><Relationship Id="rId51" Type="http://schemas.openxmlformats.org/officeDocument/2006/relationships/image" Target="media/image39.jpeg"/><Relationship Id="rId50" Type="http://schemas.openxmlformats.org/officeDocument/2006/relationships/image" Target="media/image38.jpeg"/><Relationship Id="rId5" Type="http://schemas.openxmlformats.org/officeDocument/2006/relationships/footer" Target="footer3.xml"/><Relationship Id="rId49" Type="http://schemas.openxmlformats.org/officeDocument/2006/relationships/image" Target="media/image37.jpeg"/><Relationship Id="rId48" Type="http://schemas.openxmlformats.org/officeDocument/2006/relationships/image" Target="media/image36.jpeg"/><Relationship Id="rId47" Type="http://schemas.openxmlformats.org/officeDocument/2006/relationships/image" Target="media/image35.png"/><Relationship Id="rId46" Type="http://schemas.openxmlformats.org/officeDocument/2006/relationships/image" Target="media/image34.png"/><Relationship Id="rId45" Type="http://schemas.openxmlformats.org/officeDocument/2006/relationships/image" Target="media/image33.png"/><Relationship Id="rId44" Type="http://schemas.openxmlformats.org/officeDocument/2006/relationships/image" Target="media/image32.png"/><Relationship Id="rId43" Type="http://schemas.openxmlformats.org/officeDocument/2006/relationships/image" Target="media/image31.png"/><Relationship Id="rId42" Type="http://schemas.openxmlformats.org/officeDocument/2006/relationships/image" Target="media/image30.png"/><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footer" Target="footer2.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jpeg"/><Relationship Id="rId36" Type="http://schemas.openxmlformats.org/officeDocument/2006/relationships/image" Target="media/image24.jpeg"/><Relationship Id="rId35" Type="http://schemas.openxmlformats.org/officeDocument/2006/relationships/image" Target="media/image23.jpe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jpeg"/><Relationship Id="rId3" Type="http://schemas.openxmlformats.org/officeDocument/2006/relationships/footer" Target="footer1.xml"/><Relationship Id="rId29" Type="http://schemas.openxmlformats.org/officeDocument/2006/relationships/image" Target="media/image17.jpeg"/><Relationship Id="rId28" Type="http://schemas.openxmlformats.org/officeDocument/2006/relationships/image" Target="media/image16.png"/><Relationship Id="rId27" Type="http://schemas.openxmlformats.org/officeDocument/2006/relationships/image" Target="media/image15.wmf"/><Relationship Id="rId26" Type="http://schemas.openxmlformats.org/officeDocument/2006/relationships/oleObject" Target="embeddings/oleObject5.bin"/><Relationship Id="rId25" Type="http://schemas.openxmlformats.org/officeDocument/2006/relationships/image" Target="media/image14.wmf"/><Relationship Id="rId24" Type="http://schemas.openxmlformats.org/officeDocument/2006/relationships/oleObject" Target="embeddings/oleObject4.bin"/><Relationship Id="rId23" Type="http://schemas.openxmlformats.org/officeDocument/2006/relationships/image" Target="media/image13.wmf"/><Relationship Id="rId22" Type="http://schemas.openxmlformats.org/officeDocument/2006/relationships/oleObject" Target="embeddings/oleObject3.bin"/><Relationship Id="rId21" Type="http://schemas.openxmlformats.org/officeDocument/2006/relationships/image" Target="media/image12.wmf"/><Relationship Id="rId20" Type="http://schemas.openxmlformats.org/officeDocument/2006/relationships/oleObject" Target="embeddings/oleObject2.bin"/><Relationship Id="rId2" Type="http://schemas.openxmlformats.org/officeDocument/2006/relationships/settings" Target="settings.xml"/><Relationship Id="rId19" Type="http://schemas.openxmlformats.org/officeDocument/2006/relationships/image" Target="media/image11.wmf"/><Relationship Id="rId18" Type="http://schemas.openxmlformats.org/officeDocument/2006/relationships/oleObject" Target="embeddings/oleObject1.bin"/><Relationship Id="rId17" Type="http://schemas.openxmlformats.org/officeDocument/2006/relationships/image" Target="media/image10.jpeg"/><Relationship Id="rId16" Type="http://schemas.openxmlformats.org/officeDocument/2006/relationships/image" Target="media/image9.jpeg"/><Relationship Id="rId15" Type="http://schemas.openxmlformats.org/officeDocument/2006/relationships/image" Target="media/image8.png"/><Relationship Id="rId141" Type="http://schemas.openxmlformats.org/officeDocument/2006/relationships/fontTable" Target="fontTable.xml"/><Relationship Id="rId140" Type="http://schemas.openxmlformats.org/officeDocument/2006/relationships/customXml" Target="../customXml/item2.xml"/><Relationship Id="rId14" Type="http://schemas.openxmlformats.org/officeDocument/2006/relationships/image" Target="media/image7.png"/><Relationship Id="rId139" Type="http://schemas.openxmlformats.org/officeDocument/2006/relationships/numbering" Target="numbering.xml"/><Relationship Id="rId138" Type="http://schemas.openxmlformats.org/officeDocument/2006/relationships/customXml" Target="../customXml/item1.xml"/><Relationship Id="rId137" Type="http://schemas.openxmlformats.org/officeDocument/2006/relationships/image" Target="media/image125.png"/><Relationship Id="rId136" Type="http://schemas.openxmlformats.org/officeDocument/2006/relationships/image" Target="media/image124.png"/><Relationship Id="rId135" Type="http://schemas.openxmlformats.org/officeDocument/2006/relationships/image" Target="media/image123.png"/><Relationship Id="rId134" Type="http://schemas.openxmlformats.org/officeDocument/2006/relationships/image" Target="media/image122.png"/><Relationship Id="rId133" Type="http://schemas.openxmlformats.org/officeDocument/2006/relationships/image" Target="media/image121.png"/><Relationship Id="rId132" Type="http://schemas.openxmlformats.org/officeDocument/2006/relationships/image" Target="media/image120.png"/><Relationship Id="rId131" Type="http://schemas.openxmlformats.org/officeDocument/2006/relationships/image" Target="media/image119.png"/><Relationship Id="rId130" Type="http://schemas.openxmlformats.org/officeDocument/2006/relationships/image" Target="media/image118.png"/><Relationship Id="rId13" Type="http://schemas.openxmlformats.org/officeDocument/2006/relationships/image" Target="media/image6.png"/><Relationship Id="rId129" Type="http://schemas.openxmlformats.org/officeDocument/2006/relationships/image" Target="media/image117.jpeg"/><Relationship Id="rId128" Type="http://schemas.openxmlformats.org/officeDocument/2006/relationships/image" Target="media/image116.jpeg"/><Relationship Id="rId127" Type="http://schemas.openxmlformats.org/officeDocument/2006/relationships/image" Target="media/image115.png"/><Relationship Id="rId126" Type="http://schemas.openxmlformats.org/officeDocument/2006/relationships/image" Target="media/image114.png"/><Relationship Id="rId125" Type="http://schemas.openxmlformats.org/officeDocument/2006/relationships/image" Target="media/image113.png"/><Relationship Id="rId124" Type="http://schemas.openxmlformats.org/officeDocument/2006/relationships/image" Target="media/image112.png"/><Relationship Id="rId123" Type="http://schemas.openxmlformats.org/officeDocument/2006/relationships/image" Target="media/image111.png"/><Relationship Id="rId122" Type="http://schemas.openxmlformats.org/officeDocument/2006/relationships/image" Target="media/image110.png"/><Relationship Id="rId121" Type="http://schemas.openxmlformats.org/officeDocument/2006/relationships/image" Target="media/image109.png"/><Relationship Id="rId120" Type="http://schemas.openxmlformats.org/officeDocument/2006/relationships/image" Target="media/image108.png"/><Relationship Id="rId12" Type="http://schemas.openxmlformats.org/officeDocument/2006/relationships/image" Target="media/image5.png"/><Relationship Id="rId119" Type="http://schemas.openxmlformats.org/officeDocument/2006/relationships/image" Target="media/image107.png"/><Relationship Id="rId118" Type="http://schemas.openxmlformats.org/officeDocument/2006/relationships/image" Target="media/image106.png"/><Relationship Id="rId117" Type="http://schemas.openxmlformats.org/officeDocument/2006/relationships/image" Target="media/image105.png"/><Relationship Id="rId116" Type="http://schemas.openxmlformats.org/officeDocument/2006/relationships/image" Target="media/image104.png"/><Relationship Id="rId115" Type="http://schemas.openxmlformats.org/officeDocument/2006/relationships/image" Target="media/image103.png"/><Relationship Id="rId114" Type="http://schemas.openxmlformats.org/officeDocument/2006/relationships/image" Target="media/image102.png"/><Relationship Id="rId113" Type="http://schemas.openxmlformats.org/officeDocument/2006/relationships/image" Target="media/image101.png"/><Relationship Id="rId112" Type="http://schemas.openxmlformats.org/officeDocument/2006/relationships/image" Target="media/image100.png"/><Relationship Id="rId111" Type="http://schemas.openxmlformats.org/officeDocument/2006/relationships/image" Target="media/image99.png"/><Relationship Id="rId110" Type="http://schemas.openxmlformats.org/officeDocument/2006/relationships/image" Target="media/image98.png"/><Relationship Id="rId11" Type="http://schemas.openxmlformats.org/officeDocument/2006/relationships/image" Target="media/image4.png"/><Relationship Id="rId109" Type="http://schemas.openxmlformats.org/officeDocument/2006/relationships/image" Target="media/image97.png"/><Relationship Id="rId108" Type="http://schemas.openxmlformats.org/officeDocument/2006/relationships/image" Target="media/image96.png"/><Relationship Id="rId107" Type="http://schemas.openxmlformats.org/officeDocument/2006/relationships/image" Target="media/image95.png"/><Relationship Id="rId106" Type="http://schemas.openxmlformats.org/officeDocument/2006/relationships/image" Target="media/image94.png"/><Relationship Id="rId105" Type="http://schemas.openxmlformats.org/officeDocument/2006/relationships/image" Target="media/image93.png"/><Relationship Id="rId104" Type="http://schemas.openxmlformats.org/officeDocument/2006/relationships/image" Target="media/image92.png"/><Relationship Id="rId103" Type="http://schemas.openxmlformats.org/officeDocument/2006/relationships/image" Target="media/image91.png"/><Relationship Id="rId102" Type="http://schemas.openxmlformats.org/officeDocument/2006/relationships/image" Target="media/image90.png"/><Relationship Id="rId101" Type="http://schemas.openxmlformats.org/officeDocument/2006/relationships/image" Target="media/image89.png"/><Relationship Id="rId100" Type="http://schemas.openxmlformats.org/officeDocument/2006/relationships/image" Target="media/image88.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extobjs>
    <extobj name="ECB019B1-382A-4266-B25C-5B523AA43C14-1">
      <extobjdata type="ECB019B1-382A-4266-B25C-5B523AA43C14" data="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"/>
    </extobj>
    <extobj name="ECB019B1-382A-4266-B25C-5B523AA43C14-2">
      <extobjdata type="ECB019B1-382A-4266-B25C-5B523AA43C14" data="ewoJIkZpbGVJZCIgOiAiNDkwMTE1NTA0Mjk0IiwKCSJHcm91cElkIiA6ICIxODUyMTgwMjMiLAoJIkltYWdlIiA6ICJpVkJPUncwS0dnb0FBQUFOU1VoRVVnQUFBbTBBQUFETUNBWUFBQUFoMUpUY0FBQUFBWE5TUjBJQXJzNGM2UUFBSUFCSlJFRlVlSnpzM1hsNEZGWFdCdkQzVkhjV2RzS2lxQ0RvNElBUk9uMnIzUlczRVFjUkY4UlJ4QjFSR0VGY0VaMUJSVkVVZEJBRkZUOUFSWEhCRFFVWEJOd1ZFVTFYRXpBRGlob0ZSVVFOa2tDMjdqcmZINm4wZEJZZ3JKMlk5L2M4UEhiWGVxdFNkcCsreTdrQU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"/>
    </extobj>
    <extobj name="ECB019B1-382A-4266-B25C-5B523AA43C14-3">
      <extobjdata type="ECB019B1-382A-4266-B25C-5B523AA43C14" data="ewoJIkZpbGVJZCIgOiAiNDkwMTE0Mjg5OTgxIiwKCSJHcm91cElkIiA6ICIxODUyMTgwMjMiLAoJIkltYWdlIiA6ICJpVkJPUncwS0dnb0FBQUFOU1VoRVVnQUFBN2NBQUFLZUNBWUFBQUIrc094SkFBQUFBWE5TUjBJQXJzNGM2UUFBSUFCSlJFRlVlSnpzM1hsOFZOWGRQL0RQOTk3SkFsa2t5Q0tJTGRqWThJc2ttWE9qMWRZZHRVVWZVY1Erb2lnZ3JpZ3EydkpVM08xVGwrcWpCYTJJdTVVcWdndmdncnRpNjFwdDVrNFdJMGlrYVkwTHlwWVF5Q1NadWQvZkg1bUpTUWdReUlRaHllZjlldkZ5N3JuM252T2RheWFaN3ozbm5nTVF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XVsLzlQMXZkTFFOTmNxeVlBQUFBQUVsRlRrU3VRbUNDIiwKCSJUaGVtZSIgOiAiIiwKCSJUeXBlIiA6ICJmbG93IiwKCSJVc2VySWQiIDogIjI2ODg5MjE1NiIsCgkiVmVyc2lvbiIgOiAiMTUiCn0K"/>
    </extobj>
  </extobjs>
</s:customData>
</file>

<file path=customXml/item2.xml><?xml version="1.0" encoding="utf-8"?>
<contractReview xmlns="http://schemas.wps.cn/vas-ai-hub/contract-review">
  <reviewItems>
    <reviewItem>
      <errorID>c63fcf03-c6d7-4cb9-8409-5d70e09adc10</errorID>
      <errorWord>休</errorWord>
      <group>L1_Word</group>
      <groupName>字词问题</groupName>
      <ability>L2_Typo</ability>
      <abilityName>字词错误</abilityName>
      <candidateList>
        <item>鞋</item>
      </candidateList>
      <explain/>
      <paraID>7B7AB6E9</paraID>
      <start>26</start>
      <end>27</end>
      <status>unmodified</status>
      <modifiedWord/>
      <trackRevisions>false</trackRevisions>
    </reviewItem>
    <reviewItem>
      <errorID>1757d745-2554-4e48-92fb-059d2958ac85</errorID>
      <errorWord>无需设置</errorWord>
      <group>L1_Word</group>
      <groupName>字词问题</groupName>
      <ability>L2_Alias</ability>
      <abilityName>也作/曾用词</abilityName>
      <candidateList>
        <item>无须设置</item>
      </candidateList>
      <explain>词汇[无需设置]为不规范表述或旧称，其规范书面表述为[无须设置]。</explain>
      <paraID>639F0B68</paraID>
      <start>0</start>
      <end>4</end>
      <status>unmodified</status>
      <modifiedWord/>
      <trackRevisions>false</trackRevisions>
    </reviewItem>
    <reviewItem>
      <errorID>5bb0862a-f815-4334-8de5-2b0437db4233</errorID>
      <errorWord>无需设置</errorWord>
      <group>L1_Word</group>
      <groupName>字词问题</groupName>
      <ability>L2_Alias</ability>
      <abilityName>也作/曾用词</abilityName>
      <candidateList>
        <item>无须设置</item>
      </candidateList>
      <explain>词汇[无需设置]为不规范表述或旧称，其规范书面表述为[无须设置]。</explain>
      <paraID>7CD09945</paraID>
      <start>0</start>
      <end>4</end>
      <status>unmodified</status>
      <modifiedWord/>
      <trackRevisions>false</trackRevisions>
    </reviewItem>
    <reviewItem>
      <errorID>23ccd4df-32ad-41e4-a41e-cb77cc95121c</errorID>
      <errorWord>无需设置</errorWord>
      <group>L1_Word</group>
      <groupName>字词问题</groupName>
      <ability>L2_Alias</ability>
      <abilityName>也作/曾用词</abilityName>
      <candidateList>
        <item>无须设置</item>
      </candidateList>
      <explain>词汇[无需设置]为不规范表述或旧称，其规范书面表述为[无须设置]。</explain>
      <paraID>743EC3DE</paraID>
      <start>0</start>
      <end>4</end>
      <status>unmodified</status>
      <modifiedWord/>
      <trackRevisions>false</trackRevisions>
    </reviewItem>
    <reviewItem>
      <errorID>6eb38b9f-3596-4726-8d6e-a8c71d6ae54c</errorID>
      <errorWord>无需设置</errorWord>
      <group>L1_Word</group>
      <groupName>字词问题</groupName>
      <ability>L2_Alias</ability>
      <abilityName>也作/曾用词</abilityName>
      <candidateList>
        <item>无须设置</item>
      </candidateList>
      <explain>词汇[无需设置]为不规范表述或旧称，其规范书面表述为[无须设置]。</explain>
      <paraID>1A5F3074</paraID>
      <start>0</start>
      <end>4</end>
      <status>unmodified</status>
      <modifiedWord/>
      <trackRevisions>false</trackRevisions>
    </reviewItem>
    <reviewItem>
      <errorID>b668a67b-bd09-4ae8-86a0-421b27d680c0</errorID>
      <errorWord>无需设置</errorWord>
      <group>L1_Word</group>
      <groupName>字词问题</groupName>
      <ability>L2_Alias</ability>
      <abilityName>也作/曾用词</abilityName>
      <candidateList>
        <item>无须设置</item>
      </candidateList>
      <explain>词汇[无需设置]为不规范表述或旧称，其规范书面表述为[无须设置]。</explain>
      <paraID>62A02EC6</paraID>
      <start>0</start>
      <end>4</end>
      <status>unmodified</status>
      <modifiedWord/>
      <trackRevisions>false</trackRevisions>
    </reviewItem>
    <reviewItem>
      <errorID>cd9c7080-0e65-47e6-a215-673108b46d66</errorID>
      <errorWord>。</errorWord>
      <group>L1_Grammar</group>
      <groupName>语法问题</groupName>
      <ability>L2_Missing</ability>
      <abilityName>成分残缺</abilityName>
      <candidateList>
        <item>的问题。</item>
      </candidateList>
      <explain>句子中可能存在主谓宾、修饰语或者必要的词语残缺。</explain>
      <paraID>35972128</paraID>
      <start>43</start>
      <end>44</end>
      <status>unmodified</status>
      <modifiedWord/>
      <trackRevisions>false</trackRevisions>
    </reviewItem>
    <reviewItem>
      <errorID>b7c65b29-97fc-435b-8e85-62796da2e226</errorID>
      <errorWord>无需设置</errorWord>
      <group>L1_Word</group>
      <groupName>字词问题</groupName>
      <ability>L2_Alias</ability>
      <abilityName>也作/曾用词</abilityName>
      <candidateList>
        <item>无须设置</item>
      </candidateList>
      <explain>词汇[无需设置]为不规范表述或旧称，其规范书面表述为[无须设置]。</explain>
      <paraID>782BAB83</paraID>
      <start>0</start>
      <end>4</end>
      <status>unmodified</status>
      <modifiedWord/>
      <trackRevisions>false</trackRevisions>
    </reviewItem>
    <reviewItem>
      <errorID>6795ef0c-106f-4b4b-801f-24615f21308e</errorID>
      <errorWord>长江保护法</errorWord>
      <group>L1_Knowledge</group>
      <groupName>知识性问题</groupName>
      <ability>L2_Knowledge</ability>
      <abilityName>其他知识</abilityName>
      <candidateList>
        <item>中华人民共和国长江保护法</item>
      </candidateList>
      <explain>当前法律法规名称使用简称，请注意是否应当使用全称。</explain>
      <paraID>6AED030E</paraID>
      <start>30</start>
      <end>35</end>
      <status>unmodified</status>
      <modifiedWord/>
      <trackRevisions>false</trackRevisions>
    </reviewItem>
    <reviewItem>
      <errorID>281c2c1c-316f-40f1-877c-746eeaaa4b84</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237EEFE4</paraID>
      <start>0</start>
      <end>2</end>
      <status>unmodified</status>
      <modifiedWord/>
      <trackRevisions>false</trackRevisions>
    </reviewItem>
    <reviewItem>
      <errorID>c5518696-cd50-465a-98b1-40f8b0a88ff3</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5541E9F7</paraID>
      <start>0</start>
      <end>2</end>
      <status>unmodified</status>
      <modifiedWord/>
      <trackRevisions>false</trackRevisions>
    </reviewItem>
    <reviewItem>
      <errorID>b16dd693-bcf0-437c-a5a6-2df658902607</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5DF9F685</paraID>
      <start>0</start>
      <end>2</end>
      <status>unmodified</status>
      <modifiedWord/>
      <trackRevisions>false</trackRevisions>
    </reviewItem>
    <reviewItem>
      <errorID>6ccbc8a7-4cfd-467c-9583-82b283a83820</errorID>
      <errorWord>区区</errorWord>
      <group>L1_Word</group>
      <groupName>字词问题</groupName>
      <ability>L2_Typo</ability>
      <abilityName>字词错误</abilityName>
      <candidateList>
        <item>区</item>
      </candidateList>
      <explain>（區）qū❶区别；划分：～分。❷地区；区域：山～｜市～｜解放～｜工业～｜风景～。❸〈名〉行政区划单位，如自治区、市辖区、县辖区等。</explain>
      <paraID>112E1DE4</paraID>
      <start>34</start>
      <end>36</end>
      <status>unmodified</status>
      <modifiedWord/>
      <trackRevisions>false</trackRevisions>
    </reviewItem>
    <reviewItem>
      <errorID>ae71d1b9-bac8-4d9a-821e-c19e0bc11e15</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36341DE2</paraID>
      <start>0</start>
      <end>2</end>
      <status>unmodified</status>
      <modifiedWord/>
      <trackRevisions>false</trackRevisions>
    </reviewItem>
    <reviewItem>
      <errorID>2bd18e2a-42be-4823-8af1-069fed70c7c8</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1AF35702</paraID>
      <start>0</start>
      <end>2</end>
      <status>unmodified</status>
      <modifiedWord/>
      <trackRevisions>false</trackRevisions>
    </reviewItem>
    <reviewItem>
      <errorID>7d1f5149-9704-4f29-872b-8fdb0c3efe9d</errorID>
      <errorWord>产能片</errorWord>
      <group>L1_Word</group>
      <groupName>字词问题</groupName>
      <ability>L2_Typo</ability>
      <abilityName>字词错误</abilityName>
      <candidateList>
        <item>产能</item>
      </candidateList>
      <explain/>
      <paraID>5521CF26</paraID>
      <start>97</start>
      <end>100</end>
      <status>unmodified</status>
      <modifiedWord/>
      <trackRevisions>false</trackRevisions>
    </reviewItem>
    <reviewItem>
      <errorID>1fe091b2-03a7-441f-9341-244a58cda14e</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30D93746</paraID>
      <start>0</start>
      <end>2</end>
      <status>unmodified</status>
      <modifiedWord/>
      <trackRevisions>false</trackRevisions>
    </reviewItem>
    <reviewItem>
      <errorID>96efe296-40b0-424c-9171-3bfbfa5e1fe0</errorID>
      <errorWord>7、</errorWord>
      <group>L1_Format</group>
      <groupName>格式问题</groupName>
      <ability>L2_Ordinal</ability>
      <abilityName>序号格式</abilityName>
      <candidateList>
        <item>7.</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795EC44A</paraID>
      <start>0</start>
      <end>2</end>
      <status>unmodified</status>
      <modifiedWord/>
      <trackRevisions>false</trackRevisions>
    </reviewItem>
    <reviewItem>
      <errorID>54a02cab-e5fc-4602-b9ea-be5295bd6c04</errorID>
      <errorWord>《中共中央、国务院</errorWord>
      <group>L1_Political</group>
      <groupName>政治性问题</groupName>
      <ability>L2_Unpolitical</ability>
      <abilityName>政治敏感错误</abilityName>
      <candidateList>
        <item>《中共中央 国务院</item>
      </candidateList>
      <explain/>
      <paraID>795EC44A</paraID>
      <start>3</start>
      <end>12</end>
      <status>unmodified</status>
      <modifiedWord/>
      <trackRevisions>false</trackRevisions>
    </reviewItem>
    <reviewItem>
      <errorID>49f1d7c3-c818-49ae-b342-d7b71056ee75</errorID>
      <errorWord>《中共中央、国务院</errorWord>
      <group>L1_Political</group>
      <groupName>政治性问题</groupName>
      <ability>L2_Unpolitical</ability>
      <abilityName>政治敏感错误</abilityName>
      <candidateList>
        <item>《中共中央 国务院</item>
      </candidateList>
      <explain/>
      <paraID> 752DBC5</paraID>
      <start>4</start>
      <end>13</end>
      <status>unmodified</status>
      <modifiedWord/>
      <trackRevisions>false</trackRevisions>
    </reviewItem>
    <reviewItem>
      <errorID>5ff34b89-04ab-47ef-864e-5d74af6cea28</errorID>
      <errorWord>《中共中央、国务院</errorWord>
      <group>L1_Political</group>
      <groupName>政治性问题</groupName>
      <ability>L2_Unpolitical</ability>
      <abilityName>政治敏感错误</abilityName>
      <candidateList>
        <item>《中共中央 国务院</item>
      </candidateList>
      <explain/>
      <paraID>2DD172C1</paraID>
      <start>8</start>
      <end>17</end>
      <status>unmodified</status>
      <modifiedWord/>
      <trackRevisions>false</trackRevisions>
    </reviewItem>
    <reviewItem>
      <errorID>45308b4e-dbe0-4752-a119-4337dbf612b8</errorID>
      <errorWord>《中共中央、国务院</errorWord>
      <group>L1_Political</group>
      <groupName>政治性问题</groupName>
      <ability>L2_Unpolitical</ability>
      <abilityName>政治敏感错误</abilityName>
      <candidateList>
        <item>《中共中央 国务院</item>
      </candidateList>
      <explain/>
      <paraID>5192DA44</paraID>
      <start>9</start>
      <end>18</end>
      <status>unmodified</status>
      <modifiedWord/>
      <trackRevisions>false</trackRevisions>
    </reviewItem>
    <reviewItem>
      <errorID>4d1eb94e-e8b4-4596-a147-06b836347cfe</errorID>
      <errorWord>8、</errorWord>
      <group>L1_Format</group>
      <groupName>格式问题</groupName>
      <ability>L2_Ordinal</ability>
      <abilityName>序号格式</abilityName>
      <candidateList>
        <item>8.</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5D43E58E</paraID>
      <start>0</start>
      <end>2</end>
      <status>unmodified</status>
      <modifiedWord/>
      <trackRevisions>false</trackRevisions>
    </reviewItem>
    <reviewItem>
      <errorID>e6e7104f-c9b2-4658-9f0e-e4bc037d9a2a</errorID>
      <errorWord>胶粘剂</errorWord>
      <group>L1_Word</group>
      <groupName>字词问题</groupName>
      <ability>L2_Typo</ability>
      <abilityName>字词错误</abilityName>
      <candidateList>
        <item>胶黏剂</item>
      </candidateList>
      <explain/>
      <paraID>382723AF</paraID>
      <start>42</start>
      <end>45</end>
      <status>unmodified</status>
      <modifiedWord/>
      <trackRevisions>false</trackRevisions>
    </reviewItem>
    <reviewItem>
      <errorID>7ad1706a-fb82-41e1-9ba2-e45966aac8e8</errorID>
      <errorWord>大气污染处理</errorWord>
      <group>L1_Knowledge</group>
      <groupName>知识性问题</groupName>
      <ability>L2_Term</ability>
      <abilityName>专业术语</abilityName>
      <candidateList>
        <item>大气污染治理</item>
      </candidateList>
      <explain/>
      <paraID> 2B253D4</paraID>
      <start>228</start>
      <end>234</end>
      <status>unmodified</status>
      <modifiedWord/>
      <trackRevisions>false</trackRevisions>
    </reviewItem>
    <reviewItem>
      <errorID>d7206713-7888-49ad-b17b-204e0588e01f</errorID>
      <errorWord>9、</errorWord>
      <group>L1_Format</group>
      <groupName>格式问题</groupName>
      <ability>L2_Ordinal</ability>
      <abilityName>序号格式</abilityName>
      <candidateList>
        <item>9.</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6C0CC36A</paraID>
      <start>0</start>
      <end>2</end>
      <status>unmodified</status>
      <modifiedWord/>
      <trackRevisions>false</trackRevisions>
    </reviewItem>
    <reviewItem>
      <errorID>97bc0534-2a4e-4aa3-8843-f4cc5205b829</errorID>
      <errorWord>胶粘剂</errorWord>
      <group>L1_Word</group>
      <groupName>字词问题</groupName>
      <ability>L2_Typo</ability>
      <abilityName>字词错误</abilityName>
      <candidateList>
        <item>胶黏剂</item>
      </candidateList>
      <explain/>
      <paraID>70E12A33</paraID>
      <start>74</start>
      <end>77</end>
      <status>unmodified</status>
      <modifiedWord/>
      <trackRevisions>false</trackRevisions>
    </reviewItem>
    <reviewItem>
      <errorID>9fed3c9b-92a1-4f96-b45f-a441da5c0a8e</errorID>
      <errorWord>10、</errorWord>
      <group>L1_Format</group>
      <groupName>格式问题</groupName>
      <ability>L2_Ordinal</ability>
      <abilityName>序号格式</abilityName>
      <candidateList>
        <item>10.</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D4C52AA</paraID>
      <start>0</start>
      <end>3</end>
      <status>unmodified</status>
      <modifiedWord/>
      <trackRevisions>false</trackRevisions>
    </reviewItem>
    <reviewItem>
      <errorID>e998c1cd-5166-4188-99a5-980692f6c064</errorID>
      <errorWord>提高</errorWord>
      <group>L1_Grammar</group>
      <groupName>语法问题</groupName>
      <ability>L2_Grammar</ability>
      <abilityName>语法错误</abilityName>
      <candidateList>
        <item>增强</item>
      </candidateList>
      <explain>“提高～意识”搭配不当，建议修改为“增强～意识”。</explain>
      <paraID>4CA41264</paraID>
      <start>15</start>
      <end>17</end>
      <status>unmodified</status>
      <modifiedWord/>
      <trackRevisions>false</trackRevisions>
    </reviewItem>
    <reviewItem>
      <errorID>9c1c67fd-b64b-43eb-b599-1171b367419f</errorID>
      <errorWord>11、</errorWord>
      <group>L1_Format</group>
      <groupName>格式问题</groupName>
      <ability>L2_Ordinal</ability>
      <abilityName>序号格式</abilityName>
      <candidateList>
        <item>11.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42881EB</paraID>
      <start>0</start>
      <end>3</end>
      <status>unmodified</status>
      <modifiedWord/>
      <trackRevisions>false</trackRevisions>
    </reviewItem>
    <reviewItem>
      <errorID>044d4fe1-c1cc-4b97-aaca-2b3bd4f94069</errorID>
      <errorWord>强</errorWord>
      <group>L1_Word</group>
      <groupName>字词问题</groupName>
      <ability>L2_Typo</ability>
      <abilityName>字词错误</abilityName>
      <candidateList>
        <item>强对</item>
      </candidateList>
      <explain/>
      <paraID>6D5BACA4</paraID>
      <start>123</start>
      <end>124</end>
      <status>unmodified</status>
      <modifiedWord/>
      <trackRevisions>false</trackRevisions>
    </reviewItem>
    <reviewItem>
      <errorID>2dd0ce2b-831e-4e60-b303-0d60ddf88725</errorID>
      <errorWord>12、</errorWord>
      <group>L1_Format</group>
      <groupName>格式问题</groupName>
      <ability>L2_Ordinal</ability>
      <abilityName>序号格式</abilityName>
      <candidateList>
        <item>12.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113FC468</paraID>
      <start>0</start>
      <end>3</end>
      <status>unmodified</status>
      <modifiedWord/>
      <trackRevisions>false</trackRevisions>
    </reviewItem>
    <reviewItem>
      <errorID>6ec6df1a-5f02-45cf-8279-ce851527b9f0</errorID>
      <errorWord>鄱阳湖生态经济区保护条例</errorWord>
      <group>L1_Knowledge</group>
      <groupName>知识性问题</groupName>
      <ability>L2_Knowledge</ability>
      <abilityName>其他知识</abilityName>
      <candidateList>
        <item>鄱阳湖生态经济区环境保护条例</item>
      </candidateList>
      <explain>当前法律法规未收录或尚未生效，注意核查是否正确。</explain>
      <paraID>113FC468</paraID>
      <start>5</start>
      <end>17</end>
      <status>unmodified</status>
      <modifiedWord/>
      <trackRevisions>false</trackRevisions>
    </reviewItem>
    <reviewItem>
      <errorID>f47f86d0-b9cb-45c0-ba2f-89f41ea8ff2c</errorID>
      <errorWord>13、</errorWord>
      <group>L1_Format</group>
      <groupName>格式问题</groupName>
      <ability>L2_Ordinal</ability>
      <abilityName>序号格式</abilityName>
      <candidateList>
        <item>13.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40168942</paraID>
      <start>0</start>
      <end>3</end>
      <status>unmodified</status>
      <modifiedWord/>
      <trackRevisions>false</trackRevisions>
    </reviewItem>
    <reviewItem>
      <errorID>f717e65a-ae13-4c8a-a3dd-350c0c5647ca</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25CFBC7D</paraID>
      <start>0</start>
      <end>2</end>
      <status>unmodified</status>
      <modifiedWord/>
      <trackRevisions>false</trackRevisions>
    </reviewItem>
    <reviewItem>
      <errorID>6e107262-167e-49dd-b259-9c7a21cb92b6</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9411038</paraID>
      <start>0</start>
      <end>2</end>
      <status>unmodified</status>
      <modifiedWord/>
      <trackRevisions>false</trackRevisions>
    </reviewItem>
    <reviewItem>
      <errorID>043f637a-4a8c-485f-9075-8052fcfab464</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2FB39772</paraID>
      <start>0</start>
      <end>2</end>
      <status>unmodified</status>
      <modifiedWord/>
      <trackRevisions>false</trackRevisions>
    </reviewItem>
    <reviewItem>
      <errorID>877bf716-3aa3-4c4b-8539-e7c39d7d40bb</errorID>
      <errorWord>14、</errorWord>
      <group>L1_Format</group>
      <groupName>格式问题</groupName>
      <ability>L2_Ordinal</ability>
      <abilityName>序号格式</abilityName>
      <candidateList>
        <item>14.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40F7C1C9</paraID>
      <start>0</start>
      <end>3</end>
      <status>unmodified</status>
      <modifiedWord/>
      <trackRevisions>false</trackRevisions>
    </reviewItem>
    <reviewItem>
      <errorID>9135fec0-8801-4907-8072-419abe13f91a</errorID>
      <errorWord>程</errorWord>
      <group>L1_Word</group>
      <groupName>字词问题</groupName>
      <ability>L2_Typo</ability>
      <abilityName>字词错误</abilityName>
      <candidateList>
        <item>程中</item>
      </candidateList>
      <explain/>
      <paraID>7C79CBC2</paraID>
      <start>63</start>
      <end>64</end>
      <status>unmodified</status>
      <modifiedWord/>
      <trackRevisions>false</trackRevisions>
    </reviewItem>
    <reviewItem>
      <errorID>b28a3537-f969-453e-b8ed-0d4c7ed6b3cf</errorID>
      <errorWord>15、</errorWord>
      <group>L1_Format</group>
      <groupName>格式问题</groupName>
      <ability>L2_Ordinal</ability>
      <abilityName>序号格式</abilityName>
      <candidateList>
        <item>15.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448479D8</paraID>
      <start>0</start>
      <end>3</end>
      <status>unmodified</status>
      <modifiedWord/>
      <trackRevisions>false</trackRevisions>
    </reviewItem>
    <reviewItem>
      <errorID>ac6c4ff0-7662-4982-8a5a-9b6bf42b6bb5</errorID>
      <errorWord>胶粘剂</errorWord>
      <group>L1_Word</group>
      <groupName>字词问题</groupName>
      <ability>L2_Typo</ability>
      <abilityName>字词错误</abilityName>
      <candidateList>
        <item>胶黏剂</item>
      </candidateList>
      <explain/>
      <paraID>1CB06DB3</paraID>
      <start>6</start>
      <end>9</end>
      <status>unmodified</status>
      <modifiedWord/>
      <trackRevisions>false</trackRevisions>
    </reviewItem>
    <reviewItem>
      <errorID>f350b073-0ea0-4be7-84d2-75b40a375a2f</errorID>
      <errorWord>胶粘剂</errorWord>
      <group>L1_Word</group>
      <groupName>字词问题</groupName>
      <ability>L2_Typo</ability>
      <abilityName>字词错误</abilityName>
      <candidateList>
        <item>胶黏剂</item>
      </candidateList>
      <explain/>
      <paraID>10A15B0F</paraID>
      <start>41</start>
      <end>44</end>
      <status>unmodified</status>
      <modifiedWord/>
      <trackRevisions>false</trackRevisions>
    </reviewItem>
    <reviewItem>
      <errorID>6f5658c3-bf5c-47f2-8910-6c379dc393df</errorID>
      <errorWord>胶粘剂</errorWord>
      <group>L1_Word</group>
      <groupName>字词问题</groupName>
      <ability>L2_Typo</ability>
      <abilityName>字词错误</abilityName>
      <candidateList>
        <item>胶黏剂</item>
      </candidateList>
      <explain/>
      <paraID>6A59CDF0</paraID>
      <start>26</start>
      <end>29</end>
      <status>unmodified</status>
      <modifiedWord/>
      <trackRevisions>false</trackRevisions>
    </reviewItem>
    <reviewItem>
      <errorID>85c4d5be-9af7-4951-976f-71c40696e003</errorID>
      <errorWord>胶粘剂</errorWord>
      <group>L1_Word</group>
      <groupName>字词问题</groupName>
      <ability>L2_Typo</ability>
      <abilityName>字词错误</abilityName>
      <candidateList>
        <item>胶黏剂</item>
      </candidateList>
      <explain/>
      <paraID> ABA8C83</paraID>
      <start>40</start>
      <end>43</end>
      <status>unmodified</status>
      <modifiedWord/>
      <trackRevisions>false</trackRevisions>
    </reviewItem>
    <reviewItem>
      <errorID>a08d0aaa-3697-4acb-b6d0-451564d4730c</errorID>
      <errorWord>16、</errorWord>
      <group>L1_Format</group>
      <groupName>格式问题</groupName>
      <ability>L2_Ordinal</ability>
      <abilityName>序号格式</abilityName>
      <candidateList>
        <item>16.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43AFBE69</paraID>
      <start>0</start>
      <end>3</end>
      <status>unmodified</status>
      <modifiedWord/>
      <trackRevisions>false</trackRevisions>
    </reviewItem>
    <reviewItem>
      <errorID>f1f53368-0b35-4be5-9216-0bd4cbe5d3f6</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6039EF89</paraID>
      <start>0</start>
      <end>2</end>
      <status>unmodified</status>
      <modifiedWord/>
      <trackRevisions>false</trackRevisions>
    </reviewItem>
    <reviewItem>
      <errorID>c680ca36-16ed-4702-a1f1-f668a9384df9</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2E55CA7B</paraID>
      <start>0</start>
      <end>2</end>
      <status>unmodified</status>
      <modifiedWord/>
      <trackRevisions>false</trackRevisions>
    </reviewItem>
    <reviewItem>
      <errorID>22e31d3f-f52e-4e34-a01d-3c979ee69076</errorID>
      <errorWord>、或</errorWord>
      <group>L1_Word</group>
      <groupName>字词问题</groupName>
      <ability>L2_Typo</ability>
      <abilityName>字词错误</abilityName>
      <candidateList>
        <item>或</item>
      </candidateList>
      <explain>❶〈副〉或许；也许：慰问团已经起程，明日上午～可到达。❷〈连〉或者v▲：～多～少｜不解决桥～船的问题，过河就是一句空话｜他生怕我没听清～不注意，所以又嘱咐了一遍。❸〈书〉〈代〉指示代词。某人；有的人：～告之曰。❹〈书〉副稍微：不可～缺｜不可～忽。</explain>
      <paraID>2E55CA7B</paraID>
      <start>23</start>
      <end>25</end>
      <status>unmodified</status>
      <modifiedWord/>
      <trackRevisions>false</trackRevisions>
    </reviewItem>
    <reviewItem>
      <errorID>02b0a1d0-8b27-4424-bba6-a230d65aa4ae</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2400B825</paraID>
      <start>0</start>
      <end>2</end>
      <status>unmodified</status>
      <modifiedWord/>
      <trackRevisions>false</trackRevisions>
    </reviewItem>
    <reviewItem>
      <errorID>41127bde-d603-46f6-9cb1-8dce78598f05</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7A039317</paraID>
      <start>0</start>
      <end>2</end>
      <status>unmodified</status>
      <modifiedWord/>
      <trackRevisions>false</trackRevisions>
    </reviewItem>
    <reviewItem>
      <errorID>e8587bf3-e4fd-4ac8-8782-a477e602fe4a</errorID>
      <errorWord>胶粘剂</errorWord>
      <group>L1_Word</group>
      <groupName>字词问题</groupName>
      <ability>L2_Typo</ability>
      <abilityName>字词错误</abilityName>
      <candidateList>
        <item>胶黏剂</item>
      </candidateList>
      <explain/>
      <paraID>496A2B8D</paraID>
      <start>9</start>
      <end>12</end>
      <status>unmodified</status>
      <modifiedWord/>
      <trackRevisions>false</trackRevisions>
    </reviewItem>
    <reviewItem>
      <errorID>fdb9c1e9-8ee8-418e-8e88-4c038c627a84</errorID>
      <errorWord>胶粘剂</errorWord>
      <group>L1_Word</group>
      <groupName>字词问题</groupName>
      <ability>L2_Typo</ability>
      <abilityName>字词错误</abilityName>
      <candidateList>
        <item>胶黏剂</item>
      </candidateList>
      <explain/>
      <paraID>7A4B9D5C</paraID>
      <start>13</start>
      <end>16</end>
      <status>unmodified</status>
      <modifiedWord/>
      <trackRevisions>false</trackRevisions>
    </reviewItem>
    <reviewItem>
      <errorID>e82445f1-7363-4c7b-9add-8125def8290b</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3274FB97</paraID>
      <start>0</start>
      <end>2</end>
      <status>unmodified</status>
      <modifiedWord/>
      <trackRevisions>false</trackRevisions>
    </reviewItem>
    <reviewItem>
      <errorID>e1699aa8-5095-4cad-878e-49a0e693969c</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5FC53257</paraID>
      <start>0</start>
      <end>2</end>
      <status>unmodified</status>
      <modifiedWord/>
      <trackRevisions>false</trackRevisions>
    </reviewItem>
    <reviewItem>
      <errorID>5fc18205-d15f-4387-adef-f7c523ad5507</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EC98084</paraID>
      <start>0</start>
      <end>2</end>
      <status>unmodified</status>
      <modifiedWord/>
      <trackRevisions>false</trackRevisions>
    </reviewItem>
    <reviewItem>
      <errorID>6236b112-4cc3-4a98-a001-3ccab1c98feb</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10960F06</paraID>
      <start>0</start>
      <end>2</end>
      <status>unmodified</status>
      <modifiedWord/>
      <trackRevisions>false</trackRevisions>
    </reviewItem>
    <reviewItem>
      <errorID>39af9b5f-2a6c-47cc-816e-c1134577cea0</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168EE049</paraID>
      <start>0</start>
      <end>2</end>
      <status>unmodified</status>
      <modifiedWord/>
      <trackRevisions>false</trackRevisions>
    </reviewItem>
    <reviewItem>
      <errorID>d94c4405-e2b4-4c7e-9f4e-540a046e6bf0</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4A33726D</paraID>
      <start>0</start>
      <end>2</end>
      <status>unmodified</status>
      <modifiedWord/>
      <trackRevisions>false</trackRevisions>
    </reviewItem>
    <reviewItem>
      <errorID>7100c32b-cb82-4a15-8932-d655c70f9bbc</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809409C</paraID>
      <start>0</start>
      <end>2</end>
      <status>unmodified</status>
      <modifiedWord/>
      <trackRevisions>false</trackRevisions>
    </reviewItem>
    <reviewItem>
      <errorID>6909f20b-566c-4dfa-b908-48686691ab55</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202154B4</paraID>
      <start>0</start>
      <end>2</end>
      <status>unmodified</status>
      <modifiedWord/>
      <trackRevisions>false</trackRevisions>
    </reviewItem>
    <reviewItem>
      <errorID>bcc1879a-3864-49aa-8f6a-1b135f68052a</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696AFAD7</paraID>
      <start>0</start>
      <end>2</end>
      <status>unmodified</status>
      <modifiedWord/>
      <trackRevisions>false</trackRevisions>
    </reviewItem>
    <reviewItem>
      <errorID>8bb21a7c-a93c-4f1a-a3ce-f8ea65dff6de</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36E26F89</paraID>
      <start>0</start>
      <end>2</end>
      <status>unmodified</status>
      <modifiedWord/>
      <trackRevisions>false</trackRevisions>
    </reviewItem>
    <reviewItem>
      <errorID>2abe08c4-a3d9-4169-8255-44914ec747db</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49D5326C</paraID>
      <start>0</start>
      <end>2</end>
      <status>unmodified</status>
      <modifiedWord/>
      <trackRevisions>false</trackRevisions>
    </reviewItem>
    <reviewItem>
      <errorID>4155ae3a-5372-4566-a4e2-542db7b40dcf</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2B07B4C4</paraID>
      <start>0</start>
      <end>2</end>
      <status>unmodified</status>
      <modifiedWord/>
      <trackRevisions>false</trackRevisions>
    </reviewItem>
    <reviewItem>
      <errorID>a65dcd66-38ae-4392-b311-efbfcfb1d83d</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74C9F010</paraID>
      <start>0</start>
      <end>2</end>
      <status>unmodified</status>
      <modifiedWord/>
      <trackRevisions>false</trackRevisions>
    </reviewItem>
    <reviewItem>
      <errorID>7419b598-e735-44f6-98f5-f7597c5e3c8f</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552A833A</paraID>
      <start>0</start>
      <end>2</end>
      <status>unmodified</status>
      <modifiedWord/>
      <trackRevisions>false</trackRevisions>
    </reviewItem>
    <reviewItem>
      <errorID>ea6b4ec9-f809-4862-9db5-41d32b487a2a</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34B1AD92</paraID>
      <start>0</start>
      <end>2</end>
      <status>unmodified</status>
      <modifiedWord/>
      <trackRevisions>false</trackRevisions>
    </reviewItem>
    <reviewItem>
      <errorID>19c897f4-fca0-4857-9ce9-2a5341414a2d</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444CFA4C</paraID>
      <start>0</start>
      <end>2</end>
      <status>unmodified</status>
      <modifiedWord/>
      <trackRevisions>false</trackRevisions>
    </reviewItem>
    <reviewItem>
      <errorID>b70170ca-b527-4eb2-9a7c-acce0ed76948</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6B1E5C82</paraID>
      <start>0</start>
      <end>2</end>
      <status>unmodified</status>
      <modifiedWord/>
      <trackRevisions>false</trackRevisions>
    </reviewItem>
    <reviewItem>
      <errorID>cf04ee1a-d60c-4590-b3c7-c58beb939ccb</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259854A8</paraID>
      <start>0</start>
      <end>2</end>
      <status>unmodified</status>
      <modifiedWord/>
      <trackRevisions>false</trackRevisions>
    </reviewItem>
    <reviewItem>
      <errorID>571b6c60-e5e7-4aac-ae0f-fd4eb81c31b4</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4F95F37C</paraID>
      <start>0</start>
      <end>2</end>
      <status>unmodified</status>
      <modifiedWord/>
      <trackRevisions>false</trackRevisions>
    </reviewItem>
    <reviewItem>
      <errorID>fea01b1f-4f91-4a24-ac19-1e2a14a4f8a1</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36324E53</paraID>
      <start>0</start>
      <end>2</end>
      <status>unmodified</status>
      <modifiedWord/>
      <trackRevisions>false</trackRevisions>
    </reviewItem>
    <reviewItem>
      <errorID>dc1c35c5-163c-400e-a03c-d86ebfe568ff</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26390753</paraID>
      <start>0</start>
      <end>2</end>
      <status>unmodified</status>
      <modifiedWord/>
      <trackRevisions>false</trackRevisions>
    </reviewItem>
    <reviewItem>
      <errorID>e52805be-8faa-449c-96d8-3ed393db007b</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402D081</paraID>
      <start>0</start>
      <end>2</end>
      <status>unmodified</status>
      <modifiedWord/>
      <trackRevisions>false</trackRevisions>
    </reviewItem>
    <reviewItem>
      <errorID>c743f94c-d0d9-47a3-8074-db91e24d61f5</errorID>
      <errorWord>中华人民共和国环境环境影响评价法</errorWord>
      <group>L1_Knowledge</group>
      <groupName>知识性问题</groupName>
      <ability>L2_Knowledge</ability>
      <abilityName>其他知识</abilityName>
      <candidateList>
        <item>中华人民共和国环境影响评价法</item>
      </candidateList>
      <explain>当前法律法规未收录或尚未生效，注意核查是否正确。</explain>
      <paraID>70D87CD6</paraID>
      <start>17</start>
      <end>33</end>
      <status>unmodified</status>
      <modifiedWord/>
      <trackRevisions>false</trackRevisions>
    </reviewItem>
    <reviewItem>
      <errorID>ba4576ea-17d5-4887-a1e6-83bd116feae8</errorID>
      <errorWord>胶粘剂</errorWord>
      <group>L1_Word</group>
      <groupName>字词问题</groupName>
      <ability>L2_Typo</ability>
      <abilityName>字词错误</abilityName>
      <candidateList>
        <item>胶黏剂</item>
      </candidateList>
      <explain/>
      <paraID>70D87CD6</paraID>
      <start>145</start>
      <end>148</end>
      <status>unmodified</status>
      <modifiedWord/>
      <trackRevisions>false</trackRevisions>
    </reviewItem>
    <reviewItem>
      <errorID>7db68411-9594-441c-84db-76c0d7af3737</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2240FA24</paraID>
      <start>0</start>
      <end>2</end>
      <status>unmodified</status>
      <modifiedWord/>
      <trackRevisions>false</trackRevisions>
    </reviewItem>
    <reviewItem>
      <errorID>a1614fab-2621-4afb-880a-08de940f8e44</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15624A93</paraID>
      <start>0</start>
      <end>2</end>
      <status>unmodified</status>
      <modifiedWord/>
      <trackRevisions>false</trackRevisions>
    </reviewItem>
    <reviewItem>
      <errorID>9f4d02fe-e7e7-4b15-8582-229043344848</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4D1621A5</paraID>
      <start>0</start>
      <end>2</end>
      <status>unmodified</status>
      <modifiedWord/>
      <trackRevisions>false</trackRevisions>
    </reviewItem>
    <reviewItem>
      <errorID>08e9de7a-a754-40ea-97fb-9cba0836256a</errorID>
      <errorWord>胶粘剂</errorWord>
      <group>L1_Word</group>
      <groupName>字词问题</groupName>
      <ability>L2_Typo</ability>
      <abilityName>字词错误</abilityName>
      <candidateList>
        <item>胶黏剂</item>
      </candidateList>
      <explain/>
      <paraID>4603F415</paraID>
      <start>6</start>
      <end>9</end>
      <status>unmodified</status>
      <modifiedWord/>
      <trackRevisions>false</trackRevisions>
    </reviewItem>
    <reviewItem>
      <errorID>45984aea-932c-400b-8913-f9f00fb9976a</errorID>
      <errorWord>胶粘剂</errorWord>
      <group>L1_Word</group>
      <groupName>字词问题</groupName>
      <ability>L2_Typo</ability>
      <abilityName>字词错误</abilityName>
      <candidateList>
        <item>胶黏剂</item>
      </candidateList>
      <explain/>
      <paraID>14F57505</paraID>
      <start>6</start>
      <end>9</end>
      <status>unmodified</status>
      <modifiedWord/>
      <trackRevisions>false</trackRevisions>
    </reviewItem>
    <reviewItem>
      <errorID>c426503a-aa89-4cf0-be80-2e6b05aacf0c</errorID>
      <errorWord>黏接</errorWord>
      <group>L1_Word</group>
      <groupName>字词问题</groupName>
      <ability>L2_Typo</ability>
      <abilityName>字词错误</abilityName>
      <candidateList>
        <item>粘接</item>
      </candidateList>
      <explain/>
      <paraID>14F57505</paraID>
      <start>57</start>
      <end>59</end>
      <status>unmodified</status>
      <modifiedWord/>
      <trackRevisions>false</trackRevisions>
    </reviewItem>
    <reviewItem>
      <errorID>5d345f73-0387-42a6-b2e9-a9d4e3f40dec</errorID>
      <errorWord>粘接</errorWord>
      <group>L1_Word</group>
      <groupName>字词问题</groupName>
      <ability>L2_Typo</ability>
      <abilityName>字词错误</abilityName>
      <candidateList>
        <item>黏接</item>
      </candidateList>
      <explain/>
      <paraID>14F57505</paraID>
      <start>65</start>
      <end>67</end>
      <status>unmodified</status>
      <modifiedWord/>
      <trackRevisions>false</trackRevisions>
    </reviewItem>
    <reviewItem>
      <errorID>1cb91d43-76ae-43f6-aaba-25c59c2cc641</errorID>
      <errorWord>粘性物质</errorWord>
      <group>L1_Word</group>
      <groupName>字词问题</groupName>
      <ability>L2_Alias</ability>
      <abilityName>也作/曾用词</abilityName>
      <candidateList>
        <item>黏性物质</item>
      </candidateList>
      <explain>词汇[粘性物质]为不规范表述或旧称，其规范书面表述为[黏性物质]。</explain>
      <paraID> C4C4653</paraID>
      <start>141</start>
      <end>145</end>
      <status>unmodified</status>
      <modifiedWord/>
      <trackRevisions>false</trackRevisions>
    </reviewItem>
    <reviewItem>
      <errorID>0b0ef126-b7a0-416a-aba8-9d5f677d74c2</errorID>
      <errorWord>粘附</errorWord>
      <group>L1_Word</group>
      <groupName>字词问题</groupName>
      <ability>L2_Alias</ability>
      <abilityName>也作/曾用词</abilityName>
      <candidateList>
        <item>黏附</item>
      </candidateList>
      <explain>词汇[粘附]为不规范表述或旧称，其规范书面表述为[黏附]。</explain>
      <paraID> C4C4653</paraID>
      <start>146</start>
      <end>148</end>
      <status>unmodified</status>
      <modifiedWord/>
      <trackRevisions>false</trackRevisions>
    </reviewItem>
    <reviewItem>
      <errorID>2514cd98-900a-4a95-8e94-fff78328669d</errorID>
      <errorWord>二甲基硅油</errorWord>
      <group>L1_Knowledge</group>
      <groupName>知识性问题</groupName>
      <ability>L2_Term</ability>
      <abilityName>专业术语</abilityName>
      <candidateList>
        <item>二甲硅油</item>
      </candidateList>
      <explain>医学名词[二甲基硅油]为不规范表述或旧称，其规范书面表述为[二甲硅油]。</explain>
      <paraID> 7328684</paraID>
      <start>125</start>
      <end>130</end>
      <status>unmodified</status>
      <modifiedWord/>
      <trackRevisions>false</trackRevisions>
    </reviewItem>
    <reviewItem>
      <errorID>4bb24042-e723-4399-9b56-d80e45602db7</errorID>
      <errorWord>二甲基硅油</errorWord>
      <group>L1_Knowledge</group>
      <groupName>知识性问题</groupName>
      <ability>L2_Term</ability>
      <abilityName>专业术语</abilityName>
      <candidateList>
        <item>二甲硅油</item>
      </candidateList>
      <explain>医学名词[二甲基硅油]为不规范表述或旧称，其规范书面表述为[二甲硅油]。</explain>
      <paraID> 7328684</paraID>
      <start>133</start>
      <end>138</end>
      <status>unmodified</status>
      <modifiedWord/>
      <trackRevisions>false</trackRevisions>
    </reviewItem>
    <reviewItem>
      <errorID>b1285146-d140-4e98-ae9e-6dc808d03ad5</errorID>
      <errorWord>胶粘剂</errorWord>
      <group>L1_Word</group>
      <groupName>字词问题</groupName>
      <ability>L2_Typo</ability>
      <abilityName>字词错误</abilityName>
      <candidateList>
        <item>胶黏剂</item>
      </candidateList>
      <explain/>
      <paraID>458D2F94</paraID>
      <start>11</start>
      <end>14</end>
      <status>unmodified</status>
      <modifiedWord/>
      <trackRevisions>false</trackRevisions>
    </reviewItem>
    <reviewItem>
      <errorID>7438f4be-1f98-47d6-a802-bb3473319d7a</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6BE4FA2C</paraID>
      <start>0</start>
      <end>2</end>
      <status>unmodified</status>
      <modifiedWord/>
      <trackRevisions>false</trackRevisions>
    </reviewItem>
    <reviewItem>
      <errorID>4a890707-1dee-4f4f-824c-0e80ddd1a020</errorID>
      <errorWord>胶粘剂</errorWord>
      <group>L1_Word</group>
      <groupName>字词问题</groupName>
      <ability>L2_Typo</ability>
      <abilityName>字词错误</abilityName>
      <candidateList>
        <item>胶黏剂</item>
      </candidateList>
      <explain/>
      <paraID>40B3900A</paraID>
      <start>6</start>
      <end>9</end>
      <status>unmodified</status>
      <modifiedWord/>
      <trackRevisions>false</trackRevisions>
    </reviewItem>
    <reviewItem>
      <errorID>ff60191b-ee7c-4576-a621-6cf629900d34</errorID>
      <errorWord>7、</errorWord>
      <group>L1_Format</group>
      <groupName>格式问题</groupName>
      <ability>L2_Ordinal</ability>
      <abilityName>序号格式</abilityName>
      <candidateList>
        <item>7.</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21BF59C7</paraID>
      <start>0</start>
      <end>2</end>
      <status>unmodified</status>
      <modifiedWord/>
      <trackRevisions>false</trackRevisions>
    </reviewItem>
    <reviewItem>
      <errorID>b4567591-09f9-4a48-9d2b-117bd789aeab</errorID>
      <errorWord>胶粘剂</errorWord>
      <group>L1_Word</group>
      <groupName>字词问题</groupName>
      <ability>L2_Typo</ability>
      <abilityName>字词错误</abilityName>
      <candidateList>
        <item>胶黏剂</item>
      </candidateList>
      <explain/>
      <paraID>6DEAEDED</paraID>
      <start>6</start>
      <end>9</end>
      <status>unmodified</status>
      <modifiedWord/>
      <trackRevisions>false</trackRevisions>
    </reviewItem>
    <reviewItem>
      <errorID>3adff76a-e59b-4082-80eb-8567ecb350e1</errorID>
      <errorWord>8、</errorWord>
      <group>L1_Format</group>
      <groupName>格式问题</groupName>
      <ability>L2_Ordinal</ability>
      <abilityName>序号格式</abilityName>
      <candidateList>
        <item>8.</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7780572A</paraID>
      <start>0</start>
      <end>2</end>
      <status>unmodified</status>
      <modifiedWord/>
      <trackRevisions>false</trackRevisions>
    </reviewItem>
    <reviewItem>
      <errorID>a8d2ed53-f908-473d-9bd2-e554febba9c9</errorID>
      <errorWord>9、</errorWord>
      <group>L1_Format</group>
      <groupName>格式问题</groupName>
      <ability>L2_Ordinal</ability>
      <abilityName>序号格式</abilityName>
      <candidateList>
        <item>9.</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4BD0F611</paraID>
      <start>0</start>
      <end>2</end>
      <status>unmodified</status>
      <modifiedWord/>
      <trackRevisions>false</trackRevisions>
    </reviewItem>
    <reviewItem>
      <errorID>616fc529-eb5c-49ac-9cf9-77bc81665f39</errorID>
      <errorWord>10、</errorWord>
      <group>L1_Format</group>
      <groupName>格式问题</groupName>
      <ability>L2_Ordinal</ability>
      <abilityName>序号格式</abilityName>
      <candidateList>
        <item>10.</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48D889D5</paraID>
      <start>0</start>
      <end>3</end>
      <status>unmodified</status>
      <modifiedWord/>
      <trackRevisions>false</trackRevisions>
    </reviewItem>
    <reviewItem>
      <errorID>b8f2e20b-0ba8-45c9-a83c-a79eb36117d7</errorID>
      <errorWord>：</errorWord>
      <group>L1_Format</group>
      <groupName>格式问题</groupName>
      <ability>L2_HalfPunc</ability>
      <abilityName>全半角检查</abilityName>
      <candidateList>
        <item>:</item>
      </candidateList>
      <explain>文本全半角错误。</explain>
      <paraID>192FBFDC</paraID>
      <start>89</start>
      <end>90</end>
      <status>unmodified</status>
      <modifiedWord/>
      <trackRevisions>false</trackRevisions>
    </reviewItem>
    <reviewItem>
      <errorID>fc1e9e6f-fe74-447c-af4d-a39450a2a644</errorID>
      <errorWord>11、</errorWord>
      <group>L1_Format</group>
      <groupName>格式问题</groupName>
      <ability>L2_Ordinal</ability>
      <abilityName>序号格式</abilityName>
      <candidateList>
        <item>11.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5EDEC302</paraID>
      <start>0</start>
      <end>3</end>
      <status>unmodified</status>
      <modifiedWord/>
      <trackRevisions>false</trackRevisions>
    </reviewItem>
    <reviewItem>
      <errorID>e5c57040-447b-4e95-929a-2faddc22cb53</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655F7633</paraID>
      <start>0</start>
      <end>2</end>
      <status>unmodified</status>
      <modifiedWord/>
      <trackRevisions>false</trackRevisions>
    </reviewItem>
    <reviewItem>
      <errorID>602321d0-f70a-4d5f-b22a-2929de4355d1</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557BDDB1</paraID>
      <start>0</start>
      <end>2</end>
      <status>unmodified</status>
      <modifiedWord/>
      <trackRevisions>false</trackRevisions>
    </reviewItem>
    <reviewItem>
      <errorID>9199f54e-9d86-418e-b727-1502e9ed64d3</errorID>
      <errorWord>：</errorWord>
      <group>L1_Format</group>
      <groupName>格式问题</groupName>
      <ability>L2_HalfPunc</ability>
      <abilityName>全半角检查</abilityName>
      <candidateList>
        <item>:</item>
      </candidateList>
      <explain>文本全半角错误。</explain>
      <paraID>6D37614D</paraID>
      <start>62</start>
      <end>63</end>
      <status>unmodified</status>
      <modifiedWord/>
      <trackRevisions>false</trackRevisions>
    </reviewItem>
    <reviewItem>
      <errorID>6343c4c6-a345-43c7-8767-53dad7db6e9c</errorID>
      <errorWord>：</errorWord>
      <group>L1_Format</group>
      <groupName>格式问题</groupName>
      <ability>L2_HalfPunc</ability>
      <abilityName>全半角检查</abilityName>
      <candidateList>
        <item>:</item>
      </candidateList>
      <explain>文本全半角错误。</explain>
      <paraID>6D37614D</paraID>
      <start>67</start>
      <end>68</end>
      <status>unmodified</status>
      <modifiedWord/>
      <trackRevisions>false</trackRevisions>
    </reviewItem>
    <reviewItem>
      <errorID>87d6b4b6-f5b1-4353-9051-59c1ea37e7fb</errorID>
      <errorWord>：</errorWord>
      <group>L1_Format</group>
      <groupName>格式问题</groupName>
      <ability>L2_HalfPunc</ability>
      <abilityName>全半角检查</abilityName>
      <candidateList>
        <item>:</item>
      </candidateList>
      <explain>文本全半角错误。</explain>
      <paraID>6D37614D</paraID>
      <start>70</start>
      <end>71</end>
      <status>unmodified</status>
      <modifiedWord/>
      <trackRevisions>false</trackRevisions>
    </reviewItem>
    <reviewItem>
      <errorID>49bd92b1-f47d-4853-b0fb-f54d97376899</errorID>
      <errorWord>：</errorWord>
      <group>L1_Format</group>
      <groupName>格式问题</groupName>
      <ability>L2_HalfPunc</ability>
      <abilityName>全半角检查</abilityName>
      <candidateList>
        <item>:</item>
      </candidateList>
      <explain>文本全半角错误。</explain>
      <paraID>6D37614D</paraID>
      <start>72</start>
      <end>73</end>
      <status>unmodified</status>
      <modifiedWord/>
      <trackRevisions>false</trackRevisions>
    </reviewItem>
    <reviewItem>
      <errorID>e3dc1e6b-b73e-47a8-afa5-362b836307c8</errorID>
      <errorWord>：</errorWord>
      <group>L1_Format</group>
      <groupName>格式问题</groupName>
      <ability>L2_HalfPunc</ability>
      <abilityName>全半角检查</abilityName>
      <candidateList>
        <item>:</item>
      </candidateList>
      <explain>文本全半角错误。</explain>
      <paraID>6D37614D</paraID>
      <start>76</start>
      <end>77</end>
      <status>unmodified</status>
      <modifiedWord/>
      <trackRevisions>false</trackRevisions>
    </reviewItem>
    <reviewItem>
      <errorID>d484f527-af3c-40e2-8b50-6ee6f12f4dcb</errorID>
      <errorWord>：</errorWord>
      <group>L1_Format</group>
      <groupName>格式问题</groupName>
      <ability>L2_HalfPunc</ability>
      <abilityName>全半角检查</abilityName>
      <candidateList>
        <item>:</item>
      </candidateList>
      <explain>文本全半角错误。</explain>
      <paraID>6D37614D</paraID>
      <start>78</start>
      <end>79</end>
      <status>unmodified</status>
      <modifiedWord/>
      <trackRevisions>false</trackRevisions>
    </reviewItem>
    <reviewItem>
      <errorID>82c634d6-da6c-46aa-80de-624ac6b80fa9</errorID>
      <errorWord>：</errorWord>
      <group>L1_Format</group>
      <groupName>格式问题</groupName>
      <ability>L2_HalfPunc</ability>
      <abilityName>全半角检查</abilityName>
      <candidateList>
        <item>:</item>
      </candidateList>
      <explain>文本全半角错误。</explain>
      <paraID>52781061</paraID>
      <start>34</start>
      <end>35</end>
      <status>unmodified</status>
      <modifiedWord/>
      <trackRevisions>false</trackRevisions>
    </reviewItem>
    <reviewItem>
      <errorID>6345bb27-f125-4b22-a077-a987db7caca3</errorID>
      <errorWord>~</errorWord>
      <group>L1_Format</group>
      <groupName>格式问题</groupName>
      <ability>L2_HalfPunc</ability>
      <abilityName>全半角检查</abilityName>
      <candidateList>
        <item>～</item>
      </candidateList>
      <explain>文本全半角错误。</explain>
      <paraID>52781061</paraID>
      <start>89</start>
      <end>90</end>
      <status>unmodified</status>
      <modifiedWord/>
      <trackRevisions>false</trackRevisions>
    </reviewItem>
    <reviewItem>
      <errorID>c90151b7-20db-4ae9-b924-a9bcc7321e33</errorID>
      <errorWord>、</errorWord>
      <group>L1_Punc</group>
      <groupName>标点问题</groupName>
      <ability>L2_Punc</ability>
      <abilityName>标点符号检查</abilityName>
      <candidateList>
        <item>.</item>
      </candidateList>
      <explain/>
      <paraID>3EC2931A</paraID>
      <start>1</start>
      <end>2</end>
      <status>unmodified</status>
      <modifiedWord/>
      <trackRevisions>false</trackRevisions>
    </reviewItem>
    <reviewItem>
      <errorID>6f992c4c-92d8-48ad-a370-29a41abfb4cf</errorID>
      <errorWord>、</errorWord>
      <group>L1_Punc</group>
      <groupName>标点问题</groupName>
      <ability>L2_Punc</ability>
      <abilityName>标点符号检查</abilityName>
      <candidateList>
        <item>.</item>
      </candidateList>
      <explain/>
      <paraID>7A1E592E</paraID>
      <start>1</start>
      <end>2</end>
      <status>unmodified</status>
      <modifiedWord/>
      <trackRevisions>false</trackRevisions>
    </reviewItem>
    <reviewItem>
      <errorID>c6eb1f85-3dda-445e-bf90-d830c834c5c8</errorID>
      <errorWord>II</errorWord>
      <group>L1_Knowledge</group>
      <groupName>知识性问题</groupName>
      <ability>L2_Knowledge</ability>
      <abilityName>其他知识</abilityName>
      <candidateList>
        <item>Ⅱ</item>
      </candidateList>
      <explain/>
      <paraID>6F65F443</paraID>
      <start>7</start>
      <end>9</end>
      <status>unmodified</status>
      <modifiedWord/>
      <trackRevisions>false</trackRevisions>
    </reviewItem>
    <reviewItem>
      <errorID>42c47569-1cc3-450a-ab01-3d9b0de51d38</errorID>
      <errorWord>III</errorWord>
      <group>L1_Knowledge</group>
      <groupName>知识性问题</groupName>
      <ability>L2_Knowledge</ability>
      <abilityName>其他知识</abilityName>
      <candidateList>
        <item>Ⅲ</item>
      </candidateList>
      <explain/>
      <paraID>6F65F443</paraID>
      <start>12</start>
      <end>15</end>
      <status>unmodified</status>
      <modifiedWord/>
      <trackRevisions>false</trackRevisions>
    </reviewItem>
    <reviewItem>
      <errorID>d9733ff2-519d-4dc3-b544-7b560c73419e</errorID>
      <errorWord>II</errorWord>
      <group>L1_Knowledge</group>
      <groupName>知识性问题</groupName>
      <ability>L2_Knowledge</ability>
      <abilityName>其他知识</abilityName>
      <candidateList>
        <item>Ⅱ</item>
      </candidateList>
      <explain/>
      <paraID>6F65F443</paraID>
      <start>30</start>
      <end>32</end>
      <status>unmodified</status>
      <modifiedWord/>
      <trackRevisions>false</trackRevisions>
    </reviewItem>
    <reviewItem>
      <errorID>0a2953d5-dcac-455b-ba95-d3cb6d9adc32</errorID>
      <errorWord>II</errorWord>
      <group>L1_Knowledge</group>
      <groupName>知识性问题</groupName>
      <ability>L2_Knowledge</ability>
      <abilityName>其他知识</abilityName>
      <candidateList>
        <item>Ⅱ</item>
      </candidateList>
      <explain/>
      <paraID>2663DDEC</paraID>
      <start>48</start>
      <end>50</end>
      <status>unmodified</status>
      <modifiedWord/>
      <trackRevisions>false</trackRevisions>
    </reviewItem>
    <reviewItem>
      <errorID>f7472fd7-f871-4986-9a93-498952b5f1e6</errorID>
      <errorWord>III</errorWord>
      <group>L1_Knowledge</group>
      <groupName>知识性问题</groupName>
      <ability>L2_Knowledge</ability>
      <abilityName>其他知识</abilityName>
      <candidateList>
        <item>Ⅲ</item>
      </candidateList>
      <explain/>
      <paraID>2663DDEC</paraID>
      <start>53</start>
      <end>56</end>
      <status>unmodified</status>
      <modifiedWord/>
      <trackRevisions>false</trackRevisions>
    </reviewItem>
    <reviewItem>
      <errorID>6166ce4d-3597-4f27-9587-32f30c65b6d4</errorID>
      <errorWord>III</errorWord>
      <group>L1_Knowledge</group>
      <groupName>知识性问题</groupName>
      <ability>L2_Knowledge</ability>
      <abilityName>其他知识</abilityName>
      <candidateList>
        <item>Ⅲ</item>
      </candidateList>
      <explain/>
      <paraID>542D3581</paraID>
      <start>6</start>
      <end>9</end>
      <status>unmodified</status>
      <modifiedWord/>
      <trackRevisions>false</trackRevisions>
    </reviewItem>
    <reviewItem>
      <errorID>c2ef1338-0f71-4b58-b5d6-ebff14b17c30</errorID>
      <errorWord>~</errorWord>
      <group>L1_Format</group>
      <groupName>格式问题</groupName>
      <ability>L2_HalfPunc</ability>
      <abilityName>全半角检查</abilityName>
      <candidateList>
        <item>～</item>
      </candidateList>
      <explain>文本全半角错误。</explain>
      <paraID>76895618</paraID>
      <start>76</start>
      <end>77</end>
      <status>unmodified</status>
      <modifiedWord/>
      <trackRevisions>false</trackRevisions>
    </reviewItem>
    <reviewItem>
      <errorID>8b7fab6a-1291-4740-85f2-3cae14923f36</errorID>
      <errorWord>~</errorWord>
      <group>L1_Format</group>
      <groupName>格式问题</groupName>
      <ability>L2_HalfPunc</ability>
      <abilityName>全半角检查</abilityName>
      <candidateList>
        <item>～</item>
      </candidateList>
      <explain>文本全半角错误。</explain>
      <paraID>5330A8D1</paraID>
      <start>77</start>
      <end>78</end>
      <status>unmodified</status>
      <modifiedWord/>
      <trackRevisions>false</trackRevisions>
    </reviewItem>
    <reviewItem>
      <errorID>e7d0bed4-428a-4c14-ac48-2f8c81a9004e</errorID>
      <errorWord>（</errorWord>
      <group>L1_Format</group>
      <groupName>格式问题</groupName>
      <ability>L2_HalfPunc</ability>
      <abilityName>全半角检查</abilityName>
      <candidateList>
        <item>(</item>
      </candidateList>
      <explain>文本全半角错误。</explain>
      <paraID>42F1D2A1</paraID>
      <start>0</start>
      <end>1</end>
      <status>unmodified</status>
      <modifiedWord/>
      <trackRevisions>false</trackRevisions>
    </reviewItem>
    <reviewItem>
      <errorID>f0e15b3a-48a4-4205-9b94-ec5b322bcd2c</errorID>
      <errorWord>）</errorWord>
      <group>L1_Format</group>
      <groupName>格式问题</groupName>
      <ability>L2_HalfPunc</ability>
      <abilityName>全半角检查</abilityName>
      <candidateList>
        <item>)</item>
      </candidateList>
      <explain>文本全半角错误。</explain>
      <paraID>42F1D2A1</paraID>
      <start>6</start>
      <end>7</end>
      <status>unmodified</status>
      <modifiedWord/>
      <trackRevisions>false</trackRevisions>
    </reviewItem>
    <reviewItem>
      <errorID>51642d8c-2dc2-48dd-ad08-b4d6ce56bec4</errorID>
      <errorWord>（</errorWord>
      <group>L1_Format</group>
      <groupName>格式问题</groupName>
      <ability>L2_HalfPunc</ability>
      <abilityName>全半角检查</abilityName>
      <candidateList>
        <item>(</item>
      </candidateList>
      <explain>文本全半角错误。</explain>
      <paraID>2CD5176E</paraID>
      <start>0</start>
      <end>1</end>
      <status>unmodified</status>
      <modifiedWord/>
      <trackRevisions>false</trackRevisions>
    </reviewItem>
    <reviewItem>
      <errorID>65f71ec6-163e-4a2a-935b-3d6997fe661f</errorID>
      <errorWord>）</errorWord>
      <group>L1_Format</group>
      <groupName>格式问题</groupName>
      <ability>L2_HalfPunc</ability>
      <abilityName>全半角检查</abilityName>
      <candidateList>
        <item>)</item>
      </candidateList>
      <explain>文本全半角错误。</explain>
      <paraID>2CD5176E</paraID>
      <start>6</start>
      <end>7</end>
      <status>unmodified</status>
      <modifiedWord/>
      <trackRevisions>false</trackRevisions>
    </reviewItem>
    <reviewItem>
      <errorID>53f11317-0d56-49a2-ba08-573d2adc2a46</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6CB0C21B</paraID>
      <start>248</start>
      <end>249</end>
      <status>unmodified</status>
      <modifiedWord/>
      <trackRevisions>false</trackRevisions>
    </reviewItem>
    <reviewItem>
      <errorID>1a1a58ac-f1a2-4e04-beae-03a82fe21158</errorID>
      <errorWord>III</errorWord>
      <group>L1_Knowledge</group>
      <groupName>知识性问题</groupName>
      <ability>L2_Knowledge</ability>
      <abilityName>其他知识</abilityName>
      <candidateList>
        <item>Ⅲ</item>
      </candidateList>
      <explain/>
      <paraID>14670711</paraID>
      <start>0</start>
      <end>3</end>
      <status>unmodified</status>
      <modifiedWord/>
      <trackRevisions>false</trackRevisions>
    </reviewItem>
    <reviewItem>
      <errorID>3c506101-0945-4867-b2b7-15e2a5a49615</errorID>
      <errorWord>II</errorWord>
      <group>L1_Knowledge</group>
      <groupName>知识性问题</groupName>
      <ability>L2_Knowledge</ability>
      <abilityName>其他知识</abilityName>
      <candidateList>
        <item>Ⅱ</item>
      </candidateList>
      <explain/>
      <paraID> 451B329</paraID>
      <start>0</start>
      <end>2</end>
      <status>unmodified</status>
      <modifiedWord/>
      <trackRevisions>false</trackRevisions>
    </reviewItem>
    <reviewItem>
      <errorID>3ff4994d-5048-498b-8994-ab7549fb92be</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770823BA</paraID>
      <start>0</start>
      <end>2</end>
      <status>unmodified</status>
      <modifiedWord/>
      <trackRevisions>false</trackRevisions>
    </reviewItem>
    <reviewItem>
      <errorID>5c96f446-8c6e-41f6-945c-385f06fe8f8b</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1995B357</paraID>
      <start>0</start>
      <end>2</end>
      <status>unmodified</status>
      <modifiedWord/>
      <trackRevisions>false</trackRevisions>
    </reviewItem>
    <reviewItem>
      <errorID>55596529-ed83-4828-a2d3-aa622d6c2c6c</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CB14AFB</paraID>
      <start>0</start>
      <end>2</end>
      <status>unmodified</status>
      <modifiedWord/>
      <trackRevisions>false</trackRevisions>
    </reviewItem>
    <reviewItem>
      <errorID>4d860468-64df-4891-9e9e-2185fee52dc8</errorID>
      <errorWord>（</errorWord>
      <group>L1_Format</group>
      <groupName>格式问题</groupName>
      <ability>L2_HalfPunc</ability>
      <abilityName>全半角检查</abilityName>
      <candidateList>
        <item>(</item>
      </candidateList>
      <explain>文本全半角错误。</explain>
      <paraID>65C034B5</paraID>
      <start>0</start>
      <end>1</end>
      <status>unmodified</status>
      <modifiedWord/>
      <trackRevisions>false</trackRevisions>
    </reviewItem>
    <reviewItem>
      <errorID>4f1f580f-cb5a-4446-86aa-80dca12529b8</errorID>
      <errorWord>）</errorWord>
      <group>L1_Format</group>
      <groupName>格式问题</groupName>
      <ability>L2_HalfPunc</ability>
      <abilityName>全半角检查</abilityName>
      <candidateList>
        <item>)</item>
      </candidateList>
      <explain>文本全半角错误。</explain>
      <paraID>65C034B5</paraID>
      <start>6</start>
      <end>7</end>
      <status>unmodified</status>
      <modifiedWord/>
      <trackRevisions>false</trackRevisions>
    </reviewItem>
    <reviewItem>
      <errorID>30bbdff7-5628-4892-82f2-3e5a9be6cd69</errorID>
      <errorWord>（</errorWord>
      <group>L1_Format</group>
      <groupName>格式问题</groupName>
      <ability>L2_HalfPunc</ability>
      <abilityName>全半角检查</abilityName>
      <candidateList>
        <item>(</item>
      </candidateList>
      <explain>文本全半角错误。</explain>
      <paraID>4E059D16</paraID>
      <start>0</start>
      <end>1</end>
      <status>unmodified</status>
      <modifiedWord/>
      <trackRevisions>false</trackRevisions>
    </reviewItem>
    <reviewItem>
      <errorID>85b00d26-c583-4520-a1eb-80df7a8341cd</errorID>
      <errorWord>）</errorWord>
      <group>L1_Format</group>
      <groupName>格式问题</groupName>
      <ability>L2_HalfPunc</ability>
      <abilityName>全半角检查</abilityName>
      <candidateList>
        <item>)</item>
      </candidateList>
      <explain>文本全半角错误。</explain>
      <paraID>4E059D16</paraID>
      <start>6</start>
      <end>7</end>
      <status>unmodified</status>
      <modifiedWord/>
      <trackRevisions>false</trackRevisions>
    </reviewItem>
    <reviewItem>
      <errorID>e0ea6a0f-dfcb-4096-a399-b4749f6e2037</errorID>
      <errorWord>（</errorWord>
      <group>L1_Format</group>
      <groupName>格式问题</groupName>
      <ability>L2_HalfPunc</ability>
      <abilityName>全半角检查</abilityName>
      <candidateList>
        <item>(</item>
      </candidateList>
      <explain>文本全半角错误。</explain>
      <paraID>3D99AC55</paraID>
      <start>4</start>
      <end>5</end>
      <status>unmodified</status>
      <modifiedWord/>
      <trackRevisions>false</trackRevisions>
    </reviewItem>
    <reviewItem>
      <errorID>a586ce35-bec4-43c7-b7f8-89d440f8273c</errorID>
      <errorWord>）</errorWord>
      <group>L1_Format</group>
      <groupName>格式问题</groupName>
      <ability>L2_HalfPunc</ability>
      <abilityName>全半角检查</abilityName>
      <candidateList>
        <item>)</item>
      </candidateList>
      <explain>文本全半角错误。</explain>
      <paraID>3D99AC55</paraID>
      <start>8</start>
      <end>9</end>
      <status>unmodified</status>
      <modifiedWord/>
      <trackRevisions>false</trackRevisions>
    </reviewItem>
    <reviewItem>
      <errorID>0713704f-85e6-4236-8190-a5cf776447b5</errorID>
      <errorWord>（</errorWord>
      <group>L1_Format</group>
      <groupName>格式问题</groupName>
      <ability>L2_HalfPunc</ability>
      <abilityName>全半角检查</abilityName>
      <candidateList>
        <item>(</item>
      </candidateList>
      <explain>文本全半角错误。</explain>
      <paraID>207317F2</paraID>
      <start>4</start>
      <end>5</end>
      <status>unmodified</status>
      <modifiedWord/>
      <trackRevisions>false</trackRevisions>
    </reviewItem>
    <reviewItem>
      <errorID>e97866ce-f3cf-412c-ad89-68c2835e4c3f</errorID>
      <errorWord>）</errorWord>
      <group>L1_Format</group>
      <groupName>格式问题</groupName>
      <ability>L2_HalfPunc</ability>
      <abilityName>全半角检查</abilityName>
      <candidateList>
        <item>)</item>
      </candidateList>
      <explain>文本全半角错误。</explain>
      <paraID>207317F2</paraID>
      <start>8</start>
      <end>9</end>
      <status>unmodified</status>
      <modifiedWord/>
      <trackRevisions>false</trackRevisions>
    </reviewItem>
    <reviewItem>
      <errorID>92bda720-163a-4b96-87b0-6935a1e53426</errorID>
      <errorWord>（</errorWord>
      <group>L1_Format</group>
      <groupName>格式问题</groupName>
      <ability>L2_HalfPunc</ability>
      <abilityName>全半角检查</abilityName>
      <candidateList>
        <item>(</item>
      </candidateList>
      <explain>文本全半角错误。</explain>
      <paraID>61794479</paraID>
      <start>3</start>
      <end>4</end>
      <status>unmodified</status>
      <modifiedWord/>
      <trackRevisions>false</trackRevisions>
    </reviewItem>
    <reviewItem>
      <errorID>a8598ebb-bd9e-4e4e-93c4-c62c87e73205</errorID>
      <errorWord>）</errorWord>
      <group>L1_Format</group>
      <groupName>格式问题</groupName>
      <ability>L2_HalfPunc</ability>
      <abilityName>全半角检查</abilityName>
      <candidateList>
        <item>)</item>
      </candidateList>
      <explain>文本全半角错误。</explain>
      <paraID>61794479</paraID>
      <start>6</start>
      <end>7</end>
      <status>unmodified</status>
      <modifiedWord/>
      <trackRevisions>false</trackRevisions>
    </reviewItem>
    <reviewItem>
      <errorID>30e0fdb6-c578-4808-9f16-ee630b360bfe</errorID>
      <errorWord>（</errorWord>
      <group>L1_Format</group>
      <groupName>格式问题</groupName>
      <ability>L2_HalfPunc</ability>
      <abilityName>全半角检查</abilityName>
      <candidateList>
        <item>(</item>
      </candidateList>
      <explain>文本全半角错误。</explain>
      <paraID>104874C0</paraID>
      <start>1</start>
      <end>2</end>
      <status>unmodified</status>
      <modifiedWord/>
      <trackRevisions>false</trackRevisions>
    </reviewItem>
    <reviewItem>
      <errorID>a2878bab-027e-48b6-b36e-ab6e912ea907</errorID>
      <errorWord>）</errorWord>
      <group>L1_Format</group>
      <groupName>格式问题</groupName>
      <ability>L2_HalfPunc</ability>
      <abilityName>全半角检查</abilityName>
      <candidateList>
        <item>)</item>
      </candidateList>
      <explain>文本全半角错误。</explain>
      <paraID>104874C0</paraID>
      <start>5</start>
      <end>6</end>
      <status>unmodified</status>
      <modifiedWord/>
      <trackRevisions>false</trackRevisions>
    </reviewItem>
    <reviewItem>
      <errorID>4a4a2591-cca0-4bc2-bfc4-440efd31f011</errorID>
      <errorWord>*</errorWord>
      <group>L1_Punc</group>
      <groupName>标点问题</groupName>
      <ability>L2_Punc</ability>
      <abilityName>标点符号检查</abilityName>
      <candidateList/>
      <explain/>
      <paraID>3A30CE76</paraID>
      <start>0</start>
      <end>1</end>
      <status>unmodified</status>
      <modifiedWord/>
      <trackRevisions>false</trackRevisions>
    </reviewItem>
    <reviewItem>
      <errorID>be7d12b4-917c-43dd-974f-29caabc647af</errorID>
      <errorWord>（</errorWord>
      <group>L1_Format</group>
      <groupName>格式问题</groupName>
      <ability>L2_HalfPunc</ability>
      <abilityName>全半角检查</abilityName>
      <candidateList>
        <item>(</item>
      </candidateList>
      <explain>文本全半角错误。</explain>
      <paraID>66041A02</paraID>
      <start>1</start>
      <end>2</end>
      <status>unmodified</status>
      <modifiedWord/>
      <trackRevisions>false</trackRevisions>
    </reviewItem>
    <reviewItem>
      <errorID>f026210f-8725-4e8f-a233-acde56b0c491</errorID>
      <errorWord>）</errorWord>
      <group>L1_Format</group>
      <groupName>格式问题</groupName>
      <ability>L2_HalfPunc</ability>
      <abilityName>全半角检查</abilityName>
      <candidateList>
        <item>)</item>
      </candidateList>
      <explain>文本全半角错误。</explain>
      <paraID>66041A02</paraID>
      <start>6</start>
      <end>7</end>
      <status>unmodified</status>
      <modifiedWord/>
      <trackRevisions>false</trackRevisions>
    </reviewItem>
    <reviewItem>
      <errorID>39dd014a-1429-4671-b690-c1fbd8c5abe0</errorID>
      <errorWord>*</errorWord>
      <group>L1_Punc</group>
      <groupName>标点问题</groupName>
      <ability>L2_Punc</ability>
      <abilityName>标点符号检查</abilityName>
      <candidateList/>
      <explain/>
      <paraID> E04FE91</paraID>
      <start>0</start>
      <end>1</end>
      <status>unmodified</status>
      <modifiedWord/>
      <trackRevisions>false</trackRevisions>
    </reviewItem>
    <reviewItem>
      <errorID>2c98266d-a8c6-4acf-9cba-97663ede4b4c</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5B5C8269</paraID>
      <start>0</start>
      <end>2</end>
      <status>unmodified</status>
      <modifiedWord/>
      <trackRevisions>false</trackRevisions>
    </reviewItem>
    <reviewItem>
      <errorID>3cfdae16-7706-49db-887a-6f2d0398da32</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190D047</paraID>
      <start>0</start>
      <end>2</end>
      <status>unmodified</status>
      <modifiedWord/>
      <trackRevisions>false</trackRevisions>
    </reviewItem>
    <reviewItem>
      <errorID>1907e8a7-0970-4a6c-ac65-18cc9d875680</errorID>
      <errorWord>(</errorWord>
      <group>L1_Format</group>
      <groupName>格式问题</groupName>
      <ability>L2_HalfPunc</ability>
      <abilityName>全半角检查</abilityName>
      <candidateList>
        <item>（</item>
      </candidateList>
      <explain>文本全半角错误。</explain>
      <paraID>3C2D4F35</paraID>
      <start>16</start>
      <end>17</end>
      <status>unmodified</status>
      <modifiedWord/>
      <trackRevisions>false</trackRevisions>
    </reviewItem>
    <reviewItem>
      <errorID>94d6ca47-f208-44eb-9d7e-e993ddadf37a</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7316B982</paraID>
      <start>0</start>
      <end>2</end>
      <status>unmodified</status>
      <modifiedWord/>
      <trackRevisions>false</trackRevisions>
    </reviewItem>
    <reviewItem>
      <errorID>b33ed369-c733-437e-8b71-4a4ded70ce24</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6DEFFDD8</paraID>
      <start>0</start>
      <end>2</end>
      <status>unmodified</status>
      <modifiedWord/>
      <trackRevisions>false</trackRevisions>
    </reviewItem>
    <reviewItem>
      <errorID>558f3ead-32ca-4ee5-9afb-f8ab9dca5584</errorID>
      <errorWord>（</errorWord>
      <group>L1_Format</group>
      <groupName>格式问题</groupName>
      <ability>L2_HalfPunc</ability>
      <abilityName>全半角检查</abilityName>
      <candidateList>
        <item>(</item>
      </candidateList>
      <explain>文本全半角错误。</explain>
      <paraID>3D5B6774</paraID>
      <start>3</start>
      <end>4</end>
      <status>unmodified</status>
      <modifiedWord/>
      <trackRevisions>false</trackRevisions>
    </reviewItem>
    <reviewItem>
      <errorID>752f2d81-760e-4079-83e5-c6b3c9e1a756</errorID>
      <errorWord>）</errorWord>
      <group>L1_Format</group>
      <groupName>格式问题</groupName>
      <ability>L2_HalfPunc</ability>
      <abilityName>全半角检查</abilityName>
      <candidateList>
        <item>)</item>
      </candidateList>
      <explain>文本全半角错误。</explain>
      <paraID>3D5B6774</paraID>
      <start>7</start>
      <end>8</end>
      <status>unmodified</status>
      <modifiedWord/>
      <trackRevisions>false</trackRevisions>
    </reviewItem>
    <reviewItem>
      <errorID>be3d6036-2e1f-4d50-83dd-23c6d95e3178</errorID>
      <errorWord>（</errorWord>
      <group>L1_Format</group>
      <groupName>格式问题</groupName>
      <ability>L2_HalfPunc</ability>
      <abilityName>全半角检查</abilityName>
      <candidateList>
        <item>(</item>
      </candidateList>
      <explain>文本全半角错误。</explain>
      <paraID>1ED32EB7</paraID>
      <start>3</start>
      <end>4</end>
      <status>unmodified</status>
      <modifiedWord/>
      <trackRevisions>false</trackRevisions>
    </reviewItem>
    <reviewItem>
      <errorID>0b25b5be-ea40-4527-aa15-142d41f3ce0e</errorID>
      <errorWord>）</errorWord>
      <group>L1_Format</group>
      <groupName>格式问题</groupName>
      <ability>L2_HalfPunc</ability>
      <abilityName>全半角检查</abilityName>
      <candidateList>
        <item>)</item>
      </candidateList>
      <explain>文本全半角错误。</explain>
      <paraID>1ED32EB7</paraID>
      <start>7</start>
      <end>8</end>
      <status>unmodified</status>
      <modifiedWord/>
      <trackRevisions>false</trackRevisions>
    </reviewItem>
    <reviewItem>
      <errorID>4f0b4805-bfc3-404e-b4a8-17985bff9e0c</errorID>
      <errorWord>*</errorWord>
      <group>L1_Punc</group>
      <groupName>标点问题</groupName>
      <ability>L2_Punc</ability>
      <abilityName>标点符号检查</abilityName>
      <candidateList/>
      <explain/>
      <paraID>740FF2EF</paraID>
      <start>0</start>
      <end>1</end>
      <status>unmodified</status>
      <modifiedWord/>
      <trackRevisions>false</trackRevisions>
    </reviewItem>
    <reviewItem>
      <errorID>4ab13a94-6633-457a-a10d-f42e8de4106d</errorID>
      <errorWord>-</errorWord>
      <group>L1_Format</group>
      <groupName>格式问题</groupName>
      <ability>L2_HalfPunc</ability>
      <abilityName>全半角检查</abilityName>
      <candidateList>
        <item>－</item>
      </candidateList>
      <explain>文本全半角错误。</explain>
      <paraID> DC0998D</paraID>
      <start>104</start>
      <end>105</end>
      <status>unmodified</status>
      <modifiedWord/>
      <trackRevisions>false</trackRevisions>
    </reviewItem>
    <reviewItem>
      <errorID>377dda22-e6d8-42ab-a377-62eb75a0fb0b</errorID>
      <errorWord>-</errorWord>
      <group>L1_Format</group>
      <groupName>格式问题</groupName>
      <ability>L2_HalfPunc</ability>
      <abilityName>全半角检查</abilityName>
      <candidateList>
        <item>－</item>
      </candidateList>
      <explain>文本全半角错误。</explain>
      <paraID> DC0998D</paraID>
      <start>107</start>
      <end>108</end>
      <status>unmodified</status>
      <modifiedWord/>
      <trackRevisions>false</trackRevisions>
    </reviewItem>
    <reviewItem>
      <errorID>4be32723-ec17-4c0c-a554-6cb30eb55d23</errorID>
      <errorWord>-</errorWord>
      <group>L1_Format</group>
      <groupName>格式问题</groupName>
      <ability>L2_HalfPunc</ability>
      <abilityName>全半角检查</abilityName>
      <candidateList>
        <item>－</item>
      </candidateList>
      <explain>文本全半角错误。</explain>
      <paraID> DC0998D</paraID>
      <start>125</start>
      <end>126</end>
      <status>unmodified</status>
      <modifiedWord/>
      <trackRevisions>false</trackRevisions>
    </reviewItem>
    <reviewItem>
      <errorID>a7e65c6c-2fe2-44fc-89ea-20675bf8922c</errorID>
      <errorWord>-</errorWord>
      <group>L1_Format</group>
      <groupName>格式问题</groupName>
      <ability>L2_HalfPunc</ability>
      <abilityName>全半角检查</abilityName>
      <candidateList>
        <item>－</item>
      </candidateList>
      <explain>文本全半角错误。</explain>
      <paraID> 4752C4E</paraID>
      <start>72</start>
      <end>73</end>
      <status>unmodified</status>
      <modifiedWord/>
      <trackRevisions>false</trackRevisions>
    </reviewItem>
    <reviewItem>
      <errorID>5fd3fb16-acba-484b-bb78-da82d5b61d2b</errorID>
      <errorWord>，则</errorWord>
      <group>L1_Word</group>
      <groupName>字词问题</groupName>
      <ability>L2_Typo</ability>
      <abilityName>字词错误</abilityName>
      <candidateList>
        <item>，</item>
      </candidateList>
      <explain/>
      <paraID>70AA7AD5</paraID>
      <start>167</start>
      <end>169</end>
      <status>unmodified</status>
      <modifiedWord/>
      <trackRevisions>false</trackRevisions>
    </reviewItem>
    <reviewItem>
      <errorID>c7f4eae2-6221-4305-9ac5-d0dcac37c3bd</errorID>
      <errorWord>-</errorWord>
      <group>L1_Format</group>
      <groupName>格式问题</groupName>
      <ability>L2_HalfPunc</ability>
      <abilityName>全半角检查</abilityName>
      <candidateList>
        <item>－</item>
      </candidateList>
      <explain>文本全半角错误。</explain>
      <paraID>12EB0B5E</paraID>
      <start>82</start>
      <end>83</end>
      <status>unmodified</status>
      <modifiedWord/>
      <trackRevisions>false</trackRevisions>
    </reviewItem>
    <reviewItem>
      <errorID>17aaac7e-5af3-41a0-8acc-532d0d4824b2</errorID>
      <errorWord>-</errorWord>
      <group>L1_Format</group>
      <groupName>格式问题</groupName>
      <ability>L2_HalfPunc</ability>
      <abilityName>全半角检查</abilityName>
      <candidateList>
        <item>－</item>
      </candidateList>
      <explain>文本全半角错误。</explain>
      <paraID>12EB0B5E</paraID>
      <start>112</start>
      <end>113</end>
      <status>unmodified</status>
      <modifiedWord/>
      <trackRevisions>false</trackRevisions>
    </reviewItem>
    <reviewItem>
      <errorID>e886b212-78a6-413c-a728-a918885db7a7</errorID>
      <errorWord>份</errorWord>
      <group>L1_Word</group>
      <groupName>字词问题</groupName>
      <ability>L2_Typo</ability>
      <abilityName>字词错误</abilityName>
      <candidateList>
        <item>分</item>
      </candidateList>
      <explain/>
      <paraID>36CBEA18</paraID>
      <start>34</start>
      <end>35</end>
      <status>unmodified</status>
      <modifiedWord/>
      <trackRevisions>false</trackRevisions>
    </reviewItem>
    <reviewItem>
      <errorID>60c4ecae-5acd-45b0-8d6b-9e6a8bad58eb</errorID>
      <errorWord>胶粘</errorWord>
      <group>L1_Word</group>
      <groupName>字词问题</groupName>
      <ability>L2_Typo</ability>
      <abilityName>字词错误</abilityName>
      <candidateList>
        <item>胶黏</item>
      </candidateList>
      <explain/>
      <paraID>36CBEA18</paraID>
      <start>79</start>
      <end>81</end>
      <status>unmodified</status>
      <modifiedWord/>
      <trackRevisions>false</trackRevisions>
    </reviewItem>
    <reviewItem>
      <errorID>b5e774f5-0d99-40fc-90fd-646afe06dc13</errorID>
      <errorWord>条有</errorWord>
      <group>L1_Word</group>
      <groupName>字词问题</groupName>
      <ability>L2_Typo</ability>
      <abilityName>字词错误</abilityName>
      <candidateList>
        <item>条</item>
      </candidateList>
      <explain/>
      <paraID> 77FD9A7</paraID>
      <start>86</start>
      <end>87</end>
      <status>modified</status>
      <modifiedWord>条</modifiedWord>
      <trackRevisions>false</trackRevisions>
    </reviewItem>
    <reviewItem>
      <errorID>bae0a8e2-e6a9-4365-a261-a8839044c694</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60A734CB</paraID>
      <start>339</start>
      <end>340</end>
      <status>unmodified</status>
      <modifiedWord/>
      <trackRevisions>false</trackRevisions>
    </reviewItem>
    <reviewItem>
      <errorID>c2265b22-603a-4c20-b849-c99c4e7f222f</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60A734CB</paraID>
      <start>383</start>
      <end>384</end>
      <status>unmodified</status>
      <modifiedWord/>
      <trackRevisions>false</trackRevisions>
    </reviewItem>
    <reviewItem>
      <errorID>54a34bc2-d1b8-4814-a63b-e0e30d8a8fb4</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60A734CB</paraID>
      <start>413</start>
      <end>414</end>
      <status>unmodified</status>
      <modifiedWord/>
      <trackRevisions>false</trackRevisions>
    </reviewItem>
    <reviewItem>
      <errorID>f240449a-f7f1-4554-b6b8-af2a9b6cc821</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60A734CB</paraID>
      <start>426</start>
      <end>427</end>
      <status>unmodified</status>
      <modifiedWord/>
      <trackRevisions>false</trackRevisions>
    </reviewItem>
    <reviewItem>
      <errorID>a41b9056-4c88-4ed5-bf97-0061c07a2227</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60A734CB</paraID>
      <start>461</start>
      <end>462</end>
      <status>unmodified</status>
      <modifiedWord/>
      <trackRevisions>false</trackRevisions>
    </reviewItem>
    <reviewItem>
      <errorID>84383cd4-d163-4a56-9b93-c643ef065481</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60A734CB</paraID>
      <start>501</start>
      <end>502</end>
      <status>unmodified</status>
      <modifiedWord/>
      <trackRevisions>false</trackRevisions>
    </reviewItem>
    <reviewItem>
      <errorID>59758b52-7513-45f4-9b5b-b0479db68c25</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60A734CB</paraID>
      <start>536</start>
      <end>537</end>
      <status>unmodified</status>
      <modifiedWord/>
      <trackRevisions>false</trackRevisions>
    </reviewItem>
    <reviewItem>
      <errorID>1deb0ee6-d7a3-4874-a9a1-68610dfe6d38</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60A734CB</paraID>
      <start>611</start>
      <end>612</end>
      <status>unmodified</status>
      <modifiedWord/>
      <trackRevisions>false</trackRevisions>
    </reviewItem>
    <reviewItem>
      <errorID>c394ed57-6a3e-4608-a95d-295cd81ddfc7</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60A734CB</paraID>
      <start>680</start>
      <end>681</end>
      <status>unmodified</status>
      <modifiedWord/>
      <trackRevisions>false</trackRevisions>
    </reviewItem>
    <reviewItem>
      <errorID>2421286d-6e90-4991-99a2-7aa4e21e915b</errorID>
      <errorWord>外泄提</errorWord>
      <group>L1_Word</group>
      <groupName>字词问题</groupName>
      <ability>L2_Typo</ability>
      <abilityName>字词错误</abilityName>
      <candidateList>
        <item>外泄</item>
      </candidateList>
      <explain/>
      <paraID> 3B5DA3E</paraID>
      <start>15</start>
      <end>17</end>
      <status>modified</status>
      <modifiedWord>外泄</modifiedWord>
      <trackRevisions>false</trackRevisions>
    </reviewItem>
    <reviewItem>
      <errorID>d43ed868-071d-43d1-be92-58baa16d1c44</errorID>
      <errorWord>升</errorWord>
      <group>L1_Word</group>
      <groupName>字词问题</groupName>
      <ability>L2_Typo</ability>
      <abilityName>字词错误</abilityName>
      <candidateList>
        <item>和</item>
      </candidateList>
      <explain>〈量〉用于洗东西换水的次数或一剂药煎的次数：衣裳已经洗了三～｜二～药。</explain>
      <paraID> 3B5DA3E</paraID>
      <start>52</start>
      <end>53</end>
      <status>modified</status>
      <modifiedWord>和</modifiedWord>
      <trackRevisions>false</trackRevisions>
    </reviewItem>
    <reviewItem>
      <errorID>aaf445ee-b048-466f-8c47-bc43fd25c351</errorID>
      <errorWord>胶粘剂</errorWord>
      <group>L1_Word</group>
      <groupName>字词问题</groupName>
      <ability>L2_Typo</ability>
      <abilityName>字词错误</abilityName>
      <candidateList>
        <item>胶黏剂</item>
      </candidateList>
      <explain/>
      <paraID>6D94AC92</paraID>
      <start>77</start>
      <end>80</end>
      <status>unmodified</status>
      <modifiedWord/>
      <trackRevisions>false</trackRevisions>
    </reviewItem>
    <reviewItem>
      <errorID>0a6b7792-fb96-42a0-8210-aca7f4bbf182</errorID>
      <errorWord>&gt;</errorWord>
      <group>L1_Punc</group>
      <groupName>标点问题</groupName>
      <ability>L2_Punc</ability>
      <abilityName>标点符号检查</abilityName>
      <candidateList/>
      <explain/>
      <paraID>6D7CC64A</paraID>
      <start>0</start>
      <end>1</end>
      <status>unmodified</status>
      <modifiedWord/>
      <trackRevisions>false</trackRevisions>
    </reviewItem>
    <reviewItem>
      <errorID>b7955632-6177-4115-9cdd-92c8e2bb7c6a</errorID>
      <errorWord>&gt;</errorWord>
      <group>L1_Punc</group>
      <groupName>标点问题</groupName>
      <ability>L2_Punc</ability>
      <abilityName>标点符号检查</abilityName>
      <candidateList/>
      <explain/>
      <paraID>17CB87F7</paraID>
      <start>0</start>
      <end>1</end>
      <status>unmodified</status>
      <modifiedWord/>
      <trackRevisions>false</trackRevisions>
    </reviewItem>
    <reviewItem>
      <errorID>f9420632-37d4-4d8f-8509-5cdc6cfce53f</errorID>
      <errorWord>&gt;</errorWord>
      <group>L1_Punc</group>
      <groupName>标点问题</groupName>
      <ability>L2_Punc</ability>
      <abilityName>标点符号检查</abilityName>
      <candidateList/>
      <explain/>
      <paraID>611AFFC3</paraID>
      <start>0</start>
      <end>1</end>
      <status>unmodified</status>
      <modifiedWord/>
      <trackRevisions>false</trackRevisions>
    </reviewItem>
    <reviewItem>
      <errorID>1c7e8697-69ef-49b9-8abf-07741d39d662</errorID>
      <errorWord>&gt;</errorWord>
      <group>L1_Punc</group>
      <groupName>标点问题</groupName>
      <ability>L2_Punc</ability>
      <abilityName>标点符号检查</abilityName>
      <candidateList/>
      <explain/>
      <paraID>37B1BB8D</paraID>
      <start>0</start>
      <end>1</end>
      <status>unmodified</status>
      <modifiedWord/>
      <trackRevisions>false</trackRevisions>
    </reviewItem>
    <reviewItem>
      <errorID>bbedf5c1-8271-4a6a-9fc5-75413b4e5af6</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5CD01C8B</paraID>
      <start>0</start>
      <end>2</end>
      <status>unmodified</status>
      <modifiedWord/>
      <trackRevisions>false</trackRevisions>
    </reviewItem>
    <reviewItem>
      <errorID>a07cc7f7-ef7c-4274-9821-f3b6d1dd1ee2</errorID>
      <errorWord>-</errorWord>
      <group>L1_Format</group>
      <groupName>格式问题</groupName>
      <ability>L2_HalfPunc</ability>
      <abilityName>全半角检查</abilityName>
      <candidateList>
        <item>－</item>
      </candidateList>
      <explain>文本全半角错误。</explain>
      <paraID>749CAF09</paraID>
      <start>78</start>
      <end>79</end>
      <status>unmodified</status>
      <modifiedWord/>
      <trackRevisions>false</trackRevisions>
    </reviewItem>
    <reviewItem>
      <errorID>ffdb2486-acc0-46aa-8616-403b184aef88</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14BDD466</paraID>
      <start>125</start>
      <end>126</end>
      <status>unmodified</status>
      <modifiedWord/>
      <trackRevisions>false</trackRevisions>
    </reviewItem>
    <reviewItem>
      <errorID>52c9fbd0-1f27-48fd-b73d-b18504dbdfac</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3D1F6744</paraID>
      <start>0</start>
      <end>2</end>
      <status>unmodified</status>
      <modifiedWord/>
      <trackRevisions>false</trackRevisions>
    </reviewItem>
    <reviewItem>
      <errorID>78812fc5-327e-40a7-ab63-59d3b709c738</errorID>
      <errorWord>~</errorWord>
      <group>L1_Format</group>
      <groupName>格式问题</groupName>
      <ability>L2_HalfPunc</ability>
      <abilityName>全半角检查</abilityName>
      <candidateList>
        <item>～</item>
      </candidateList>
      <explain>文本全半角错误。</explain>
      <paraID>42FAD215</paraID>
      <start>136</start>
      <end>137</end>
      <status>unmodified</status>
      <modifiedWord/>
      <trackRevisions>false</trackRevisions>
    </reviewItem>
    <reviewItem>
      <errorID>817e0c35-185e-4762-9e2f-c3182db8bb97</errorID>
      <errorWord>（</errorWord>
      <group>L1_Format</group>
      <groupName>格式问题</groupName>
      <ability>L2_HalfPunc</ability>
      <abilityName>全半角检查</abilityName>
      <candidateList>
        <item>(</item>
      </candidateList>
      <explain>文本全半角错误。</explain>
      <paraID>7C9633BC</paraID>
      <start>6</start>
      <end>7</end>
      <status>unmodified</status>
      <modifiedWord/>
      <trackRevisions>false</trackRevisions>
    </reviewItem>
    <reviewItem>
      <errorID>d902dce6-bf4b-428d-a16e-02106b957285</errorID>
      <errorWord>）</errorWord>
      <group>L1_Format</group>
      <groupName>格式问题</groupName>
      <ability>L2_HalfPunc</ability>
      <abilityName>全半角检查</abilityName>
      <candidateList>
        <item>)</item>
      </candidateList>
      <explain>文本全半角错误。</explain>
      <paraID>7C9633BC</paraID>
      <start>8</start>
      <end>9</end>
      <status>unmodified</status>
      <modifiedWord/>
      <trackRevisions>false</trackRevisions>
    </reviewItem>
    <reviewItem>
      <errorID>152d4a87-bb42-46bc-9978-ae1779f1cfb2</errorID>
      <errorWord>除了</errorWord>
      <group>L1_Word</group>
      <groupName>字词问题</groupName>
      <ability>L2_Typo</ability>
      <abilityName>字词错误</abilityName>
      <candidateList>
        <item>为了</item>
      </candidateList>
      <explain>〈介〉表示目的：～工作学习新知识｜～人民利益而献身｜～教育群众，首先要向群众学习。注意表示原因，一般用“因为”不用“为了”。</explain>
      <paraID>7B46453A</paraID>
      <start>23</start>
      <end>25</end>
      <status>unmodified</status>
      <modifiedWord/>
      <trackRevisions>false</trackRevisions>
    </reviewItem>
    <reviewItem>
      <errorID>c3fdb476-8459-4b17-a58c-de4a132f9179</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4CE28031</paraID>
      <start>0</start>
      <end>2</end>
      <status>unmodified</status>
      <modifiedWord/>
      <trackRevisions>false</trackRevisions>
    </reviewItem>
    <reviewItem>
      <errorID>57d46645-ba72-4d7b-8461-442515426c9c</errorID>
      <errorWord>，</errorWord>
      <group>L1_Format</group>
      <groupName>格式问题</groupName>
      <ability>L2_HalfPunc</ability>
      <abilityName>全半角检查</abilityName>
      <candidateList>
        <item>, </item>
      </candidateList>
      <explain>文本全半角错误。</explain>
      <paraID>702C9DF7</paraID>
      <start>1</start>
      <end>2</end>
      <status>unmodified</status>
      <modifiedWord/>
      <trackRevisions>false</trackRevisions>
    </reviewItem>
    <reviewItem>
      <errorID>2d0a46e0-07d3-4db3-a430-15bb9288245c</errorID>
      <errorWord>，</errorWord>
      <group>L1_Format</group>
      <groupName>格式问题</groupName>
      <ability>L2_HalfPunc</ability>
      <abilityName>全半角检查</abilityName>
      <candidateList>
        <item>, </item>
      </candidateList>
      <explain>文本全半角错误。</explain>
      <paraID>61C6B8B6</paraID>
      <start>1</start>
      <end>2</end>
      <status>unmodified</status>
      <modifiedWord/>
      <trackRevisions>false</trackRevisions>
    </reviewItem>
    <reviewItem>
      <errorID>6346a253-641e-4ec8-bab9-4759de800716</errorID>
      <errorWord>，</errorWord>
      <group>L1_Format</group>
      <groupName>格式问题</groupName>
      <ability>L2_HalfPunc</ability>
      <abilityName>全半角检查</abilityName>
      <candidateList>
        <item>, </item>
      </candidateList>
      <explain>文本全半角错误。</explain>
      <paraID>25611CAA</paraID>
      <start>1</start>
      <end>2</end>
      <status>unmodified</status>
      <modifiedWord/>
      <trackRevisions>false</trackRevisions>
    </reviewItem>
    <reviewItem>
      <errorID>83fd2e7a-a62c-4bc0-b0c6-7309d4a1147a</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528E3E</paraID>
      <start>126</start>
      <end>127</end>
      <status>unmodified</status>
      <modifiedWord/>
      <trackRevisions>false</trackRevisions>
    </reviewItem>
    <reviewItem>
      <errorID>3a40730b-841f-4fa0-8b67-4697cadb359a</errorID>
      <errorWord>)</errorWord>
      <group>L1_Format</group>
      <groupName>格式问题</groupName>
      <ability>L2_HalfPunc</ability>
      <abilityName>全半角检查</abilityName>
      <candidateList>
        <item>）</item>
      </candidateList>
      <explain>文本全半角错误。</explain>
      <paraID>  528E3E</paraID>
      <start>132</start>
      <end>133</end>
      <status>unmodified</status>
      <modifiedWord/>
      <trackRevisions>false</trackRevisions>
    </reviewItem>
    <reviewItem>
      <errorID>28d572e7-0ad5-459d-abf3-d6316b093698</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528E3E</paraID>
      <start>165</start>
      <end>166</end>
      <status>unmodified</status>
      <modifiedWord/>
      <trackRevisions>false</trackRevisions>
    </reviewItem>
    <reviewItem>
      <errorID>2618bd63-2e89-4a67-97e7-0ab196d49e2c</errorID>
      <errorWord>)</errorWord>
      <group>L1_Format</group>
      <groupName>格式问题</groupName>
      <ability>L2_HalfPunc</ability>
      <abilityName>全半角检查</abilityName>
      <candidateList>
        <item>）</item>
      </candidateList>
      <explain>文本全半角错误。</explain>
      <paraID>  528E3E</paraID>
      <start>172</start>
      <end>173</end>
      <status>unmodified</status>
      <modifiedWord/>
      <trackRevisions>false</trackRevisions>
    </reviewItem>
    <reviewItem>
      <errorID>a2a1a3ba-072d-4d88-8797-846eeb7ac58d</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5EA0018E</paraID>
      <start>0</start>
      <end>2</end>
      <status>unmodified</status>
      <modifiedWord/>
      <trackRevisions>false</trackRevisions>
    </reviewItem>
    <reviewItem>
      <errorID>393fe88e-9a60-46b0-ba00-1f295c043cf1</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79CF89EC</paraID>
      <start>0</start>
      <end>2</end>
      <status>unmodified</status>
      <modifiedWord/>
      <trackRevisions>false</trackRevisions>
    </reviewItem>
    <reviewItem>
      <errorID>065ecca7-e8f9-4ccf-8f4f-c4b0bff8b9a6</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2803554C</paraID>
      <start>0</start>
      <end>2</end>
      <status>unmodified</status>
      <modifiedWord/>
      <trackRevisions>false</trackRevisions>
    </reviewItem>
    <reviewItem>
      <errorID>3df145bc-a968-4e9b-9f6a-cea544477dc2</errorID>
      <errorWord>、</errorWord>
      <group>L1_Punc</group>
      <groupName>标点问题</groupName>
      <ability>L2_Punc</ability>
      <abilityName>标点符号检查</abilityName>
      <candidateList>
        <item>.</item>
      </candidateList>
      <explain/>
      <paraID>671EA7A3</paraID>
      <start>1</start>
      <end>2</end>
      <status>unmodified</status>
      <modifiedWord/>
      <trackRevisions>false</trackRevisions>
    </reviewItem>
    <reviewItem>
      <errorID>d55f6442-0997-4f85-b376-77b9f1558a82</errorID>
      <errorWord>、</errorWord>
      <group>L1_Punc</group>
      <groupName>标点问题</groupName>
      <ability>L2_Punc</ability>
      <abilityName>标点符号检查</abilityName>
      <candidateList>
        <item>.</item>
      </candidateList>
      <explain/>
      <paraID> 87736DD</paraID>
      <start>1</start>
      <end>2</end>
      <status>unmodified</status>
      <modifiedWord/>
      <trackRevisions>false</trackRevisions>
    </reviewItem>
    <reviewItem>
      <errorID>a46b7145-42e1-467f-b591-9affca856204</errorID>
      <errorWord>、</errorWord>
      <group>L1_Punc</group>
      <groupName>标点问题</groupName>
      <ability>L2_Punc</ability>
      <abilityName>标点符号检查</abilityName>
      <candidateList>
        <item>.</item>
      </candidateList>
      <explain/>
      <paraID>759DB579</paraID>
      <start>1</start>
      <end>2</end>
      <status>unmodified</status>
      <modifiedWord/>
      <trackRevisions>false</trackRevisions>
    </reviewItem>
    <reviewItem>
      <errorID>551de07e-2142-435c-8e83-f09fd17cf607</errorID>
      <errorWord>、</errorWord>
      <group>L1_Punc</group>
      <groupName>标点问题</groupName>
      <ability>L2_Punc</ability>
      <abilityName>标点符号检查</abilityName>
      <candidateList>
        <item>.</item>
      </candidateList>
      <explain/>
      <paraID>172575FB</paraID>
      <start>1</start>
      <end>2</end>
      <status>unmodified</status>
      <modifiedWord/>
      <trackRevisions>false</trackRevisions>
    </reviewItem>
    <reviewItem>
      <errorID>92ba165b-233a-48a4-9382-e7438236f05a</errorID>
      <errorWord>(</errorWord>
      <group>L1_Format</group>
      <groupName>格式问题</groupName>
      <ability>L2_HalfPunc</ability>
      <abilityName>全半角检查</abilityName>
      <candidateList>
        <item>（</item>
      </candidateList>
      <explain>文本全半角错误。</explain>
      <paraID>1B603CF0</paraID>
      <start>27</start>
      <end>28</end>
      <status>unmodified</status>
      <modifiedWord/>
      <trackRevisions>false</trackRevisions>
    </reviewItem>
    <reviewItem>
      <errorID>73e7511a-5ea4-4849-894f-defe606695dd</errorID>
      <errorWord>)</errorWord>
      <group>L1_Format</group>
      <groupName>格式问题</groupName>
      <ability>L2_HalfPunc</ability>
      <abilityName>全半角检查</abilityName>
      <candidateList>
        <item>）</item>
      </candidateList>
      <explain>文本全半角错误。</explain>
      <paraID>1B603CF0</paraID>
      <start>40</start>
      <end>41</end>
      <status>unmodified</status>
      <modifiedWord/>
      <trackRevisions>false</trackRevisions>
    </reviewItem>
    <reviewItem>
      <errorID>409e2473-d614-4238-94d6-9cfdcdcd8d3e</errorID>
      <errorWord>、</errorWord>
      <group>L1_Punc</group>
      <groupName>标点问题</groupName>
      <ability>L2_Punc</ability>
      <abilityName>标点符号检查</abilityName>
      <candidateList>
        <item>.</item>
      </candidateList>
      <explain/>
      <paraID>799825B5</paraID>
      <start>1</start>
      <end>2</end>
      <status>unmodified</status>
      <modifiedWord/>
      <trackRevisions>false</trackRevisions>
    </reviewItem>
    <reviewItem>
      <errorID>719e9723-847f-41e3-a0bd-b8a6c40f8741</errorID>
      <errorWord>、</errorWord>
      <group>L1_Punc</group>
      <groupName>标点问题</groupName>
      <ability>L2_Punc</ability>
      <abilityName>标点符号检查</abilityName>
      <candidateList>
        <item>.</item>
      </candidateList>
      <explain/>
      <paraID> 66B85D8</paraID>
      <start>1</start>
      <end>2</end>
      <status>unmodified</status>
      <modifiedWord/>
      <trackRevisions>false</trackRevisions>
    </reviewItem>
    <reviewItem>
      <errorID>7f3dd571-cec5-4b4e-a02a-3d0c3c6bf4eb</errorID>
      <errorWord>、</errorWord>
      <group>L1_Punc</group>
      <groupName>标点问题</groupName>
      <ability>L2_Punc</ability>
      <abilityName>标点符号检查</abilityName>
      <candidateList>
        <item>.</item>
      </candidateList>
      <explain/>
      <paraID>19901744</paraID>
      <start>1</start>
      <end>2</end>
      <status>unmodified</status>
      <modifiedWord/>
      <trackRevisions>false</trackRevisions>
    </reviewItem>
    <reviewItem>
      <errorID>18fdebb1-b0dd-4782-9885-84814ceae468</errorID>
      <errorWord>、</errorWord>
      <group>L1_Punc</group>
      <groupName>标点问题</groupName>
      <ability>L2_Punc</ability>
      <abilityName>标点符号检查</abilityName>
      <candidateList>
        <item>.</item>
      </candidateList>
      <explain/>
      <paraID>7D511BD0</paraID>
      <start>1</start>
      <end>2</end>
      <status>unmodified</status>
      <modifiedWord/>
      <trackRevisions>false</trackRevisions>
    </reviewItem>
    <reviewItem>
      <errorID>89c96387-7608-4f26-b3c4-e425917dd20e</errorID>
      <errorWord>、</errorWord>
      <group>L1_Punc</group>
      <groupName>标点问题</groupName>
      <ability>L2_Punc</ability>
      <abilityName>标点符号检查</abilityName>
      <candidateList>
        <item>.</item>
      </candidateList>
      <explain/>
      <paraID>72187107</paraID>
      <start>1</start>
      <end>2</end>
      <status>unmodified</status>
      <modifiedWord/>
      <trackRevisions>false</trackRevisions>
    </reviewItem>
    <reviewItem>
      <errorID>dd94e549-c55f-4986-8b05-d2ad09658f04</errorID>
      <errorWord>、</errorWord>
      <group>L1_Punc</group>
      <groupName>标点问题</groupName>
      <ability>L2_Punc</ability>
      <abilityName>标点符号检查</abilityName>
      <candidateList>
        <item>.</item>
      </candidateList>
      <explain/>
      <paraID>2B1C8098</paraID>
      <start>1</start>
      <end>2</end>
      <status>unmodified</status>
      <modifiedWord/>
      <trackRevisions>false</trackRevisions>
    </reviewItem>
    <reviewItem>
      <errorID>3feaa818-9c14-4c93-82a5-2ced784fe015</errorID>
      <errorWord>泄露</errorWord>
      <group>L1_Word</group>
      <groupName>字词问题</groupName>
      <ability>L2_Typo</ability>
      <abilityName>字词错误</abilityName>
      <candidateList>
        <item>泄漏</item>
      </candidateList>
      <explain/>
      <paraID>57CAC89D</paraID>
      <start>1</start>
      <end>3</end>
      <status>unmodified</status>
      <modifiedWord/>
      <trackRevisions>false</trackRevisions>
    </reviewItem>
    <reviewItem>
      <errorID>737e5d11-2c44-4323-b902-3e0de8709aa3</errorID>
      <errorWord>7、</errorWord>
      <group>L1_Format</group>
      <groupName>格式问题</groupName>
      <ability>L2_Ordinal</ability>
      <abilityName>序号格式</abilityName>
      <candidateList>
        <item>7.</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60506753</paraID>
      <start>0</start>
      <end>2</end>
      <status>unmodified</status>
      <modifiedWord/>
      <trackRevisions>false</trackRevisions>
    </reviewItem>
    <reviewItem>
      <errorID>d575c78e-d5b4-448f-92d9-6b07df2800db</errorID>
      <errorWord>-</errorWord>
      <group>L1_Format</group>
      <groupName>格式问题</groupName>
      <ability>L2_HalfPunc</ability>
      <abilityName>全半角检查</abilityName>
      <candidateList>
        <item>－</item>
      </candidateList>
      <explain>文本全半角错误。</explain>
      <paraID>7885500D</paraID>
      <start>28</start>
      <end>29</end>
      <status>unmodified</status>
      <modifiedWord/>
      <trackRevisions>false</trackRevisions>
    </reviewItem>
    <reviewItem>
      <errorID>87df7f25-eed7-4374-a281-2626ffdbc30e</errorID>
      <errorWord>8、</errorWord>
      <group>L1_Format</group>
      <groupName>格式问题</groupName>
      <ability>L2_Ordinal</ability>
      <abilityName>序号格式</abilityName>
      <candidateList>
        <item>8.</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114BACB</paraID>
      <start>0</start>
      <end>2</end>
      <status>unmodified</status>
      <modifiedWord/>
      <trackRevisions>false</trackRevisions>
    </reviewItem>
    <reviewItem>
      <errorID>b6f20245-9da3-4c63-8adb-254ea617a918</errorID>
      <errorWord>9、</errorWord>
      <group>L1_Format</group>
      <groupName>格式问题</groupName>
      <ability>L2_Ordinal</ability>
      <abilityName>序号格式</abilityName>
      <candidateList>
        <item>9.</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ED6BFD8</paraID>
      <start>0</start>
      <end>2</end>
      <status>unmodified</status>
      <modifiedWord/>
      <trackRevisions>false</trackRevisions>
    </reviewItem>
    <reviewItem>
      <errorID>703ad25a-ce23-43d9-9aef-bcb5b502a67f</errorID>
      <errorWord>胶粘剂</errorWord>
      <group>L1_Word</group>
      <groupName>字词问题</groupName>
      <ability>L2_Typo</ability>
      <abilityName>字词错误</abilityName>
      <candidateList>
        <item>胶黏剂</item>
      </candidateList>
      <explain/>
      <paraID>1D11D733</paraID>
      <start>328</start>
      <end>331</end>
      <status>unmodified</status>
      <modifiedWord/>
      <trackRevisions>false</trackRevisions>
    </reviewItem>
    <reviewItem>
      <errorID>288223f3-7c44-4e3d-88ed-72cbe47aa67b</errorID>
      <errorWord>10、</errorWord>
      <group>L1_Format</group>
      <groupName>格式问题</groupName>
      <ability>L2_Ordinal</ability>
      <abilityName>序号格式</abilityName>
      <candidateList>
        <item>10.</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63F6496A</paraID>
      <start>0</start>
      <end>3</end>
      <status>unmodified</status>
      <modifiedWord/>
      <trackRevisions>false</trackRevisions>
    </reviewItem>
    <reviewItem>
      <errorID>fb330d8e-33b6-4496-8d65-a95a3aec40b5</errorID>
      <errorWord>(</errorWord>
      <group>L1_Format</group>
      <groupName>格式问题</groupName>
      <ability>L2_HalfPunc</ability>
      <abilityName>全半角检查</abilityName>
      <candidateList>
        <item>（</item>
      </candidateList>
      <explain>文本全半角错误。</explain>
      <paraID>289C6BE0</paraID>
      <start>2</start>
      <end>3</end>
      <status>unmodified</status>
      <modifiedWord/>
      <trackRevisions>false</trackRevisions>
    </reviewItem>
    <reviewItem>
      <errorID>c1e6c38b-081c-4bdb-8257-118823097082</errorID>
      <errorWord>)</errorWord>
      <group>L1_Format</group>
      <groupName>格式问题</groupName>
      <ability>L2_HalfPunc</ability>
      <abilityName>全半角检查</abilityName>
      <candidateList>
        <item>）</item>
      </candidateList>
      <explain>文本全半角错误。</explain>
      <paraID>289C6BE0</paraID>
      <start>5</start>
      <end>6</end>
      <status>unmodified</status>
      <modifiedWord/>
      <trackRevisions>false</trackRevisions>
    </reviewItem>
    <reviewItem>
      <errorID>9c189c40-444e-4fbc-9fa8-671667d3731f</errorID>
      <errorWord>(</errorWord>
      <group>L1_Format</group>
      <groupName>格式问题</groupName>
      <ability>L2_HalfPunc</ability>
      <abilityName>全半角检查</abilityName>
      <candidateList>
        <item>（</item>
      </candidateList>
      <explain>文本全半角错误。</explain>
      <paraID>581A8ABD</paraID>
      <start>3</start>
      <end>4</end>
      <status>unmodified</status>
      <modifiedWord/>
      <trackRevisions>false</trackRevisions>
    </reviewItem>
    <reviewItem>
      <errorID>2ba93ae7-da76-401c-8622-8234ae3654e1</errorID>
      <errorWord>)</errorWord>
      <group>L1_Format</group>
      <groupName>格式问题</groupName>
      <ability>L2_HalfPunc</ability>
      <abilityName>全半角检查</abilityName>
      <candidateList>
        <item>）</item>
      </candidateList>
      <explain>文本全半角错误。</explain>
      <paraID>581A8ABD</paraID>
      <start>9</start>
      <end>10</end>
      <status>unmodified</status>
      <modifiedWord/>
      <trackRevisions>false</trackRevisions>
    </reviewItem>
    <reviewItem>
      <errorID>489e8a7e-05b8-4f1c-82e0-5a6421b610b9</errorID>
      <errorWord>砂子</errorWord>
      <group>L1_Word</group>
      <groupName>字词问题</groupName>
      <ability>L2_Typo</ability>
      <abilityName>字词错误</abilityName>
      <candidateList>
        <item>沙子</item>
      </candidateList>
      <explain>存在发音相同字词的误用。</explain>
      <paraID>47A34B6F</paraID>
      <start>36</start>
      <end>38</end>
      <status>unmodified</status>
      <modifiedWord/>
      <trackRevisions>false</trackRevisions>
    </reviewItem>
    <reviewItem>
      <errorID>75d5513d-16a9-44d0-85fc-ea7d5f92dadb</errorID>
      <errorWord>：</errorWord>
      <group>L1_Format</group>
      <groupName>格式问题</groupName>
      <ability>L2_HalfPunc</ability>
      <abilityName>全半角检查</abilityName>
      <candidateList>
        <item>:</item>
      </candidateList>
      <explain>文本全半角错误。</explain>
      <paraID>549F9A3B</paraID>
      <start>75</start>
      <end>76</end>
      <status>unmodified</status>
      <modifiedWord/>
      <trackRevisions>false</trackRevisions>
    </reviewItem>
    <reviewItem>
      <errorID>3090c847-2d97-490f-903a-2e9e49537c6d</errorID>
      <errorWord>（</errorWord>
      <group>L1_Punc</group>
      <groupName>标点问题</groupName>
      <ability>L2_Punc</ability>
      <abilityName>标点符号检查</abilityName>
      <candidateList/>
      <explain>同一形式括号套用。</explain>
      <paraID>77710229</paraID>
      <start>24</start>
      <end>25</end>
      <status>unmodified</status>
      <modifiedWord/>
      <trackRevisions>false</trackRevisions>
    </reviewItem>
    <reviewItem>
      <errorID>5258fdae-edf6-4353-bf8e-be785d9565de</errorID>
      <errorWord>）</errorWord>
      <group>L1_Punc</group>
      <groupName>标点问题</groupName>
      <ability>L2_Punc</ability>
      <abilityName>标点符号检查</abilityName>
      <candidateList/>
      <explain>同一形式括号套用。</explain>
      <paraID>77710229</paraID>
      <start>48</start>
      <end>49</end>
      <status>unmodified</status>
      <modifiedWord/>
      <trackRevisions>false</trackRevisions>
    </reviewItem>
    <reviewItem>
      <errorID>6fcf86fb-42e6-4a3f-a13b-7eac51738f0b</errorID>
      <errorWord>（</errorWord>
      <group>L1_Punc</group>
      <groupName>标点问题</groupName>
      <ability>L2_Punc</ability>
      <abilityName>标点符号检查</abilityName>
      <candidateList/>
      <explain>同一形式括号套用。</explain>
      <paraID>77710229</paraID>
      <start>80</start>
      <end>81</end>
      <status>unmodified</status>
      <modifiedWord/>
      <trackRevisions>false</trackRevisions>
    </reviewItem>
    <reviewItem>
      <errorID>381f9f88-9e7c-44f0-ae72-acb372d8555f</errorID>
      <errorWord>）</errorWord>
      <group>L1_Punc</group>
      <groupName>标点问题</groupName>
      <ability>L2_Punc</ability>
      <abilityName>标点符号检查</abilityName>
      <candidateList/>
      <explain>同一形式括号套用。</explain>
      <paraID>77710229</paraID>
      <start>84</start>
      <end>85</end>
      <status>unmodified</status>
      <modifiedWord/>
      <trackRevisions>false</trackRevisions>
    </reviewItem>
    <reviewItem>
      <errorID>0a471f04-0fd9-4c0f-b171-850cb956e0e8</errorID>
      <errorWord>《中共中央、国务院</errorWord>
      <group>L1_Political</group>
      <groupName>政治性问题</groupName>
      <ability>L2_Unpolitical</ability>
      <abilityName>政治敏感错误</abilityName>
      <candidateList>
        <item>《中共中央 国务院</item>
      </candidateList>
      <explain/>
      <paraID>4FBD2F86</paraID>
      <start>79</start>
      <end>88</end>
      <status>unmodified</status>
      <modifiedWord/>
      <trackRevisions>false</trackRevisions>
    </reviewItem>
    <reviewItem>
      <errorID>d07dce14-c991-46eb-9f8a-1a8bc93d263b</errorID>
      <errorWord>《中共中央、国务院</errorWord>
      <group>L1_Political</group>
      <groupName>政治性问题</groupName>
      <ability>L2_Unpolitical</ability>
      <abilityName>政治敏感错误</abilityName>
      <candidateList>
        <item>《中共中央 国务院</item>
      </candidateList>
      <explain/>
      <paraID>51CADB8E</paraID>
      <start>89</start>
      <end>98</end>
      <status>unmodified</status>
      <modifiedWord/>
      <trackRevisions>false</trackRevisions>
    </reviewItem>
    <reviewItem>
      <errorID>c982d6fa-03e2-40fa-85d7-fea9a651558b</errorID>
      <errorWord>(</errorWord>
      <group>L1_Format</group>
      <groupName>格式问题</groupName>
      <ability>L2_HalfPunc</ability>
      <abilityName>全半角检查</abilityName>
      <candidateList>
        <item>（</item>
      </candidateList>
      <explain>文本全半角错误。</explain>
      <paraID> 80707D4</paraID>
      <start>390</start>
      <end>391</end>
      <status>unmodified</status>
      <modifiedWord/>
      <trackRevisions>false</trackRevisions>
    </reviewItem>
    <reviewItem>
      <errorID>9798d11c-5255-4e4d-9f0a-fd69a35b8087</errorID>
      <errorWord>)</errorWord>
      <group>L1_Format</group>
      <groupName>格式问题</groupName>
      <ability>L2_HalfPunc</ability>
      <abilityName>全半角检查</abilityName>
      <candidateList>
        <item>）</item>
      </candidateList>
      <explain>文本全半角错误。</explain>
      <paraID> 80707D4</paraID>
      <start>393</start>
      <end>394</end>
      <status>unmodified</status>
      <modifiedWord/>
      <trackRevisions>false</trackRevisions>
    </reviewItem>
    <reviewItem>
      <errorID>8ebcdd19-97d8-46d6-b72c-7d1642c44024</errorID>
      <errorWord>（</errorWord>
      <group>L1_Punc</group>
      <groupName>标点问题</groupName>
      <ability>L2_Punc</ability>
      <abilityName>标点符号检查</abilityName>
      <candidateList/>
      <explain>同一形式括号套用。</explain>
      <paraID>4F1B88C3</paraID>
      <start>55</start>
      <end>56</end>
      <status>unmodified</status>
      <modifiedWord/>
      <trackRevisions>false</trackRevisions>
    </reviewItem>
    <reviewItem>
      <errorID>6952ca39-71e9-4df2-a527-f0fcfd7ac94c</errorID>
      <errorWord>）</errorWord>
      <group>L1_Punc</group>
      <groupName>标点问题</groupName>
      <ability>L2_Punc</ability>
      <abilityName>标点符号检查</abilityName>
      <candidateList/>
      <explain>同一形式括号套用。</explain>
      <paraID>4F1B88C3</paraID>
      <start>68</start>
      <end>69</end>
      <status>unmodified</status>
      <modifiedWord/>
      <trackRevisions>false</trackRevisions>
    </reviewItem>
    <reviewItem>
      <errorID>17079b97-b50a-46f7-a62c-4f7f44078ec4</errorID>
      <errorWord>（</errorWord>
      <group>L1_Punc</group>
      <groupName>标点问题</groupName>
      <ability>L2_Punc</ability>
      <abilityName>标点符号检查</abilityName>
      <candidateList/>
      <explain>同一形式括号套用。</explain>
      <paraID>4F1B88C3</paraID>
      <start>311</start>
      <end>312</end>
      <status>unmodified</status>
      <modifiedWord/>
      <trackRevisions>false</trackRevisions>
    </reviewItem>
    <reviewItem>
      <errorID>e43e22da-59f5-4f60-9900-7851bdfe4cb2</errorID>
      <errorWord>）</errorWord>
      <group>L1_Punc</group>
      <groupName>标点问题</groupName>
      <ability>L2_Punc</ability>
      <abilityName>标点符号检查</abilityName>
      <candidateList/>
      <explain>同一形式括号套用。</explain>
      <paraID>4F1B88C3</paraID>
      <start>313</start>
      <end>314</end>
      <status>unmodified</status>
      <modifiedWord/>
      <trackRevisions>false</trackRevisions>
    </reviewItem>
    <reviewItem>
      <errorID>209c780b-559e-4a53-b1bf-00704c8634fe</errorID>
      <errorWord>（</errorWord>
      <group>L1_Punc</group>
      <groupName>标点问题</groupName>
      <ability>L2_Punc</ability>
      <abilityName>标点符号检查</abilityName>
      <candidateList/>
      <explain>同一形式括号套用。</explain>
      <paraID>606F7F08</paraID>
      <start>72</start>
      <end>73</end>
      <status>unmodified</status>
      <modifiedWord/>
      <trackRevisions>false</trackRevisions>
    </reviewItem>
    <reviewItem>
      <errorID>8f29dde1-9981-483f-8f80-75558ae5b6b7</errorID>
      <errorWord>）</errorWord>
      <group>L1_Punc</group>
      <groupName>标点问题</groupName>
      <ability>L2_Punc</ability>
      <abilityName>标点符号检查</abilityName>
      <candidateList/>
      <explain>同一形式括号套用。</explain>
      <paraID>606F7F08</paraID>
      <start>85</start>
      <end>86</end>
      <status>unmodified</status>
      <modifiedWord/>
      <trackRevisions>false</trackRevisions>
    </reviewItem>
    <reviewItem>
      <errorID>9304ebb8-34ab-4831-ad05-c818750a1877</errorID>
      <errorWord>（</errorWord>
      <group>L1_Punc</group>
      <groupName>标点问题</groupName>
      <ability>L2_Punc</ability>
      <abilityName>标点符号检查</abilityName>
      <candidateList/>
      <explain>同一形式括号套用。</explain>
      <paraID>606F7F08</paraID>
      <start>351</start>
      <end>352</end>
      <status>unmodified</status>
      <modifiedWord/>
      <trackRevisions>false</trackRevisions>
    </reviewItem>
    <reviewItem>
      <errorID>aa65c2cb-dd57-4e1c-8563-d469867fdeb6</errorID>
      <errorWord>）</errorWord>
      <group>L1_Punc</group>
      <groupName>标点问题</groupName>
      <ability>L2_Punc</ability>
      <abilityName>标点符号检查</abilityName>
      <candidateList/>
      <explain>同一形式括号套用。</explain>
      <paraID>606F7F08</paraID>
      <start>353</start>
      <end>354</end>
      <status>unmodified</status>
      <modifiedWord/>
      <trackRevisions>false</trackRevisions>
    </reviewItem>
    <reviewItem>
      <errorID>84108d01-cafb-48d0-9407-6edcc0ae113e</errorID>
      <errorWord>（</errorWord>
      <group>L1_Punc</group>
      <groupName>标点问题</groupName>
      <ability>L2_Punc</ability>
      <abilityName>标点符号检查</abilityName>
      <candidateList/>
      <explain>同一形式括号套用。</explain>
      <paraID>606F7F08</paraID>
      <start>412</start>
      <end>413</end>
      <status>unmodified</status>
      <modifiedWord/>
      <trackRevisions>false</trackRevisions>
    </reviewItem>
    <reviewItem>
      <errorID>d1e7c761-6996-487b-91fe-1bda52825aa5</errorID>
      <errorWord>）</errorWord>
      <group>L1_Punc</group>
      <groupName>标点问题</groupName>
      <ability>L2_Punc</ability>
      <abilityName>标点符号检查</abilityName>
      <candidateList/>
      <explain>同一形式括号套用。</explain>
      <paraID>606F7F08</paraID>
      <start>417</start>
      <end>418</end>
      <status>unmodified</status>
      <modifiedWord/>
      <trackRevisions>false</trackRevisions>
    </reviewItem>
    <reviewItem>
      <errorID>d8766a2a-9f3d-4a26-8791-64a4961bdb9b</errorID>
      <errorWord>（</errorWord>
      <group>L1_Punc</group>
      <groupName>标点问题</groupName>
      <ability>L2_Punc</ability>
      <abilityName>标点符号检查</abilityName>
      <candidateList/>
      <explain>同一形式括号套用。</explain>
      <paraID>606F7F08</paraID>
      <start>533</start>
      <end>534</end>
      <status>unmodified</status>
      <modifiedWord/>
      <trackRevisions>false</trackRevisions>
    </reviewItem>
    <reviewItem>
      <errorID>1c32cc06-994f-45ef-81c0-c025ebe29ceb</errorID>
      <errorWord>）</errorWord>
      <group>L1_Punc</group>
      <groupName>标点问题</groupName>
      <ability>L2_Punc</ability>
      <abilityName>标点符号检查</abilityName>
      <candidateList/>
      <explain>同一形式括号套用。</explain>
      <paraID>606F7F08</paraID>
      <start>544</start>
      <end>545</end>
      <status>unmodified</status>
      <modifiedWord/>
      <trackRevisions>false</trackRevisions>
    </reviewItem>
    <reviewItem>
      <errorID>6fc97566-e31e-403e-b227-b4453cd174b0</errorID>
      <errorWord>（</errorWord>
      <group>L1_Punc</group>
      <groupName>标点问题</groupName>
      <ability>L2_Punc</ability>
      <abilityName>标点符号检查</abilityName>
      <candidateList/>
      <explain>同一形式括号套用。</explain>
      <paraID>606F7F08</paraID>
      <start>575</start>
      <end>576</end>
      <status>unmodified</status>
      <modifiedWord/>
      <trackRevisions>false</trackRevisions>
    </reviewItem>
    <reviewItem>
      <errorID>6021e8e3-3d22-4000-bbe1-7058cf0290c1</errorID>
      <errorWord>）</errorWord>
      <group>L1_Punc</group>
      <groupName>标点问题</groupName>
      <ability>L2_Punc</ability>
      <abilityName>标点符号检查</abilityName>
      <candidateList/>
      <explain>同一形式括号套用。</explain>
      <paraID>606F7F08</paraID>
      <start>583</start>
      <end>584</end>
      <status>unmodified</status>
      <modifiedWord/>
      <trackRevisions>false</trackRevisions>
    </reviewItem>
    <reviewItem>
      <errorID>46e421b2-272a-435b-b230-ea7cb98dd884</errorID>
      <errorWord>（</errorWord>
      <group>L1_Punc</group>
      <groupName>标点问题</groupName>
      <ability>L2_Punc</ability>
      <abilityName>标点符号检查</abilityName>
      <candidateList/>
      <explain>同一形式括号套用。</explain>
      <paraID>606F7F08</paraID>
      <start>604</start>
      <end>605</end>
      <status>unmodified</status>
      <modifiedWord/>
      <trackRevisions>false</trackRevisions>
    </reviewItem>
    <reviewItem>
      <errorID>d2f90d2e-1254-4fdd-8429-8af656b27eaa</errorID>
      <errorWord>）</errorWord>
      <group>L1_Punc</group>
      <groupName>标点问题</groupName>
      <ability>L2_Punc</ability>
      <abilityName>标点符号检查</abilityName>
      <candidateList/>
      <explain>同一形式括号套用。</explain>
      <paraID>606F7F08</paraID>
      <start>619</start>
      <end>620</end>
      <status>unmodified</status>
      <modifiedWord/>
      <trackRevisions>false</trackRevisions>
    </reviewItem>
    <reviewItem>
      <errorID>383c28e0-8af8-4263-ad11-d3f741d93d73</errorID>
      <errorWord>（</errorWord>
      <group>L1_Punc</group>
      <groupName>标点问题</groupName>
      <ability>L2_Punc</ability>
      <abilityName>标点符号检查</abilityName>
      <candidateList/>
      <explain>同一形式括号套用。</explain>
      <paraID>606F7F08</paraID>
      <start>665</start>
      <end>666</end>
      <status>unmodified</status>
      <modifiedWord/>
      <trackRevisions>false</trackRevisions>
    </reviewItem>
    <reviewItem>
      <errorID>f7964e7a-1106-44cf-aba5-adcd4bfd2d6d</errorID>
      <errorWord>）</errorWord>
      <group>L1_Punc</group>
      <groupName>标点问题</groupName>
      <ability>L2_Punc</ability>
      <abilityName>标点符号检查</abilityName>
      <candidateList/>
      <explain>同一形式括号套用。</explain>
      <paraID>606F7F08</paraID>
      <start>683</start>
      <end>684</end>
      <status>unmodified</status>
      <modifiedWord/>
      <trackRevisions>false</trackRevisions>
    </reviewItem>
    <reviewItem>
      <errorID>43c7eb1b-7153-45a7-8bb9-89add897fb5c</errorID>
      <errorWord>（</errorWord>
      <group>L1_Punc</group>
      <groupName>标点问题</groupName>
      <ability>L2_Punc</ability>
      <abilityName>标点符号检查</abilityName>
      <candidateList/>
      <explain>同一形式括号套用。</explain>
      <paraID>2B60A461</paraID>
      <start>12</start>
      <end>13</end>
      <status>unmodified</status>
      <modifiedWord/>
      <trackRevisions>false</trackRevisions>
    </reviewItem>
    <reviewItem>
      <errorID>48f47b18-830d-4e7c-abcb-cd5245ecc7f2</errorID>
      <errorWord>）</errorWord>
      <group>L1_Punc</group>
      <groupName>标点问题</groupName>
      <ability>L2_Punc</ability>
      <abilityName>标点符号检查</abilityName>
      <candidateList/>
      <explain>同一形式括号套用。</explain>
      <paraID>2B60A461</paraID>
      <start>33</start>
      <end>34</end>
      <status>unmodified</status>
      <modifiedWord/>
      <trackRevisions>false</trackRevisions>
    </reviewItem>
    <reviewItem>
      <errorID>d85be616-d095-4308-8d72-fc0c4732a1a4</errorID>
      <errorWord>（</errorWord>
      <group>L1_Punc</group>
      <groupName>标点问题</groupName>
      <ability>L2_Punc</ability>
      <abilityName>标点符号检查</abilityName>
      <candidateList/>
      <explain>同一形式括号套用。</explain>
      <paraID>74DFA90C</paraID>
      <start>13</start>
      <end>14</end>
      <status>unmodified</status>
      <modifiedWord/>
      <trackRevisions>false</trackRevisions>
    </reviewItem>
    <reviewItem>
      <errorID>e7fe34ea-5925-48d9-bc81-0e53b4ca58e3</errorID>
      <errorWord>）</errorWord>
      <group>L1_Punc</group>
      <groupName>标点问题</groupName>
      <ability>L2_Punc</ability>
      <abilityName>标点符号检查</abilityName>
      <candidateList/>
      <explain>同一形式括号套用。</explain>
      <paraID>74DFA90C</paraID>
      <start>34</start>
      <end>35</end>
      <status>unmodified</status>
      <modifiedWord/>
      <trackRevisions>false</trackRevisions>
    </reviewItem>
    <reviewItem>
      <errorID>9022ef17-a717-45dc-8c11-0d9f04e11eb7</errorID>
      <errorWord>（</errorWord>
      <group>L1_Punc</group>
      <groupName>标点问题</groupName>
      <ability>L2_Punc</ability>
      <abilityName>标点符号检查</abilityName>
      <candidateList/>
      <explain>同一形式括号套用。</explain>
      <paraID>150F006D</paraID>
      <start>20</start>
      <end>21</end>
      <status>unmodified</status>
      <modifiedWord/>
      <trackRevisions>false</trackRevisions>
    </reviewItem>
    <reviewItem>
      <errorID>c8ec8a0d-aa14-4ba3-b8b2-c9b8032ea1a4</errorID>
      <errorWord>）</errorWord>
      <group>L1_Punc</group>
      <groupName>标点问题</groupName>
      <ability>L2_Punc</ability>
      <abilityName>标点符号检查</abilityName>
      <candidateList/>
      <explain>同一形式括号套用。</explain>
      <paraID>150F006D</paraID>
      <start>65</start>
      <end>66</end>
      <status>unmodified</status>
      <modifiedWord/>
      <trackRevisions>false</trackRevisions>
    </reviewItem>
    <reviewItem>
      <errorID>93dedc2a-068a-4a16-9538-f24671c877fe</errorID>
      <errorWord>（</errorWord>
      <group>L1_Punc</group>
      <groupName>标点问题</groupName>
      <ability>L2_Punc</ability>
      <abilityName>标点符号检查</abilityName>
      <candidateList/>
      <explain>同一形式括号套用。</explain>
      <paraID>44B2DC68</paraID>
      <start>27</start>
      <end>28</end>
      <status>unmodified</status>
      <modifiedWord/>
      <trackRevisions>false</trackRevisions>
    </reviewItem>
    <reviewItem>
      <errorID>eef79d3a-da64-4fa7-a595-a6d17d17c37d</errorID>
      <errorWord>）</errorWord>
      <group>L1_Punc</group>
      <groupName>标点问题</groupName>
      <ability>L2_Punc</ability>
      <abilityName>标点符号检查</abilityName>
      <candidateList/>
      <explain>同一形式括号套用。</explain>
      <paraID>44B2DC68</paraID>
      <start>50</start>
      <end>51</end>
      <status>unmodified</status>
      <modifiedWord/>
      <trackRevisions>false</trackRevisions>
    </reviewItem>
    <reviewItem>
      <errorID>580713fc-806f-4b58-b2de-d50ba7dfe2a4</errorID>
      <errorWord>(</errorWord>
      <group>L1_Format</group>
      <groupName>格式问题</groupName>
      <ability>L2_HalfPunc</ability>
      <abilityName>全半角检查</abilityName>
      <candidateList>
        <item>（</item>
      </candidateList>
      <explain>文本全半角错误。</explain>
      <paraID>40A8608C</paraID>
      <start>293</start>
      <end>294</end>
      <status>unmodified</status>
      <modifiedWord/>
      <trackRevisions>false</trackRevisions>
    </reviewItem>
    <reviewItem>
      <errorID>abe63250-1a1d-4134-9bac-d37584da9cb2</errorID>
      <errorWord>)</errorWord>
      <group>L1_Format</group>
      <groupName>格式问题</groupName>
      <ability>L2_HalfPunc</ability>
      <abilityName>全半角检查</abilityName>
      <candidateList>
        <item>）</item>
      </candidateList>
      <explain>文本全半角错误。</explain>
      <paraID>40A8608C</paraID>
      <start>296</start>
      <end>297</end>
      <status>unmodified</status>
      <modifiedWord/>
      <trackRevisions>false</trackRevisions>
    </reviewItem>
  </reviewItems>
  <config/>
</contractReview>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ffbb3a7-de88-4c61-ba69-c4cdec7322ee}">
  <ds:schemaRefs/>
</ds:datastoreItem>
</file>

<file path=docProps/app.xml><?xml version="1.0" encoding="utf-8"?>
<Properties xmlns="http://schemas.openxmlformats.org/officeDocument/2006/extended-properties" xmlns:vt="http://schemas.openxmlformats.org/officeDocument/2006/docPropsVTypes">
  <Template>Normal.dotm</Template>
  <Pages>216</Pages>
  <Words>25319</Words>
  <Characters>26506</Characters>
  <Lines>1</Lines>
  <Paragraphs>1</Paragraphs>
  <TotalTime>0</TotalTime>
  <ScaleCrop>false</ScaleCrop>
  <LinksUpToDate>false</LinksUpToDate>
  <CharactersWithSpaces>26694</CharactersWithSpaces>
  <Application>WPS Office_12.1.0.26375_F1E327BC-269C-435d-A152-05C5408002CA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2021-09-02T02:02:00Z</dcterms:created>
  <dc:creator>仰望</dc:creator>
  <cp:lastModifiedBy>Mercurial</cp:lastModifiedBy>
  <cp:lastPrinted>2023-03-27T08:28:00Z</cp:lastPrinted>
  <dcterms:modified xsi:type="dcterms:W3CDTF">2026-05-21T02:27:49Z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2052-12.1.0.26375</vt:lpwstr>
  </property>
  <property fmtid="{D5CDD505-2E9C-101B-9397-08002B2CF9AE}" pid="3" name="ICV">
    <vt:lpwstr>97D12A6D6B964A90A1BF546CF434342C_13</vt:lpwstr>
  </property>
  <property fmtid="{D5CDD505-2E9C-101B-9397-08002B2CF9AE}" pid="4" name="KSOTemplateDocerSaveRecord">
    <vt:lpwstr>eyJoZGlkIjoiNmYyZGE4NDVhYWI2N2E4NTlkZjY4MDkwNjE3YTA1MTUiLCJ1c2VySWQiOiIyNjg4OTIxNTYifQ==</vt:lpwstr>
  </property>
</Properties>
</file>